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 w:lineRule="exact"/>
        <w:rPr>
          <w:sz w:val="24"/>
          <w:szCs w:val="24"/>
          <w:color w:val="auto"/>
        </w:rPr>
      </w:pPr>
    </w:p>
    <w:p>
      <w:pPr>
        <w:ind w:left="3880" w:right="1720" w:hanging="3872"/>
        <w:spacing w:after="0" w:line="357" w:lineRule="auto"/>
        <w:tabs>
          <w:tab w:leader="none" w:pos="36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3460" w:right="1720" w:hanging="3452"/>
        <w:spacing w:after="0" w:line="367" w:lineRule="auto"/>
        <w:tabs>
          <w:tab w:leader="none" w:pos="36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001-38682</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KODIAK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713" w:right="3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6"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27-0476525</w:t>
      </w:r>
    </w:p>
    <w:p>
      <w:pPr>
        <w:spacing w:after="0" w:line="3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8" w:lineRule="exact"/>
        <w:rPr>
          <w:sz w:val="24"/>
          <w:szCs w:val="24"/>
          <w:color w:val="auto"/>
        </w:rPr>
      </w:pPr>
    </w:p>
    <w:p>
      <w:pPr>
        <w:sectPr>
          <w:pgSz w:w="11900" w:h="16838" w:orient="portrait"/>
          <w:cols w:equalWidth="0" w:num="2">
            <w:col w:w="7140" w:space="720"/>
            <w:col w:w="3380"/>
          </w:cols>
          <w:pgMar w:left="320" w:top="713" w:right="339" w:bottom="1440" w:gutter="0" w:footer="0" w:header="0"/>
          <w:type w:val="continuous"/>
        </w:sectPr>
      </w:pPr>
    </w:p>
    <w:tbl>
      <w:tblPr>
        <w:tblLayout w:type="fixed"/>
        <w:tblInd w:w="1620" w:type="dxa"/>
        <w:tblCellMar>
          <w:top w:w="0" w:type="dxa"/>
          <w:left w:w="0" w:type="dxa"/>
          <w:bottom w:w="0" w:type="dxa"/>
          <w:right w:w="0" w:type="dxa"/>
        </w:tblCellMar>
      </w:tblPr>
      <w:tr>
        <w:trPr>
          <w:trHeight w:val="207"/>
        </w:trPr>
        <w:tc>
          <w:tcPr>
            <w:tcW w:w="4440" w:type="dxa"/>
            <w:vAlign w:val="bottom"/>
          </w:tcPr>
          <w:p>
            <w:pPr>
              <w:jc w:val="center"/>
              <w:ind w:right="1956"/>
              <w:spacing w:after="0"/>
              <w:rPr>
                <w:sz w:val="20"/>
                <w:szCs w:val="20"/>
                <w:color w:val="auto"/>
              </w:rPr>
            </w:pPr>
            <w:r>
              <w:rPr>
                <w:rFonts w:ascii="Times New Roman" w:cs="Times New Roman" w:eastAsia="Times New Roman" w:hAnsi="Times New Roman"/>
                <w:sz w:val="18"/>
                <w:szCs w:val="18"/>
                <w:b w:val="1"/>
                <w:bCs w:val="1"/>
                <w:color w:val="auto"/>
              </w:rPr>
              <w:t>1200 Page Mill Road</w:t>
            </w:r>
          </w:p>
        </w:tc>
        <w:tc>
          <w:tcPr>
            <w:tcW w:w="270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94304</w:t>
            </w:r>
          </w:p>
        </w:tc>
        <w:tc>
          <w:tcPr>
            <w:tcW w:w="0" w:type="dxa"/>
            <w:vAlign w:val="bottom"/>
          </w:tcPr>
          <w:p>
            <w:pPr>
              <w:spacing w:after="0"/>
              <w:rPr>
                <w:sz w:val="1"/>
                <w:szCs w:val="1"/>
                <w:color w:val="auto"/>
              </w:rPr>
            </w:pPr>
          </w:p>
        </w:tc>
      </w:tr>
      <w:tr>
        <w:trPr>
          <w:trHeight w:val="227"/>
        </w:trPr>
        <w:tc>
          <w:tcPr>
            <w:tcW w:w="4440" w:type="dxa"/>
            <w:vAlign w:val="bottom"/>
          </w:tcPr>
          <w:p>
            <w:pPr>
              <w:jc w:val="center"/>
              <w:ind w:right="1976"/>
              <w:spacing w:after="0"/>
              <w:rPr>
                <w:sz w:val="20"/>
                <w:szCs w:val="20"/>
                <w:color w:val="auto"/>
              </w:rPr>
            </w:pPr>
            <w:r>
              <w:rPr>
                <w:rFonts w:ascii="Times New Roman" w:cs="Times New Roman" w:eastAsia="Times New Roman" w:hAnsi="Times New Roman"/>
                <w:sz w:val="18"/>
                <w:szCs w:val="18"/>
                <w:b w:val="1"/>
                <w:bCs w:val="1"/>
                <w:color w:val="auto"/>
                <w:w w:val="99"/>
              </w:rPr>
              <w:t>Palo Alto, CA</w:t>
            </w:r>
          </w:p>
        </w:tc>
        <w:tc>
          <w:tcPr>
            <w:tcW w:w="2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40" w:type="dxa"/>
            <w:vAlign w:val="bottom"/>
          </w:tcPr>
          <w:p>
            <w:pPr>
              <w:jc w:val="center"/>
              <w:ind w:right="197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00" w:type="dxa"/>
            <w:vAlign w:val="bottom"/>
          </w:tcPr>
          <w:p>
            <w:pPr>
              <w:jc w:val="center"/>
              <w:ind w:left="195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6"/>
          <w:szCs w:val="16"/>
          <w:b w:val="1"/>
          <w:bCs w:val="1"/>
          <w:color w:val="auto"/>
        </w:rPr>
        <w:t>(650) 281-0850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12" w:lineRule="exact"/>
        <w:rPr>
          <w:sz w:val="24"/>
          <w:szCs w:val="24"/>
          <w:color w:val="auto"/>
        </w:rPr>
      </w:pPr>
    </w:p>
    <w:tbl>
      <w:tblPr>
        <w:tblLayout w:type="fixed"/>
        <w:tblInd w:w="10" w:type="dxa"/>
        <w:tblCellMar>
          <w:top w:w="0" w:type="dxa"/>
          <w:left w:w="0" w:type="dxa"/>
          <w:bottom w:w="0" w:type="dxa"/>
          <w:right w:w="0" w:type="dxa"/>
        </w:tblCellMar>
      </w:tblPr>
      <w:tr>
        <w:trPr>
          <w:trHeight w:val="324"/>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04"/>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KOD</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75" w:lineRule="exact"/>
        <w:rPr>
          <w:sz w:val="24"/>
          <w:szCs w:val="24"/>
          <w:color w:val="auto"/>
        </w:rPr>
      </w:pPr>
    </w:p>
    <w:p>
      <w:pPr>
        <w:jc w:val="both"/>
        <w:ind w:firstLine="509"/>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5" w:lineRule="exact"/>
        <w:rPr>
          <w:sz w:val="24"/>
          <w:szCs w:val="24"/>
          <w:color w:val="auto"/>
        </w:rPr>
      </w:pPr>
    </w:p>
    <w:p>
      <w:pPr>
        <w:ind w:right="180" w:firstLine="509"/>
        <w:spacing w:after="0" w:line="22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jc w:val="both"/>
        <w:ind w:right="240" w:firstLine="50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80" w:type="dxa"/>
        <w:tblCellMar>
          <w:top w:w="0" w:type="dxa"/>
          <w:left w:w="0" w:type="dxa"/>
          <w:bottom w:w="0" w:type="dxa"/>
          <w:right w:w="0" w:type="dxa"/>
        </w:tblCellMar>
      </w:tblP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Accelerated filer</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1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05"/>
        </w:trPr>
        <w:tc>
          <w:tcPr>
            <w:tcW w:w="17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18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Emerging growth company</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63" w:lineRule="exact"/>
        <w:rPr>
          <w:sz w:val="24"/>
          <w:szCs w:val="24"/>
          <w:color w:val="auto"/>
        </w:rPr>
      </w:pPr>
    </w:p>
    <w:p>
      <w:pPr>
        <w:ind w:right="80" w:firstLine="50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520" w:right="2460"/>
        <w:spacing w:after="0" w:line="26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29, 2022, the registrant had 52,040,246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3"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w:t>
      </w:r>
    </w:p>
    <w:p>
      <w:pPr>
        <w:spacing w:after="0" w:line="73"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“hope”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of this Quarterly Report on Form 10-Q titled “Part II, Item 1A — Risk Factors” and elsewhere in this report. Forward-looking statements include, but are not limited to, statements about:</w:t>
      </w:r>
    </w:p>
    <w:p>
      <w:pPr>
        <w:spacing w:after="0" w:line="87"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development activities, preclinical studies, clinical trials and regulatory filings;</w:t>
      </w:r>
    </w:p>
    <w:p>
      <w:pPr>
        <w:spacing w:after="0" w:line="103"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translation of our preclinical results and data and early clinical trial results in particular relating to safety, efficacy and durability into future clinical trials in humans;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durability, efficacy and safety of our product candidates;</w:t>
      </w:r>
    </w:p>
    <w:p>
      <w:pPr>
        <w:spacing w:after="0" w:line="103"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portfolio of clinical trials planned for submission in our Biologics License Application, or BLA, of tarcocimab tedromer (formerly KSI-301, also known as tarcocimab);</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present clinical data across our pivotal trials for the remainder of 2022 and 2023;</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Lonza’s ability to successfully execute on our manufacturing development plan;</w:t>
      </w:r>
    </w:p>
    <w:p>
      <w:pPr>
        <w:spacing w:after="0" w:line="103" w:lineRule="exact"/>
        <w:rPr>
          <w:rFonts w:ascii="Times New Roman" w:cs="Times New Roman" w:eastAsia="Times New Roman" w:hAnsi="Times New Roman"/>
          <w:sz w:val="18"/>
          <w:szCs w:val="18"/>
          <w:color w:val="auto"/>
        </w:rPr>
      </w:pPr>
    </w:p>
    <w:p>
      <w:pPr>
        <w:ind w:left="760" w:hanging="378"/>
        <w:spacing w:after="0" w:line="25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size and design of clinical trials that regulatory authorities may require to obtain marketing approval, including the order and number of clinical studies required to support a BLA in wet age-related macular degeneration, or wet AMD, diabetic macular edema, or DME, retinal vein occlusion, or RVO, and diabetic retinopathy, or DR;</w:t>
      </w:r>
    </w:p>
    <w:p>
      <w:pPr>
        <w:spacing w:after="0" w:line="61"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chemistry manufacturing and controls, or CMC, requirements of the United States Food and Drug Administration, or FDA, and other regulatory bodies to support our BLA submission and potential commercial launch;</w:t>
      </w:r>
    </w:p>
    <w:p>
      <w:pPr>
        <w:spacing w:after="0" w:line="67"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the potential to achieve FDA approval of tarcocimab in wet AMD, DME, RVO and DR;</w:t>
      </w:r>
    </w:p>
    <w:p>
      <w:pPr>
        <w:spacing w:after="0" w:line="54"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and/or warnings in the label of any approved product candidate;</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develop, manufacture and commercialize our product candidates;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products or platform technologies that are or may become available;</w:t>
      </w:r>
    </w:p>
    <w:p>
      <w:pPr>
        <w:spacing w:after="0" w:line="103" w:lineRule="exact"/>
        <w:rPr>
          <w:rFonts w:ascii="Times New Roman" w:cs="Times New Roman" w:eastAsia="Times New Roman" w:hAnsi="Times New Roman"/>
          <w:sz w:val="18"/>
          <w:szCs w:val="18"/>
          <w:color w:val="auto"/>
        </w:rPr>
      </w:pPr>
    </w:p>
    <w:p>
      <w:pPr>
        <w:ind w:left="760" w:right="24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establish sales, marketing and distribution infrastructure to commercialize any product candidates for which we obtain approval;</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as to the concentration of retinal specialists in the United States and its impact on our sales and marketing plans;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enter into manufacturing-related commitments, and the timing thereof;</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if approved for commercial use, and our ability to serve those markets;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foreign countries;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 w:name="page3"/>
    <w:bookmarkEnd w:id="2"/>
    <w:p>
      <w:pPr>
        <w:ind w:left="760" w:right="3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potential benefits of strategic collaboration agreements and our ability to attract collaborators with development, regulatory and commercialization expertise;</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claims relating to our intellectual property and third-party intellectual property;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03" w:lineRule="exact"/>
        <w:rPr>
          <w:rFonts w:ascii="Times New Roman" w:cs="Times New Roman" w:eastAsia="Times New Roman" w:hAnsi="Times New Roman"/>
          <w:sz w:val="18"/>
          <w:szCs w:val="18"/>
          <w:color w:val="auto"/>
        </w:rPr>
      </w:pPr>
    </w:p>
    <w:p>
      <w:pPr>
        <w:ind w:left="760" w:righ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impact of the novel coronavirus, or COVID-19, pandemic on our business and operations, the business and operations of our collaborators, and on the global economy;</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aspirational goals and objectives related to our human capital resources and workforce objectives;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managerial, scientific and medical personnel;</w:t>
      </w:r>
    </w:p>
    <w:p>
      <w:pPr>
        <w:spacing w:after="0" w:line="103"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the sufficiency of our cash resources, expenses, future revenue, capital requirements and needs for additional financing; and</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04"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All forward-looking statements are based on information available to us on the date of this Quarterly Report on Form 10-Q and we will not update any of the forward-looking statements after the date of this Quarterly Report on Form 10-Q, except as required by law. Our actual results could differ materially from those discussed in this Quarterly Report on Form 10-Q. The forward-looking statements contained in this Quarterly Report on Form 10-Q,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Quarterly Report on Form 10-Q titled “Part II, Item 1A — Risk Factors”.</w:t>
      </w:r>
    </w:p>
    <w:p>
      <w:pPr>
        <w:spacing w:after="0" w:line="7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79" w:lineRule="exact"/>
        <w:rPr>
          <w:sz w:val="20"/>
          <w:szCs w:val="20"/>
          <w:color w:val="auto"/>
        </w:rPr>
      </w:pPr>
    </w:p>
    <w:p>
      <w:pPr>
        <w:ind w:right="7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All brand names or trademarks appearing in this report are the property of their respective holders. Unless the context requires otherwise, references in this report to “Kodiak” the “Company,” “we,” “us,” and “our” refer to Kodiak Sciences Inc. and its subsidiaries.</w:t>
      </w:r>
    </w:p>
    <w:p>
      <w:pPr>
        <w:spacing w:after="0" w:line="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RISKS AFFECTING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in our common stock involves numerous risks, including the risks described in “Part II—Other Information, Item 1A. Risk Factors” of this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 any one of which could materially adversely affect our business, financial condition, results of operations, and prospects.</w:t>
      </w:r>
    </w:p>
    <w:p>
      <w:pPr>
        <w:spacing w:after="0"/>
        <w:rPr>
          <w:sz w:val="20"/>
          <w:szCs w:val="20"/>
          <w:color w:val="auto"/>
        </w:rPr>
      </w:pPr>
      <w:r>
        <w:rPr>
          <w:rFonts w:ascii="Times New Roman" w:cs="Times New Roman" w:eastAsia="Times New Roman" w:hAnsi="Times New Roman"/>
          <w:sz w:val="18"/>
          <w:szCs w:val="18"/>
          <w:color w:val="auto"/>
        </w:rPr>
        <w:t>These risks include, among others, the following:</w:t>
      </w:r>
    </w:p>
    <w:p>
      <w:pPr>
        <w:spacing w:after="0" w:line="97" w:lineRule="exact"/>
        <w:rPr>
          <w:sz w:val="20"/>
          <w:szCs w:val="20"/>
          <w:color w:val="auto"/>
        </w:rPr>
      </w:pPr>
    </w:p>
    <w:p>
      <w:pPr>
        <w:ind w:left="760" w:right="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54"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in each period since our inception and anticipate that we will continue to incur significant and increasing net losses for the foreseeable future.</w:t>
      </w:r>
    </w:p>
    <w:p>
      <w:pPr>
        <w:spacing w:after="0" w:line="40" w:lineRule="exact"/>
        <w:rPr>
          <w:rFonts w:ascii="Times New Roman" w:cs="Times New Roman" w:eastAsia="Times New Roman" w:hAnsi="Times New Roman"/>
          <w:sz w:val="18"/>
          <w:szCs w:val="18"/>
          <w:color w:val="auto"/>
        </w:rPr>
      </w:pPr>
    </w:p>
    <w:p>
      <w:pPr>
        <w:ind w:left="760" w:right="5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 highly uncertain undertaking and involves a substantial degree of risk. We have never generated any revenue from product sales, and we may never generate revenue or be profitable.</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are heavily dependent on our tarcocimab product candidate, which is currently in clinical development for multiple indications.</w:t>
      </w:r>
    </w:p>
    <w:p>
      <w:pPr>
        <w:spacing w:after="0" w:line="117" w:lineRule="exact"/>
        <w:rPr>
          <w:rFonts w:ascii="Times New Roman" w:cs="Times New Roman" w:eastAsia="Times New Roman" w:hAnsi="Times New Roman"/>
          <w:sz w:val="18"/>
          <w:szCs w:val="18"/>
          <w:color w:val="auto"/>
        </w:rPr>
      </w:pPr>
    </w:p>
    <w:p>
      <w:pPr>
        <w:ind w:left="760" w:right="52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of tarcocimab in clinical development may require us to discontinue development of other product candidates based on our ABC Platform.</w:t>
      </w:r>
    </w:p>
    <w:p>
      <w:pPr>
        <w:spacing w:after="0" w:line="54"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40" w:lineRule="exact"/>
        <w:rPr>
          <w:rFonts w:ascii="Times New Roman" w:cs="Times New Roman" w:eastAsia="Times New Roman" w:hAnsi="Times New Roman"/>
          <w:sz w:val="18"/>
          <w:szCs w:val="18"/>
          <w:color w:val="auto"/>
        </w:rPr>
      </w:pPr>
    </w:p>
    <w:p>
      <w:pPr>
        <w:ind w:left="760" w:right="50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in our clinical trials, or may not be able to conduct or complete our clinical trials on the timelines we expect, if at all.</w:t>
      </w:r>
    </w:p>
    <w:p>
      <w:pPr>
        <w:spacing w:after="0" w:line="67" w:lineRule="exact"/>
        <w:rPr>
          <w:rFonts w:ascii="Times New Roman" w:cs="Times New Roman" w:eastAsia="Times New Roman" w:hAnsi="Times New Roman"/>
          <w:sz w:val="18"/>
          <w:szCs w:val="18"/>
          <w:color w:val="auto"/>
        </w:rPr>
      </w:pPr>
    </w:p>
    <w:p>
      <w:pPr>
        <w:ind w:left="760" w:right="62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enrolling patients in our clinical trials, and our clinical development activities could thereby be delayed or otherwise adversely affected.</w:t>
      </w:r>
    </w:p>
    <w:p>
      <w:pPr>
        <w:spacing w:after="0" w:line="54"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demonstrate substantial evidence of the durability, efficacy and safety of our product candidates, which would prevent, delay or limit the scope of regulatory approval and commercialization.</w:t>
      </w:r>
    </w:p>
    <w:p>
      <w:pPr>
        <w:spacing w:after="0" w:line="40"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topline results from our Phase 2b/3 pivotal study of tarcocimab in wet AMD and from our Phase 3 pivotal study BEACON in RVO may lead to further study design modifications in our other ongoing pivotal studies and may impact the timeline of completion and likelihood of success of these pivotal studies.</w:t>
      </w:r>
    </w:p>
    <w:p>
      <w:pPr>
        <w:spacing w:after="0" w:line="61" w:lineRule="exact"/>
        <w:rPr>
          <w:rFonts w:ascii="Times New Roman" w:cs="Times New Roman" w:eastAsia="Times New Roman" w:hAnsi="Times New Roman"/>
          <w:sz w:val="18"/>
          <w:szCs w:val="18"/>
          <w:color w:val="auto"/>
        </w:rPr>
      </w:pPr>
    </w:p>
    <w:p>
      <w:pPr>
        <w:ind w:left="760" w:right="12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6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our product candidates is highly complex and requires substantial lead time to produce.</w:t>
      </w:r>
    </w:p>
    <w:p>
      <w:pPr>
        <w:spacing w:after="0" w:line="103" w:lineRule="exact"/>
        <w:rPr>
          <w:rFonts w:ascii="Times New Roman" w:cs="Times New Roman" w:eastAsia="Times New Roman" w:hAnsi="Times New Roman"/>
          <w:sz w:val="18"/>
          <w:szCs w:val="18"/>
          <w:color w:val="auto"/>
        </w:rPr>
      </w:pPr>
    </w:p>
    <w:p>
      <w:pPr>
        <w:ind w:left="760" w:right="12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ability to provide the information needed in the regulatory dossiers for our planned BLA filing, or our ability to supply our products for patients, if approved, could be delayed or stopped, or we may be unable to establish a commercially viable cost structure.</w:t>
      </w:r>
    </w:p>
    <w:p>
      <w:pPr>
        <w:spacing w:after="0" w:line="69" w:lineRule="exact"/>
        <w:rPr>
          <w:rFonts w:ascii="Times New Roman" w:cs="Times New Roman" w:eastAsia="Times New Roman" w:hAnsi="Times New Roman"/>
          <w:sz w:val="18"/>
          <w:szCs w:val="18"/>
          <w:color w:val="auto"/>
        </w:rPr>
      </w:pPr>
    </w:p>
    <w:p>
      <w:pPr>
        <w:ind w:left="760" w:right="260" w:hanging="378"/>
        <w:spacing w:after="0" w:line="258"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EMA, NMPA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61" w:lineRule="exact"/>
        <w:rPr>
          <w:rFonts w:ascii="Times New Roman" w:cs="Times New Roman" w:eastAsia="Times New Roman" w:hAnsi="Times New Roman"/>
          <w:sz w:val="18"/>
          <w:szCs w:val="18"/>
          <w:color w:val="auto"/>
        </w:rPr>
      </w:pPr>
    </w:p>
    <w:p>
      <w:pPr>
        <w:ind w:left="760" w:right="5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conduct clinical trials for our product candidates outside the United States, and the FDA, EMA, NMPA and applicable foreign regulatory authorities may not accept data from such trials.</w:t>
      </w:r>
    </w:p>
    <w:p>
      <w:pPr>
        <w:spacing w:after="0" w:line="67" w:lineRule="exact"/>
        <w:rPr>
          <w:rFonts w:ascii="Times New Roman" w:cs="Times New Roman" w:eastAsia="Times New Roman" w:hAnsi="Times New Roman"/>
          <w:sz w:val="18"/>
          <w:szCs w:val="18"/>
          <w:color w:val="auto"/>
        </w:rPr>
      </w:pPr>
    </w:p>
    <w:p>
      <w:pPr>
        <w:ind w:left="760" w:right="24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U.S. and foreign laws and regulations relating to privacy and data protection. These laws and regulations are subject to change and uncertain interpretation, and could result in claims, changes to our business practices, or monetary penalties, and otherwise may harm our business.</w:t>
      </w:r>
    </w:p>
    <w:p>
      <w:pPr>
        <w:spacing w:after="0" w:line="68"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4" w:name="page5"/>
    <w:bookmarkEnd w:id="4"/>
    <w:p>
      <w:pPr>
        <w:ind w:left="380" w:right="360" w:hanging="378"/>
        <w:spacing w:after="0" w:line="312" w:lineRule="auto"/>
        <w:tabs>
          <w:tab w:leader="none" w:pos="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spacing w:after="0" w:line="18" w:lineRule="exact"/>
        <w:rPr>
          <w:rFonts w:ascii="Times New Roman" w:cs="Times New Roman" w:eastAsia="Times New Roman" w:hAnsi="Times New Roman"/>
          <w:sz w:val="17"/>
          <w:szCs w:val="17"/>
          <w:color w:val="auto"/>
        </w:rPr>
      </w:pPr>
    </w:p>
    <w:p>
      <w:pPr>
        <w:ind w:left="380" w:right="20" w:hanging="378"/>
        <w:spacing w:after="0" w:line="258"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61" w:lineRule="exact"/>
        <w:rPr>
          <w:rFonts w:ascii="Times New Roman" w:cs="Times New Roman" w:eastAsia="Times New Roman" w:hAnsi="Times New Roman"/>
          <w:sz w:val="18"/>
          <w:szCs w:val="18"/>
          <w:color w:val="auto"/>
        </w:rPr>
      </w:pPr>
    </w:p>
    <w:p>
      <w:pPr>
        <w:ind w:left="380" w:right="400" w:hanging="378"/>
        <w:spacing w:after="0" w:line="26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67" w:lineRule="exact"/>
        <w:rPr>
          <w:rFonts w:ascii="Times New Roman" w:cs="Times New Roman" w:eastAsia="Times New Roman" w:hAnsi="Times New Roman"/>
          <w:sz w:val="18"/>
          <w:szCs w:val="18"/>
          <w:color w:val="auto"/>
        </w:rPr>
      </w:pPr>
    </w:p>
    <w:p>
      <w:pPr>
        <w:ind w:left="380" w:hanging="378"/>
        <w:spacing w:after="0" w:line="26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54" w:lineRule="exact"/>
        <w:rPr>
          <w:rFonts w:ascii="Times New Roman" w:cs="Times New Roman" w:eastAsia="Times New Roman" w:hAnsi="Times New Roman"/>
          <w:sz w:val="18"/>
          <w:szCs w:val="18"/>
          <w:color w:val="auto"/>
        </w:rPr>
      </w:pPr>
    </w:p>
    <w:p>
      <w:pPr>
        <w:ind w:left="380" w:right="340" w:hanging="378"/>
        <w:spacing w:after="0" w:line="26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to protect or enforce our patents and other intellectual property rights, which could be expensive, time consuming and unsuccessful.</w:t>
      </w:r>
    </w:p>
    <w:p>
      <w:pPr>
        <w:spacing w:after="0" w:line="67" w:lineRule="exact"/>
        <w:rPr>
          <w:rFonts w:ascii="Times New Roman" w:cs="Times New Roman" w:eastAsia="Times New Roman" w:hAnsi="Times New Roman"/>
          <w:sz w:val="18"/>
          <w:szCs w:val="18"/>
          <w:color w:val="auto"/>
        </w:rPr>
      </w:pPr>
    </w:p>
    <w:p>
      <w:pPr>
        <w:ind w:left="380" w:hanging="378"/>
        <w:spacing w:after="0" w:line="26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54" w:lineRule="exact"/>
        <w:rPr>
          <w:rFonts w:ascii="Times New Roman" w:cs="Times New Roman" w:eastAsia="Times New Roman" w:hAnsi="Times New Roman"/>
          <w:sz w:val="18"/>
          <w:szCs w:val="18"/>
          <w:color w:val="auto"/>
        </w:rPr>
      </w:pPr>
    </w:p>
    <w:p>
      <w:pPr>
        <w:ind w:left="380" w:right="40" w:hanging="378"/>
        <w:spacing w:after="0" w:line="247"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currently affected and could be materially and adversely affected in the future by the effects of disease outbreaks, epidemics and pandemics, including the ongoing effects of the COVID-19 pandemic. The COVID-19 pandemic continues to impact our business and could materially and adversely affect our operations, as well as the business or operations of our manufacturers, contract research organizations (“CROs”) or other third parties with whom we conduct business. Our manufacturers are also engaged in the manufacturing of COVID-19 vaccines and therapeutic treatments, and the success of and demand for these vaccines and therapeutic treatments means we and our programs are competing for scarce manufacturing resources.</w:t>
      </w:r>
    </w:p>
    <w:p>
      <w:pPr>
        <w:spacing w:after="0" w:line="28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00" w:top="432" w:right="3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6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1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900" w:type="dxa"/>
            <w:vAlign w:val="bottom"/>
            <w:vMerge w:val="continue"/>
          </w:tcPr>
          <w:p>
            <w:pPr>
              <w:spacing w:after="0"/>
              <w:rPr>
                <w:sz w:val="13"/>
                <w:szCs w:val="13"/>
                <w:color w:val="auto"/>
              </w:rPr>
            </w:pPr>
          </w:p>
        </w:tc>
        <w:tc>
          <w:tcPr>
            <w:tcW w:w="9160" w:type="dxa"/>
            <w:vAlign w:val="bottom"/>
            <w:gridSpan w:val="26"/>
            <w:vMerge w:val="continue"/>
          </w:tcPr>
          <w:p>
            <w:pPr>
              <w:spacing w:after="0"/>
              <w:rPr>
                <w:sz w:val="13"/>
                <w:szCs w:val="13"/>
                <w:color w:val="auto"/>
              </w:rPr>
            </w:pPr>
          </w:p>
        </w:tc>
        <w:tc>
          <w:tcPr>
            <w:tcW w:w="1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2260" w:type="dxa"/>
            <w:vAlign w:val="bottom"/>
            <w:tcBorders>
              <w:top w:val="single" w:sz="8" w:color="0000FF"/>
              <w:bottom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2"/>
              </w:rPr>
              <w:t>Financial Statements (Unaudited)</w:t>
            </w:r>
          </w:p>
        </w:tc>
        <w:tc>
          <w:tcPr>
            <w:tcW w:w="60" w:type="dxa"/>
            <w:vAlign w:val="bottom"/>
            <w:tcBorders>
              <w:bottom w:val="single" w:sz="8" w:color="0000FF"/>
            </w:tcBorders>
          </w:tcPr>
          <w:p>
            <w:pPr>
              <w:spacing w:after="0"/>
              <w:rPr>
                <w:sz w:val="15"/>
                <w:szCs w:val="15"/>
                <w:color w:val="auto"/>
              </w:rPr>
            </w:pPr>
          </w:p>
        </w:tc>
        <w:tc>
          <w:tcPr>
            <w:tcW w:w="100" w:type="dxa"/>
            <w:vAlign w:val="bottom"/>
            <w:tcBorders>
              <w:bottom w:val="single" w:sz="8" w:color="0000FF"/>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2440" w:type="dxa"/>
            <w:vAlign w:val="bottom"/>
            <w:gridSpan w:val="15"/>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Balance</w:t>
            </w:r>
          </w:p>
        </w:tc>
        <w:tc>
          <w:tcPr>
            <w:tcW w:w="6720" w:type="dxa"/>
            <w:vAlign w:val="bottom"/>
            <w:gridSpan w:val="11"/>
          </w:tcPr>
          <w:p>
            <w:pPr>
              <w:ind w:left="20"/>
              <w:spacing w:after="0" w:line="182" w:lineRule="exact"/>
              <w:rPr>
                <w:sz w:val="20"/>
                <w:szCs w:val="20"/>
                <w:color w:val="auto"/>
              </w:rPr>
            </w:pPr>
            <w:r>
              <w:rPr>
                <w:rFonts w:ascii="Times New Roman" w:cs="Times New Roman" w:eastAsia="Times New Roman" w:hAnsi="Times New Roman"/>
                <w:sz w:val="18"/>
                <w:szCs w:val="18"/>
                <w:color w:val="0000FF"/>
              </w:rPr>
              <w:t>Sheets</w:t>
            </w: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294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w:t>
            </w:r>
          </w:p>
        </w:tc>
        <w:tc>
          <w:tcPr>
            <w:tcW w:w="622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Operations and Comprehensive Loss</w:t>
            </w: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5520" w:type="dxa"/>
            <w:vAlign w:val="bottom"/>
            <w:tcBorders>
              <w:top w:val="single" w:sz="8" w:color="0000FF"/>
            </w:tcBorders>
            <w:gridSpan w:val="24"/>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9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3720" w:type="dxa"/>
            <w:vAlign w:val="bottom"/>
            <w:tcBorders>
              <w:top w:val="single" w:sz="8" w:color="0000FF"/>
              <w:bottom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top w:val="single" w:sz="8" w:color="0000FF"/>
              <w:bottom w:val="single" w:sz="8" w:color="0000EE"/>
            </w:tcBorders>
          </w:tcPr>
          <w:p>
            <w:pPr>
              <w:spacing w:after="0"/>
              <w:rPr>
                <w:sz w:val="15"/>
                <w:szCs w:val="15"/>
                <w:color w:val="auto"/>
              </w:rPr>
            </w:pPr>
          </w:p>
        </w:tc>
        <w:tc>
          <w:tcPr>
            <w:tcW w:w="660" w:type="dxa"/>
            <w:vAlign w:val="bottom"/>
            <w:tcBorders>
              <w:top w:val="single" w:sz="8" w:color="0000FF"/>
            </w:tcBorders>
            <w:gridSpan w:val="3"/>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2"/>
          </w:tcPr>
          <w:p>
            <w:pPr>
              <w:spacing w:after="0"/>
              <w:rPr>
                <w:sz w:val="15"/>
                <w:szCs w:val="15"/>
                <w:color w:val="auto"/>
              </w:rPr>
            </w:pPr>
          </w:p>
        </w:tc>
        <w:tc>
          <w:tcPr>
            <w:tcW w:w="270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4800" w:type="dxa"/>
            <w:vAlign w:val="bottom"/>
            <w:tcBorders>
              <w:bottom w:val="single" w:sz="8" w:color="0000FF"/>
            </w:tcBorders>
            <w:gridSpan w:val="22"/>
          </w:tcPr>
          <w:p>
            <w:pPr>
              <w:spacing w:after="0" w:line="182" w:lineRule="exact"/>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5"/>
                <w:szCs w:val="15"/>
                <w:color w:val="auto"/>
              </w:rPr>
            </w:pPr>
          </w:p>
        </w:tc>
        <w:tc>
          <w:tcPr>
            <w:tcW w:w="4340" w:type="dxa"/>
            <w:vAlign w:val="bottom"/>
            <w:gridSpan w:val="3"/>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26"/>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25"/>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0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80" w:type="dxa"/>
            <w:vAlign w:val="bottom"/>
            <w:tcBorders>
              <w:top w:val="single" w:sz="8" w:color="0000FF"/>
            </w:tcBorders>
            <w:gridSpan w:val="10"/>
          </w:tcPr>
          <w:p>
            <w:pPr>
              <w:spacing w:after="0"/>
              <w:rPr>
                <w:sz w:val="15"/>
                <w:szCs w:val="15"/>
                <w:color w:val="auto"/>
              </w:rPr>
            </w:pPr>
          </w:p>
        </w:tc>
        <w:tc>
          <w:tcPr>
            <w:tcW w:w="4780" w:type="dxa"/>
            <w:vAlign w:val="bottom"/>
            <w:gridSpan w:val="6"/>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800" w:type="dxa"/>
            <w:vAlign w:val="bottom"/>
            <w:tcBorders>
              <w:bottom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w w:val="93"/>
              </w:rPr>
              <w:t>OTHER INFORMATION</w:t>
            </w:r>
          </w:p>
        </w:tc>
        <w:tc>
          <w:tcPr>
            <w:tcW w:w="100" w:type="dxa"/>
            <w:vAlign w:val="bottom"/>
            <w:tcBorders>
              <w:bottom w:val="single" w:sz="8" w:color="0000FF"/>
            </w:tcBorders>
          </w:tcPr>
          <w:p>
            <w:pPr>
              <w:spacing w:after="0"/>
              <w:rPr>
                <w:sz w:val="15"/>
                <w:szCs w:val="15"/>
                <w:color w:val="auto"/>
              </w:rPr>
            </w:pPr>
          </w:p>
        </w:tc>
        <w:tc>
          <w:tcPr>
            <w:tcW w:w="420" w:type="dxa"/>
            <w:vAlign w:val="bottom"/>
            <w:gridSpan w:val="2"/>
          </w:tcPr>
          <w:p>
            <w:pPr>
              <w:spacing w:after="0"/>
              <w:rPr>
                <w:sz w:val="15"/>
                <w:szCs w:val="15"/>
                <w:color w:val="auto"/>
              </w:rPr>
            </w:pPr>
          </w:p>
        </w:tc>
        <w:tc>
          <w:tcPr>
            <w:tcW w:w="2040" w:type="dxa"/>
            <w:vAlign w:val="bottom"/>
            <w:gridSpan w:val="6"/>
          </w:tcPr>
          <w:p>
            <w:pPr>
              <w:spacing w:after="0"/>
              <w:rPr>
                <w:sz w:val="15"/>
                <w:szCs w:val="15"/>
                <w:color w:val="auto"/>
              </w:rPr>
            </w:pPr>
          </w:p>
        </w:tc>
        <w:tc>
          <w:tcPr>
            <w:tcW w:w="4800" w:type="dxa"/>
            <w:vAlign w:val="bottom"/>
            <w:gridSpan w:val="7"/>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190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420" w:type="dxa"/>
            <w:vAlign w:val="bottom"/>
            <w:gridSpan w:val="2"/>
          </w:tcPr>
          <w:p>
            <w:pPr>
              <w:spacing w:after="0"/>
              <w:rPr>
                <w:sz w:val="15"/>
                <w:szCs w:val="15"/>
                <w:color w:val="auto"/>
              </w:rPr>
            </w:pPr>
          </w:p>
        </w:tc>
        <w:tc>
          <w:tcPr>
            <w:tcW w:w="2040" w:type="dxa"/>
            <w:vAlign w:val="bottom"/>
            <w:gridSpan w:val="6"/>
          </w:tcPr>
          <w:p>
            <w:pPr>
              <w:spacing w:after="0"/>
              <w:rPr>
                <w:sz w:val="15"/>
                <w:szCs w:val="15"/>
                <w:color w:val="auto"/>
              </w:rPr>
            </w:pPr>
          </w:p>
        </w:tc>
        <w:tc>
          <w:tcPr>
            <w:tcW w:w="4800" w:type="dxa"/>
            <w:vAlign w:val="bottom"/>
            <w:gridSpan w:val="7"/>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980" w:type="dxa"/>
            <w:vAlign w:val="bottom"/>
            <w:gridSpan w:val="5"/>
          </w:tcPr>
          <w:p>
            <w:pPr>
              <w:spacing w:after="0"/>
              <w:rPr>
                <w:sz w:val="15"/>
                <w:szCs w:val="15"/>
                <w:color w:val="auto"/>
              </w:rPr>
            </w:pPr>
          </w:p>
        </w:tc>
        <w:tc>
          <w:tcPr>
            <w:tcW w:w="2040" w:type="dxa"/>
            <w:vAlign w:val="bottom"/>
            <w:gridSpan w:val="6"/>
          </w:tcPr>
          <w:p>
            <w:pPr>
              <w:spacing w:after="0"/>
              <w:rPr>
                <w:sz w:val="15"/>
                <w:szCs w:val="15"/>
                <w:color w:val="auto"/>
              </w:rPr>
            </w:pPr>
          </w:p>
        </w:tc>
        <w:tc>
          <w:tcPr>
            <w:tcW w:w="4800" w:type="dxa"/>
            <w:vAlign w:val="bottom"/>
            <w:gridSpan w:val="7"/>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4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8"/>
              </w:rPr>
              <w:t>Unregistered</w:t>
            </w:r>
          </w:p>
        </w:tc>
        <w:tc>
          <w:tcPr>
            <w:tcW w:w="8220" w:type="dxa"/>
            <w:vAlign w:val="bottom"/>
            <w:gridSpan w:val="20"/>
          </w:tcPr>
          <w:p>
            <w:pPr>
              <w:ind w:left="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800" w:type="dxa"/>
            <w:vAlign w:val="bottom"/>
            <w:gridSpan w:val="7"/>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840" w:type="dxa"/>
            <w:vAlign w:val="bottom"/>
            <w:gridSpan w:val="13"/>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380" w:type="dxa"/>
            <w:vAlign w:val="bottom"/>
            <w:gridSpan w:val="17"/>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7840" w:type="dxa"/>
            <w:vAlign w:val="bottom"/>
            <w:gridSpan w:val="19"/>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6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76"/>
              </w:rPr>
              <w:t>Signatures</w:t>
            </w:r>
          </w:p>
        </w:tc>
        <w:tc>
          <w:tcPr>
            <w:tcW w:w="20" w:type="dxa"/>
            <w:vAlign w:val="bottom"/>
            <w:tcBorders>
              <w:top w:val="single" w:sz="8" w:color="0000EE"/>
              <w:bottom w:val="single" w:sz="8" w:color="0000FF"/>
            </w:tcBorders>
          </w:tcPr>
          <w:p>
            <w:pPr>
              <w:spacing w:after="0"/>
              <w:rPr>
                <w:sz w:val="15"/>
                <w:szCs w:val="15"/>
                <w:color w:val="auto"/>
              </w:rPr>
            </w:pPr>
          </w:p>
        </w:tc>
        <w:tc>
          <w:tcPr>
            <w:tcW w:w="140" w:type="dxa"/>
            <w:vAlign w:val="bottom"/>
            <w:tcBorders>
              <w:bottom w:val="single" w:sz="8" w:color="0000FF"/>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380" w:type="dxa"/>
            <w:vAlign w:val="bottom"/>
            <w:gridSpan w:val="22"/>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770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3"/>
        </w:trPr>
        <w:tc>
          <w:tcPr>
            <w:tcW w:w="770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rPr>
              <w:t>Kodiak Sciences Inc.</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700" w:type="dxa"/>
            <w:vAlign w:val="bottom"/>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700" w:type="dxa"/>
            <w:vAlign w:val="bottom"/>
          </w:tcPr>
          <w:p>
            <w:pPr>
              <w:jc w:val="center"/>
              <w:ind w:left="34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770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4"/>
        </w:trPr>
        <w:tc>
          <w:tcPr>
            <w:tcW w:w="7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4"/>
                <w:szCs w:val="24"/>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4"/>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172,692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731,510</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425,184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604,369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734,811</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41,330</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63,076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66,744</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55,011</w:t>
            </w:r>
          </w:p>
        </w:tc>
        <w:tc>
          <w:tcPr>
            <w:tcW w:w="10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781,905</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904,220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20,631</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12,431</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43,158</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48,319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00" w:type="dxa"/>
            <w:vAlign w:val="bottom"/>
          </w:tcPr>
          <w:p>
            <w:pPr>
              <w:spacing w:after="0"/>
              <w:rPr>
                <w:sz w:val="18"/>
                <w:szCs w:val="18"/>
                <w:color w:val="auto"/>
              </w:rPr>
            </w:pPr>
          </w:p>
        </w:tc>
      </w:tr>
      <w:tr>
        <w:trPr>
          <w:trHeight w:val="210"/>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69,833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64,683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76,063</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related to sale of future royalties</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99,969</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99,943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250,974</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62"/>
        </w:trPr>
        <w:tc>
          <w:tcPr>
            <w:tcW w:w="7700" w:type="dxa"/>
            <w:vAlign w:val="bottom"/>
          </w:tcPr>
          <w:p>
            <w:pPr>
              <w:ind w:left="200"/>
              <w:spacing w:after="0" w:line="162"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770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0 shares issued and outstanding at June 30, 2022 and</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8"/>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300" w:type="dxa"/>
            <w:vAlign w:val="bottom"/>
          </w:tcPr>
          <w:p>
            <w:pPr>
              <w:spacing w:after="0"/>
              <w:rPr>
                <w:sz w:val="21"/>
                <w:szCs w:val="21"/>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62"/>
        </w:trPr>
        <w:tc>
          <w:tcPr>
            <w:tcW w:w="77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8"/>
                <w:szCs w:val="18"/>
                <w:color w:val="auto"/>
              </w:rPr>
              <w:t>Common stock, $0.0001 par value, 490,000,000 shares authorized</w:t>
            </w:r>
          </w:p>
        </w:tc>
        <w:tc>
          <w:tcPr>
            <w:tcW w:w="3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4"/>
        </w:trPr>
        <w:tc>
          <w:tcPr>
            <w:tcW w:w="7700" w:type="dxa"/>
            <w:vAlign w:val="bottom"/>
            <w:shd w:val="clear" w:color="auto" w:fill="CFF0FC"/>
          </w:tcPr>
          <w:p>
            <w:pPr>
              <w:ind w:left="340"/>
              <w:spacing w:after="0" w:line="184" w:lineRule="exact"/>
              <w:rPr>
                <w:sz w:val="20"/>
                <w:szCs w:val="20"/>
                <w:color w:val="auto"/>
              </w:rPr>
            </w:pPr>
            <w:r>
              <w:rPr>
                <w:rFonts w:ascii="Times New Roman" w:cs="Times New Roman" w:eastAsia="Times New Roman" w:hAnsi="Times New Roman"/>
                <w:sz w:val="18"/>
                <w:szCs w:val="18"/>
                <w:color w:val="auto"/>
              </w:rPr>
              <w:t>at June 30, 2022 and December 31, 2021; 52,024,621 and</w:t>
            </w:r>
          </w:p>
        </w:tc>
        <w:tc>
          <w:tcPr>
            <w:tcW w:w="3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00" w:type="dxa"/>
            <w:vAlign w:val="bottom"/>
            <w:shd w:val="clear" w:color="auto" w:fill="CFF0FC"/>
          </w:tcPr>
          <w:p>
            <w:pPr>
              <w:ind w:left="340"/>
              <w:spacing w:after="0" w:line="189" w:lineRule="exact"/>
              <w:rPr>
                <w:sz w:val="20"/>
                <w:szCs w:val="20"/>
                <w:color w:val="auto"/>
              </w:rPr>
            </w:pPr>
            <w:r>
              <w:rPr>
                <w:rFonts w:ascii="Times New Roman" w:cs="Times New Roman" w:eastAsia="Times New Roman" w:hAnsi="Times New Roman"/>
                <w:sz w:val="18"/>
                <w:szCs w:val="18"/>
                <w:color w:val="auto"/>
              </w:rPr>
              <w:t>51,826,257 shares issued and outstanding at June 30, 2022 and</w:t>
            </w:r>
          </w:p>
        </w:tc>
        <w:tc>
          <w:tcPr>
            <w:tcW w:w="3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48"/>
        </w:trPr>
        <w:tc>
          <w:tcPr>
            <w:tcW w:w="7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1,277,349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1,221,532</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(1,869 )</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(744,554 )</w:t>
            </w:r>
          </w:p>
        </w:tc>
        <w:tc>
          <w:tcPr>
            <w:tcW w:w="1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(558,217 )</w:t>
            </w:r>
          </w:p>
        </w:tc>
      </w:tr>
      <w:tr>
        <w:trPr>
          <w:trHeight w:val="210"/>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530,931</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781,905</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904,220</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-4139565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-4139565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-3299460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-3282315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-3299460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-1885315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ind w:left="4820"/>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2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5"/>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7"/>
                <w:szCs w:val="17"/>
                <w:color w:val="auto"/>
              </w:rPr>
            </w:pPr>
          </w:p>
        </w:tc>
        <w:tc>
          <w:tcPr>
            <w:tcW w:w="244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50"/>
        </w:trPr>
        <w:tc>
          <w:tcPr>
            <w:tcW w:w="57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73,744</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45,404</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149,921</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18,324</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37,914</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92,068</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55,909</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187,835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(92,068</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(55,909</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(187,835</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(106,467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(5 )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(5 )</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(10 )</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(19 )</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(90,628</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(55,852</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(186,337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(106,299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57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1"/>
              <w:spacing w:after="0" w:line="196" w:lineRule="exact"/>
              <w:rPr>
                <w:sz w:val="20"/>
                <w:szCs w:val="20"/>
                <w:color w:val="auto"/>
              </w:rPr>
            </w:pPr>
            <w:r>
              <w:rPr>
                <w:rFonts w:ascii="Times New Roman" w:cs="Times New Roman" w:eastAsia="Times New Roman" w:hAnsi="Times New Roman"/>
                <w:sz w:val="18"/>
                <w:szCs w:val="18"/>
                <w:color w:val="auto"/>
              </w:rPr>
              <w:t>(1.74 )</w:t>
            </w: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1"/>
              <w:spacing w:after="0" w:line="196" w:lineRule="exact"/>
              <w:rPr>
                <w:sz w:val="20"/>
                <w:szCs w:val="20"/>
                <w:color w:val="auto"/>
              </w:rPr>
            </w:pPr>
            <w:r>
              <w:rPr>
                <w:rFonts w:ascii="Times New Roman" w:cs="Times New Roman" w:eastAsia="Times New Roman" w:hAnsi="Times New Roman"/>
                <w:sz w:val="18"/>
                <w:szCs w:val="18"/>
                <w:color w:val="auto"/>
              </w:rPr>
              <w:t>(1.08 )</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(3.57 )</w:t>
            </w: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760" w:type="dxa"/>
            <w:vAlign w:val="bottom"/>
            <w:shd w:val="clear" w:color="auto" w:fill="CFF0FC"/>
          </w:tcPr>
          <w:p>
            <w:pPr>
              <w:ind w:left="20"/>
              <w:spacing w:after="0" w:line="151" w:lineRule="exact"/>
              <w:rPr>
                <w:sz w:val="20"/>
                <w:szCs w:val="20"/>
                <w:color w:val="auto"/>
              </w:rPr>
            </w:pPr>
            <w:r>
              <w:rPr>
                <w:rFonts w:ascii="Times New Roman" w:cs="Times New Roman" w:eastAsia="Times New Roman" w:hAnsi="Times New Roman"/>
                <w:sz w:val="17"/>
                <w:szCs w:val="17"/>
                <w:color w:val="auto"/>
              </w:rPr>
              <w:t>Weighted-average shares of common stock outstanding used</w:t>
            </w:r>
          </w:p>
        </w:tc>
        <w:tc>
          <w:tcPr>
            <w:tcW w:w="22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52,218,773</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51,573,894</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52,195,972</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51,644,946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76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in computing net loss per common share, basic and diluted</w:t>
            </w: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76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Change in unrealized losses related to available-for-sale</w:t>
            </w:r>
          </w:p>
        </w:tc>
        <w:tc>
          <w:tcPr>
            <w:tcW w:w="220" w:type="dxa"/>
            <w:vAlign w:val="bottom"/>
            <w:shd w:val="clear" w:color="auto" w:fill="CFF0FC"/>
          </w:tcPr>
          <w:p>
            <w:pPr>
              <w:spacing w:after="0"/>
              <w:rPr>
                <w:sz w:val="14"/>
                <w:szCs w:val="14"/>
                <w:color w:val="auto"/>
              </w:rPr>
            </w:pPr>
          </w:p>
        </w:tc>
        <w:tc>
          <w:tcPr>
            <w:tcW w:w="1220" w:type="dxa"/>
            <w:vAlign w:val="bottom"/>
            <w:gridSpan w:val="2"/>
            <w:vMerge w:val="restart"/>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(1,869 )</w:t>
            </w:r>
          </w:p>
        </w:tc>
        <w:tc>
          <w:tcPr>
            <w:tcW w:w="28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(18 )</w:t>
            </w:r>
          </w:p>
        </w:tc>
        <w:tc>
          <w:tcPr>
            <w:tcW w:w="200" w:type="dxa"/>
            <w:vAlign w:val="bottom"/>
            <w:shd w:val="clear" w:color="auto" w:fill="CFF0FC"/>
          </w:tcPr>
          <w:p>
            <w:pPr>
              <w:spacing w:after="0"/>
              <w:rPr>
                <w:sz w:val="14"/>
                <w:szCs w:val="14"/>
                <w:color w:val="auto"/>
              </w:rPr>
            </w:pPr>
          </w:p>
        </w:tc>
        <w:tc>
          <w:tcPr>
            <w:tcW w:w="1180" w:type="dxa"/>
            <w:vAlign w:val="bottom"/>
            <w:gridSpan w:val="2"/>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(1,869 )</w:t>
            </w:r>
          </w:p>
        </w:tc>
        <w:tc>
          <w:tcPr>
            <w:tcW w:w="280" w:type="dxa"/>
            <w:vAlign w:val="bottom"/>
            <w:shd w:val="clear" w:color="auto" w:fill="CFF0FC"/>
          </w:tcPr>
          <w:p>
            <w:pPr>
              <w:spacing w:after="0"/>
              <w:rPr>
                <w:sz w:val="14"/>
                <w:szCs w:val="14"/>
                <w:color w:val="auto"/>
              </w:rPr>
            </w:pP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1"/>
        </w:trPr>
        <w:tc>
          <w:tcPr>
            <w:tcW w:w="5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debt securities, net of tax</w:t>
            </w:r>
          </w:p>
        </w:tc>
        <w:tc>
          <w:tcPr>
            <w:tcW w:w="220" w:type="dxa"/>
            <w:vAlign w:val="bottom"/>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2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(1,869 )</w:t>
            </w:r>
          </w:p>
        </w:tc>
        <w:tc>
          <w:tcPr>
            <w:tcW w:w="280" w:type="dxa"/>
            <w:vAlign w:val="bottom"/>
          </w:tcPr>
          <w:p>
            <w:pPr>
              <w:spacing w:after="0"/>
              <w:rPr>
                <w:sz w:val="18"/>
                <w:szCs w:val="18"/>
                <w:color w:val="auto"/>
              </w:rPr>
            </w:pP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(18 )</w:t>
            </w:r>
          </w:p>
        </w:tc>
        <w:tc>
          <w:tcPr>
            <w:tcW w:w="20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(1,869 )</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(92,497</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(188,206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(106,352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6172835</wp:posOffset>
            </wp:positionH>
            <wp:positionV relativeFrom="paragraph">
              <wp:posOffset>-2574925</wp:posOffset>
            </wp:positionV>
            <wp:extent cx="9398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-2574925</wp:posOffset>
            </wp:positionV>
            <wp:extent cx="9398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-1996440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-1996440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-1996440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-1148080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-1130935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-1148080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-1130935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-1148080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-1130935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-727710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-710565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-727710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-710565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-727710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-710565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-316230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-316230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-316230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ind w:left="4820"/>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2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Pr>
          <w:p>
            <w:pPr>
              <w:spacing w:after="0"/>
              <w:rPr>
                <w:sz w:val="13"/>
                <w:szCs w:val="13"/>
                <w:color w:val="auto"/>
              </w:rPr>
            </w:pPr>
          </w:p>
        </w:tc>
        <w:tc>
          <w:tcPr>
            <w:tcW w:w="2360" w:type="dxa"/>
            <w:vAlign w:val="bottom"/>
            <w:gridSpan w:val="3"/>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88"/>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1300" w:type="dxa"/>
            <w:vAlign w:val="bottom"/>
            <w:gridSpan w:val="2"/>
            <w:vMerge w:val="restart"/>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236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620" w:type="dxa"/>
            <w:vAlign w:val="bottom"/>
          </w:tcPr>
          <w:p>
            <w:pPr>
              <w:spacing w:after="0"/>
              <w:rPr>
                <w:sz w:val="14"/>
                <w:szCs w:val="14"/>
                <w:color w:val="auto"/>
              </w:rPr>
            </w:pP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4"/>
                <w:szCs w:val="14"/>
                <w:color w:val="auto"/>
              </w:rPr>
            </w:pPr>
          </w:p>
        </w:tc>
        <w:tc>
          <w:tcPr>
            <w:tcW w:w="130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Balances at December 31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51,826,257</w:t>
            </w:r>
          </w:p>
        </w:tc>
        <w:tc>
          <w:tcPr>
            <w:tcW w:w="260" w:type="dxa"/>
            <w:vAlign w:val="bottom"/>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1,221,532</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(558,217</w:t>
            </w:r>
          </w:p>
        </w:tc>
        <w:tc>
          <w:tcPr>
            <w:tcW w:w="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663,320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110,043</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3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6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3,581</w:t>
            </w: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2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6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6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28,095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3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expense</w:t>
            </w:r>
          </w:p>
        </w:tc>
        <w:tc>
          <w:tcPr>
            <w:tcW w:w="1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(95,709 )</w:t>
            </w: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(95,709 )</w:t>
            </w:r>
          </w:p>
        </w:tc>
        <w:tc>
          <w:tcPr>
            <w:tcW w:w="0" w:type="dxa"/>
            <w:vAlign w:val="bottom"/>
          </w:tcPr>
          <w:p>
            <w:pPr>
              <w:spacing w:after="0"/>
              <w:rPr>
                <w:sz w:val="1"/>
                <w:szCs w:val="1"/>
                <w:color w:val="auto"/>
              </w:rPr>
            </w:pPr>
          </w:p>
        </w:tc>
      </w:tr>
      <w:tr>
        <w:trPr>
          <w:trHeight w:val="20"/>
        </w:trPr>
        <w:tc>
          <w:tcPr>
            <w:tcW w:w="26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March 31, 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51,939,881</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1,251,305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(653,926 )</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597,384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2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6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6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74,148</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3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6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w:t>
            </w: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pursuant to employee stock</w:t>
            </w: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purchase plans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10,272</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6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25,978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3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expense</w:t>
            </w:r>
          </w:p>
        </w:tc>
        <w:tc>
          <w:tcPr>
            <w:tcW w:w="1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(1,869 )</w:t>
            </w:r>
          </w:p>
        </w:tc>
        <w:tc>
          <w:tcPr>
            <w:tcW w:w="1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(1,869 )</w:t>
            </w:r>
          </w:p>
        </w:tc>
        <w:tc>
          <w:tcPr>
            <w:tcW w:w="0" w:type="dxa"/>
            <w:vAlign w:val="bottom"/>
          </w:tcPr>
          <w:p>
            <w:pPr>
              <w:spacing w:after="0"/>
              <w:rPr>
                <w:sz w:val="1"/>
                <w:szCs w:val="1"/>
                <w:color w:val="auto"/>
              </w:rPr>
            </w:pPr>
          </w:p>
        </w:tc>
      </w:tr>
      <w:tr>
        <w:trPr>
          <w:trHeight w:val="176"/>
        </w:trPr>
        <w:tc>
          <w:tcPr>
            <w:tcW w:w="2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(90,628 )</w:t>
            </w:r>
          </w:p>
        </w:tc>
        <w:tc>
          <w:tcPr>
            <w:tcW w:w="14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(90,628 )</w:t>
            </w:r>
          </w:p>
        </w:tc>
        <w:tc>
          <w:tcPr>
            <w:tcW w:w="0" w:type="dxa"/>
            <w:vAlign w:val="bottom"/>
          </w:tcPr>
          <w:p>
            <w:pPr>
              <w:spacing w:after="0"/>
              <w:rPr>
                <w:sz w:val="1"/>
                <w:szCs w:val="1"/>
                <w:color w:val="auto"/>
              </w:rPr>
            </w:pPr>
          </w:p>
        </w:tc>
      </w:tr>
      <w:tr>
        <w:trPr>
          <w:trHeight w:val="209"/>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Balances at June 30, 2022</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52,024,621</w:t>
            </w: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1,277,349</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24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(744,554</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530,931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620" w:type="dxa"/>
            <w:vAlign w:val="bottom"/>
          </w:tcPr>
          <w:p>
            <w:pPr>
              <w:spacing w:after="0"/>
              <w:rPr>
                <w:sz w:val="13"/>
                <w:szCs w:val="13"/>
                <w:color w:val="auto"/>
              </w:rPr>
            </w:pPr>
          </w:p>
        </w:tc>
        <w:tc>
          <w:tcPr>
            <w:tcW w:w="2360" w:type="dxa"/>
            <w:vAlign w:val="bottom"/>
            <w:gridSpan w:val="3"/>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88"/>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1300" w:type="dxa"/>
            <w:vAlign w:val="bottom"/>
            <w:gridSpan w:val="2"/>
            <w:vMerge w:val="restart"/>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236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620" w:type="dxa"/>
            <w:vAlign w:val="bottom"/>
          </w:tcPr>
          <w:p>
            <w:pPr>
              <w:spacing w:after="0"/>
              <w:rPr>
                <w:sz w:val="14"/>
                <w:szCs w:val="14"/>
                <w:color w:val="auto"/>
              </w:rPr>
            </w:pP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4"/>
                <w:szCs w:val="14"/>
                <w:color w:val="auto"/>
              </w:rPr>
            </w:pPr>
          </w:p>
        </w:tc>
        <w:tc>
          <w:tcPr>
            <w:tcW w:w="130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December 31, 2020</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51,112,302</w:t>
            </w:r>
          </w:p>
        </w:tc>
        <w:tc>
          <w:tcPr>
            <w:tcW w:w="260" w:type="dxa"/>
            <w:vAlign w:val="bottom"/>
          </w:tcPr>
          <w:p>
            <w:pPr>
              <w:spacing w:after="0"/>
              <w:rPr>
                <w:sz w:val="14"/>
                <w:szCs w:val="14"/>
                <w:color w:val="auto"/>
              </w:rPr>
            </w:pPr>
          </w:p>
        </w:tc>
        <w:tc>
          <w:tcPr>
            <w:tcW w:w="1040" w:type="dxa"/>
            <w:vAlign w:val="bottom"/>
            <w:tcBorders>
              <w:top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4"/>
                <w:szCs w:val="14"/>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1,151,920</w:t>
            </w:r>
          </w:p>
        </w:tc>
        <w:tc>
          <w:tcPr>
            <w:tcW w:w="2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4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(291,227</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860,751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113,559</w:t>
            </w: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2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6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6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9,925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3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expense</w:t>
            </w:r>
          </w:p>
        </w:tc>
        <w:tc>
          <w:tcPr>
            <w:tcW w:w="1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(35 )</w:t>
            </w:r>
          </w:p>
        </w:tc>
        <w:tc>
          <w:tcPr>
            <w:tcW w:w="1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175"/>
        </w:trPr>
        <w:tc>
          <w:tcPr>
            <w:tcW w:w="2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(50,447 )</w:t>
            </w:r>
          </w:p>
        </w:tc>
        <w:tc>
          <w:tcPr>
            <w:tcW w:w="14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(50,447 )</w:t>
            </w:r>
          </w:p>
        </w:tc>
        <w:tc>
          <w:tcPr>
            <w:tcW w:w="0" w:type="dxa"/>
            <w:vAlign w:val="bottom"/>
          </w:tcPr>
          <w:p>
            <w:pPr>
              <w:spacing w:after="0"/>
              <w:rPr>
                <w:sz w:val="1"/>
                <w:szCs w:val="1"/>
                <w:color w:val="auto"/>
              </w:rPr>
            </w:pPr>
          </w:p>
        </w:tc>
      </w:tr>
      <w:tr>
        <w:trPr>
          <w:trHeight w:val="169"/>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Balances at March 31,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51,225,861</w:t>
            </w:r>
          </w:p>
        </w:tc>
        <w:tc>
          <w:tcPr>
            <w:tcW w:w="260" w:type="dxa"/>
            <w:vAlign w:val="bottom"/>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1,163,328</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(341,674</w:t>
            </w:r>
          </w:p>
        </w:tc>
        <w:tc>
          <w:tcPr>
            <w:tcW w:w="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821,677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131,276</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3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6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72,976</w:t>
            </w: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2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6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6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pursuant to employee stock</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purchase plans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4,295</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6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11,087</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2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11,087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expense</w:t>
            </w:r>
          </w:p>
        </w:tc>
        <w:tc>
          <w:tcPr>
            <w:tcW w:w="106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(18 )</w:t>
            </w:r>
          </w:p>
        </w:tc>
        <w:tc>
          <w:tcPr>
            <w:tcW w:w="14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(55,852 )</w:t>
            </w: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(55,852 )</w:t>
            </w:r>
          </w:p>
        </w:tc>
        <w:tc>
          <w:tcPr>
            <w:tcW w:w="0" w:type="dxa"/>
            <w:vAlign w:val="bottom"/>
          </w:tcPr>
          <w:p>
            <w:pPr>
              <w:spacing w:after="0"/>
              <w:rPr>
                <w:sz w:val="1"/>
                <w:szCs w:val="1"/>
                <w:color w:val="auto"/>
              </w:rPr>
            </w:pPr>
          </w:p>
        </w:tc>
      </w:tr>
      <w:tr>
        <w:trPr>
          <w:trHeight w:val="20"/>
        </w:trPr>
        <w:tc>
          <w:tcPr>
            <w:tcW w:w="26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June 30, 2021</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51,434,408</w:t>
            </w:r>
          </w:p>
        </w:tc>
        <w:tc>
          <w:tcPr>
            <w:tcW w:w="260" w:type="dxa"/>
            <w:vAlign w:val="bottom"/>
          </w:tcPr>
          <w:p>
            <w:pPr>
              <w:spacing w:after="0"/>
              <w:rPr>
                <w:sz w:val="14"/>
                <w:szCs w:val="14"/>
                <w:color w:val="auto"/>
              </w:rPr>
            </w:pP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1,176,948</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(397,526 )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779,427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-4114165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-4114165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-4114165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-4114165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-4114165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-2725420</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-2708275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-2725420</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-2708275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-2725420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-2708275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-2725420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-2708275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-2725420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-2708275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-144780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-144780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-144780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-144780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-144780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ind w:left="4820"/>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2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5"/>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77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(186,337 )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(106,299 )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54,073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(accretion) of premium (discount) on marketable securities</w:t>
            </w:r>
          </w:p>
        </w:tc>
        <w:tc>
          <w:tcPr>
            <w:tcW w:w="340" w:type="dxa"/>
            <w:vAlign w:val="bottom"/>
          </w:tcPr>
          <w:p>
            <w:pPr>
              <w:spacing w:after="0"/>
              <w:rPr>
                <w:sz w:val="18"/>
                <w:szCs w:val="18"/>
                <w:color w:val="auto"/>
              </w:rPr>
            </w:pPr>
          </w:p>
        </w:tc>
        <w:tc>
          <w:tcPr>
            <w:tcW w:w="1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(314 )</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18"/>
                <w:szCs w:val="18"/>
                <w:color w:val="auto"/>
              </w:rPr>
            </w:pPr>
          </w:p>
        </w:tc>
        <w:tc>
          <w:tcPr>
            <w:tcW w:w="1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(2,165 )</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(431 )</w:t>
            </w: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(5,753 )</w:t>
            </w: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(98,297</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(71,286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(25,690 )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(3,772 )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on property and equipment</w:t>
            </w:r>
          </w:p>
        </w:tc>
        <w:tc>
          <w:tcPr>
            <w:tcW w:w="340" w:type="dxa"/>
            <w:vAlign w:val="bottom"/>
          </w:tcPr>
          <w:p>
            <w:pPr>
              <w:spacing w:after="0"/>
              <w:rPr>
                <w:sz w:val="18"/>
                <w:szCs w:val="18"/>
                <w:color w:val="auto"/>
              </w:rPr>
            </w:pPr>
          </w:p>
        </w:tc>
        <w:tc>
          <w:tcPr>
            <w:tcW w:w="1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(8,785 )</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(16,962 )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(427,766 )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40" w:type="dxa"/>
            <w:vAlign w:val="bottom"/>
          </w:tcPr>
          <w:p>
            <w:pPr>
              <w:spacing w:after="0"/>
              <w:rPr>
                <w:sz w:val="18"/>
                <w:szCs w:val="18"/>
                <w:color w:val="auto"/>
              </w:rPr>
            </w:pPr>
          </w:p>
        </w:tc>
        <w:tc>
          <w:tcPr>
            <w:tcW w:w="1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(462,241</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upon options exercise</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pursuant to employee stock purchase plans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Principal payments of tenant improvement allowance payable</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(24 )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10"/>
        </w:trPr>
        <w:tc>
          <w:tcPr>
            <w:tcW w:w="772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Borders>
              <w:top w:val="single" w:sz="8" w:color="CFF0FC"/>
            </w:tcBorders>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(558,818</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(63,526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737,834</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950,720</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179,016</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887,194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 of cash, cash equivalents and restricted cash to consolidated balance sheets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172,692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880,870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in consolidated balance sheets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179,016</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887,194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information:</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obtained in exchange for operating lease liability</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FF0FC"/>
          </w:tcPr>
          <w:p>
            <w:pPr>
              <w:spacing w:after="0"/>
              <w:rPr>
                <w:sz w:val="18"/>
                <w:szCs w:val="18"/>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under accounts payable and accruals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5881370</wp:posOffset>
            </wp:positionH>
            <wp:positionV relativeFrom="paragraph">
              <wp:posOffset>-5372735</wp:posOffset>
            </wp:positionV>
            <wp:extent cx="93980"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-5372735</wp:posOffset>
            </wp:positionV>
            <wp:extent cx="93980"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-3140075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-3140075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-2299970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-2299970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-1742440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-1742440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-1168400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-1151255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-1168400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-1151255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-585470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-568325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-585470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-568325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08"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7"/>
          <w:szCs w:val="17"/>
          <w:color w:val="auto"/>
        </w:rPr>
        <w:t>Kodiak Sciences Inc. (the “Company”) is a clinical stage biopharmaceutical company committed to researching, developing and commercializing transformative therapeutics to treat high prevalence retinal diseases in the United States and additional international markets. The Company devotes substantially all of its resources to the research and development of its product platforms and product candidates including activities to conduct clinical studies of its product candidates, manufacture product candidates and provide general and administrative support for these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08"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As of June 30, 2022, the Company had cash, cash equivalents and marketable securities of $597.9 million. Although the Company has incurred significant operating losses since inception and expects to continue to incur operating losses and negative operating cash flows for the foreseeable future, the Company believes that the cash, cash equivalents and marketable securities will be sufficient to meet the anticipated operating and capital expenditure requirements for the 12 months following the date of this Quarterly Report on Form 10-Q.</w:t>
      </w:r>
    </w:p>
    <w:p>
      <w:pPr>
        <w:spacing w:after="0" w:line="173" w:lineRule="exact"/>
        <w:rPr>
          <w:sz w:val="20"/>
          <w:szCs w:val="20"/>
          <w:color w:val="auto"/>
        </w:rPr>
      </w:pPr>
    </w:p>
    <w:p>
      <w:pPr>
        <w:ind w:right="7220" w:firstLine="8"/>
        <w:spacing w:after="0" w:line="391" w:lineRule="auto"/>
        <w:tabs>
          <w:tab w:leader="none" w:pos="18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b w:val="1"/>
          <w:bCs w:val="1"/>
          <w:i w:val="1"/>
          <w:iCs w:val="1"/>
          <w:color w:val="auto"/>
        </w:rPr>
        <w:t>Basis of Presentation and Principles of Consolidation</w:t>
      </w:r>
    </w:p>
    <w:p>
      <w:pPr>
        <w:spacing w:after="0" w:line="2" w:lineRule="exact"/>
        <w:rPr>
          <w:sz w:val="20"/>
          <w:szCs w:val="20"/>
          <w:color w:val="auto"/>
        </w:rPr>
      </w:pPr>
    </w:p>
    <w:p>
      <w:pPr>
        <w:ind w:right="320" w:firstLine="509"/>
        <w:spacing w:after="0" w:line="250"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have been prepared in accordance with accounting principles generally accepted in the United States (“GAAP”) applicable to interim periods. The condensed consolidated financial statements, in the opinion of management, include all normal and recurring adjustments necessary to state fairly the Company's financial position and results of operations for the reported periods.</w:t>
      </w:r>
    </w:p>
    <w:p>
      <w:pPr>
        <w:spacing w:after="0" w:line="69"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on a basis substantially consistent with, and should be read in conjunction with the audited financial statements for the year ended December 31, 2021 and notes thereto, the Company’s Annual Report on Form 10-K filed with the Securities and Exchange Commission (“SEC”) on March 1, 2022. Certain information and note disclosures normally included in the audited financial statements prepared in accordance with GAAP have been condensed or omitted from this report. The results of operations for any interim period are not necessarily indicative of the results for the year ending December 31, 2022, or for any future period.</w:t>
      </w:r>
    </w:p>
    <w:p>
      <w:pPr>
        <w:spacing w:after="0" w:line="87"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the operations of the Company and its wholly-owned subsidiaries. All intercompany accounts and transactions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08"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disclosure of contingent assets and liabilities as of the date of the consolidated financial statements and expenses during the reporting period. The impact of the ongoing COVID-19 pandemic continues to evolve. As a result, certain estimates and assumptions required increased judgment and carried a higher degree of variability and volatility, including but not limited to, the fair value of marketable securities, performance-based equity awards, and research and development accruals. As events continue to unfold and additional information becomes available, these estimates may change materially in future periods. Actual results could differ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March 2020, the World Health Organization declared a pandemic due to the global COVID-19 outbreak. The significant uncertainties caused by the ongoing COVID-19 pandemic may negatively impact the Company’s operations, liquidity, and capital resources and will depend on certain evolving developments, including the duration and spread of the outbreak, regulatory and private sector responses and the impact on employees and vendors including supply chain and clinical partners, all of which are uncertain and cannot be predicted. During this pandemic, the Company continues to work closely with clinical sites towards maximal patient safety and the lowest number of missed visits and study discontinuations. The Company has taken and continues to take proactive measures to maintain the integrity of its ongoing clinical studies. Despite these efforts, the ongoing COVID-19 pandemic could significantly impact clinical trial enrollment and completion of its clinical studies. As global economic conditions recover from the COVID-19 pandemic, business activity may not recover as quickly as anticipated, and it is not possible at this time to estimate the long-term impact that COVID-19 could have on the Company's business, as the impact will depend on future developments, which are highly uncertain and cannot be predicted. The Company will continue to monitor the COVID-19 situation and its impact on the ability to continue the development of, and seek regulatory approvals for, the Company’s product candidates, and begin to commercialize any approved products.</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0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for the three and six months ended June 30, 2022, respectively, are consistent with those discussed in Note 2 to the consolidated financial statements in the Company’s Annual Report on Form 10-K for the year ended December 31, 2021, except as noted below with respect to the Company's property and equipment and as noted within the “Recent Accounting Pronouncements” section.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08"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for acquired assets. Construction in progress reflects amounts incurred for construction or improvements of property or equipment that have not been placed in service. Construction in progress is transferred to specific property and equipment and depreciation commences when these assets are ready for their intended use. Depreciation is computed using the straight-line method over the estimated useful lives of assets, which is generally four years for laboratory equipment, three years for computer equipment and office equipment, five years for computer software and five to seven years for furniture and fixtures. Leasehold improvements are stated at cost and amortized over the shorter of the useful life of the assets or the length of the lease. Upon sale or retirement of assets, the costs and related accumulated depreciation are removed from the consolidated balance sheet and the resulting gain or loss is reflected in operations. Maintenance and repairs are charged to operations as incurred.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08"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under its Accounting Standards Codification ("ASC") or other standard setting bodies, and adopted by the Company as of the specified effective date. There have been no new accounting pronouncements issued nor adopted during the three and six months ended June 30, 2022 that are of significance to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consist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9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clinical trial and related costs</w:t>
            </w:r>
          </w:p>
        </w:tc>
        <w:tc>
          <w:tcPr>
            <w:tcW w:w="27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manufacturing and research &amp; development costs</w:t>
            </w:r>
          </w:p>
        </w:tc>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leasehold improvements</w:t>
            </w:r>
          </w:p>
        </w:tc>
        <w:tc>
          <w:tcPr>
            <w:tcW w:w="2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legal fees</w:t>
            </w:r>
          </w:p>
        </w:tc>
        <w:tc>
          <w:tcPr>
            <w:tcW w:w="2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 liabilities</w:t>
            </w:r>
          </w:p>
        </w:tc>
        <w:tc>
          <w:tcPr>
            <w:tcW w:w="27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30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43,158</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78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90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0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-727710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the Company’s fair value hierarchy for assets measured at fair value on a recurring basis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8"/>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 June 30, 2022</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121,277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121,277</w:t>
            </w: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32,977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32,977</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425,184</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425,184</w:t>
            </w:r>
          </w:p>
        </w:tc>
        <w:tc>
          <w:tcPr>
            <w:tcW w:w="100" w:type="dxa"/>
            <w:vAlign w:val="bottom"/>
            <w:shd w:val="clear" w:color="auto" w:fill="CFF0FC"/>
          </w:tcPr>
          <w:p>
            <w:pPr>
              <w:spacing w:after="0"/>
              <w:rPr>
                <w:sz w:val="18"/>
                <w:szCs w:val="18"/>
                <w:color w:val="auto"/>
              </w:rPr>
            </w:pPr>
          </w:p>
        </w:tc>
      </w:tr>
      <w:tr>
        <w:trPr>
          <w:trHeight w:val="209"/>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121,277</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458,161</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579,438</w:t>
            </w:r>
          </w:p>
        </w:tc>
        <w:tc>
          <w:tcPr>
            <w:tcW w:w="10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9"/>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 December 31, 2021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8"/>
                <w:szCs w:val="18"/>
                <w:color w:val="auto"/>
              </w:rPr>
            </w:pPr>
          </w:p>
        </w:tc>
      </w:tr>
      <w:tr>
        <w:trPr>
          <w:trHeight w:val="20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706,703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706,703</w:t>
            </w:r>
          </w:p>
        </w:tc>
        <w:tc>
          <w:tcPr>
            <w:tcW w:w="100" w:type="dxa"/>
            <w:vAlign w:val="bottom"/>
          </w:tcPr>
          <w:p>
            <w:pPr>
              <w:spacing w:after="0"/>
              <w:rPr>
                <w:sz w:val="18"/>
                <w:szCs w:val="18"/>
                <w:color w:val="auto"/>
              </w:rPr>
            </w:pPr>
          </w:p>
        </w:tc>
      </w:tr>
      <w:tr>
        <w:trPr>
          <w:trHeight w:val="250"/>
        </w:trPr>
        <w:tc>
          <w:tcPr>
            <w:tcW w:w="570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706,703</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706,703</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-24765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-170815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fair value of the liability related to sale of future royalties is based on the Company's current estimates of future royalties expected to be paid to Baker Bros. Advisors, LP (“BBA”), which are considered Level 3 inputs.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108"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marketable securities are classified as available-for-sale. The fair value measurement data for marketable securities is obtained from independent pricing services. The Company validates the prices provided by the third-party pricing services by understanding the valuation methods and data sources used and analyzing the pricing data in certain instances.</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Company's marketable securities by major security type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8"/>
                <w:szCs w:val="18"/>
                <w:color w:val="auto"/>
              </w:rPr>
            </w:pPr>
          </w:p>
        </w:tc>
      </w:tr>
      <w:tr>
        <w:trPr>
          <w:trHeight w:val="23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16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r>
      <w:tr>
        <w:trPr>
          <w:trHeight w:val="210"/>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427,053</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425,184</w:t>
            </w:r>
          </w:p>
        </w:tc>
        <w:tc>
          <w:tcPr>
            <w:tcW w:w="100" w:type="dxa"/>
            <w:vAlign w:val="bottom"/>
            <w:shd w:val="clear" w:color="auto" w:fill="CFF0FC"/>
          </w:tcPr>
          <w:p>
            <w:pPr>
              <w:spacing w:after="0"/>
              <w:rPr>
                <w:sz w:val="18"/>
                <w:szCs w:val="18"/>
                <w:color w:val="auto"/>
              </w:rPr>
            </w:pPr>
          </w:p>
        </w:tc>
      </w:tr>
      <w:tr>
        <w:trPr>
          <w:trHeight w:val="21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427,053</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425,184</w:t>
            </w:r>
          </w:p>
        </w:tc>
        <w:tc>
          <w:tcPr>
            <w:tcW w:w="10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had no marketable securities at December 31, 2021.</w:t>
      </w:r>
    </w:p>
    <w:p>
      <w:pPr>
        <w:spacing w:after="0" w:line="104"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marketable securities held at June 30, 2022 had effective maturities of less than one year. There were no realized gains or losses recognized on the sale or maturity of available-for-sale debt securities during the six months ended June 30, 2022, and as a result, the Company did not reclassify any amounts out of accumulated comprehensive loss. There were no impairment charges or recoveries recorded during the six months ended June 30, 2022. As of June 30, 2022, the Company had no allowance for credit losses for available-for-sale debt securities.</w:t>
      </w:r>
    </w:p>
    <w:p>
      <w:pPr>
        <w:spacing w:after="0" w:line="187" w:lineRule="exact"/>
        <w:rPr>
          <w:sz w:val="20"/>
          <w:szCs w:val="20"/>
          <w:color w:val="auto"/>
        </w:rPr>
      </w:pPr>
    </w:p>
    <w:p>
      <w:pPr>
        <w:ind w:right="8500" w:firstLine="8"/>
        <w:spacing w:after="0" w:line="354" w:lineRule="auto"/>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Embedded Lease</w:t>
      </w:r>
    </w:p>
    <w:p>
      <w:pPr>
        <w:spacing w:after="0" w:line="1"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In August 2020, the Company and its wholly-owned subsidiary Kodiak Sciences GmbH entered into a manufacturing agreement with Lonza Ltd (“Lonza”) for the clinical and commercial supply of drug substance for tarcocimab. A custom-built manufacturing facility is planned to be completed and dedicated to the manufacture of the Company’s drug substance. The manufacturing agreement has an initial term of eight years, and the Company has the right to extend the term up to a total of 16 years. The Company and Lonza each have the ability to terminate this agreement upon the occurrence of certain conditions.</w:t>
      </w:r>
    </w:p>
    <w:p>
      <w:pPr>
        <w:spacing w:after="0" w:line="87"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In April 2021, the agreement was amended to provide for higher annual manufacturing capacity. The Company expanded and finalized the design and scope of the bioconjugate manufacturing facility with a revised estimated capital contribution of approximately 75.0 million Swiss Francs of which the Company has paid 40.0 million Swiss Francs of the capital contribution, equivalent to $44.1 million U.S. Dollars, which is recorded in other assets on the consolidated balance sheet as of June 30, 2022. Over the period from 2022 through 2029, manufacturing payments totaling approximately 150.0 million Swiss Francs may be incurred for potential commercial supply of tarcocimab drug substance based on the amended agreement.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0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 concluded that this agreement contains an embedded lease as the custom-built manufacturing suite will be dedicated for the Company’s use. As of June 30, 2022, the Company did not have control of this manufacturing space and therefore, did not record a right-of-use asset and corresponding lease liability.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Agreements</w:t>
      </w:r>
    </w:p>
    <w:p>
      <w:pPr>
        <w:spacing w:after="0" w:line="108"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The Company has entered into service and equipment purchase agreements in the normal course of business with various providers, pursuant to which such providers agreed to perform activities in connection with the manufacturing process of certain materials. These agreements, and any related amendments, state that planned activities and purchases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Funding Commitments</w:t>
      </w:r>
    </w:p>
    <w:p>
      <w:pPr>
        <w:spacing w:after="0" w:line="12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with third-parties for services to be provided to the Company.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services to be provided to the Company.</w:t>
      </w:r>
    </w:p>
    <w:p>
      <w:pPr>
        <w:spacing w:after="0" w:line="69"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08"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from the ordinary course of its business. Management is currently not aware of any matters that could have a material adverse effect on the Company’s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08"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10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January 2022 and 2021, the number of shares of common stock available for issuance under the 2018 Equity Incentive Plan (the "2018 Plan") was increased by approximately 2.1 million and 2.0 million shares, respectively, as a result of the automatic increase provision in the 2018 Plan.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option activity, including stock options and performance-based stock options under the 2021 Long-Term Performance Incentive Plan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LTPIP”), 2018 Plan and 2015 Plan is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80" w:type="dxa"/>
            <w:vAlign w:val="bottom"/>
          </w:tcPr>
          <w:p>
            <w:pPr>
              <w:spacing w:after="0"/>
              <w:rPr>
                <w:sz w:val="16"/>
                <w:szCs w:val="16"/>
                <w:color w:val="auto"/>
              </w:rPr>
            </w:pPr>
          </w:p>
        </w:tc>
        <w:tc>
          <w:tcPr>
            <w:tcW w:w="1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16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280" w:type="dxa"/>
            <w:vAlign w:val="bottom"/>
          </w:tcPr>
          <w:p>
            <w:pPr>
              <w:spacing w:after="0"/>
              <w:rPr>
                <w:sz w:val="16"/>
                <w:szCs w:val="16"/>
                <w:color w:val="auto"/>
              </w:rPr>
            </w:pPr>
          </w:p>
        </w:tc>
        <w:tc>
          <w:tcPr>
            <w:tcW w:w="1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168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rPr>
              <w:t>of</w:t>
            </w:r>
          </w:p>
        </w:tc>
        <w:tc>
          <w:tcPr>
            <w:tcW w:w="260" w:type="dxa"/>
            <w:vAlign w:val="bottom"/>
          </w:tcPr>
          <w:p>
            <w:pPr>
              <w:spacing w:after="0"/>
              <w:rPr>
                <w:sz w:val="16"/>
                <w:szCs w:val="16"/>
                <w:color w:val="auto"/>
              </w:rPr>
            </w:pPr>
          </w:p>
        </w:tc>
        <w:tc>
          <w:tcPr>
            <w:tcW w:w="126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280" w:type="dxa"/>
            <w:vAlign w:val="bottom"/>
          </w:tcPr>
          <w:p>
            <w:pPr>
              <w:spacing w:after="0"/>
              <w:rPr>
                <w:sz w:val="16"/>
                <w:szCs w:val="16"/>
                <w:color w:val="auto"/>
              </w:rPr>
            </w:pPr>
          </w:p>
        </w:tc>
        <w:tc>
          <w:tcPr>
            <w:tcW w:w="1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Term</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60" w:type="dxa"/>
            <w:vAlign w:val="bottom"/>
          </w:tcPr>
          <w:p>
            <w:pPr>
              <w:spacing w:after="0"/>
              <w:rPr>
                <w:sz w:val="20"/>
                <w:szCs w:val="20"/>
                <w:color w:val="auto"/>
              </w:rPr>
            </w:pPr>
          </w:p>
        </w:tc>
        <w:tc>
          <w:tcPr>
            <w:tcW w:w="1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8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14,523,917</w:t>
            </w:r>
          </w:p>
        </w:tc>
        <w:tc>
          <w:tcPr>
            <w:tcW w:w="2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28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335,440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388,820</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(110,363 )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or canceled</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(563,036 )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14,239,338</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-24765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-7620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Shares</w:t>
      </w:r>
    </w:p>
    <w:p>
      <w:pPr>
        <w:spacing w:after="0" w:line="108"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Restricted share activity, including restricted stock awards, restricted stock units, and performance-based restricted stock units, under the 2018 Plan and 2015 Plan is summarized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tcPr>
          <w:p>
            <w:pPr>
              <w:spacing w:after="0"/>
              <w:rPr>
                <w:sz w:val="17"/>
                <w:szCs w:val="17"/>
                <w:color w:val="auto"/>
              </w:rPr>
            </w:pPr>
          </w:p>
        </w:tc>
        <w:tc>
          <w:tcPr>
            <w:tcW w:w="1520" w:type="dxa"/>
            <w:vAlign w:val="bottom"/>
            <w:vMerge w:val="restart"/>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6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tcPr>
          <w:p>
            <w:pPr>
              <w:jc w:val="center"/>
              <w:ind w:right="2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tcPr>
          <w:p>
            <w:pPr>
              <w:spacing w:after="0"/>
              <w:rPr>
                <w:sz w:val="16"/>
                <w:szCs w:val="16"/>
                <w:color w:val="auto"/>
              </w:rPr>
            </w:pPr>
          </w:p>
        </w:tc>
        <w:tc>
          <w:tcPr>
            <w:tcW w:w="1520" w:type="dxa"/>
            <w:vAlign w:val="bottom"/>
          </w:tcPr>
          <w:p>
            <w:pPr>
              <w:jc w:val="center"/>
              <w:ind w:left="5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Restricted</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tcPr>
          <w:p>
            <w:pPr>
              <w:jc w:val="center"/>
              <w:ind w:right="290"/>
              <w:spacing w:after="0" w:line="189"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152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46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363,930</w:t>
            </w:r>
          </w:p>
        </w:tc>
        <w:tc>
          <w:tcPr>
            <w:tcW w:w="3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44,250</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(77,729 )</w:t>
            </w: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(37,688 )</w:t>
            </w:r>
          </w:p>
        </w:tc>
        <w:tc>
          <w:tcPr>
            <w:tcW w:w="3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Unvested at June 30, 2022</w:t>
            </w:r>
          </w:p>
        </w:tc>
        <w:tc>
          <w:tcPr>
            <w:tcW w:w="15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292,763</w:t>
            </w:r>
          </w:p>
        </w:tc>
        <w:tc>
          <w:tcPr>
            <w:tcW w:w="34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-170815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Awards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grant any performance-based equity awards during the three and six months ended June 30, 2022.</w:t>
      </w:r>
    </w:p>
    <w:p>
      <w:pPr>
        <w:spacing w:after="0" w:line="117"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In February 2021, the Company granted 190,831 performance-based stock options ("2021 Feb PSO"). Upon the achievement of the specific clinical development milestone for the 2021 Feb PSO, 25% of the options vested in the first quarter of 2022. The remaining awards will continue to vest in 36 successive equal monthly installments after the performance criteria was achieved.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08" w:lineRule="exact"/>
        <w:rPr>
          <w:sz w:val="20"/>
          <w:szCs w:val="20"/>
          <w:color w:val="auto"/>
        </w:rPr>
      </w:pPr>
    </w:p>
    <w:p>
      <w:pPr>
        <w:ind w:right="720" w:firstLine="509"/>
        <w:spacing w:after="0" w:line="266" w:lineRule="auto"/>
        <w:rPr>
          <w:sz w:val="20"/>
          <w:szCs w:val="20"/>
          <w:color w:val="auto"/>
        </w:rPr>
      </w:pPr>
      <w:r>
        <w:rPr>
          <w:rFonts w:ascii="Times New Roman" w:cs="Times New Roman" w:eastAsia="Times New Roman" w:hAnsi="Times New Roman"/>
          <w:sz w:val="18"/>
          <w:szCs w:val="18"/>
          <w:color w:val="auto"/>
        </w:rPr>
        <w:t>Stock-based compensation for options, restricted shares, and ESPP is classified in the condensed consolidated statements of operations and comprehensive loss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27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18"/>
                <w:szCs w:val="18"/>
                <w:color w:val="auto"/>
              </w:rPr>
            </w:pPr>
          </w:p>
        </w:tc>
      </w:tr>
      <w:tr>
        <w:trPr>
          <w:trHeight w:val="238"/>
        </w:trPr>
        <w:tc>
          <w:tcPr>
            <w:tcW w:w="4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Borders>
              <w:top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14,109</w:t>
            </w:r>
          </w:p>
        </w:tc>
        <w:tc>
          <w:tcPr>
            <w:tcW w:w="28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3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30,084</w:t>
            </w:r>
          </w:p>
        </w:tc>
        <w:tc>
          <w:tcPr>
            <w:tcW w:w="26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11,169</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2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23,989</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100" w:type="dxa"/>
            <w:vAlign w:val="bottom"/>
          </w:tcPr>
          <w:p>
            <w:pPr>
              <w:spacing w:after="0"/>
              <w:rPr>
                <w:sz w:val="18"/>
                <w:szCs w:val="18"/>
                <w:color w:val="auto"/>
              </w:rPr>
            </w:pPr>
          </w:p>
        </w:tc>
      </w:tr>
      <w:tr>
        <w:trPr>
          <w:trHeight w:val="250"/>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6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25,978</w:t>
            </w: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54,073</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07"/>
        </w:trPr>
        <w:tc>
          <w:tcPr>
            <w:tcW w:w="4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-427990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-410845</wp:posOffset>
            </wp:positionV>
            <wp:extent cx="768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-427990</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-410845</wp:posOffset>
            </wp:positionV>
            <wp:extent cx="774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-427990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-410845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Loss per Common Share</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The following common share equivalents were excluded from the computation of diluted net loss per common share for the periods presented because their inclusion would have been antidilutive:</w:t>
      </w:r>
    </w:p>
    <w:p>
      <w:pPr>
        <w:spacing w:after="0" w:line="158"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As of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2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8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3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14,239,338</w:t>
            </w:r>
          </w:p>
        </w:tc>
        <w:tc>
          <w:tcPr>
            <w:tcW w:w="340" w:type="dxa"/>
            <w:vAlign w:val="bottom"/>
            <w:shd w:val="clear" w:color="auto" w:fill="CFF0FC"/>
          </w:tcPr>
          <w:p>
            <w:pPr>
              <w:spacing w:after="0"/>
              <w:rPr>
                <w:sz w:val="18"/>
                <w:szCs w:val="18"/>
                <w:color w:val="auto"/>
              </w:rPr>
            </w:pPr>
          </w:p>
        </w:tc>
        <w:tc>
          <w:tcPr>
            <w:tcW w:w="2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6,821,524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restricted 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292,763</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288,362</w:t>
            </w:r>
          </w:p>
        </w:tc>
        <w:tc>
          <w:tcPr>
            <w:tcW w:w="100" w:type="dxa"/>
            <w:vAlign w:val="bottom"/>
          </w:tcPr>
          <w:p>
            <w:pPr>
              <w:spacing w:after="0"/>
              <w:rPr>
                <w:sz w:val="18"/>
                <w:szCs w:val="18"/>
                <w:color w:val="auto"/>
              </w:rPr>
            </w:pPr>
          </w:p>
        </w:tc>
      </w:tr>
      <w:tr>
        <w:trPr>
          <w:trHeight w:val="249"/>
        </w:trPr>
        <w:tc>
          <w:tcPr>
            <w:tcW w:w="64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top w:val="single" w:sz="8" w:color="auto"/>
              <w:bottom w:val="single" w:sz="8" w:color="auto"/>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14,532,101</w:t>
            </w:r>
          </w:p>
        </w:tc>
        <w:tc>
          <w:tcPr>
            <w:tcW w:w="340" w:type="dxa"/>
            <w:vAlign w:val="bottom"/>
            <w:tcBorders>
              <w:top w:val="single" w:sz="8" w:color="CFF0FC"/>
              <w:bottom w:val="single" w:sz="8" w:color="CFF0FC"/>
            </w:tcBorders>
            <w:shd w:val="clear" w:color="auto" w:fill="CFF0FC"/>
          </w:tcPr>
          <w:p>
            <w:pPr>
              <w:spacing w:after="0"/>
              <w:rPr>
                <w:sz w:val="21"/>
                <w:szCs w:val="21"/>
                <w:color w:val="auto"/>
              </w:rPr>
            </w:pPr>
          </w:p>
        </w:tc>
        <w:tc>
          <w:tcPr>
            <w:tcW w:w="2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7,109,886</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507"/>
        </w:trPr>
        <w:tc>
          <w:tcPr>
            <w:tcW w:w="64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64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-436245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-419100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-582295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unaudited condensed consolidated financial statements and the related notes included elsewhere in this report and with our audited financial statements and related notes thereto and management’s discussion and analysis of financial condition and results of operations for the year ended December 31, 2021, included in our Annual Report on Form 10-K filed with the Securities and Exchange Commission, or the SEC, on March 1, 2022.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report titled “Part II, Item 1A — Risk Factors” and elsewhere in this 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Since its founding in 2009, Kodiak Sciences Inc. (“Kodiak,” the “Company,” “we” or “our”) has developed a new technology platform for retinal medicines. Our goal is to prevent and treat the major causes of blindness by developing and commercializing next-generation therapeutics for chronic, high-prevalence retinal diseases.</w:t>
      </w:r>
    </w:p>
    <w:p>
      <w:pPr>
        <w:spacing w:after="0" w:line="61" w:lineRule="exact"/>
        <w:rPr>
          <w:sz w:val="20"/>
          <w:szCs w:val="20"/>
          <w:color w:val="auto"/>
        </w:rPr>
      </w:pPr>
    </w:p>
    <w:p>
      <w:pPr>
        <w:ind w:right="180" w:firstLine="509"/>
        <w:spacing w:after="0" w:line="245" w:lineRule="auto"/>
        <w:rPr>
          <w:sz w:val="20"/>
          <w:szCs w:val="20"/>
          <w:color w:val="auto"/>
        </w:rPr>
      </w:pPr>
      <w:r>
        <w:rPr>
          <w:rFonts w:ascii="Times New Roman" w:cs="Times New Roman" w:eastAsia="Times New Roman" w:hAnsi="Times New Roman"/>
          <w:sz w:val="18"/>
          <w:szCs w:val="18"/>
          <w:color w:val="auto"/>
        </w:rPr>
        <w:t>Kodiak’s lead product candidate, tarcocimab tedromer (formerly KSI-301, also known as tarcocimab), is being investigated in five registrational clinical trials. The comprehensive clinical program targets high prevalence anti-vascular endothelial growth factor (“anti-VEGF”) dependent retinal diseases with clinical trials designed as a package to support a broad product label, which we hope will include the key diseases and the longest dosing intervals. Tarcocimab is being developed to become a differentiated, long-interval therapy for use in many patients who may benefit from anti-VEGF therapy. At the same time, Kodiak is investing in commercial scale manufacturing. We aim to provide a pre-filled syringe early in commercialization and are working actively towards this goal. We believe combining these ambitious clinical and manufacturing efforts sets the stage for potential market share capture when and if tarcocimab is approved.</w:t>
      </w:r>
    </w:p>
    <w:p>
      <w:pPr>
        <w:spacing w:after="0" w:line="94" w:lineRule="exact"/>
        <w:rPr>
          <w:sz w:val="20"/>
          <w:szCs w:val="20"/>
          <w:color w:val="auto"/>
        </w:rPr>
      </w:pPr>
    </w:p>
    <w:p>
      <w:pPr>
        <w:ind w:right="160" w:firstLine="509"/>
        <w:spacing w:after="0" w:line="230" w:lineRule="auto"/>
        <w:rPr>
          <w:sz w:val="20"/>
          <w:szCs w:val="20"/>
          <w:color w:val="auto"/>
        </w:rPr>
      </w:pPr>
      <w:r>
        <w:rPr>
          <w:rFonts w:ascii="Times New Roman" w:cs="Times New Roman" w:eastAsia="Times New Roman" w:hAnsi="Times New Roman"/>
          <w:sz w:val="18"/>
          <w:szCs w:val="18"/>
          <w:color w:val="auto"/>
        </w:rPr>
        <w:t>In addition, Kodiak is investing in its pipeline. The Company is progressing its Antibody Biopolymer Conjugate (“ABC”) Platform</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towards suboptimal anti-VEGF responder patients, a group estimated to be as large as 30% of treated patients, with its bispecific conjugate KSI-501. Beyond today’s anti-VEGF market, Kodiak’s new triplet medicines are being designed on its ABC Platform in an effort to bring new capabilities to treat the even higher prevalence retinal diseases of dry age-related macular degeneration (“AMD”) and glaucoma.</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Notably, up to this point, Kodiak has retained all global rights to make, use and sell its product candidates, which we believe preserves future value and allows for agile decision-making.</w:t>
      </w:r>
    </w:p>
    <w:p>
      <w:pPr>
        <w:spacing w:after="0" w:line="5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While engaged in these research and development efforts, we believe we have demonstrated a disciplined and creative approach to building and financing the company. As of June 30, 2022, we had $597.9 million in cash, cash equivalents and marketable securities.</w:t>
      </w:r>
    </w:p>
    <w:p>
      <w:pPr>
        <w:spacing w:after="0" w:line="4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objective is to develop our retina-focused product candidates, seek FDA and worldwide health authority marketing authorization approvals, and ultimately commercialize our product candidates.</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Following from these efforts, we believe Kodiak has the potential to achieve our ambition of becoming a significant incumbent retinal development and commercialization franchise on a global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Updates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Tarcocimab Phase 3 Pivotal Study in Retinal Vein Occlusion (RVO) Topline Readout</w:t>
      </w:r>
    </w:p>
    <w:p>
      <w:pPr>
        <w:spacing w:after="0" w:line="108"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We recently announced that our BEACON Phase 3 study of tarcocimab met the primary endpoint of non-inferior change from baseline in visual acuity at week 24 compared to aflibercept in patients with macular edema due to retinal vein occlusion. Tarcocimab also demonstrated robust anatomic responses and a favorable safety profile. After two initial monthly loading doses, tarcocimab was dosed every two months compared to consistent monthly dosing for aflibercept.</w:t>
      </w:r>
    </w:p>
    <w:p>
      <w:pPr>
        <w:spacing w:after="0" w:line="69"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The BEACON study is a randomized, double-masked, multicenter, active comparator-controlled Phase 3 clinical trial in treatment naïve patients with vision loss and macular edema due to retinal vein occlusion, including both branch ("BRVO") and central ("CRVO") subtypes. This condition occurs when a branch or central draining vein of the retina becomes blocked, for example due to chronic hypertension, and the retina becomes swollen as a result. The study randomized 568 participants (438 BRVO, 130 CRVO) from 11 countries 1:1 into two treatment arms: tarcocimab tedromer 5 mg on a fixed every-8-week dosing regimen following 2 monthly loading doses and aflibercept 2 mg on a fixed every 4-week dosing regimen per its label.</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17" w:name="page18"/>
    <w:bookmarkEnd w:id="17"/>
    <w:p>
      <w:pPr>
        <w:jc w:val="both"/>
        <w:ind w:right="300" w:firstLine="509"/>
        <w:spacing w:after="0" w:line="258" w:lineRule="auto"/>
        <w:rPr>
          <w:sz w:val="20"/>
          <w:szCs w:val="20"/>
          <w:color w:val="auto"/>
        </w:rPr>
      </w:pPr>
      <w:r>
        <w:rPr>
          <w:rFonts w:ascii="Times New Roman" w:cs="Times New Roman" w:eastAsia="Times New Roman" w:hAnsi="Times New Roman"/>
          <w:sz w:val="18"/>
          <w:szCs w:val="18"/>
          <w:color w:val="auto"/>
        </w:rPr>
        <w:t>The primary efficacy endpoint of the study was change in best-corrected visual acuity ("BCVA") score, a measure of the best vision a person can achieve when reading letters on an eye chart, from baseline at week 24. In the first 24 weeks of the study, patients randomized to tarcocimab received a total of 4 doses compared with 6 doses received by patients randomized to aflibercept.</w:t>
      </w:r>
    </w:p>
    <w:p>
      <w:pPr>
        <w:spacing w:after="0" w:line="61"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The non-inferiority margin for the comparison to aflibercept at week 24 was established at 4.5 eye chart letters based on pretrial regulatory feedback and precedent. Under the study’s prespecified statistical analysis plan and hierarchical testing strategy for control of type 1 error, non-inferiority of tarcocimab to aflibercept was first demonstrated in patients with branch RVO, with a statistically significant p-value of 0.0004, and then also demonstrated with a statistically significant p-value of 0.0243 in the overall RVO population (branch and central types combined). Tarcocimab tedromer was safe and well tolerated in the study, with no new safety signals identified. A low rate of intraocular inflammation was observed in both groups (1.4% vs 0.4% for tarcocimab and aflibercept, respectively) with no vasculitis or retinal arterial occlusion events reported in any patient.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Tarcocimab Clinical Program Update</w:t>
      </w:r>
    </w:p>
    <w:p>
      <w:pPr>
        <w:spacing w:after="0" w:line="121" w:lineRule="exact"/>
        <w:rPr>
          <w:sz w:val="20"/>
          <w:szCs w:val="20"/>
          <w:color w:val="auto"/>
        </w:rPr>
      </w:pPr>
    </w:p>
    <w:p>
      <w:pPr>
        <w:jc w:val="both"/>
        <w:ind w:right="40" w:firstLine="509"/>
        <w:spacing w:after="0" w:line="250" w:lineRule="auto"/>
        <w:rPr>
          <w:sz w:val="20"/>
          <w:szCs w:val="20"/>
          <w:color w:val="auto"/>
        </w:rPr>
      </w:pPr>
      <w:r>
        <w:rPr>
          <w:rFonts w:ascii="Times New Roman" w:cs="Times New Roman" w:eastAsia="Times New Roman" w:hAnsi="Times New Roman"/>
          <w:sz w:val="18"/>
          <w:szCs w:val="18"/>
          <w:color w:val="auto"/>
        </w:rPr>
        <w:t>We continued advancing our ongoing pivotal studies of tarcocimab, namely our paired Phase 3 studies GLEAM and GLIMMER in diabetic macular edema (“DME”), short-interval Phase 3 study DAYLIGHT in wet AMD, and Phase 3 study GLOW in non-proliferative diabetic retinopathy without DME (“NPDR” without DME).</w:t>
      </w:r>
    </w:p>
    <w:p>
      <w:pPr>
        <w:spacing w:after="0" w:line="82"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Looking across our development program for tarcocimab, our paired Phase 3 GLEAM and GLIMMER studies in DME, if successful, are designed to serve as the primary basis for a licensing application and potential regulatory approval of tarcocimab. BEACON serves as the single pivotal study to support approval in macular edema following RVO. Our Phase 3 DAYLIGHT study and our Phase 3 GLOW study, if successful, would contribute data to support approvals in wet AMD and NPDR, respectively. All the studies are fully enrolled and expected to read out topline data within the next twelve months and, if successful, we plan to file a single Biologics License Application ("BLA") with the data across the program.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GLEAM / GLIMMER – Paired Phase 3 Studies in Patients with Treatment-Naïve Diabetic Macular Edema</w:t>
      </w:r>
    </w:p>
    <w:p>
      <w:pPr>
        <w:spacing w:after="0" w:line="104"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The Phase 3 GLEAM and GLIMMER studies are global, multi-center, randomized pivotal studies designed to evaluate the durability, efficacy and safety of tarcocimab in patients with treatment-naïve diabetic macular edema. In each study, patients are randomized 1:1 to receive either tarcocimab or aflibercept. The tarcocimab arm is treated with a proactive, individualized dosing regimen of every 8-, 12-, 16-, 20- or 24 weeks (utilizing tight dynamic retreatment criteria) after three loading doses. The aflibercept arm is treated with a fixed dosing regimen of every 8-weeks after five monthly loading doses, per its label. Both studies completed enrollment of approximately 450 patients each worldwide in the first quarter of 2022. The primary endpoint for both studies is the average of weeks 60 and 64, and patients will be treated and followed for a total of two years. We expect to announce topline data in mid-2023. If successful, we expect that data from our GLEAM and GLIMMER studies will serve as the primary basis for approval of tarcocimab in our anticipated BLA submission.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DAYLIGHT – Phase 3 Study in Patients with Treatment-Naïve Wet AMD</w:t>
      </w:r>
    </w:p>
    <w:p>
      <w:pPr>
        <w:spacing w:after="0" w:line="117"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Phase 3 DAYLIGHT study is a global, multi-center, randomized pivotal study designed to evaluate the efficacy and safety of high-frequency tarcocimab in patients with treatment-naïve wet AMD. Patients are randomized to receive either tarcocimab on a monthly dosing regimen or to receive standard-of-care aflibercept on a fixed dosing regimen of every 8-weeks after three monthly loading doses per its label. The primary endpoint is the average of weeks 40, 44 and 48. The DAYLIGHT study is intended to clarify the efficacy of tarcocimab to treat high need patients with wet AMD and, if successful, is intended to serve as the basis for approval in wet AMD with monthly dosing. DAYLIGHT has completed enrollment of approximately 550 patients worldwide and we expect to announce topline data in mid-2023.</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BEACON – Phase 3 Study in Patients with Treatment- Naïve Retinal Vein Occlusion</w:t>
      </w:r>
    </w:p>
    <w:p>
      <w:pPr>
        <w:spacing w:after="0" w:line="104"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Following our recently announced topline results at week 24, the study has continued on to the second six months with patients in both tarcocimab and aflibercept groups receiving treatment on an individualized basis per protocol-specified criteria. Following this, patients can continue to receive tarcocimab for an additional six months on an individualized basis. We intend to include the primary results at week 24 in our anticipated BLA filing to serve as the basis for potential approval of tarcocimab in RVO.</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GLOW – Phase 3 Study in Patients with Non-Proliferative Diabetic Retinopathy without DME</w:t>
      </w:r>
    </w:p>
    <w:p>
      <w:pPr>
        <w:spacing w:after="0" w:line="104"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The Phase 3 GLOW study is a global, multi-center, randomized pivotal superiority study designed to evaluate the efficacy and safety of tarcocimab tedromer in approximately 240 patients with treatment-naïve, moderately severe to severe non-proliferative diabetic retinopathy. Patients are randomized to receive either tarcocimab every six months after initiating doses given at baseline, 8 weeks and 20 weeks into the study, or to receive sham injections. The primary endpoint is at one year and patients will be treated and followed for two years. Outcomes include changes in diabetic retinopathy severity, measured on a standardized photographic grading scale, and the rate of development of sight-threatening complications due to diabetic retinopathy. We believe tarcocimab tedromer has the potential to be the longest-interval intravitreal therapeutic option for patients with diabetic retinopathy. GLOW has completed enrollment of approximately 240 patients in August 2022.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DAZZLE – Phase 2b/3 Study in Patients with Treatment-Naïve Wet AMD</w:t>
      </w:r>
    </w:p>
    <w:p>
      <w:pPr>
        <w:spacing w:after="0" w:line="117"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Our initial Phase 2b/3 pivotal study was a global, multi-center, randomized pivotal study designed to evaluate the durability, efficacy and safety of tarcocimab in patients with treatment-naïve wet AMD. We announced in February 2022 that this initial pivotal study did not meet its primary efficacy endpoint of non-inferior visual acuity gains for subjects dosed on extended regimens every 12, 16 or 20 weeks with tarcocimab compared to subjects given aflibercept every 8 weeks. Following our announcement, we discontinued the study and are winding down remaining trial associated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Tarcocimab Manufacturing</w:t>
      </w:r>
    </w:p>
    <w:p>
      <w:pPr>
        <w:spacing w:after="0" w:line="108"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In August 2020, we and our wholly-owned subsidiary Kodiak Sciences GmbH entered into a manufacturing agreement with Lonza Ltd (“Lonza”) for the clinical and commercial supply of drug substance for tarcocimab. The manufacturing agreement has an initial term of eight years, and the Company has the right to extend the term up to a total of 16 years. The Company and Lonza each has the ability to terminate this agreement upon the occurrence of certain conditions. We planned a custom-built bioconjugation facility with Lonza dedicated to the manufacture of Kodiak’s drug substance. In March 2022, we achieved mechanical completion of this facility in partnership with Lonza. In May 2022, we announced the grand opening of this facility together with Lonza.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 Progression</w:t>
      </w:r>
    </w:p>
    <w:p>
      <w:pPr>
        <w:spacing w:after="0" w:line="121"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continued progressing pipeline product candidates developed from our ABC Platform, including KSI-501 and KSI-601. KSI-501 is a recombinant, mammalian cell expressed dual inhibitor antibody biopolymer conjugate, targeting both VEGF (VEGF -trap) and IL-6 (anti-IL-6-antibody) for the treatment of retinal diseases. We are progressing the bioconjugate cGMP manufacturing, non-clinical toxicology and other supporting activities towards expected IND submission in the second half of 2022.</w:t>
      </w:r>
    </w:p>
    <w:p>
      <w:pPr>
        <w:spacing w:after="0" w:line="86"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KSI-601 is a triplet inhibitor for dry AMD. In this approach, a bispecific antibody is conjugated to a phosphorylcholine biopolymer variant that is embedded with hundreds of copies of a small-molecule drug. As a result, multiple disease-related biologies - both intracellular and extracellular - can be targeted with a single medicine. We believe this approach may be of particular relevance for common vision-threatening diseases with multifactorial pathophysiology, such as dry AMD and glaucoma.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08"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We are continuing to monitor the global ongoing COVID-19 pandemic. We and our key clinical and manufacturing partners have been able to continue to advance our operations. Through this pandemic, we continue to work closely with our clinical sites to ensure patient safety and minimize the number of missed visits and study discontinuations. The overall rate of missed study visits remains less than 5% across all of our ongoing studies combined.</w:t>
      </w:r>
    </w:p>
    <w:p>
      <w:pPr>
        <w:spacing w:after="0" w:line="83"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In response to the COVID-19 pandemic with regards to business operations, clinical trials, and manufacturing activities, we have taken steps in line with guidance from the U.S. Centers for Disease Control and Prevention (“CDC”) and the State of California to protect the health and safety of our employees and our community.</w:t>
      </w:r>
    </w:p>
    <w:p>
      <w:pPr>
        <w:spacing w:after="0" w:line="82"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We will continue to monitor the COVID-19 situation closely. As global economic conditions recover from the COVID-19 pandemic, business activity may not recover as quickly as anticipated, and it is not possible at this time to estimate the long-term impact that COVID-19 could have on our business, as the impact will depend on future developments, which are highly uncertain and cannot be predicted. The ultimate impact of the ongoing COVID-19 pandemic on our business operations remains uncertain and subject to change. We do not yet know the full extent of potential delays or impacts on our business, our clinical trials, healthcare systems or the global economy as a whole. See also the section titled “Risk Factors” for additional information on risks and uncertainties related to the evolving COVID-19 pandemic.</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6"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Substantially all of our research and development expenses consist of expenses incurred in connection with the development of our ABC Platform and product candidates. These expenses include certain payroll and personnel expenses, including stock-based compensation, for our research and product development employees; laboratory supplies and facility costs; consulting costs; contract manufacturing and fees paid to CROs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Nonrefundable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p>
    <w:p>
      <w:pPr>
        <w:spacing w:after="0" w:line="92" w:lineRule="exact"/>
        <w:rPr>
          <w:sz w:val="20"/>
          <w:szCs w:val="20"/>
          <w:color w:val="auto"/>
        </w:rPr>
      </w:pPr>
    </w:p>
    <w:p>
      <w:pPr>
        <w:ind w:right="120" w:firstLine="509"/>
        <w:spacing w:after="0" w:line="243" w:lineRule="auto"/>
        <w:rPr>
          <w:sz w:val="20"/>
          <w:szCs w:val="20"/>
          <w:color w:val="auto"/>
        </w:rPr>
      </w:pPr>
      <w:r>
        <w:rPr>
          <w:rFonts w:ascii="Times New Roman" w:cs="Times New Roman" w:eastAsia="Times New Roman" w:hAnsi="Times New Roman"/>
          <w:sz w:val="18"/>
          <w:szCs w:val="18"/>
          <w:color w:val="auto"/>
        </w:rPr>
        <w:t>We are focusing substantially all of our resources and development efforts on the development of our product candidates, in particular tarcocimab. We expect our research and development expenses to increase substantially during the next few years as we conduct our Phase 3 clinical studies, complete our clinical program, pursue regulatory approval of our drug candidates and prepare for a possible commercial launch.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payroll and personnel expenses, including stock-based compensation; professional fees for legal, consulting, accounting and tax services; allocated overhead, including rent, equipment, depreciation and utilities; and other general operating expenses not otherwise classified as research and development expenses.</w:t>
      </w:r>
    </w:p>
    <w:p>
      <w:pPr>
        <w:spacing w:after="0" w:line="82"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as a result of increased personnel costs, including stock-based compensation, expanded infrastructure and higher consulting, legal and accounting services associated with maintaining compliance with requirements of the stock exchange listing and SEC, investor relations costs and director and officer insurance premiums associated with being a public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primarily of interest income earned on our cash, cash equivalents and marketable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0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accretion income and amortization expense on marketable securities, tax provisions and amortized issuance costs from the liability related to the future sale of royalties to BBA in 2019.</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periods indicated,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73,744</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45,404</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28,340</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149,921</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18,324</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7,819</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37,914</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20,726</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(92,068 )</w:t>
            </w: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(55,909 )</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(36,159 )</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(187,835 )</w:t>
            </w:r>
          </w:p>
        </w:tc>
        <w:tc>
          <w:tcPr>
            <w:tcW w:w="3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(106,467 )</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(81,368 )</w:t>
            </w: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(10 )</w:t>
            </w:r>
          </w:p>
        </w:tc>
        <w:tc>
          <w:tcPr>
            <w:tcW w:w="3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(19 )</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(51 )</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(90,628 )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(55,852 )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(34,776 )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(186,337 )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(106,299 )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(80,038 )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-1148080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-1148080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-1148080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-1148080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-1148080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-590550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-590550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-590550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-590550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-590550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6"/>
        </w:trPr>
        <w:tc>
          <w:tcPr>
            <w:tcW w:w="3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20" w:type="dxa"/>
            <w:vAlign w:val="bottom"/>
            <w:gridSpan w:val="14"/>
          </w:tcPr>
          <w:p>
            <w:pPr>
              <w:jc w:val="center"/>
              <w:ind w:left="190"/>
              <w:spacing w:after="0"/>
              <w:rPr>
                <w:sz w:val="20"/>
                <w:szCs w:val="20"/>
                <w:color w:val="auto"/>
              </w:rPr>
            </w:pPr>
            <w:r>
              <w:rPr>
                <w:rFonts w:ascii="Times New Roman" w:cs="Times New Roman" w:eastAsia="Times New Roman" w:hAnsi="Times New Roman"/>
                <w:sz w:val="18"/>
                <w:szCs w:val="18"/>
                <w:color w:val="auto"/>
                <w:w w:val="99"/>
              </w:rPr>
              <w:t>The following table summarizes our research and development expenses for the periods indicated, in thousands:</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Tarcocimab program expenses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38,270</w:t>
            </w:r>
          </w:p>
        </w:tc>
        <w:tc>
          <w:tcPr>
            <w:tcW w:w="2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27,700</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10,570</w:t>
            </w: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78,947</w:t>
            </w: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51,186</w:t>
            </w: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KSI-501 program expenses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ABC Platform and other program</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15,821</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Facilities and other research and</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development</w:t>
            </w:r>
          </w:p>
        </w:tc>
        <w:tc>
          <w:tcPr>
            <w:tcW w:w="2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1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180" w:type="dxa"/>
            <w:vAlign w:val="bottom"/>
          </w:tcPr>
          <w:p>
            <w:pPr>
              <w:ind w:left="200"/>
              <w:spacing w:after="0" w:line="164" w:lineRule="exact"/>
              <w:rPr>
                <w:sz w:val="20"/>
                <w:szCs w:val="20"/>
                <w:color w:val="auto"/>
              </w:rPr>
            </w:pPr>
            <w:r>
              <w:rPr>
                <w:rFonts w:ascii="Times New Roman" w:cs="Times New Roman" w:eastAsia="Times New Roman" w:hAnsi="Times New Roman"/>
                <w:sz w:val="18"/>
                <w:szCs w:val="18"/>
                <w:color w:val="auto"/>
              </w:rPr>
              <w:t>Total research and development</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73,744</w:t>
            </w: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45,404</w:t>
            </w: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28,340</w:t>
            </w:r>
          </w:p>
        </w:tc>
        <w:tc>
          <w:tcPr>
            <w:tcW w:w="240" w:type="dxa"/>
            <w:vAlign w:val="bottom"/>
          </w:tcPr>
          <w:p>
            <w:pPr>
              <w:spacing w:after="0"/>
              <w:rPr>
                <w:sz w:val="14"/>
                <w:szCs w:val="14"/>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149,921</w:t>
            </w:r>
          </w:p>
        </w:tc>
        <w:tc>
          <w:tcPr>
            <w:tcW w:w="56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85,741</w:t>
            </w:r>
          </w:p>
        </w:tc>
        <w:tc>
          <w:tcPr>
            <w:tcW w:w="4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64,180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8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expenses</w:t>
            </w:r>
          </w:p>
        </w:tc>
        <w:tc>
          <w:tcPr>
            <w:tcW w:w="2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-264795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-264795</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-264795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-264795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-264795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jc w:val="both"/>
        <w:ind w:right="120" w:firstLine="509"/>
        <w:spacing w:after="0" w:line="250" w:lineRule="auto"/>
        <w:rPr>
          <w:sz w:val="20"/>
          <w:szCs w:val="20"/>
          <w:color w:val="auto"/>
        </w:rPr>
      </w:pPr>
      <w:r>
        <w:rPr>
          <w:rFonts w:ascii="Times New Roman" w:cs="Times New Roman" w:eastAsia="Times New Roman" w:hAnsi="Times New Roman"/>
          <w:sz w:val="18"/>
          <w:szCs w:val="18"/>
          <w:color w:val="auto"/>
        </w:rPr>
        <w:t>Tarcocimab program expenses increased $10.6 million and $27.8 million during the three and six months ended June 30, 2022 as compared to the same periods in 2021. The increase was primarily due to clinical trial costs to support our tarcocimab clinical program, as well as manufacturing progress for tarcocimab. The increase in costs to support our five ongoing Phase 3 pivotal trials, which are now fully enrolled, were partially offset by a decrease in costs stemming from the discontinuation of our Phase 2b/3 study in wet AMD.</w:t>
      </w:r>
    </w:p>
    <w:p>
      <w:pPr>
        <w:spacing w:after="0" w:line="69"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KSI-501 program expenses increased $2.0 million and $1.8 million during three and six months ended June 30, 2022 as compared to the same periods in 2021. The increase was primarily driven by manufacturing batches during 2022.</w:t>
      </w:r>
    </w:p>
    <w:p>
      <w:pPr>
        <w:spacing w:after="0" w:line="68"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ABC Platform and other program expenses increased $6.1 million and $12.4 million during the three and six months ended June 30, 2022, as compared to the same periods in 2021, primarily due to manufacturing runs to support future research and development effort for our pipeline.</w:t>
      </w:r>
    </w:p>
    <w:p>
      <w:pPr>
        <w:spacing w:after="0" w:line="5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Payroll and personnel expenses increased $8.9 million and $20.5 million during the three and six months ended June 30, 2022 as compared to the same periods in 2021, primarily driven by increased stock-based compensation expense. We recorded stock-based compensation expense of $18.9 million in the six months ended June 30, 2022 relating to the Kodiak 2021 Long-Term Performance Incentive Plan (“LTPIP”).</w:t>
      </w:r>
    </w:p>
    <w:p>
      <w:pPr>
        <w:spacing w:after="0" w:line="61" w:lineRule="exact"/>
        <w:rPr>
          <w:sz w:val="20"/>
          <w:szCs w:val="20"/>
          <w:color w:val="auto"/>
        </w:rPr>
      </w:pPr>
    </w:p>
    <w:p>
      <w:pPr>
        <w:jc w:val="both"/>
        <w:ind w:right="400" w:firstLine="509"/>
        <w:spacing w:after="0" w:line="282" w:lineRule="auto"/>
        <w:rPr>
          <w:sz w:val="20"/>
          <w:szCs w:val="20"/>
          <w:color w:val="auto"/>
        </w:rPr>
      </w:pPr>
      <w:r>
        <w:rPr>
          <w:rFonts w:ascii="Times New Roman" w:cs="Times New Roman" w:eastAsia="Times New Roman" w:hAnsi="Times New Roman"/>
          <w:sz w:val="18"/>
          <w:szCs w:val="18"/>
          <w:color w:val="auto"/>
        </w:rPr>
        <w:t>Facilities and other research and development expenses increased $0.8 million and $1.7 million during the three and six months ended June 30, 2022, as compared to the same periods in 2021, primarily due to expansion of our Palo Alto facilities and incremental research efforts on our pipeline.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increased $7.8 million and $17.2 million during the three and six months ended June 30, 2022, as compared to the same periods in 2021, primarily driven by increased stock-based compensation expense. We recorded stock-based compensation expense of $14.3 million in the six months ended June 30, 2022 relating to the LTPIP.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Plan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0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have funded our operations primarily through the sale and issuance of common stock, redeemable convertible preferred stock, convertible notes, warrants and the sale of royalties. As of June 30, 2022, we had cash, cash equivalents and marketable securities of $597.9 million.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08"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We have incurred net losses since our inception. For the three and six months ended June 30, 2022, we had a net loss of $90.6 and $186.3 million, respectively, and we expect to continue to incur additional losses in future periods. As of June 30, 2022, we had an accumulated deficit of $744.6 million. We believe that the cash, cash equivalents and marketable securities will be sufficient to meet our anticipated operating and capital expenditure requirements at least 12 months following the date of this Quarterly Report on Form 10-Q.</w:t>
      </w:r>
    </w:p>
    <w:p>
      <w:pPr>
        <w:spacing w:after="0" w:line="6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have based these estimates on assumptions that may prove to be wrong, and we could deplete our available capital resources sooner than we expect. Because of the risks and uncertainties associated with research, development and commercialization of product</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21" w:name="page22"/>
    <w:bookmarkEnd w:id="21"/>
    <w:p>
      <w:pPr>
        <w:ind w:right="300"/>
        <w:spacing w:after="0" w:line="282" w:lineRule="auto"/>
        <w:rPr>
          <w:sz w:val="20"/>
          <w:szCs w:val="20"/>
          <w:color w:val="auto"/>
        </w:rPr>
      </w:pPr>
      <w:r>
        <w:rPr>
          <w:rFonts w:ascii="Times New Roman" w:cs="Times New Roman" w:eastAsia="Times New Roman" w:hAnsi="Times New Roman"/>
          <w:sz w:val="18"/>
          <w:szCs w:val="18"/>
          <w:color w:val="auto"/>
        </w:rPr>
        <w:t>candidates, we are unable to estimate the exact amount of our working capital requirements. Our future funding requirements will depend on and could increase significantly as a result of many factors.</w:t>
      </w:r>
    </w:p>
    <w:p>
      <w:pPr>
        <w:spacing w:after="0" w:line="40"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timing and amount of our operating expenditures and capital requirements will depend on many factors, including:</w:t>
      </w:r>
    </w:p>
    <w:p>
      <w:pPr>
        <w:spacing w:after="0" w:line="104" w:lineRule="exact"/>
        <w:rPr>
          <w:sz w:val="20"/>
          <w:szCs w:val="20"/>
          <w:color w:val="auto"/>
        </w:rPr>
      </w:pPr>
    </w:p>
    <w:p>
      <w:pPr>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rate of progress and costs of our drug discovery, preclinical development activities, laboratory testing and clinical trials for our product candidates;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clinical programs we decide to pursue;</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manufacturing development and commercial manufacturing activities;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regulatory review of our product candidates;</w:t>
      </w:r>
    </w:p>
    <w:p>
      <w:pPr>
        <w:spacing w:after="0" w:line="103" w:lineRule="exact"/>
        <w:rPr>
          <w:rFonts w:ascii="Times New Roman" w:cs="Times New Roman" w:eastAsia="Times New Roman" w:hAnsi="Times New Roman"/>
          <w:sz w:val="18"/>
          <w:szCs w:val="18"/>
          <w:color w:val="auto"/>
        </w:rPr>
      </w:pPr>
    </w:p>
    <w:p>
      <w:pPr>
        <w:ind w:left="760" w:right="52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103" w:lineRule="exact"/>
        <w:rPr>
          <w:rFonts w:ascii="Times New Roman" w:cs="Times New Roman" w:eastAsia="Times New Roman" w:hAnsi="Times New Roman"/>
          <w:sz w:val="18"/>
          <w:szCs w:val="18"/>
          <w:color w:val="auto"/>
        </w:rPr>
      </w:pPr>
    </w:p>
    <w:p>
      <w:pPr>
        <w:ind w:left="760" w:right="52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our ability to attract, hire and retain qualified personnel, including personnel to support the development of our product candidates;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associated with commercializing our product candidates, if they receive marketing approval.</w:t>
      </w:r>
    </w:p>
    <w:p>
      <w:pPr>
        <w:spacing w:after="0" w:line="104"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rights to our product candidates in certain territories or indications to others that we would prefer to develop and commercialize ourselves.</w:t>
      </w:r>
    </w:p>
    <w:p>
      <w:pPr>
        <w:spacing w:after="0" w:line="77"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The significant uncertainties caused by the evolving effects of the ongoing COVID-19 pandemic, the ongoing conflict in Ukraine, inflation, rising interest rates, lower consumer confidence, ongoing supply chain disruptions, and volatile equity capital markets may also negatively impact our operations and capital resources. We and our key clinical and manufacturing partners have been able to continue to advance our operations, and we continue to monitor the impact of the aforementioned events on our ability to continue the development of, and seek regulatory approvals for, our product candidates, and begin to commercialize any approved products. One or more of these events may ultimately have a material adverse effect on our liquidity and operating plans, although we are unable to make any prediction with certainty given the spread and rapidly changing nature of the pandemic and the evolving global actions taken to contain and treat the novel coronavirus.</w:t>
      </w:r>
    </w:p>
    <w:p>
      <w:pPr>
        <w:spacing w:after="0" w:line="73" w:lineRule="exact"/>
        <w:rPr>
          <w:sz w:val="20"/>
          <w:szCs w:val="20"/>
          <w:color w:val="auto"/>
        </w:rPr>
      </w:pPr>
    </w:p>
    <w:p>
      <w:pPr>
        <w:jc w:val="both"/>
        <w:ind w:right="200" w:firstLine="509"/>
        <w:spacing w:after="0" w:line="258" w:lineRule="auto"/>
        <w:rPr>
          <w:sz w:val="20"/>
          <w:szCs w:val="20"/>
          <w:color w:val="auto"/>
        </w:rPr>
      </w:pPr>
      <w:r>
        <w:rPr>
          <w:rFonts w:ascii="Times New Roman" w:cs="Times New Roman" w:eastAsia="Times New Roman" w:hAnsi="Times New Roman"/>
          <w:sz w:val="18"/>
          <w:szCs w:val="18"/>
          <w:color w:val="auto"/>
        </w:rPr>
        <w:t>Adequate additional funding may not be available to us on acceptable terms or at all. Our failure to raise capital as and when needed could have a negative impact on our financial condition and our ability to pursue our business strategies. See the section of this report titled “Part II, Item 1A — Risk Factors” for additional risks associated with our substantial capital requirements.</w:t>
      </w:r>
    </w:p>
    <w:p>
      <w:pPr>
        <w:spacing w:after="0" w:line="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Statement of Cash Flows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956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of the periods presented below, in thousands:</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7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7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7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(98,297 )</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(71,286 )</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(462,241 )</w:t>
            </w: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(558,818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(63,526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108"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$98.3 million for the six months ended June 30, 2022, primarily attributable to a net loss during this period due to increased payroll and personnel expenses and manufacturing and clinical trial costs to support overall growth. Cash used in operating activities was also driven by changes in operating assets and liabilities.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108"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$462.2 million for the six months ended June 30, 2022, primarily related to purchases of marketable securities and purchases of and deposits related to property and equipment during the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10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$1.7 million for the six months ended June 30, 2022, primarily due to the proceeds from stock option exercises.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08"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is set forth under the heading “Management’s Discussion and Analysis of Financial Condition and Results of Operations — Contractual Obligations and Commitments” in our Annual Report on Form 10-K for the year ended December 31, 2021, which was filed with the SEC on March 1, 2022. There have been no material changes in our contractual obligations and commitments since December 31, 2021, except as otherwise described in Note 6 to our unaudited condensed consolidated financial statements included in this report.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21"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78"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2022, there were no material changes to our critical accounting policies as reported in our Annual Report on Form 10-K for the year ended December 31, 2021, which was filed with the SEC on March 1, 2022, except as otherwise described in Note 2 to our unaudited condensed consolidated financial statements included in this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discussed under Note 2 to our unaudited condensed consolidated financial statements included in this report.</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there were no material changes to our market risk disclosures as reported in our Annual Report on Form 10-K for the year ended December 31, 2021, which was filed with the SEC on March 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Evaluation of our Disclosure Controls and Procedures</w:t>
      </w:r>
    </w:p>
    <w:p>
      <w:pPr>
        <w:spacing w:after="0" w:line="106"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w:t>
      </w:r>
    </w:p>
    <w:p>
      <w:pPr>
        <w:spacing w:after="0" w:line="52" w:lineRule="exact"/>
        <w:rPr>
          <w:sz w:val="20"/>
          <w:szCs w:val="20"/>
          <w:color w:val="auto"/>
        </w:rPr>
      </w:pPr>
    </w:p>
    <w:p>
      <w:pPr>
        <w:ind w:right="320" w:firstLine="509"/>
        <w:spacing w:after="0" w:line="246" w:lineRule="auto"/>
        <w:rPr>
          <w:sz w:val="20"/>
          <w:szCs w:val="20"/>
          <w:color w:val="auto"/>
        </w:rPr>
      </w:pPr>
      <w:r>
        <w:rPr>
          <w:rFonts w:ascii="Times New Roman" w:cs="Times New Roman" w:eastAsia="Times New Roman" w:hAnsi="Times New Roman"/>
          <w:sz w:val="18"/>
          <w:szCs w:val="18"/>
          <w:color w:val="auto"/>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management, with the participation of our principal executive officer and principal financial officer, evaluated the effectiveness of the Company’s disclosure controls and procedures as of June 30, 2022. Based upon such evaluation, our principal executive officer and principal financial officer concluded that the design and operation of our disclosure controls and procedures were effective at a reasonable assurance level as of June 30, 2022.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0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June 30, 2022, that has materially affected, or is reasonably likely to materially affect, our internal control over financial reporting.</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litigation relating to claims arising from the ordinary course of business. As of the date of this report, there are no claims or actions pending against us, the ultimate disposition of which could have a material adverse effect on our results of operations or financial condition.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You should consider carefully the following risk factors, together with all the other information in this report, including the section of this report titled “Part I, Item 2 — Management’s Discussion and Analysis of Financial Condition and Results of Operations” and our unaudited condensed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may make from time to time. You should consider all of the risk factors described when evaluating our business. We have marked with an asterisk (*) those risk factors that were not included as separate risk factors in, or reflect changes to, the similarly titled risk factors included in Part I, Item 1A, Risk Factors, in our Annual Report on Form 10-K, filed with the SEC on March 1, 2022.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prospects are heavily dependent on our tarcocimab product candidate, which is currently in clinical development for multiple indications.*</w:t>
      </w:r>
    </w:p>
    <w:p>
      <w:pPr>
        <w:spacing w:after="0" w:line="10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Tarcocimab is our only product candidate currently in clinical trials. It may be years before a registrational-type trial is completed, if at all. Further, we cannot be certain that either tarcocimab or any of our product candidates will be successful in clinical trials.</w:t>
      </w:r>
    </w:p>
    <w:p>
      <w:pPr>
        <w:spacing w:after="0" w:line="40" w:lineRule="exact"/>
        <w:rPr>
          <w:sz w:val="20"/>
          <w:szCs w:val="20"/>
          <w:color w:val="auto"/>
        </w:rPr>
      </w:pPr>
    </w:p>
    <w:p>
      <w:pPr>
        <w:ind w:right="200" w:firstLine="509"/>
        <w:spacing w:after="0" w:line="245" w:lineRule="auto"/>
        <w:rPr>
          <w:sz w:val="20"/>
          <w:szCs w:val="20"/>
          <w:color w:val="auto"/>
        </w:rPr>
      </w:pPr>
      <w:r>
        <w:rPr>
          <w:rFonts w:ascii="Times New Roman" w:cs="Times New Roman" w:eastAsia="Times New Roman" w:hAnsi="Times New Roman"/>
          <w:sz w:val="18"/>
          <w:szCs w:val="18"/>
          <w:color w:val="auto"/>
        </w:rPr>
        <w:t>Our early preclinical and Phase 1/1b clinical trial results for tarcocimab in the respective indications are not necessarily predictive of the results of our ongoing or future discovery programs or any future preclinical or clinical studies. Our ability to demonstrate efficacy, safety and clinical durability in pivotal studies may be affected by the patient populations sampled and the design of our pivotal studies. Many companies in the pharmaceutical and biotechnology industries have suffered significant setbacks in late-stage clinical studies after achieving positive results in early-stage development, including early-stage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or unobserved adverse events as more patients are treated with tarcocimab and followed for longer periods of time.</w:t>
      </w:r>
    </w:p>
    <w:p>
      <w:pPr>
        <w:spacing w:after="0" w:line="73"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For example, in February 2022, we announced topline results from our randomized, double-masked, active comparator-controlled Phase 2b/3 clinical trial evaluating the efficacy, durability and safety of tarcocimab in treatment-naïve subjects with neovascular wet AMD. The results show that tarcocimab did not meet the primary efficacy endpoint of showing non-inferior visual acuity gains for subjects dosed on extended regimens compared to aflibercept given every eight weeks.</w:t>
      </w:r>
    </w:p>
    <w:p>
      <w:pPr>
        <w:spacing w:after="0" w:line="56"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 If approved, tarcocimab clinical study designs and data are not necessarily predictive of tarcocimab’s final marketed product label. FDA may not approve a label for a particular dosing frequency, even if we believe the data demonstrate support for that dosing.</w:t>
      </w:r>
    </w:p>
    <w:p>
      <w:pPr>
        <w:spacing w:after="0" w:line="66" w:lineRule="exact"/>
        <w:rPr>
          <w:sz w:val="20"/>
          <w:szCs w:val="20"/>
          <w:color w:val="auto"/>
        </w:rPr>
      </w:pPr>
    </w:p>
    <w:p>
      <w:pPr>
        <w:ind w:right="200" w:firstLine="509"/>
        <w:spacing w:after="0" w:line="242" w:lineRule="auto"/>
        <w:rPr>
          <w:sz w:val="20"/>
          <w:szCs w:val="20"/>
          <w:color w:val="auto"/>
        </w:rPr>
      </w:pPr>
      <w:r>
        <w:rPr>
          <w:rFonts w:ascii="Times New Roman" w:cs="Times New Roman" w:eastAsia="Times New Roman" w:hAnsi="Times New Roman"/>
          <w:sz w:val="18"/>
          <w:szCs w:val="18"/>
          <w:color w:val="auto"/>
        </w:rPr>
        <w:t>We may in the future advance product candidates into clinical trials and terminate such trials prior to their completion. While we have certain preclinical programs such as KSI-501 and KSI-601 in development and intend to develop other product candidates, it will take additional investment and time for such programs to reach the same stage of development as tarcocimab.</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of tarcocimab in clinical development may require us to discontinue development of other product candidates based on our ABC Platform.*</w:t>
      </w:r>
    </w:p>
    <w:p>
      <w:pPr>
        <w:spacing w:after="0" w:line="108" w:lineRule="exact"/>
        <w:rPr>
          <w:sz w:val="20"/>
          <w:szCs w:val="20"/>
          <w:color w:val="auto"/>
        </w:rPr>
      </w:pPr>
    </w:p>
    <w:p>
      <w:pPr>
        <w:ind w:right="100" w:firstLine="509"/>
        <w:spacing w:after="0" w:line="236" w:lineRule="auto"/>
        <w:rPr>
          <w:sz w:val="20"/>
          <w:szCs w:val="20"/>
          <w:color w:val="auto"/>
        </w:rPr>
      </w:pPr>
      <w:r>
        <w:rPr>
          <w:rFonts w:ascii="Times New Roman" w:cs="Times New Roman" w:eastAsia="Times New Roman" w:hAnsi="Times New Roman"/>
          <w:sz w:val="18"/>
          <w:szCs w:val="18"/>
          <w:color w:val="auto"/>
        </w:rPr>
        <w:t>If tarcocimab fails in development as a result of any underlying problem with our platform, then we may discontinue development of some or all of our product candidates that are based on our ABC Platform. If we discontinue development of tarcocimab, or if tarcocimab were to fail to receive regulatory approval or were to fail to receive regulatory approval in one or more of our four planned key clinical indications or were to fail to achieve sufficient market acceptance, we could be prevented from or significantly delayed in achieving profitability.</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5" w:name="page26"/>
    <w:bookmarkEnd w:id="25"/>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36" w:lineRule="exact"/>
        <w:rPr>
          <w:sz w:val="20"/>
          <w:szCs w:val="20"/>
          <w:color w:val="auto"/>
        </w:rPr>
      </w:pPr>
    </w:p>
    <w:p>
      <w:pPr>
        <w:ind w:right="160" w:firstLine="509"/>
        <w:spacing w:after="0" w:line="296" w:lineRule="auto"/>
        <w:rPr>
          <w:sz w:val="20"/>
          <w:szCs w:val="20"/>
          <w:color w:val="auto"/>
        </w:rPr>
      </w:pPr>
      <w:r>
        <w:rPr>
          <w:rFonts w:ascii="Times New Roman" w:cs="Times New Roman" w:eastAsia="Times New Roman" w:hAnsi="Times New Roman"/>
          <w:sz w:val="17"/>
          <w:szCs w:val="17"/>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17"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successfully complete preclinical studies or clinical trials;</w:t>
      </w:r>
    </w:p>
    <w:p>
      <w:pPr>
        <w:spacing w:after="0" w:line="90"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product candidate obtains regulatory approval, approval may be for indications, dosage and administration or patient populations that are not as broad as intended or desired;</w:t>
      </w:r>
    </w:p>
    <w:p>
      <w:pPr>
        <w:spacing w:after="0" w:line="40" w:lineRule="exact"/>
        <w:rPr>
          <w:rFonts w:ascii="Times New Roman" w:cs="Times New Roman" w:eastAsia="Times New Roman" w:hAnsi="Times New Roman"/>
          <w:sz w:val="18"/>
          <w:szCs w:val="18"/>
          <w:color w:val="auto"/>
        </w:rPr>
      </w:pPr>
    </w:p>
    <w:p>
      <w:pPr>
        <w:ind w:left="760" w:right="4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 for example a positive benefit-risk profile;</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develop therapeutics that render our product candidates obsolete or less attractive;</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develop platform technologies that render our ABC Platform obsolete or less attractive;</w:t>
      </w:r>
    </w:p>
    <w:p>
      <w:pPr>
        <w:spacing w:after="0" w:line="90" w:lineRule="exact"/>
        <w:rPr>
          <w:rFonts w:ascii="Times New Roman" w:cs="Times New Roman" w:eastAsia="Times New Roman" w:hAnsi="Times New Roman"/>
          <w:sz w:val="18"/>
          <w:szCs w:val="18"/>
          <w:color w:val="auto"/>
        </w:rPr>
      </w:pPr>
    </w:p>
    <w:p>
      <w:pPr>
        <w:ind w:left="760" w:right="140" w:hanging="378"/>
        <w:spacing w:after="0" w:line="250"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candidates and ABC Platform that we develop may not be sufficiently covered by intellectual property for which we hold exclusive rights or may be covered by third party patents or other intellectual property or exclusive rights;</w:t>
      </w:r>
    </w:p>
    <w:p>
      <w:pPr>
        <w:spacing w:after="0" w:line="68" w:lineRule="exact"/>
        <w:rPr>
          <w:rFonts w:ascii="Times New Roman" w:cs="Times New Roman" w:eastAsia="Times New Roman" w:hAnsi="Times New Roman"/>
          <w:sz w:val="18"/>
          <w:szCs w:val="18"/>
          <w:color w:val="auto"/>
        </w:rPr>
      </w:pPr>
    </w:p>
    <w:p>
      <w:pPr>
        <w:ind w:left="760" w:right="820" w:hanging="378"/>
        <w:spacing w:after="0" w:line="250"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product candidate may change so that the continued development of that product candidate is no longer reasonable or commercially attractive;</w:t>
      </w:r>
    </w:p>
    <w:p>
      <w:pPr>
        <w:spacing w:after="0" w:line="6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w:t>
      </w:r>
    </w:p>
    <w:p>
      <w:pPr>
        <w:spacing w:after="0" w:line="90" w:lineRule="exact"/>
        <w:rPr>
          <w:rFonts w:ascii="Times New Roman" w:cs="Times New Roman" w:eastAsia="Times New Roman" w:hAnsi="Times New Roman"/>
          <w:sz w:val="18"/>
          <w:szCs w:val="18"/>
          <w:color w:val="auto"/>
        </w:rPr>
      </w:pPr>
    </w:p>
    <w:p>
      <w:pPr>
        <w:ind w:left="760" w:right="200" w:hanging="378"/>
        <w:spacing w:after="0" w:line="250"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product candidate obtains regulatory approval, we may be unable to establish sales and marketing capabilities, or successfully market such approved product candidate, to gain market acceptance; and</w:t>
      </w:r>
    </w:p>
    <w:p>
      <w:pPr>
        <w:spacing w:after="0" w:line="6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 if applicable.</w:t>
      </w:r>
    </w:p>
    <w:p>
      <w:pPr>
        <w:spacing w:after="0" w:line="90" w:lineRule="exact"/>
        <w:rPr>
          <w:sz w:val="20"/>
          <w:szCs w:val="20"/>
          <w:color w:val="auto"/>
        </w:rPr>
      </w:pPr>
    </w:p>
    <w:p>
      <w:pPr>
        <w:ind w:right="420" w:firstLine="509"/>
        <w:spacing w:after="0"/>
        <w:rPr>
          <w:sz w:val="20"/>
          <w:szCs w:val="20"/>
          <w:color w:val="auto"/>
        </w:rPr>
      </w:pPr>
      <w:r>
        <w:rPr>
          <w:rFonts w:ascii="Times New Roman" w:cs="Times New Roman" w:eastAsia="Times New Roman" w:hAnsi="Times New Roman"/>
          <w:sz w:val="18"/>
          <w:szCs w:val="18"/>
          <w:color w:val="auto"/>
        </w:rPr>
        <w:t>If any of these events occurs,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development, there is a relatively higher risk of failure and we may never succeed in developing marketable products or generating product revenue.</w:t>
      </w:r>
    </w:p>
    <w:p>
      <w:pPr>
        <w:spacing w:after="0" w:line="63" w:lineRule="exact"/>
        <w:rPr>
          <w:sz w:val="20"/>
          <w:szCs w:val="20"/>
          <w:color w:val="auto"/>
        </w:rPr>
      </w:pPr>
    </w:p>
    <w:p>
      <w:pPr>
        <w:ind w:firstLine="509"/>
        <w:spacing w:after="0" w:line="230" w:lineRule="auto"/>
        <w:rPr>
          <w:sz w:val="20"/>
          <w:szCs w:val="20"/>
          <w:color w:val="auto"/>
        </w:rPr>
      </w:pPr>
      <w:r>
        <w:rPr>
          <w:rFonts w:ascii="Times New Roman" w:cs="Times New Roman" w:eastAsia="Times New Roman" w:hAnsi="Times New Roman"/>
          <w:sz w:val="18"/>
          <w:szCs w:val="18"/>
          <w:color w:val="auto"/>
        </w:rPr>
        <w:t>We may not be successful in our efforts to further develop our ABC Platform and current product candidates in time to meet the current and identified market opportunity.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various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9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26" w:name="page27"/>
    <w:bookmarkEnd w:id="26"/>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dosage and administration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w:t>
      </w:r>
    </w:p>
    <w:p>
      <w:pPr>
        <w:spacing w:after="0" w:line="71"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173"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50" w:lineRule="exact"/>
        <w:rPr>
          <w:sz w:val="20"/>
          <w:szCs w:val="20"/>
          <w:color w:val="auto"/>
        </w:rPr>
      </w:pPr>
    </w:p>
    <w:p>
      <w:pPr>
        <w:ind w:firstLine="509"/>
        <w:spacing w:after="0" w:line="233" w:lineRule="auto"/>
        <w:rPr>
          <w:sz w:val="20"/>
          <w:szCs w:val="20"/>
          <w:color w:val="auto"/>
        </w:rPr>
      </w:pPr>
      <w:r>
        <w:rPr>
          <w:rFonts w:ascii="Times New Roman" w:cs="Times New Roman" w:eastAsia="Times New Roman" w:hAnsi="Times New Roman"/>
          <w:sz w:val="18"/>
          <w:szCs w:val="18"/>
          <w:color w:val="auto"/>
        </w:rPr>
        <w:t>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China National Medical Products Administration, or NMPA,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75"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105" w:lineRule="exact"/>
        <w:rPr>
          <w:rFonts w:ascii="Times New Roman" w:cs="Times New Roman" w:eastAsia="Times New Roman" w:hAnsi="Times New Roman"/>
          <w:sz w:val="18"/>
          <w:szCs w:val="18"/>
          <w:color w:val="auto"/>
        </w:rPr>
      </w:pPr>
    </w:p>
    <w:p>
      <w:pPr>
        <w:ind w:left="760" w:right="120" w:hanging="378"/>
        <w:spacing w:after="0" w:line="250"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 or, in the case of China, the registration category for the drug candidate to be studied in the clinical trial;</w:t>
      </w:r>
    </w:p>
    <w:p>
      <w:pPr>
        <w:spacing w:after="0" w:line="6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by the reviewing regulatory authority to require more costly or lengthy clinical trials than we currently anticipate;</w:t>
      </w:r>
    </w:p>
    <w:p>
      <w:pPr>
        <w:spacing w:after="0" w:line="90" w:lineRule="exact"/>
        <w:rPr>
          <w:rFonts w:ascii="Times New Roman" w:cs="Times New Roman" w:eastAsia="Times New Roman" w:hAnsi="Times New Roman"/>
          <w:sz w:val="18"/>
          <w:szCs w:val="18"/>
          <w:color w:val="auto"/>
        </w:rPr>
      </w:pPr>
    </w:p>
    <w:p>
      <w:pPr>
        <w:ind w:left="760" w:right="16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Institutional Review Board, or IRB, approval at each clinical trial site;</w:t>
      </w:r>
    </w:p>
    <w:p>
      <w:pPr>
        <w:spacing w:after="0" w:line="90" w:lineRule="exact"/>
        <w:rPr>
          <w:rFonts w:ascii="Times New Roman" w:cs="Times New Roman" w:eastAsia="Times New Roman" w:hAnsi="Times New Roman"/>
          <w:sz w:val="18"/>
          <w:szCs w:val="18"/>
          <w:color w:val="auto"/>
        </w:rPr>
      </w:pPr>
    </w:p>
    <w:p>
      <w:pPr>
        <w:ind w:left="760" w:right="40" w:hanging="378"/>
        <w:spacing w:after="0" w:line="235"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NMPA or any other regulatory authority concerns about risk to patients of the technology broadly; or if the FDA, EMA, NMPA or any other regulatory authority finds that the investigational protocol or plan is clearly deficient to meet its stated objectives;</w:t>
      </w:r>
    </w:p>
    <w:p>
      <w:pPr>
        <w:spacing w:after="0" w:line="79"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enrolling suitable patients to participate in our clinical trials, and delays caused by patients withdrawing from clinical trials or failing to return for post-treatment follow-up;</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collaborating with patient groups and investigators;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other third parties, or us to adhere to clinical trial requirements;</w:t>
      </w:r>
    </w:p>
    <w:p>
      <w:pPr>
        <w:spacing w:after="0" w:line="103" w:lineRule="exact"/>
        <w:rPr>
          <w:rFonts w:ascii="Times New Roman" w:cs="Times New Roman" w:eastAsia="Times New Roman" w:hAnsi="Times New Roman"/>
          <w:sz w:val="18"/>
          <w:szCs w:val="18"/>
          <w:color w:val="auto"/>
        </w:rPr>
      </w:pPr>
    </w:p>
    <w:p>
      <w:pPr>
        <w:ind w:left="760" w:right="100" w:hanging="378"/>
        <w:spacing w:after="0" w:line="250"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or any other regulatory authority’s good clinical practices, or GCPs, requirements, or applicable EMA, NMPA or other regulatory guidelines in other countries;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on which a clinical development plan was based, which may require new or additional trials;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7" w:name="page28"/>
    <w:bookmarkEnd w:id="27"/>
    <w:p>
      <w:pPr>
        <w:ind w:left="760" w:right="140" w:hanging="378"/>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40" w:lineRule="exact"/>
        <w:rPr>
          <w:rFonts w:ascii="Times New Roman" w:cs="Times New Roman" w:eastAsia="Times New Roman" w:hAnsi="Times New Roman"/>
          <w:sz w:val="18"/>
          <w:szCs w:val="18"/>
          <w:color w:val="auto"/>
        </w:rPr>
      </w:pPr>
    </w:p>
    <w:p>
      <w:pPr>
        <w:ind w:left="760" w:right="200" w:hanging="378"/>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CMOs or by us, and delays or failure by our CMOs or us to make any necessary changes to such manufacturing process; and</w:t>
      </w:r>
    </w:p>
    <w:p>
      <w:pPr>
        <w:spacing w:after="0" w:line="54" w:lineRule="exact"/>
        <w:rPr>
          <w:rFonts w:ascii="Times New Roman" w:cs="Times New Roman" w:eastAsia="Times New Roman" w:hAnsi="Times New Roman"/>
          <w:sz w:val="18"/>
          <w:szCs w:val="18"/>
          <w:color w:val="auto"/>
        </w:rPr>
      </w:pPr>
    </w:p>
    <w:p>
      <w:pPr>
        <w:ind w:left="760" w:right="340" w:hanging="378"/>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testing, releasing, validating, or importing/exporting sufficient stable quantities of our product candidates for use in clinical trials and for use in regulatory filings or the inability to do any of the foregoing.</w:t>
      </w:r>
    </w:p>
    <w:p>
      <w:pPr>
        <w:spacing w:after="0" w:line="68" w:lineRule="exact"/>
        <w:rPr>
          <w:sz w:val="20"/>
          <w:szCs w:val="20"/>
          <w:color w:val="auto"/>
        </w:rPr>
      </w:pPr>
    </w:p>
    <w:p>
      <w:pPr>
        <w:ind w:right="60" w:firstLine="509"/>
        <w:spacing w:after="0" w:line="235" w:lineRule="auto"/>
        <w:rPr>
          <w:sz w:val="20"/>
          <w:szCs w:val="20"/>
          <w:color w:val="auto"/>
        </w:rPr>
      </w:pPr>
      <w:r>
        <w:rPr>
          <w:rFonts w:ascii="Times New Roman" w:cs="Times New Roman" w:eastAsia="Times New Roman" w:hAnsi="Times New Roman"/>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80" w:lineRule="exact"/>
        <w:rPr>
          <w:sz w:val="20"/>
          <w:szCs w:val="20"/>
          <w:color w:val="auto"/>
        </w:rPr>
      </w:pPr>
    </w:p>
    <w:p>
      <w:pPr>
        <w:ind w:right="80" w:firstLine="509"/>
        <w:spacing w:after="0" w:line="235"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data safety monitoring board for such trial or by the FDA, EMA, NMPA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NMPA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We may also face delays if we are unable to reach agreement with the FDA, EMA, NMPA or other regulatory authorities regarding CMC matters, including methodologies for, and assessment of, comparability of manufacturing procedures and lots.</w:t>
      </w:r>
    </w:p>
    <w:p>
      <w:pPr>
        <w:spacing w:after="0" w:line="80"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167"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50" w:lineRule="exact"/>
        <w:rPr>
          <w:sz w:val="20"/>
          <w:szCs w:val="20"/>
          <w:color w:val="auto"/>
        </w:rPr>
      </w:pPr>
    </w:p>
    <w:p>
      <w:pPr>
        <w:ind w:right="100" w:firstLine="509"/>
        <w:spacing w:after="0" w:line="242" w:lineRule="auto"/>
        <w:rPr>
          <w:sz w:val="20"/>
          <w:szCs w:val="20"/>
          <w:color w:val="auto"/>
        </w:rPr>
      </w:pPr>
      <w:r>
        <w:rPr>
          <w:rFonts w:ascii="Times New Roman" w:cs="Times New Roman" w:eastAsia="Times New Roman" w:hAnsi="Times New Roman"/>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NMPA or other comparable foreign regulatory authorities.</w:t>
      </w:r>
    </w:p>
    <w:p>
      <w:pPr>
        <w:spacing w:after="0" w:line="76"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 For example, the safety profile we have observed in the Phase 1a/1b study of tarcocimab, the Phase 2b/3 clinical trial evaluating tarcocimab in treatment-naïve subjects with neovascular wet AMD, and the Phase 3 clinical trial evaluating tarcocimab in treatment-naïve subjects with retinal vein occlusion may not be representative of the safety profile in additional studies. We may still observe significant safety events that may negatively impact the tarcocimab program and the ABC platform. A safety database through pivotal studies of approximately 1,500 patients, a safety profile for tarcocimab in line with today’s standard of care agents may not be sustained when administered to 100,000s of patients at varying dose intervals if approved.</w:t>
      </w:r>
    </w:p>
    <w:p>
      <w:pPr>
        <w:spacing w:after="0" w:line="74"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Our most advanced product candidate, tarcocimab, is an anti-VEGF biologic that we are studying in wet AMD, DME/DR and RVO. There are some potential side effects associated with intravitreal anti-VEGF therapies such as intraocular hemorrhage, intraocular pressure elevation, retinal detachment, inflammation, vasculitis, artery occlusion or infection inside the eye and over-inhibition of VEGF, as well as the potential for potential systemic side effects such as heart attack, stroke, wound healing problems, and high blood pressure.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28" w:name="page29"/>
    <w:bookmarkEnd w:id="28"/>
    <w:p>
      <w:pPr>
        <w:ind w:right="20" w:firstLine="509"/>
        <w:spacing w:after="0" w:line="235" w:lineRule="auto"/>
        <w:rPr>
          <w:sz w:val="20"/>
          <w:szCs w:val="20"/>
          <w:color w:val="auto"/>
        </w:rPr>
      </w:pPr>
      <w:r>
        <w:rPr>
          <w:rFonts w:ascii="Times New Roman" w:cs="Times New Roman" w:eastAsia="Times New Roman" w:hAnsi="Times New Roman"/>
          <w:sz w:val="18"/>
          <w:szCs w:val="18"/>
          <w:color w:val="auto"/>
        </w:rPr>
        <w:t>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tarcocimab, may heighten the risk of adverse effects associated with anti-VEGF treatments generally, both in the eye and in the rest of the body. There are risks inherent in the intravitreal injection procedure of drugs like tarcocimab which can cause injury to the eye and other complications including conjunctival hemorrhage, punctate keratitis, eye pain, conjunctival hyperemia, intra-ocular inflammation, and endophthalmitis. Tarcocimab is also being explored clinically with higher frequency dosing, which may increase the risk of potential adverse events. Any additional toxicology signal observed, be it real or perceived, may negatively impact perceptions of utilization of tarcocimab in broader populations and impact clinical trial enrollment, regulatory approval and commercial success.</w:t>
      </w:r>
    </w:p>
    <w:p>
      <w:pPr>
        <w:spacing w:after="0" w:line="80"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93"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54"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 or post-approval studies;</w:t>
      </w:r>
    </w:p>
    <w:p>
      <w:pPr>
        <w:spacing w:after="0" w:line="103"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0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44"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encounter difficulties enrolling patients in our clinical trials, and our clinical development activities could thereby be delayed or otherwise adversely affected.</w:t>
      </w:r>
    </w:p>
    <w:p>
      <w:pPr>
        <w:spacing w:after="0" w:line="63"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82"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03" w:lineRule="exact"/>
        <w:rPr>
          <w:rFonts w:ascii="Times New Roman" w:cs="Times New Roman" w:eastAsia="Times New Roman" w:hAnsi="Times New Roman"/>
          <w:sz w:val="18"/>
          <w:szCs w:val="18"/>
          <w:color w:val="auto"/>
        </w:rPr>
      </w:pPr>
    </w:p>
    <w:p>
      <w:pPr>
        <w:ind w:left="760" w:right="100" w:hanging="378"/>
        <w:spacing w:after="0" w:line="25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w:t>
      </w:r>
    </w:p>
    <w:p>
      <w:pPr>
        <w:spacing w:after="0" w:line="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study population required for analysis of the trial’s primary endpoints;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a trial site;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health epidemics, including the ongoing COVID-19 pandemic and the resulting shelter-in-place, travel or similar restrictions;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safety events may cause physicians to decrease patient enrollment in our current or planned studies;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for similar therapies or targeting patient populations meeting our patient eligibility criteria;</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9" w:name="page30"/>
    <w:bookmarkEnd w:id="29"/>
    <w:p>
      <w:pPr>
        <w:ind w:left="760" w:right="38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side effects of the product candidate being studied in relation to other available therapies and product candidates;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not complete such trials, for any reason.</w:t>
      </w:r>
    </w:p>
    <w:p>
      <w:pPr>
        <w:spacing w:after="0" w:line="117"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For example, because patients with early stages of DR often lack symptoms, it may be challenging to identify and enroll patients at early stages of disease that may be required for a clinical trial. 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p>
    <w:p>
      <w:pPr>
        <w:spacing w:after="0" w:line="16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substantial evidence of the safety and efficacy or durability of our product candidates, which would prevent, delay or limit the scope of regulatory approval and commercialization.*</w:t>
      </w:r>
    </w:p>
    <w:p>
      <w:pPr>
        <w:spacing w:after="0" w:line="50"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This is especially true for anti-VEGF biologic agents, where Lucentis, Eylea and Avastin are established products with accepted safety profiles.</w:t>
      </w:r>
    </w:p>
    <w:p>
      <w:pPr>
        <w:spacing w:after="0" w:line="80" w:lineRule="exact"/>
        <w:rPr>
          <w:sz w:val="20"/>
          <w:szCs w:val="20"/>
          <w:color w:val="auto"/>
        </w:rPr>
      </w:pPr>
    </w:p>
    <w:p>
      <w:pPr>
        <w:ind w:right="60" w:firstLine="509"/>
        <w:spacing w:after="0" w:line="232"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For example, in our Phase 2b/3 clinical trial evaluating the efficacy, durability and safety of tarcocimab in treatment-naïve subjects with neovascular wet AMD, tarcocimab did not meet the primary efficacy endpoint of showing non-inferior visual acuity gains for subjects dosed on extended regimens compared to aflibercept given every eight weeks.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85" w:lineRule="exact"/>
        <w:rPr>
          <w:sz w:val="20"/>
          <w:szCs w:val="20"/>
          <w:color w:val="auto"/>
        </w:rPr>
      </w:pPr>
    </w:p>
    <w:p>
      <w:pPr>
        <w:ind w:right="180" w:firstLine="509"/>
        <w:spacing w:after="0"/>
        <w:rPr>
          <w:sz w:val="20"/>
          <w:szCs w:val="20"/>
          <w:color w:val="auto"/>
        </w:rPr>
      </w:pPr>
      <w:r>
        <w:rPr>
          <w:rFonts w:ascii="Times New Roman" w:cs="Times New Roman" w:eastAsia="Times New Roman" w:hAnsi="Times New Roman"/>
          <w:sz w:val="18"/>
          <w:szCs w:val="18"/>
          <w:color w:val="auto"/>
        </w:rPr>
        <w:t>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77" w:lineRule="exact"/>
        <w:rPr>
          <w:sz w:val="20"/>
          <w:szCs w:val="20"/>
          <w:color w:val="auto"/>
        </w:rPr>
      </w:pPr>
    </w:p>
    <w:p>
      <w:pPr>
        <w:ind w:right="20" w:firstLine="509"/>
        <w:spacing w:after="0" w:line="233" w:lineRule="auto"/>
        <w:rPr>
          <w:sz w:val="20"/>
          <w:szCs w:val="20"/>
          <w:color w:val="auto"/>
        </w:rPr>
      </w:pPr>
      <w:r>
        <w:rPr>
          <w:rFonts w:ascii="Times New Roman" w:cs="Times New Roman" w:eastAsia="Times New Roman" w:hAnsi="Times New Roman"/>
          <w:sz w:val="18"/>
          <w:szCs w:val="18"/>
          <w:color w:val="auto"/>
        </w:rPr>
        <w:t>In addition, even if such clinical trials are successfully completed, we cannot guarantee that the FDA or foreign regulatory authorities will interpret the results as we do, and more trials or trials of a different design could be required before we submit our product candidates for approval. Our tarcocimab pivotal study program relies on a single active arm in each study at a single dose (5mg), such that if a safety observation is observed there is no fallback position at a lower dose to rely on.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Even if trial results are successful at the primary endpoint, clinical trial results may be different or worse in the extended treatment periods following the primary endpoint, and such data may negatively impact perceptions by regulatory authorities, the clinical community or commercial payors of the benefits of our product candidates.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0" w:name="page31"/>
    <w:bookmarkEnd w:id="30"/>
    <w:p>
      <w:pPr>
        <w:jc w:val="both"/>
        <w:ind w:right="2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topline results from our Phase 2b/3 pivotal study of tarcocimab in wet AMD and from our Phase 3 pivotal study BEACON in RVO may lead to further study design modifications in our other ongoing pivotal studies and may impact the timeline of completion and likelihood of success of these pivotal studies.*</w:t>
      </w:r>
    </w:p>
    <w:p>
      <w:pPr>
        <w:spacing w:after="0" w:line="54"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We announced in February 2022 that our Phase 2b/3 pivotal study of tarcocimab in wet AMD did not meet the primary efficacy endpoint of non-inferiority in visual acuity gains for tarcocimab treated patients on extended regimens of every 12-, 16-, or 20- weeks compared to patients treated with aflibercept every eight weeks. In light of these results, we have implemented changes to our ongoing Phase 3 studies GLEAM and GLIMMER in DME and Phase 3 study DAYLIGHT in wet AMD. In August 2022, we announced that our BEACON Phase 3 pivotal study of tarcocimab in RVO met the primary efficacy endpoint of non-inferior visual acuity gains for patients treated with tarcocimab every eight weeks following two monthly loading doses compared to patients given aflibercept every four weeks per its label. Considering the totality of clinical study results of tarcocimab reported to date, we may decide to further modify the design of our other ongoing pivotal studies in order to reduce risks and increase probability of success, which may lead to potential delays in trial readouts and may impact the likelihood of trial success, which may in turn harm our business and operations and adversely affect our stock price.</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64" w:lineRule="exact"/>
        <w:rPr>
          <w:sz w:val="20"/>
          <w:szCs w:val="20"/>
          <w:color w:val="auto"/>
        </w:rPr>
      </w:pPr>
    </w:p>
    <w:p>
      <w:pPr>
        <w:ind w:right="60" w:firstLine="509"/>
        <w:spacing w:after="0" w:line="235" w:lineRule="auto"/>
        <w:rPr>
          <w:sz w:val="20"/>
          <w:szCs w:val="20"/>
          <w:color w:val="auto"/>
        </w:rPr>
      </w:pPr>
      <w:r>
        <w:rPr>
          <w:rFonts w:ascii="Times New Roman" w:cs="Times New Roman" w:eastAsia="Times New Roman" w:hAnsi="Times New Roman"/>
          <w:sz w:val="18"/>
          <w:szCs w:val="18"/>
          <w:color w:val="auto"/>
        </w:rPr>
        <w:t>One of our strategies is to identify and pursue clinical development of additional product candidates through our ABC Platform. Our ABC Platform may not produce a pipeline of viable product candidates, or our competitors may develop platform technologies that render our ABC Platform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p>
    <w:p>
      <w:pPr>
        <w:spacing w:after="0" w:line="184" w:lineRule="exact"/>
        <w:rPr>
          <w:sz w:val="20"/>
          <w:szCs w:val="20"/>
          <w:color w:val="auto"/>
        </w:rPr>
      </w:pPr>
    </w:p>
    <w:p>
      <w:pPr>
        <w:ind w:right="38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7" w:lineRule="exact"/>
        <w:rPr>
          <w:sz w:val="20"/>
          <w:szCs w:val="20"/>
          <w:color w:val="auto"/>
        </w:rPr>
      </w:pPr>
    </w:p>
    <w:p>
      <w:pPr>
        <w:ind w:right="80" w:firstLine="509"/>
        <w:spacing w:after="0" w:line="235"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94"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There are a number of large pharmaceutical and biotechnology companies that are currently pursuing the development of products for the treatment of the retinal disease indications for which we have product candidates, including wet AMD, DME/DR, and RVO. Certain of our competitors have commercially approved products for the treatment of retinal diseases that we are pursuing or may pursue in the future, including Roche, Regeneron and Novartis for the treatment of wet AMD, DME/DR, and RVO. These drugs are well established therapies and are widely accepted by physicians, patients and third-party payors, which may make it difficult to educate these parties on the benefits of switching to tarcocimab. Companies that we are aware are developing therapeutics in the retinal disease area include large companies with significant financial resources, such as Roche, Novartis, Bayer and Regeneron, AbbVie/Allergan, Mylan, Momenta, and Samsung Bioepis. In addition to competition from other companies targeting retinal indications, any products we may develop may also face competition from other types of therapies, such as gene-editing therapies and drug delivery devices.</w:t>
      </w:r>
    </w:p>
    <w:p>
      <w:pPr>
        <w:spacing w:after="0" w:line="78"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The first Lucentis biosimilar was approved this year in the United States, and its approval may impact market dynamics and payor policies negatively for tarcocimab. Roche’s product candidate, Vabysmo (faricimab) received FDA approval for the treatment of wet AMD and DME in January 2022 and has enrolled pivotal studies in RVO. We believe faricimab’s clinical profile together with physician enthusiasm for a new branded anti-VEGF will make it an important product in the marketplace. Even if tarcocimab presents a compelling clinical profile, we may not be able to market our product candidates as effectively as our competitors. For example, entrenched franchises may seek to impede adoption of tarcocimab through significant discounts or rebates.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31" w:name="page32"/>
    <w:bookmarkEnd w:id="31"/>
    <w:p>
      <w:pPr>
        <w:ind w:firstLine="509"/>
        <w:spacing w:after="0" w:line="242"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NMPA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w:t>
      </w:r>
    </w:p>
    <w:p>
      <w:pPr>
        <w:spacing w:after="0" w:line="81"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report titled “Risks Related to Our Intellectual Property.”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of our product candidates is highly complex and requires substantial lead time to produce.*</w:t>
      </w:r>
    </w:p>
    <w:p>
      <w:pPr>
        <w:spacing w:after="0" w:line="10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 Commercial manufacturing scale-up timelines may be negatively affected by material shortages, construction delays and supply chain challenges due to, among other factors, global supply chain shortages due to COVID-19, the ongoing military conflict between Russia and Ukraine and the related sanctions imposed against Russia, or other reasons.</w:t>
      </w:r>
    </w:p>
    <w:p>
      <w:pPr>
        <w:spacing w:after="0" w:line="78"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spacing w:after="0" w:line="83"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For example, currently any new large-scale batches of tarcocimab would require at least 12 months to manufacture. In the event of significant product loss and materials shortages, we may be unable to produce adequate amounts of our product candidates or products for our operational needs.</w:t>
      </w:r>
    </w:p>
    <w:p>
      <w:pPr>
        <w:spacing w:after="0" w:line="93"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86"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We rely on third parties for raw materials needed for manufacturing tarcocimab. We may not be able to obtain adequate amounts in the future. These challenges are magnified by the international nature of our supply chain, which, for tarcocimab, requires drug substance and drug product sourced from single source suppliers from China, Japan, the United Kingdom, the United States and Switzerland. For example, the effects of health epidemics, including the ongoing COVID-19 pandemic and the resulting shelter-in-place, travel or similar restrictions may impact the timing of clinical resupply facing and BLA facing manufacturing activities.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2" w:name="page33"/>
    <w:bookmarkEnd w:id="32"/>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and regulatory applications or our products for patients, if approved, could be delayed or stopped, or we may be unable to establish a commercially viable cost structure.</w:t>
      </w:r>
    </w:p>
    <w:p>
      <w:pPr>
        <w:spacing w:after="0" w:line="80"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or supply commercial products, if approved, we will need to manufacture them in small and large quantities. Our third-party manufacturer has made only a limited number of lots of tarcocimab to date and has not made any commercial lots. The manufacturing processes for tarcocimab have never been tested at commercial scale and the process validation requirement (the requirement to consistently produce the active pharmaceutical ingredient used in tarcocimab in commercial quantities and of specified quality on a repeated basis and document its ability to do so)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95"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addition, the manufacturing process for any products that we may develop is subject to FDA, EMA, NMPA and foreign regulatory authority approval processes and continuous oversight. We will need to contract with manufacturers who can meet all applicable FDA, EMA, NMPA and foreign regulatory authority requirements, including complying with current good manufacturing practices, or cGMPs, on an ongoing basis. If we or our third-party manufacturers are unable to reliably produce products to specifications acceptable to the FDA, EMA, NMPA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NMPA or other regulatory authorities, to produce it in sufficient quantities to meet the requirements for the potential launch of the product, or to meet potential future demand. Our manufacturers are also engaged in the manufacturing of COVID-19 vaccines and therapeutic treatments, and the success of and demand for these vaccines and therapeutic treatments means we and our programs are competing for scarce manufacturing resources. We aim to distribute tarcocimab in a prefilled syringe early in our commercial rollout. We may not be able to complete our prefilled syringe activities in a timely manner, or we may fail technically to design and develop a prefilled syringe for tarcocimab. If we require large volumes of glass vials, we may not be able to secure a sufficient supply due to COVID-19 related shortages of glass and vials.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7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63" w:lineRule="exact"/>
        <w:rPr>
          <w:sz w:val="20"/>
          <w:szCs w:val="20"/>
          <w:color w:val="auto"/>
        </w:rPr>
      </w:pPr>
    </w:p>
    <w:p>
      <w:pPr>
        <w:ind w:right="360" w:firstLine="509"/>
        <w:spacing w:after="0" w:line="270" w:lineRule="auto"/>
        <w:rPr>
          <w:sz w:val="20"/>
          <w:szCs w:val="20"/>
          <w:color w:val="auto"/>
        </w:rPr>
      </w:pPr>
      <w:r>
        <w:rPr>
          <w:rFonts w:ascii="Times New Roman" w:cs="Times New Roman" w:eastAsia="Times New Roman" w:hAnsi="Times New Roman"/>
          <w:sz w:val="17"/>
          <w:szCs w:val="17"/>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52"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any approved product on our own include:</w:t>
      </w:r>
    </w:p>
    <w:p>
      <w:pPr>
        <w:spacing w:after="0" w:line="90" w:lineRule="exact"/>
        <w:rPr>
          <w:sz w:val="20"/>
          <w:szCs w:val="20"/>
          <w:color w:val="auto"/>
        </w:rPr>
      </w:pPr>
    </w:p>
    <w:p>
      <w:pPr>
        <w:ind w:left="760" w:right="340" w:hanging="378"/>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marketing, reimbursement, customer service, medical affairs and other support personnel;</w:t>
      </w:r>
    </w:p>
    <w:p>
      <w:pPr>
        <w:spacing w:after="0" w:line="54" w:lineRule="exact"/>
        <w:rPr>
          <w:rFonts w:ascii="Times New Roman" w:cs="Times New Roman" w:eastAsia="Times New Roman" w:hAnsi="Times New Roman"/>
          <w:sz w:val="18"/>
          <w:szCs w:val="18"/>
          <w:color w:val="auto"/>
        </w:rPr>
      </w:pPr>
    </w:p>
    <w:p>
      <w:pPr>
        <w:ind w:left="760" w:right="20" w:hanging="378"/>
        <w:spacing w:after="0" w:line="25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adequate numbers of physicians on the benefits of prescribing any future approved products;</w:t>
      </w:r>
    </w:p>
    <w:p>
      <w:pPr>
        <w:spacing w:after="0" w:line="6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33" w:name="page34"/>
    <w:bookmarkEnd w:id="33"/>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03" w:lineRule="exact"/>
        <w:rPr>
          <w:rFonts w:ascii="Times New Roman" w:cs="Times New Roman" w:eastAsia="Times New Roman" w:hAnsi="Times New Roman"/>
          <w:sz w:val="18"/>
          <w:szCs w:val="18"/>
          <w:color w:val="auto"/>
        </w:rPr>
      </w:pPr>
    </w:p>
    <w:p>
      <w:pPr>
        <w:ind w:left="760" w:right="60" w:hanging="378"/>
        <w:spacing w:after="0" w:line="250"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6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104"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184" w:lineRule="exact"/>
        <w:rPr>
          <w:sz w:val="20"/>
          <w:szCs w:val="20"/>
          <w:color w:val="auto"/>
        </w:rPr>
      </w:pPr>
    </w:p>
    <w:p>
      <w:pPr>
        <w:ind w:right="6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36"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77"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such product candidates as demonstrated in pivotal clinical trials and published in peer-reviewed journals;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label as compared to alternative treatments;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for sale at competitive prices;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appropriate patient access programs, such as co-pay assistance;</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physicians recommend our products to their patients;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dosing and administration compared to alternative treatments;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 by FDA, EMA, NMPA or other regulatory agencies;</w:t>
      </w:r>
    </w:p>
    <w:p>
      <w:pPr>
        <w:spacing w:after="0" w:line="103" w:lineRule="exact"/>
        <w:rPr>
          <w:rFonts w:ascii="Times New Roman" w:cs="Times New Roman" w:eastAsia="Times New Roman" w:hAnsi="Times New Roman"/>
          <w:sz w:val="18"/>
          <w:szCs w:val="18"/>
          <w:color w:val="auto"/>
        </w:rPr>
      </w:pPr>
    </w:p>
    <w:p>
      <w:pPr>
        <w:ind w:left="760" w:right="40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EMA, NMPA or other comparable foreign regulatory authorities, including any limitations, contraindications or warnings contained in a product’s approved labeling;</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how the product is distributed;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9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If any product candidates we develop do not achieve an adequate level of acceptance, we may not generate significant product revenue, and we may not become profitable.</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34" w:name="page35"/>
    <w:bookmarkEnd w:id="34"/>
    <w:p>
      <w:pPr>
        <w:ind w:right="6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50" w:lineRule="exact"/>
        <w:rPr>
          <w:sz w:val="20"/>
          <w:szCs w:val="20"/>
          <w:color w:val="auto"/>
        </w:rPr>
      </w:pPr>
    </w:p>
    <w:p>
      <w:pPr>
        <w:ind w:right="40" w:firstLine="509"/>
        <w:spacing w:after="0" w:line="233" w:lineRule="auto"/>
        <w:rPr>
          <w:sz w:val="20"/>
          <w:szCs w:val="20"/>
          <w:color w:val="auto"/>
        </w:rPr>
      </w:pPr>
      <w:r>
        <w:rPr>
          <w:rFonts w:ascii="Times New Roman" w:cs="Times New Roman" w:eastAsia="Times New Roman" w:hAnsi="Times New Roman"/>
          <w:sz w:val="18"/>
          <w:szCs w:val="18"/>
          <w:color w:val="auto"/>
        </w:rPr>
        <w:t>Drug pricing and access policies in the United States and internationally may change and negatively impact tarcocimab’s commercial viability. Proposed policy changes, including the potential for Medicare to negotiate with drug manufacturers, may limit our ability to competitively price tarcocimab, if approved. Further, commercial insurers may limit patient access to tarcocimab, if approved and other branded therapies. 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71" w:lineRule="exact"/>
        <w:rPr>
          <w:sz w:val="20"/>
          <w:szCs w:val="20"/>
          <w:color w:val="auto"/>
        </w:rPr>
      </w:pPr>
    </w:p>
    <w:p>
      <w:pPr>
        <w:ind w:right="20" w:firstLine="509"/>
        <w:spacing w:after="0" w:line="233" w:lineRule="auto"/>
        <w:rPr>
          <w:sz w:val="20"/>
          <w:szCs w:val="20"/>
          <w:color w:val="auto"/>
        </w:rPr>
      </w:pPr>
      <w:r>
        <w:rPr>
          <w:rFonts w:ascii="Times New Roman" w:cs="Times New Roman" w:eastAsia="Times New Roman" w:hAnsi="Times New Roman"/>
          <w:sz w:val="18"/>
          <w:szCs w:val="18"/>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w:t>
      </w:r>
    </w:p>
    <w:p>
      <w:pPr>
        <w:spacing w:after="0" w:line="83"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80"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medicine is approved by the FDA, EMA, NMPA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Further, coverage policies and third-party payor reimbursement rates may change at any time. Therefore, even if favorable coverage and reimbursement status is attained, less favorable coverage policies and reimbursement rates may be implemented in the future. Our inability to promptly obtain and maintain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35" w:name="page36"/>
    <w:bookmarkEnd w:id="35"/>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face competition from biological products that are biosimilar to or interchangeable with our product candidates sooner than anticipated.</w:t>
      </w:r>
    </w:p>
    <w:p>
      <w:pPr>
        <w:spacing w:after="0" w:line="50"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66" w:lineRule="exact"/>
        <w:rPr>
          <w:sz w:val="20"/>
          <w:szCs w:val="20"/>
          <w:color w:val="auto"/>
        </w:rPr>
      </w:pPr>
    </w:p>
    <w:p>
      <w:pPr>
        <w:ind w:right="20" w:firstLine="509"/>
        <w:spacing w:after="0" w:line="238"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68"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50" w:lineRule="exact"/>
        <w:rPr>
          <w:sz w:val="20"/>
          <w:szCs w:val="20"/>
          <w:color w:val="auto"/>
        </w:rPr>
      </w:pPr>
    </w:p>
    <w:p>
      <w:pPr>
        <w:ind w:right="20" w:firstLine="509"/>
        <w:spacing w:after="0" w:line="23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p>
    <w:p>
      <w:pPr>
        <w:spacing w:after="0" w:line="80"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or interrupted demand for our products;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inability to continue clinical trials;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104"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Other Legal Compliance Matters</w:t>
      </w:r>
    </w:p>
    <w:p>
      <w:pPr>
        <w:spacing w:after="0" w:line="90"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EMA, NMPA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50" w:lineRule="exact"/>
        <w:rPr>
          <w:sz w:val="20"/>
          <w:szCs w:val="20"/>
          <w:color w:val="auto"/>
        </w:rPr>
      </w:pPr>
    </w:p>
    <w:p>
      <w:pPr>
        <w:ind w:right="160" w:firstLine="509"/>
        <w:spacing w:after="0" w:line="238" w:lineRule="auto"/>
        <w:rPr>
          <w:sz w:val="20"/>
          <w:szCs w:val="20"/>
          <w:color w:val="auto"/>
        </w:rPr>
      </w:pPr>
      <w:r>
        <w:rPr>
          <w:rFonts w:ascii="Times New Roman" w:cs="Times New Roman" w:eastAsia="Times New Roman" w:hAnsi="Times New Roman"/>
          <w:sz w:val="17"/>
          <w:szCs w:val="17"/>
          <w:color w:val="auto"/>
        </w:rPr>
        <w:t>The time required to obtain approval by the FDA, EMA, NMPA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w:t>
      </w:r>
    </w:p>
    <w:p>
      <w:pPr>
        <w:spacing w:after="0" w:line="1" w:lineRule="exact"/>
        <w:rPr>
          <w:sz w:val="20"/>
          <w:szCs w:val="20"/>
          <w:color w:val="auto"/>
        </w:rPr>
      </w:pPr>
    </w:p>
    <w:p>
      <w:pPr>
        <w:ind w:right="160"/>
        <w:spacing w:after="0" w:line="211" w:lineRule="auto"/>
        <w:rPr>
          <w:sz w:val="20"/>
          <w:szCs w:val="20"/>
          <w:color w:val="auto"/>
        </w:rPr>
      </w:pPr>
      <w:r>
        <w:rPr>
          <w:rFonts w:ascii="Times New Roman" w:cs="Times New Roman" w:eastAsia="Times New Roman" w:hAnsi="Times New Roman"/>
          <w:sz w:val="18"/>
          <w:szCs w:val="18"/>
          <w:color w:val="auto"/>
        </w:rPr>
        <w:t>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w:t>
      </w:r>
    </w:p>
    <w:p>
      <w:pPr>
        <w:spacing w:after="0" w:line="1"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approval for any product candidate, and it is possible that none of our existing product candidates or any product candidates we may seek to develop in the future will ever obtain regulatory approval.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but not limited to the following:</w:t>
      </w:r>
    </w:p>
    <w:p>
      <w:pPr>
        <w:spacing w:after="0" w:line="77" w:lineRule="exact"/>
        <w:rPr>
          <w:sz w:val="20"/>
          <w:szCs w:val="20"/>
          <w:color w:val="auto"/>
        </w:rPr>
      </w:pPr>
    </w:p>
    <w:p>
      <w:pPr>
        <w:ind w:left="760" w:hanging="378"/>
        <w:spacing w:after="0" w:line="250"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NMPA or comparable foreign regulatory authorities may disagree with the design, implementation or results of our clinical trials or the portfolio of clinical trials planned for submission in our BLA;</w:t>
      </w:r>
    </w:p>
    <w:p>
      <w:pPr>
        <w:spacing w:after="0" w:line="54" w:lineRule="exact"/>
        <w:rPr>
          <w:rFonts w:ascii="Times New Roman" w:cs="Times New Roman" w:eastAsia="Times New Roman" w:hAnsi="Times New Roman"/>
          <w:sz w:val="18"/>
          <w:szCs w:val="18"/>
          <w:color w:val="auto"/>
        </w:rPr>
      </w:pPr>
    </w:p>
    <w:p>
      <w:pPr>
        <w:ind w:left="760" w:right="140" w:hanging="378"/>
        <w:spacing w:after="0" w:line="23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NMPA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50" w:lineRule="exact"/>
        <w:rPr>
          <w:rFonts w:ascii="Times New Roman" w:cs="Times New Roman" w:eastAsia="Times New Roman" w:hAnsi="Times New Roman"/>
          <w:sz w:val="18"/>
          <w:szCs w:val="18"/>
          <w:color w:val="auto"/>
        </w:rPr>
      </w:pPr>
    </w:p>
    <w:p>
      <w:pPr>
        <w:ind w:left="760" w:right="140" w:hanging="378"/>
        <w:spacing w:after="0" w:line="250"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program may not be sufficiently broad or representative to assure efficacy and safety in the full population for which we seek approval;</w:t>
      </w:r>
    </w:p>
    <w:p>
      <w:pPr>
        <w:spacing w:after="0" w:line="54" w:lineRule="exact"/>
        <w:rPr>
          <w:rFonts w:ascii="Times New Roman" w:cs="Times New Roman" w:eastAsia="Times New Roman" w:hAnsi="Times New Roman"/>
          <w:sz w:val="18"/>
          <w:szCs w:val="18"/>
          <w:color w:val="auto"/>
        </w:rPr>
      </w:pPr>
    </w:p>
    <w:p>
      <w:pPr>
        <w:ind w:left="760" w:right="120" w:hanging="378"/>
        <w:spacing w:after="0" w:line="250"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EMA, NMPA or comparable foreign regulatory authorities that a product candidate’s risk-benefit ratio for its proposed indication(s), when compared to the standard of care, is acceptable;</w:t>
      </w:r>
    </w:p>
    <w:p>
      <w:pPr>
        <w:spacing w:after="0" w:line="54" w:lineRule="exact"/>
        <w:rPr>
          <w:rFonts w:ascii="Times New Roman" w:cs="Times New Roman" w:eastAsia="Times New Roman" w:hAnsi="Times New Roman"/>
          <w:sz w:val="18"/>
          <w:szCs w:val="18"/>
          <w:color w:val="auto"/>
        </w:rPr>
      </w:pPr>
    </w:p>
    <w:p>
      <w:pPr>
        <w:ind w:left="760" w:right="380" w:hanging="378"/>
        <w:spacing w:after="0" w:line="237"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NMPA or comparable foreign regulatory authorities may disagree with our interpretation of data from preclinical studies or clinical trials;</w:t>
      </w:r>
    </w:p>
    <w:p>
      <w:pPr>
        <w:spacing w:after="0" w:line="63" w:lineRule="exact"/>
        <w:rPr>
          <w:rFonts w:ascii="Times New Roman" w:cs="Times New Roman" w:eastAsia="Times New Roman" w:hAnsi="Times New Roman"/>
          <w:sz w:val="18"/>
          <w:szCs w:val="18"/>
          <w:color w:val="auto"/>
        </w:rPr>
      </w:pPr>
    </w:p>
    <w:p>
      <w:pPr>
        <w:ind w:left="760" w:right="120" w:hanging="378"/>
        <w:spacing w:after="0" w:line="250"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or other submission or to obtain regulatory approval in the United States or elsewhere;</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data may not be positive in all clinical trials demonstrating a mix of positive and negative clinical trial results;</w:t>
      </w:r>
    </w:p>
    <w:p>
      <w:pPr>
        <w:spacing w:after="0" w:line="76" w:lineRule="exact"/>
        <w:rPr>
          <w:rFonts w:ascii="Times New Roman" w:cs="Times New Roman" w:eastAsia="Times New Roman" w:hAnsi="Times New Roman"/>
          <w:sz w:val="18"/>
          <w:szCs w:val="18"/>
          <w:color w:val="auto"/>
        </w:rPr>
      </w:pPr>
    </w:p>
    <w:p>
      <w:pPr>
        <w:ind w:left="760" w:right="220" w:hanging="378"/>
        <w:spacing w:after="0" w:line="279"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NMPA or comparable foreign regulatory authorities may fail to approve the chemistry, manufacturing and controls processes, test procedures and specifications, or facilities or third-party manufacturers with which we contract for clinical and commercial supplies; and</w:t>
      </w:r>
    </w:p>
    <w:p>
      <w:pPr>
        <w:spacing w:after="0" w:line="31" w:lineRule="exact"/>
        <w:rPr>
          <w:rFonts w:ascii="Times New Roman" w:cs="Times New Roman" w:eastAsia="Times New Roman" w:hAnsi="Times New Roman"/>
          <w:sz w:val="17"/>
          <w:szCs w:val="17"/>
          <w:color w:val="auto"/>
        </w:rPr>
      </w:pPr>
    </w:p>
    <w:p>
      <w:pPr>
        <w:ind w:left="760" w:hanging="378"/>
        <w:spacing w:after="0" w:line="250"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EMA, NMPA or comparable foreign regulatory authorities may significantly change in a manner rendering our clinical data insufficient for approval.</w:t>
      </w:r>
    </w:p>
    <w:p>
      <w:pPr>
        <w:spacing w:after="0" w:line="55" w:lineRule="exact"/>
        <w:rPr>
          <w:sz w:val="20"/>
          <w:szCs w:val="20"/>
          <w:color w:val="auto"/>
        </w:rPr>
      </w:pPr>
    </w:p>
    <w:p>
      <w:pPr>
        <w:ind w:firstLine="509"/>
        <w:spacing w:after="0" w:line="237"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6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plan to conduct clinical trials for our product candidates outside the United States (or the respective jurisdictions of other regulatory authorities), and the FDA, (or EMA, NMPA and applicable foreign regulatory authorities) may not accept data from such trials.</w:t>
      </w:r>
    </w:p>
    <w:p>
      <w:pPr>
        <w:spacing w:after="0" w:line="50" w:lineRule="exact"/>
        <w:rPr>
          <w:sz w:val="20"/>
          <w:szCs w:val="20"/>
          <w:color w:val="auto"/>
        </w:rPr>
      </w:pPr>
    </w:p>
    <w:p>
      <w:pPr>
        <w:ind w:right="60" w:firstLine="509"/>
        <w:spacing w:after="0" w:line="236" w:lineRule="auto"/>
        <w:rPr>
          <w:sz w:val="20"/>
          <w:szCs w:val="20"/>
          <w:color w:val="auto"/>
        </w:rPr>
      </w:pPr>
      <w:r>
        <w:rPr>
          <w:rFonts w:ascii="Times New Roman" w:cs="Times New Roman" w:eastAsia="Times New Roman" w:hAnsi="Times New Roman"/>
          <w:sz w:val="17"/>
          <w:szCs w:val="17"/>
          <w:color w:val="auto"/>
        </w:rPr>
        <w:t>We plan to conduct one or more of our clinical trials outside the United States, including Europe, China and other foreign countries. The acceptance of study data from global clinical trials by the FDA, EMA, NMPA or applicable foreign regulatory authority may be subject to certain conditions. In cases</w:t>
      </w:r>
    </w:p>
    <w:p>
      <w:pPr>
        <w:spacing w:after="0" w:line="219" w:lineRule="auto"/>
        <w:rPr>
          <w:sz w:val="20"/>
          <w:szCs w:val="20"/>
          <w:color w:val="auto"/>
        </w:rPr>
      </w:pPr>
      <w:r>
        <w:rPr>
          <w:rFonts w:ascii="Times New Roman" w:cs="Times New Roman" w:eastAsia="Times New Roman" w:hAnsi="Times New Roman"/>
          <w:sz w:val="18"/>
          <w:szCs w:val="18"/>
          <w:color w:val="auto"/>
        </w:rPr>
        <w:t>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GCP regulations. Additionally, the FDA’s clinical trial requirements,</w:t>
      </w:r>
    </w:p>
    <w:p>
      <w:pPr>
        <w:ind w:right="140"/>
        <w:spacing w:after="0" w:line="211" w:lineRule="auto"/>
        <w:rPr>
          <w:sz w:val="20"/>
          <w:szCs w:val="20"/>
          <w:color w:val="auto"/>
        </w:rPr>
      </w:pPr>
      <w:r>
        <w:rPr>
          <w:rFonts w:ascii="Times New Roman" w:cs="Times New Roman" w:eastAsia="Times New Roman" w:hAnsi="Times New Roman"/>
          <w:sz w:val="18"/>
          <w:szCs w:val="18"/>
          <w:color w:val="auto"/>
        </w:rPr>
        <w:t>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w:t>
      </w:r>
    </w:p>
    <w:p>
      <w:pPr>
        <w:spacing w:after="0" w:line="1" w:lineRule="exact"/>
        <w:rPr>
          <w:sz w:val="20"/>
          <w:szCs w:val="20"/>
          <w:color w:val="auto"/>
        </w:rPr>
      </w:pPr>
    </w:p>
    <w:p>
      <w:pPr>
        <w:ind w:right="240"/>
        <w:spacing w:after="0" w:line="232" w:lineRule="auto"/>
        <w:rPr>
          <w:sz w:val="20"/>
          <w:szCs w:val="20"/>
          <w:color w:val="auto"/>
        </w:rPr>
      </w:pPr>
      <w:r>
        <w:rPr>
          <w:rFonts w:ascii="Times New Roman" w:cs="Times New Roman" w:eastAsia="Times New Roman" w:hAnsi="Times New Roman"/>
          <w:sz w:val="17"/>
          <w:szCs w:val="17"/>
          <w:color w:val="auto"/>
        </w:rPr>
        <w:t>assurance that the FDA, EMA, NMPA or any applicable foreign regulatory authority will accept data from trials conducted outside of their respective jurisdiction. If the FDA, EMA, NMPA or any applicable foreign regulatory authority does not accept such data, it would result in the need for additional</w:t>
      </w:r>
    </w:p>
    <w:p>
      <w:pPr>
        <w:ind w:right="140"/>
        <w:spacing w:after="0" w:line="226" w:lineRule="auto"/>
        <w:rPr>
          <w:sz w:val="20"/>
          <w:szCs w:val="20"/>
          <w:color w:val="auto"/>
        </w:rPr>
      </w:pPr>
      <w:r>
        <w:rPr>
          <w:rFonts w:ascii="Times New Roman" w:cs="Times New Roman" w:eastAsia="Times New Roman" w:hAnsi="Times New Roman"/>
          <w:sz w:val="18"/>
          <w:szCs w:val="18"/>
          <w:color w:val="auto"/>
        </w:rPr>
        <w:t>trials, which would be costly and time-consuming, would delay aspects of our business plan and which may result in our product candidates not receiving approval or clearance for commercialization in the applicable jurisdiction.</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37" w:name="page38"/>
    <w:bookmarkEnd w:id="37"/>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37"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NMPA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p>
    <w:p>
      <w:pPr>
        <w:spacing w:after="0" w:line="73"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our products will remain subject to extensive regulatory scrutiny.</w:t>
      </w:r>
    </w:p>
    <w:p>
      <w:pPr>
        <w:spacing w:after="0" w:line="121" w:lineRule="exact"/>
        <w:rPr>
          <w:sz w:val="20"/>
          <w:szCs w:val="20"/>
          <w:color w:val="auto"/>
        </w:rPr>
      </w:pPr>
    </w:p>
    <w:p>
      <w:pPr>
        <w:jc w:val="both"/>
        <w:ind w:right="400" w:firstLine="509"/>
        <w:spacing w:after="0" w:line="250"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82"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requirements imposed by the FDA, EMA, NMPA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BLA or marketing authorization application, or MAA. Accordingly, we and others with whom we work must continue to expend time, money and effort in all areas of regulatory compliance, including manufacturing, production and quality control.</w:t>
      </w:r>
    </w:p>
    <w:p>
      <w:pPr>
        <w:spacing w:after="0" w:line="7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NMPA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89"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69"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that would result in adverse publicity;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38" w:name="page39"/>
    <w:bookmarkEnd w:id="38"/>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of our ongoing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submitted by us;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our operations, including closing our contract manufacturers’ facilities;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product recall.</w:t>
      </w:r>
    </w:p>
    <w:p>
      <w:pPr>
        <w:spacing w:after="0" w:line="104"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measures aimed at reducing healthcare costs may have a material adverse effect on our business and results of operations.*</w:t>
      </w:r>
    </w:p>
    <w:p>
      <w:pPr>
        <w:spacing w:after="0" w:line="108"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among other things, subjected biologic products to potential competition by lower-cost biosimilars, addressed a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annual fees and taxes for certain branded prescription drugs, and provided incentives to programs that increase the federal government’s comparative effectiveness research.</w:t>
      </w:r>
    </w:p>
    <w:p>
      <w:pPr>
        <w:spacing w:after="0" w:line="77"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Since the ACA’s enactment, there have been numerous challenges to the ACA. For example, President Trump signed several Executive Orders and other directives designed to delay the implementation of certain provisions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On June 17, 2021, the U.S. Supreme Court dismissed a challenge on procedural grounds that argued that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such challenges and the healthcare reform measures of the Biden administration will impact the ACA and our business.</w:t>
      </w:r>
    </w:p>
    <w:p>
      <w:pPr>
        <w:spacing w:after="0" w:line="7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to the statute, including the Infrastructure Investment and Jobs Act, will remain in effect through 2030 unless additional Congressional action is taken. However, COVID-19 relief support legislation suspended the 2% Medicare sequester from May 1, 2020 through March 31, 2022. Under current legislation the actual reduction in Medicare payments will vary from 1% in 2022 to up to 3% in the final fiscal year of this sequester. The American Taxpayer Relief Act of 2012 further reduced Medicare payments to several providers, including hospitals and cancer treatment centers, and increased the statute of limitations period for the government to recover overpayments to providers from three to five years. Further, on March 11, 2021, President Biden signed the American Rescue Plan Act of 2021 into law, which eliminates the statutory Medicaid drug rebate cap for single source and innovator multiple source drugs, beginning January 1, 2024. In addition, Congress is considering additional health reform measures, such as capping the costs for prescription drugs covered by Medicare Part D and by setting the annual out-of-pocket limit at $2,000 beginning in 2024, as part of other health reform initiatives.</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39" w:name="page40"/>
    <w:bookmarkEnd w:id="39"/>
    <w:p>
      <w:pPr>
        <w:ind w:right="160" w:firstLine="509"/>
        <w:spacing w:after="0"/>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7"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or set a price that we believe is fair for our products;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04" w:lineRule="exact"/>
        <w:rPr>
          <w:sz w:val="20"/>
          <w:szCs w:val="20"/>
          <w:color w:val="auto"/>
        </w:rPr>
      </w:pPr>
    </w:p>
    <w:p>
      <w:pPr>
        <w:ind w:firstLine="509"/>
        <w:spacing w:after="0" w:line="231" w:lineRule="auto"/>
        <w:rPr>
          <w:sz w:val="20"/>
          <w:szCs w:val="20"/>
          <w:color w:val="auto"/>
        </w:rPr>
      </w:pPr>
      <w:r>
        <w:rPr>
          <w:rFonts w:ascii="Times New Roman" w:cs="Times New Roman" w:eastAsia="Times New Roman" w:hAnsi="Times New Roman"/>
          <w:sz w:val="18"/>
          <w:szCs w:val="18"/>
          <w:color w:val="auto"/>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concurrently released a final rule and guidance in September 2020, implementing a portion of the importation executive order providing pathways for states to build and submit importation plans for drugs from Canada. Further, on November 20, 2020, the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implementation of this rule has been delayed until January 1, 2027. On November 20, 2020, the Centers for Medicare &amp; Medicaid Services, or CMS, issued an interim final rule implementing President Trump’s Most Favored Nation, or MFN, executive order, which would tie Medicare Part B payments for certain physician-administered drugs to the lowest price paid in other economically advanced countries, effective January 1, 2021. As a result of litigation challenging the MFN Model, on December 27, 2021, CMS published a final rule that rescinded MFN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It is unclear whether these or similar policy initiatives will be implemented in the future.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75" w:lineRule="exact"/>
        <w:rPr>
          <w:sz w:val="20"/>
          <w:szCs w:val="20"/>
          <w:color w:val="auto"/>
        </w:rPr>
      </w:pPr>
    </w:p>
    <w:p>
      <w:pPr>
        <w:ind w:right="20" w:firstLine="509"/>
        <w:spacing w:after="0" w:line="238"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Further, it is possible that additional governmental action is taken in response to the COVID-19 pandemic.</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0" w:name="page41"/>
    <w:bookmarkEnd w:id="40"/>
    <w:p>
      <w:pPr>
        <w:ind w:right="5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p>
    <w:p>
      <w:pPr>
        <w:spacing w:after="0" w:line="5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We are exposed to the risk of fraud, misconduct or other illegal activity by our employees, independent contractors, consultants, commercial</w:t>
      </w:r>
    </w:p>
    <w:p>
      <w:pPr>
        <w:spacing w:after="0" w:line="2"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partners and vendors. Misconduct by these parties could include intentional, reckless and negligent conduct that fails to: comply with the laws of the FDA, EMA, NMPA and other comparable foreign regulatory authorities; provide true, complete and accurate information to the FDA, EMA, NMPA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spacing w:after="0" w:line="76"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4"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healthcare laws, we could face substantial penalties and our business, operations and financial conditions could be adversely affected.</w:t>
      </w:r>
    </w:p>
    <w:p>
      <w:pPr>
        <w:spacing w:after="0" w:line="36" w:lineRule="exact"/>
        <w:rPr>
          <w:sz w:val="20"/>
          <w:szCs w:val="20"/>
          <w:color w:val="auto"/>
        </w:rPr>
      </w:pPr>
    </w:p>
    <w:p>
      <w:pPr>
        <w:ind w:right="100" w:firstLine="509"/>
        <w:spacing w:after="0" w:line="272" w:lineRule="auto"/>
        <w:rPr>
          <w:sz w:val="20"/>
          <w:szCs w:val="20"/>
          <w:color w:val="auto"/>
        </w:rPr>
      </w:pPr>
      <w:r>
        <w:rPr>
          <w:rFonts w:ascii="Times New Roman" w:cs="Times New Roman" w:eastAsia="Times New Roman" w:hAnsi="Times New Roman"/>
          <w:sz w:val="17"/>
          <w:szCs w:val="17"/>
          <w:color w:val="auto"/>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w:t>
      </w:r>
    </w:p>
    <w:p>
      <w:pPr>
        <w:spacing w:after="0" w:line="51" w:lineRule="exact"/>
        <w:rPr>
          <w:sz w:val="20"/>
          <w:szCs w:val="20"/>
          <w:color w:val="auto"/>
        </w:rPr>
      </w:pPr>
    </w:p>
    <w:p>
      <w:pPr>
        <w:ind w:left="760" w:right="120" w:hanging="378"/>
        <w:spacing w:after="0" w:line="235"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66" w:lineRule="exact"/>
        <w:rPr>
          <w:rFonts w:ascii="Times New Roman" w:cs="Times New Roman" w:eastAsia="Times New Roman" w:hAnsi="Times New Roman"/>
          <w:sz w:val="18"/>
          <w:szCs w:val="18"/>
          <w:color w:val="auto"/>
        </w:rPr>
      </w:pPr>
    </w:p>
    <w:p>
      <w:pPr>
        <w:ind w:left="760" w:right="100" w:hanging="378"/>
        <w:spacing w:after="0" w:line="239"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w:t>
      </w:r>
    </w:p>
    <w:p>
      <w:pPr>
        <w:spacing w:after="0" w:line="76" w:lineRule="exact"/>
        <w:rPr>
          <w:rFonts w:ascii="Times New Roman" w:cs="Times New Roman" w:eastAsia="Times New Roman" w:hAnsi="Times New Roman"/>
          <w:sz w:val="18"/>
          <w:szCs w:val="18"/>
          <w:color w:val="auto"/>
        </w:rPr>
      </w:pPr>
    </w:p>
    <w:p>
      <w:pPr>
        <w:ind w:left="760" w:hanging="378"/>
        <w:spacing w:after="0" w:line="235"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these statutes or specific intent to violate them in order to have committed a violation;</w:t>
      </w:r>
    </w:p>
    <w:p>
      <w:pPr>
        <w:spacing w:after="0" w:line="79" w:lineRule="exact"/>
        <w:rPr>
          <w:rFonts w:ascii="Times New Roman" w:cs="Times New Roman" w:eastAsia="Times New Roman" w:hAnsi="Times New Roman"/>
          <w:sz w:val="18"/>
          <w:szCs w:val="18"/>
          <w:color w:val="auto"/>
        </w:rPr>
      </w:pPr>
    </w:p>
    <w:p>
      <w:pPr>
        <w:ind w:left="760" w:right="220" w:hanging="378"/>
        <w:spacing w:after="0" w:line="235"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relating to the privacy, security and transmission of individually identifiable health information;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1" w:name="page42"/>
    <w:bookmarkEnd w:id="41"/>
    <w:p>
      <w:pPr>
        <w:ind w:left="760" w:right="20" w:hanging="378"/>
        <w:spacing w:after="0" w:line="247"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CMS under the Open Payments Program, information related to payments or other transfers of value made to physicians (defined to include doctors, dentists, optometrists, podiatrists and chiropractors), other healthcare professionals (such as physician assistant and nurse practitioners), and teaching hospitals, as well as ownership and investment interests held by physicians and their immediate family members;</w:t>
      </w:r>
    </w:p>
    <w:p>
      <w:pPr>
        <w:spacing w:after="0" w:line="71" w:lineRule="exact"/>
        <w:rPr>
          <w:rFonts w:ascii="Times New Roman" w:cs="Times New Roman" w:eastAsia="Times New Roman" w:hAnsi="Times New Roman"/>
          <w:sz w:val="18"/>
          <w:szCs w:val="18"/>
          <w:color w:val="auto"/>
        </w:rPr>
      </w:pPr>
    </w:p>
    <w:p>
      <w:pPr>
        <w:ind w:left="760" w:right="48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40" w:lineRule="exact"/>
        <w:rPr>
          <w:rFonts w:ascii="Times New Roman" w:cs="Times New Roman" w:eastAsia="Times New Roman" w:hAnsi="Times New Roman"/>
          <w:sz w:val="18"/>
          <w:szCs w:val="18"/>
          <w:color w:val="auto"/>
        </w:rPr>
      </w:pPr>
    </w:p>
    <w:p>
      <w:pPr>
        <w:ind w:left="760" w:hanging="378"/>
        <w:spacing w:after="0" w:line="243"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78"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8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sales; and other adverse business consequences.*</w:t>
      </w:r>
    </w:p>
    <w:p>
      <w:pPr>
        <w:spacing w:after="0" w:line="60"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In the ordinary course of business, we may collect, receive, store, process, generate, use, transfer, disclose, make accessible, protect, secure, dispose of, transmit, and share (commonly known as processing)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a variety of provincial, state, national, and foreign laws and regulations, as well as policies, contracts and other obligations that apply to the processing of sensitive information. Data privacy and security laws and regulations are evolving and may result in ever-increasing regulatory and public scrutiny and escalating levels of enforcement and sanctions.</w:t>
      </w:r>
    </w:p>
    <w:p>
      <w:pPr>
        <w:spacing w:after="0" w:line="72"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For example, the California legislature enacted the California Consumer Privacy Act, or CCPA, which took effect on January 1, 2020. The CCPA requires covered companies to provide new disclosures to California residents, and honor their requests to access, delete and opt-out of certain sharing of their personal data. The CCPA provides for civil penalties for violations (up to $7,500 per violation) and a private right of action for certain data breaches. In addition, it is anticipated that the California Privacy Rights Act of 2020, or CPRA, effective January 1, 2023, will expand the CCPA. Additionally, the CPRA establishes a new California Privacy Protection Agency to implement and enforce the CPRA, which could increase the risk of enforcement. While certain clinical trial activities are exempt from the CCPA’s and the CPRA’s requirements, other personal data that we handle may be subject to the CCPA and the CPRA, which may increase our compliance costs, exposure to regulatory enforcement action and other liabilities. Since the enactment of the CCPA, new privacy and data security laws have been proposed in more than half of the states and in the U.S. Congress, reflecting a trend toward more stringent privacy legislation in the U.S. For example, Virginia passed the Consumer Data Protection Act, Colorado passed the Colorado Privacy Act, and Utah passed the Utah Consumer Privacy Act, all of which become effective in 2023.</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2" w:name="page43"/>
    <w:bookmarkEnd w:id="42"/>
    <w:p>
      <w:pPr>
        <w:ind w:right="240" w:firstLine="509"/>
        <w:spacing w:after="0" w:line="247"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European Union’s General Data Protection Regulation, or EU GDPR, and the United Kingdom’s GDPR, or UK GDPR, impose strict requirements for processing personal data. Violators of these laws face significant penalties. For example, under the EU GDPR, government regulators may impose temporary or definitive bans on data processing, as well as fines of up to 20 million euros or 4% of annual global revenue, whichever is greater. Further, the EU GDPR also provides for private litigation related to the processing of personal data that can be brought by classes of data subjects or consumer protection organizations authorized at law to represent the data subjects’ interests.</w:t>
      </w:r>
    </w:p>
    <w:p>
      <w:pPr>
        <w:spacing w:after="0" w:line="72"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Certain jurisdictions have enacted data localization laws and cross-border personal data transfer laws, which could make it more difficult to transfer information across jurisdictions (such as transferring or receiving personal data that originates in the EU or in other foreign jurisdictions). Existing mechanisms that facilitate cross-border personal data transfers may change or be invalidated. For example, absent appropriate safeguards or other circumstances, the EU GDPR generally restricts the transfer of personal data to countries outside of the European Economic Area, or EEA, that the European Commission does not consider to provide an adequate level of data privacy and security, such as the United States. The European Commission released a set of “Standard Contractual Clauses,” or SCCs, that are designed to be a valid mechanism to facilitate personal data transfers out of the EEA to these jurisdictions. Currently, these SCCs are a valid mechanism to transfer personal data outside of the EEA. Additionally, the SCCs impose additional compliance burdens, such as conducting transfer impact assessments to determine whether additional security measures are necessary to protect the at-issue personal data. In addition, Switzerland and the UK similarly restrict personal data transfers outside of those jurisdictions to countries such as the United States that do not provide an adequate level of personal data protection, and certain countries outside Europe (e.g. Russia, China, Brazil) have also passed or are considering laws requiring local data residency or otherwise impeding the transfer of personal data across borders, any of which could increase the cost and complexity of doing business.</w:t>
      </w:r>
    </w:p>
    <w:p>
      <w:pPr>
        <w:spacing w:after="0" w:line="77" w:lineRule="exact"/>
        <w:rPr>
          <w:sz w:val="20"/>
          <w:szCs w:val="20"/>
          <w:color w:val="auto"/>
        </w:rPr>
      </w:pPr>
    </w:p>
    <w:p>
      <w:pPr>
        <w:ind w:right="280" w:firstLine="509"/>
        <w:spacing w:after="0" w:line="246" w:lineRule="auto"/>
        <w:rPr>
          <w:sz w:val="20"/>
          <w:szCs w:val="20"/>
          <w:color w:val="auto"/>
        </w:rPr>
      </w:pPr>
      <w:r>
        <w:rPr>
          <w:rFonts w:ascii="Times New Roman" w:cs="Times New Roman" w:eastAsia="Times New Roman" w:hAnsi="Times New Roman"/>
          <w:sz w:val="18"/>
          <w:szCs w:val="18"/>
          <w:color w:val="auto"/>
        </w:rPr>
        <w:t>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w:t>
      </w:r>
    </w:p>
    <w:p>
      <w:pPr>
        <w:spacing w:after="0" w:line="87"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 GDPR, CCPA and many other laws and regulations relating to data privacy and security are still being tested in courts, and they are subject to new and differing interpretations by courts and regulatory officials. We are working to comply with the data privacy and security laws and regulations that apply to us, and we anticipate needing to devote significant additional resources to complying with these laws and regulations. It is possible that the GDPR, CCPA or other laws and regulations relating to data privacy and security may be interpreted and applied in a manner that is inconsistent from jurisdiction to jurisdiction or inconsistent with our current policies and practices.</w:t>
      </w:r>
    </w:p>
    <w:p>
      <w:pPr>
        <w:spacing w:after="0" w:line="73" w:lineRule="exact"/>
        <w:rPr>
          <w:sz w:val="20"/>
          <w:szCs w:val="20"/>
          <w:color w:val="auto"/>
        </w:rPr>
      </w:pPr>
    </w:p>
    <w:p>
      <w:pPr>
        <w:ind w:right="380" w:firstLine="509"/>
        <w:spacing w:after="0" w:line="246" w:lineRule="auto"/>
        <w:rPr>
          <w:sz w:val="20"/>
          <w:szCs w:val="20"/>
          <w:color w:val="auto"/>
        </w:rPr>
      </w:pPr>
      <w:r>
        <w:rPr>
          <w:rFonts w:ascii="Times New Roman" w:cs="Times New Roman" w:eastAsia="Times New Roman" w:hAnsi="Times New Roman"/>
          <w:sz w:val="18"/>
          <w:szCs w:val="18"/>
          <w:color w:val="auto"/>
        </w:rPr>
        <w:t>Our actual or perceived failure to adequately comply with applicable laws, regulations, policies, contracts and other obligations relating to data privacy and security, or to protect personal data and other data we process or maintain, could result in regulatory fines and bans on processing personal data, investigations and enforcement actions, penalties and other liabilities, interruptions to our development process, claims for damages by affected individuals, and damage to our reputation, any of which could materially affect our business, financial condition, results of operations and growth prospects.</w:t>
      </w:r>
    </w:p>
    <w:p>
      <w:pPr>
        <w:spacing w:after="0" w:line="380"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36"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79"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3" w:name="page44"/>
    <w:bookmarkEnd w:id="43"/>
    <w:p>
      <w:pPr>
        <w:ind w:right="20"/>
        <w:spacing w:after="0" w:line="239" w:lineRule="auto"/>
        <w:rPr>
          <w:sz w:val="20"/>
          <w:szCs w:val="20"/>
          <w:color w:val="auto"/>
        </w:rPr>
      </w:pPr>
      <w:r>
        <w:rPr>
          <w:rFonts w:ascii="Times New Roman" w:cs="Times New Roman" w:eastAsia="Times New Roman" w:hAnsi="Times New Roman"/>
          <w:sz w:val="18"/>
          <w:szCs w:val="18"/>
          <w:color w:val="auto"/>
        </w:rPr>
        <w:t>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activities may be subject to the Foreign Corrupt Practices Act, or FCPA, and similar anti-bribery and anti-corruption laws.</w:t>
      </w:r>
    </w:p>
    <w:p>
      <w:pPr>
        <w:spacing w:after="0" w:line="108"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0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63" w:lineRule="exact"/>
        <w:rPr>
          <w:sz w:val="20"/>
          <w:szCs w:val="20"/>
          <w:color w:val="auto"/>
        </w:rPr>
      </w:pPr>
    </w:p>
    <w:p>
      <w:pPr>
        <w:ind w:right="280" w:firstLine="509"/>
        <w:spacing w:after="0" w:line="250" w:lineRule="auto"/>
        <w:rPr>
          <w:sz w:val="20"/>
          <w:szCs w:val="20"/>
          <w:color w:val="auto"/>
        </w:rPr>
      </w:pPr>
      <w:r>
        <w:rPr>
          <w:rFonts w:ascii="Times New Roman" w:cs="Times New Roman" w:eastAsia="Times New Roman" w:hAnsi="Times New Roman"/>
          <w:sz w:val="18"/>
          <w:szCs w:val="18"/>
          <w:color w:val="auto"/>
        </w:rPr>
        <w:t>We currently rely and expect to continue to rely on third parties, such as CROs, clinical data management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69"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72"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82" w:lineRule="exact"/>
        <w:rPr>
          <w:sz w:val="20"/>
          <w:szCs w:val="20"/>
          <w:color w:val="auto"/>
        </w:rPr>
      </w:pPr>
    </w:p>
    <w:p>
      <w:pPr>
        <w:jc w:val="both"/>
        <w:ind w:right="260" w:firstLine="509"/>
        <w:spacing w:after="0" w:line="250"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8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44" w:name="page45"/>
    <w:bookmarkEnd w:id="44"/>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 and commercialize, or that such supply will not be available to us at an acceptable cost, which could delay, prevent or impair our development or commercialization efforts.</w:t>
      </w:r>
    </w:p>
    <w:p>
      <w:pPr>
        <w:spacing w:after="0" w:line="37" w:lineRule="exact"/>
        <w:rPr>
          <w:sz w:val="20"/>
          <w:szCs w:val="20"/>
          <w:color w:val="auto"/>
        </w:rPr>
      </w:pPr>
    </w:p>
    <w:p>
      <w:pPr>
        <w:jc w:val="both"/>
        <w:ind w:right="260" w:firstLine="509"/>
        <w:spacing w:after="0" w:line="258" w:lineRule="auto"/>
        <w:rPr>
          <w:sz w:val="20"/>
          <w:szCs w:val="20"/>
          <w:color w:val="auto"/>
        </w:rPr>
      </w:pPr>
      <w:r>
        <w:rPr>
          <w:rFonts w:ascii="Times New Roman" w:cs="Times New Roman" w:eastAsia="Times New Roman" w:hAnsi="Times New Roman"/>
          <w:sz w:val="18"/>
          <w:szCs w:val="18"/>
          <w:color w:val="auto"/>
        </w:rPr>
        <w:t>We do not have any manufacturing facilities. We currently rely exclusively on a third-party manufacturer, Lonza AG, for the manufacture of our materials for preclinical studies and clinical trials and expect to continue to do so for preclinical studies, clinical trials and for commercial supply of any product candidates that we may develop.</w:t>
      </w:r>
    </w:p>
    <w:p>
      <w:pPr>
        <w:spacing w:after="0" w:line="48" w:lineRule="exact"/>
        <w:rPr>
          <w:sz w:val="20"/>
          <w:szCs w:val="20"/>
          <w:color w:val="auto"/>
        </w:rPr>
      </w:pPr>
    </w:p>
    <w:p>
      <w:pPr>
        <w:ind w:right="600" w:firstLine="509"/>
        <w:spacing w:after="0" w:line="266" w:lineRule="auto"/>
        <w:rPr>
          <w:sz w:val="20"/>
          <w:szCs w:val="20"/>
          <w:color w:val="auto"/>
        </w:rPr>
      </w:pPr>
      <w:r>
        <w:rPr>
          <w:rFonts w:ascii="Times New Roman" w:cs="Times New Roman" w:eastAsia="Times New Roman" w:hAnsi="Times New Roman"/>
          <w:sz w:val="18"/>
          <w:szCs w:val="18"/>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41"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 or us;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early termination of the agreement by us at a time that requires us to pay a cancellation fee;</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safety and pharmacovigilance and related reporting;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produce required volume in a timely manner and to quality standards.</w:t>
      </w:r>
    </w:p>
    <w:p>
      <w:pPr>
        <w:spacing w:after="0" w:line="104" w:lineRule="exact"/>
        <w:rPr>
          <w:sz w:val="20"/>
          <w:szCs w:val="20"/>
          <w:color w:val="auto"/>
        </w:rPr>
      </w:pPr>
    </w:p>
    <w:p>
      <w:pPr>
        <w:ind w:right="280" w:firstLine="509"/>
        <w:spacing w:after="0" w:line="235"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80"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54" w:lineRule="exact"/>
        <w:rPr>
          <w:sz w:val="20"/>
          <w:szCs w:val="20"/>
          <w:color w:val="auto"/>
        </w:rPr>
      </w:pPr>
    </w:p>
    <w:p>
      <w:pPr>
        <w:ind w:right="360" w:firstLine="509"/>
        <w:spacing w:after="0"/>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6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158"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4"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spacing w:after="0" w:line="17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50"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45" w:name="page46"/>
    <w:bookmarkEnd w:id="45"/>
    <w:p>
      <w:pPr>
        <w:ind w:right="340"/>
        <w:spacing w:after="0" w:line="266" w:lineRule="auto"/>
        <w:rPr>
          <w:sz w:val="20"/>
          <w:szCs w:val="20"/>
          <w:color w:val="auto"/>
        </w:rPr>
      </w:pPr>
      <w:r>
        <w:rPr>
          <w:rFonts w:ascii="Times New Roman" w:cs="Times New Roman" w:eastAsia="Times New Roman" w:hAnsi="Times New Roman"/>
          <w:sz w:val="18"/>
          <w:szCs w:val="18"/>
          <w:color w:val="auto"/>
        </w:rPr>
        <w:t>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72"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50"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product candidates we may develop, pose the following risks to us:</w:t>
      </w:r>
    </w:p>
    <w:p>
      <w:pPr>
        <w:spacing w:after="0" w:line="104"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generally have significant discretion in determining the efforts and resources that they will apply to these collaborations;</w:t>
      </w:r>
    </w:p>
    <w:p>
      <w:pPr>
        <w:spacing w:after="0" w:line="103" w:lineRule="exact"/>
        <w:rPr>
          <w:rFonts w:ascii="Times New Roman" w:cs="Times New Roman" w:eastAsia="Times New Roman" w:hAnsi="Times New Roman"/>
          <w:sz w:val="18"/>
          <w:szCs w:val="18"/>
          <w:color w:val="auto"/>
        </w:rPr>
      </w:pPr>
    </w:p>
    <w:p>
      <w:pPr>
        <w:ind w:left="760" w:right="40" w:hanging="378"/>
        <w:spacing w:after="0" w:line="258"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61"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collaborations;</w:t>
      </w:r>
    </w:p>
    <w:p>
      <w:pPr>
        <w:spacing w:after="0" w:line="103" w:lineRule="exact"/>
        <w:rPr>
          <w:rFonts w:ascii="Times New Roman" w:cs="Times New Roman" w:eastAsia="Times New Roman" w:hAnsi="Times New Roman"/>
          <w:sz w:val="18"/>
          <w:szCs w:val="18"/>
          <w:color w:val="auto"/>
        </w:rPr>
      </w:pPr>
    </w:p>
    <w:p>
      <w:pPr>
        <w:ind w:left="760" w:right="68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the cooperation of our collaborators to enforce or defend any intellectual property we contribute to or that arises out of our collaborations, which may not be provided to us;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90"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40"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55"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54" w:lineRule="exact"/>
        <w:rPr>
          <w:rFonts w:ascii="Times New Roman" w:cs="Times New Roman" w:eastAsia="Times New Roman" w:hAnsi="Times New Roman"/>
          <w:sz w:val="18"/>
          <w:szCs w:val="18"/>
          <w:color w:val="auto"/>
        </w:rPr>
      </w:pPr>
    </w:p>
    <w:p>
      <w:pPr>
        <w:jc w:val="both"/>
        <w:ind w:left="760" w:right="40" w:hanging="378"/>
        <w:spacing w:after="0" w:line="24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5"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 candidates may not commit sufficient resources to the marketing and distribution of such product candidates;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our collaborations, including if we undergo a change of control;</w:t>
      </w:r>
    </w:p>
    <w:p>
      <w:pPr>
        <w:spacing w:after="0" w:line="103" w:lineRule="exact"/>
        <w:rPr>
          <w:rFonts w:ascii="Times New Roman" w:cs="Times New Roman" w:eastAsia="Times New Roman" w:hAnsi="Times New Roman"/>
          <w:sz w:val="18"/>
          <w:szCs w:val="18"/>
          <w:color w:val="auto"/>
        </w:rPr>
      </w:pPr>
    </w:p>
    <w:p>
      <w:pPr>
        <w:ind w:left="760" w:right="2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undergo a change of control and the new owners may decide to take the collaboration in a direction which is not in our best interest;</w:t>
      </w:r>
    </w:p>
    <w:p>
      <w:pPr>
        <w:spacing w:after="0" w:line="40" w:lineRule="exact"/>
        <w:rPr>
          <w:rFonts w:ascii="Times New Roman" w:cs="Times New Roman" w:eastAsia="Times New Roman" w:hAnsi="Times New Roman"/>
          <w:sz w:val="18"/>
          <w:szCs w:val="18"/>
          <w:color w:val="auto"/>
        </w:rPr>
      </w:pPr>
    </w:p>
    <w:p>
      <w:pPr>
        <w:ind w:left="760" w:right="8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6" w:name="page47"/>
    <w:bookmarkEnd w:id="46"/>
    <w:p>
      <w:pPr>
        <w:ind w:left="760" w:right="32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become bankrupt, which may significantly delay our research or development programs, or may cause us to lose access to valuable technology, know-how or intellectual property of the collaborator relating to our products, product candidates;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personnel at our collaborators may leave, which could negatively impact our ability to productively work with our collaborators;</w:t>
      </w:r>
    </w:p>
    <w:p>
      <w:pPr>
        <w:spacing w:after="0" w:line="90"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require us to incur short and long-term expenditures, issue securities that dilute our stockholders, or disrupt our management and business;</w:t>
      </w:r>
    </w:p>
    <w:p>
      <w:pPr>
        <w:spacing w:after="0" w:line="54" w:lineRule="exact"/>
        <w:rPr>
          <w:rFonts w:ascii="Times New Roman" w:cs="Times New Roman" w:eastAsia="Times New Roman" w:hAnsi="Times New Roman"/>
          <w:sz w:val="18"/>
          <w:szCs w:val="18"/>
          <w:color w:val="auto"/>
        </w:rPr>
      </w:pPr>
    </w:p>
    <w:p>
      <w:pPr>
        <w:ind w:left="760" w:right="1220" w:hanging="378"/>
        <w:spacing w:after="0" w:line="250"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 or our ABC Platform; and</w:t>
      </w:r>
    </w:p>
    <w:p>
      <w:pPr>
        <w:spacing w:after="0" w:line="6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w:t>
      </w:r>
    </w:p>
    <w:p>
      <w:pPr>
        <w:spacing w:after="0" w:line="104"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66" w:lineRule="exact"/>
        <w:rPr>
          <w:sz w:val="20"/>
          <w:szCs w:val="20"/>
          <w:color w:val="auto"/>
        </w:rPr>
      </w:pPr>
    </w:p>
    <w:p>
      <w:pPr>
        <w:ind w:right="80" w:firstLine="509"/>
        <w:spacing w:after="0" w:line="235" w:lineRule="auto"/>
        <w:rPr>
          <w:sz w:val="20"/>
          <w:szCs w:val="20"/>
          <w:color w:val="auto"/>
        </w:rPr>
      </w:pPr>
      <w:r>
        <w:rPr>
          <w:rFonts w:ascii="Times New Roman" w:cs="Times New Roman" w:eastAsia="Times New Roman" w:hAnsi="Times New Roman"/>
          <w:sz w:val="18"/>
          <w:szCs w:val="18"/>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9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54" w:lineRule="exact"/>
        <w:rPr>
          <w:sz w:val="20"/>
          <w:szCs w:val="20"/>
          <w:color w:val="auto"/>
        </w:rPr>
      </w:pPr>
    </w:p>
    <w:p>
      <w:pPr>
        <w:ind w:right="20" w:firstLine="509"/>
        <w:spacing w:after="0" w:line="233"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If any of our patent applications does not issue as a patent in any jurisdiction, we may not be able to compete effectively.</w:t>
      </w:r>
    </w:p>
    <w:p>
      <w:pPr>
        <w:spacing w:after="0" w:line="108" w:lineRule="exact"/>
        <w:rPr>
          <w:sz w:val="20"/>
          <w:szCs w:val="20"/>
          <w:color w:val="auto"/>
        </w:rPr>
      </w:pPr>
    </w:p>
    <w:p>
      <w:pPr>
        <w:ind w:right="80" w:firstLine="509"/>
        <w:spacing w:after="0"/>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77" w:lineRule="exact"/>
        <w:rPr>
          <w:sz w:val="20"/>
          <w:szCs w:val="20"/>
          <w:color w:val="auto"/>
        </w:rPr>
      </w:pPr>
    </w:p>
    <w:p>
      <w:pPr>
        <w:ind w:right="60" w:firstLine="509"/>
        <w:spacing w:after="0" w:line="233"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w:t>
      </w:r>
    </w:p>
    <w:p>
      <w:pPr>
        <w:spacing w:after="0" w:line="17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50"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p>
    <w:p>
      <w:pPr>
        <w:spacing w:after="0" w:line="63" w:lineRule="exact"/>
        <w:rPr>
          <w:sz w:val="20"/>
          <w:szCs w:val="20"/>
          <w:color w:val="auto"/>
        </w:rPr>
      </w:pPr>
    </w:p>
    <w:p>
      <w:pPr>
        <w:ind w:right="40" w:firstLine="509"/>
        <w:spacing w:after="0" w:line="237"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68" w:lineRule="exact"/>
        <w:rPr>
          <w:sz w:val="20"/>
          <w:szCs w:val="20"/>
          <w:color w:val="auto"/>
        </w:rPr>
      </w:pPr>
    </w:p>
    <w:p>
      <w:pPr>
        <w:ind w:right="80" w:firstLine="509"/>
        <w:spacing w:after="0" w:line="234"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p>
    <w:p>
      <w:pPr>
        <w:spacing w:after="0" w:line="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08"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66" w:lineRule="exact"/>
        <w:rPr>
          <w:sz w:val="20"/>
          <w:szCs w:val="20"/>
          <w:color w:val="auto"/>
        </w:rPr>
      </w:pPr>
    </w:p>
    <w:p>
      <w:pPr>
        <w:ind w:right="60" w:firstLine="509"/>
        <w:spacing w:after="0" w:line="23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79"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4" w:lineRule="exact"/>
        <w:rPr>
          <w:sz w:val="20"/>
          <w:szCs w:val="20"/>
          <w:color w:val="auto"/>
        </w:rPr>
      </w:pPr>
    </w:p>
    <w:p>
      <w:pPr>
        <w:jc w:val="both"/>
        <w:ind w:right="5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2" w:lineRule="exact"/>
        <w:rPr>
          <w:sz w:val="20"/>
          <w:szCs w:val="20"/>
          <w:color w:val="auto"/>
        </w:rPr>
      </w:pPr>
    </w:p>
    <w:p>
      <w:pPr>
        <w:ind w:right="80" w:firstLine="509"/>
        <w:spacing w:after="0" w:line="23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tarcocimab, if we rely on a different product, its development could involve the use of government funds, which can require additional compliance aspects to make certain all rights are transferred to or remain with us.</w:t>
      </w:r>
    </w:p>
    <w:p>
      <w:pPr>
        <w:spacing w:after="0" w:line="18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Issued patents may be challenged or invalidated, and recent changes in U.S. patent law have diminished and may further diminish the value of patents in general. We rely on patents to protect our products, and any diminishment in the scope or value of our patents would adversely affect our business.</w:t>
      </w:r>
    </w:p>
    <w:p>
      <w:pPr>
        <w:spacing w:after="0" w:line="36" w:lineRule="exact"/>
        <w:rPr>
          <w:sz w:val="20"/>
          <w:szCs w:val="20"/>
          <w:color w:val="auto"/>
        </w:rPr>
      </w:pPr>
    </w:p>
    <w:p>
      <w:pPr>
        <w:ind w:firstLine="509"/>
        <w:spacing w:after="0" w:line="237" w:lineRule="auto"/>
        <w:rPr>
          <w:sz w:val="20"/>
          <w:szCs w:val="20"/>
          <w:color w:val="auto"/>
        </w:rPr>
      </w:pPr>
      <w:r>
        <w:rPr>
          <w:rFonts w:ascii="Times New Roman" w:cs="Times New Roman" w:eastAsia="Times New Roman" w:hAnsi="Times New Roman"/>
          <w:sz w:val="18"/>
          <w:szCs w:val="18"/>
          <w:color w:val="auto"/>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9" w:name="page50"/>
    <w:bookmarkEnd w:id="49"/>
    <w:p>
      <w:pPr>
        <w:ind w:right="60" w:firstLine="509"/>
        <w:spacing w:after="0" w:line="235"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p>
    <w:p>
      <w:pPr>
        <w:spacing w:after="0" w:line="79" w:lineRule="exact"/>
        <w:rPr>
          <w:sz w:val="20"/>
          <w:szCs w:val="20"/>
          <w:color w:val="auto"/>
        </w:rPr>
      </w:pPr>
    </w:p>
    <w:p>
      <w:pPr>
        <w:ind w:firstLine="509"/>
        <w:spacing w:after="0" w:line="233" w:lineRule="auto"/>
        <w:rPr>
          <w:sz w:val="20"/>
          <w:szCs w:val="20"/>
          <w:color w:val="auto"/>
        </w:rPr>
      </w:pPr>
      <w:r>
        <w:rPr>
          <w:rFonts w:ascii="Times New Roman" w:cs="Times New Roman" w:eastAsia="Times New Roman" w:hAnsi="Times New Roman"/>
          <w:sz w:val="18"/>
          <w:szCs w:val="18"/>
          <w:color w:val="auto"/>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w:t>
      </w:r>
    </w:p>
    <w:p>
      <w:pPr>
        <w:spacing w:after="0" w:line="81"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As compared to intellectual property-reliant companies generally,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93"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87"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product candidates we may develop, our business may be materially harmed.</w:t>
      </w:r>
    </w:p>
    <w:p>
      <w:pPr>
        <w:spacing w:after="0" w:line="12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7"/>
          <w:szCs w:val="17"/>
          <w:color w:val="auto"/>
        </w:rPr>
        <w:t>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p>
    <w:p>
      <w:pPr>
        <w:spacing w:after="0" w:line="5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p>
    <w:p>
      <w:pPr>
        <w:spacing w:after="0" w:line="185"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63"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73"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51" w:name="page52"/>
    <w:bookmarkEnd w:id="51"/>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37"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p>
    <w:p>
      <w:pPr>
        <w:spacing w:after="0" w:line="69"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have been implemented. As stated above, this reform adds uncertainty to the possibility of challenge to our patents in the future.</w:t>
      </w:r>
    </w:p>
    <w:p>
      <w:pPr>
        <w:spacing w:after="0" w:line="58" w:lineRule="exact"/>
        <w:rPr>
          <w:sz w:val="20"/>
          <w:szCs w:val="20"/>
          <w:color w:val="auto"/>
        </w:rPr>
      </w:pPr>
    </w:p>
    <w:p>
      <w:pPr>
        <w:ind w:right="20" w:firstLine="509"/>
        <w:spacing w:after="0" w:line="230" w:lineRule="auto"/>
        <w:rPr>
          <w:sz w:val="20"/>
          <w:szCs w:val="20"/>
          <w:color w:val="auto"/>
        </w:rPr>
      </w:pPr>
      <w:r>
        <w:rPr>
          <w:rFonts w:ascii="Times New Roman" w:cs="Times New Roman" w:eastAsia="Times New Roman" w:hAnsi="Times New Roman"/>
          <w:sz w:val="18"/>
          <w:szCs w:val="18"/>
          <w:color w:val="auto"/>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w:t>
      </w:r>
    </w:p>
    <w:p>
      <w:pPr>
        <w:spacing w:after="0" w:line="63" w:lineRule="exact"/>
        <w:rPr>
          <w:sz w:val="20"/>
          <w:szCs w:val="20"/>
          <w:color w:val="auto"/>
        </w:rPr>
      </w:pPr>
    </w:p>
    <w:p>
      <w:pPr>
        <w:ind w:firstLine="509"/>
        <w:spacing w:after="0" w:line="230" w:lineRule="auto"/>
        <w:rPr>
          <w:sz w:val="20"/>
          <w:szCs w:val="20"/>
          <w:color w:val="auto"/>
        </w:rPr>
      </w:pPr>
      <w:r>
        <w:rPr>
          <w:rFonts w:ascii="Times New Roman" w:cs="Times New Roman" w:eastAsia="Times New Roman" w:hAnsi="Times New Roman"/>
          <w:sz w:val="18"/>
          <w:szCs w:val="18"/>
          <w:color w:val="auto"/>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impede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p>
    <w:p>
      <w:pPr>
        <w:spacing w:after="0" w:line="68" w:lineRule="exact"/>
        <w:rPr>
          <w:sz w:val="20"/>
          <w:szCs w:val="20"/>
          <w:color w:val="auto"/>
        </w:rPr>
      </w:pPr>
    </w:p>
    <w:p>
      <w:pPr>
        <w:ind w:right="40" w:firstLine="509"/>
        <w:spacing w:after="0" w:line="233" w:lineRule="auto"/>
        <w:rPr>
          <w:sz w:val="20"/>
          <w:szCs w:val="20"/>
          <w:color w:val="auto"/>
        </w:rPr>
      </w:pPr>
      <w:r>
        <w:rPr>
          <w:rFonts w:ascii="Times New Roman" w:cs="Times New Roman" w:eastAsia="Times New Roman" w:hAnsi="Times New Roman"/>
          <w:sz w:val="18"/>
          <w:szCs w:val="18"/>
          <w:color w:val="auto"/>
        </w:rPr>
        <w:t>We are aware of a number of patents and applications that are directed to one or more aspects of tarcocimab. Our intent is to maintain our development efforts under 35 U.S.C. Section 271(e)(1) (which provides a safe harbor from patent infringement claims related to certain drug development activities) through to at least the launch of any tarcocimab product. As such, we do not intend to launch tarcocimab when any valid patent is still in force. We are aware of at least one pending application with claims that are directed to some aspect of tarcocimab, and that could, if issued, result in a patent term beyond our intended launch date of tarcocimab. If this were to occur, we may challenge the validity of the claims, obtain a license, modify tarcocimab, or delay launch.</w:t>
      </w:r>
    </w:p>
    <w:p>
      <w:pPr>
        <w:spacing w:after="0" w:line="77" w:lineRule="exact"/>
        <w:rPr>
          <w:sz w:val="20"/>
          <w:szCs w:val="20"/>
          <w:color w:val="auto"/>
        </w:rPr>
      </w:pPr>
    </w:p>
    <w:p>
      <w:pPr>
        <w:ind w:right="160" w:firstLine="509"/>
        <w:spacing w:after="0" w:line="242" w:lineRule="auto"/>
        <w:rPr>
          <w:sz w:val="20"/>
          <w:szCs w:val="20"/>
          <w:color w:val="auto"/>
        </w:rPr>
      </w:pPr>
      <w:r>
        <w:rPr>
          <w:rFonts w:ascii="Times New Roman" w:cs="Times New Roman" w:eastAsia="Times New Roman" w:hAnsi="Times New Roman"/>
          <w:sz w:val="18"/>
          <w:szCs w:val="18"/>
          <w:color w:val="auto"/>
        </w:rPr>
        <w:t>If we choose to further the pipeline and develop a different product, such a product would be delayed until the expiration of any valid patent that is still in force on such product. Alternatively, our options for addressing any such patents relating to these non-tarcocimab products would include the following: challenge the validity of the claims, obtain a license, or modify the non-tarcocimab product.</w:t>
      </w:r>
    </w:p>
    <w:p>
      <w:pPr>
        <w:spacing w:after="0" w:line="62" w:lineRule="exact"/>
        <w:rPr>
          <w:sz w:val="20"/>
          <w:szCs w:val="20"/>
          <w:color w:val="auto"/>
        </w:rPr>
      </w:pPr>
    </w:p>
    <w:p>
      <w:pPr>
        <w:ind w:right="20" w:firstLine="509"/>
        <w:spacing w:after="0" w:line="231" w:lineRule="auto"/>
        <w:rPr>
          <w:sz w:val="20"/>
          <w:szCs w:val="20"/>
          <w:color w:val="auto"/>
        </w:rPr>
      </w:pPr>
      <w:r>
        <w:rPr>
          <w:rFonts w:ascii="Times New Roman" w:cs="Times New Roman" w:eastAsia="Times New Roman" w:hAnsi="Times New Roman"/>
          <w:sz w:val="18"/>
          <w:szCs w:val="18"/>
          <w:color w:val="auto"/>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technology,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2" w:name="page53"/>
    <w:bookmarkEnd w:id="52"/>
    <w:p>
      <w:pPr>
        <w:ind w:right="480"/>
        <w:spacing w:after="0" w:line="266" w:lineRule="auto"/>
        <w:rPr>
          <w:sz w:val="20"/>
          <w:szCs w:val="20"/>
          <w:color w:val="auto"/>
        </w:rPr>
      </w:pPr>
      <w:r>
        <w:rPr>
          <w:rFonts w:ascii="Times New Roman" w:cs="Times New Roman" w:eastAsia="Times New Roman" w:hAnsi="Times New Roman"/>
          <w:sz w:val="18"/>
          <w:szCs w:val="18"/>
          <w:color w:val="auto"/>
        </w:rPr>
        <w:t>expenditure. If we were unable to further develop and commercialize our ABC Platform, product candidates or other technologies, it would harm our business significantly.</w:t>
      </w:r>
    </w:p>
    <w:p>
      <w:pPr>
        <w:spacing w:after="0" w:line="41" w:lineRule="exact"/>
        <w:rPr>
          <w:sz w:val="20"/>
          <w:szCs w:val="20"/>
          <w:color w:val="auto"/>
        </w:rPr>
      </w:pPr>
    </w:p>
    <w:p>
      <w:pPr>
        <w:ind w:right="100" w:firstLine="509"/>
        <w:spacing w:after="0" w:line="233" w:lineRule="auto"/>
        <w:rPr>
          <w:sz w:val="20"/>
          <w:szCs w:val="20"/>
          <w:color w:val="auto"/>
        </w:rPr>
      </w:pPr>
      <w:r>
        <w:rPr>
          <w:rFonts w:ascii="Times New Roman" w:cs="Times New Roman" w:eastAsia="Times New Roman" w:hAnsi="Times New Roman"/>
          <w:sz w:val="18"/>
          <w:szCs w:val="18"/>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p>
    <w:p>
      <w:pPr>
        <w:spacing w:after="0" w:line="18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50" w:lineRule="exact"/>
        <w:rPr>
          <w:sz w:val="20"/>
          <w:szCs w:val="20"/>
          <w:color w:val="auto"/>
        </w:rPr>
      </w:pPr>
    </w:p>
    <w:p>
      <w:pPr>
        <w:ind w:right="20" w:firstLine="509"/>
        <w:spacing w:after="0" w:line="230"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91"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97"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0"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and “KODIAK SCIENCES” in the United States. Over the long term, if we are unable to establish name recognition based on our trademarks and trade names, then we may not be able to compete effectively and our business may be adversely affected. We engage a third party watching service to monitor use by third parties of names that are identical or similar to our name. We have identified at least two companies that are using names that we continue to monitor. We have sent cease and desist letters to two companies and filed a trademark opposition proceeding against one company. If we deem it appropriate, we may decide to take further action with respect to those companies.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or utilize similar technology but that are not covered by the claims of the patents that we may license or own;</w:t>
      </w:r>
    </w:p>
    <w:p>
      <w:pPr>
        <w:spacing w:after="0" w:line="40" w:lineRule="exact"/>
        <w:rPr>
          <w:rFonts w:ascii="Times New Roman" w:cs="Times New Roman" w:eastAsia="Times New Roman" w:hAnsi="Times New Roman"/>
          <w:sz w:val="18"/>
          <w:szCs w:val="18"/>
          <w:color w:val="auto"/>
        </w:rPr>
      </w:pPr>
    </w:p>
    <w:p>
      <w:pPr>
        <w:ind w:left="760" w:right="540" w:hanging="378"/>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67" w:lineRule="exact"/>
        <w:rPr>
          <w:rFonts w:ascii="Times New Roman" w:cs="Times New Roman" w:eastAsia="Times New Roman" w:hAnsi="Times New Roman"/>
          <w:sz w:val="18"/>
          <w:szCs w:val="18"/>
          <w:color w:val="auto"/>
        </w:rPr>
      </w:pPr>
    </w:p>
    <w:p>
      <w:pPr>
        <w:ind w:left="760" w:right="360" w:hanging="378"/>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54" w:lineRule="exact"/>
        <w:rPr>
          <w:rFonts w:ascii="Times New Roman" w:cs="Times New Roman" w:eastAsia="Times New Roman" w:hAnsi="Times New Roman"/>
          <w:sz w:val="18"/>
          <w:szCs w:val="18"/>
          <w:color w:val="auto"/>
        </w:rPr>
      </w:pPr>
    </w:p>
    <w:p>
      <w:pPr>
        <w:ind w:left="760" w:right="500" w:hanging="378"/>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current or future pending owned or licensed patent applications will not lead to issued patents;</w:t>
      </w:r>
    </w:p>
    <w:p>
      <w:pPr>
        <w:spacing w:after="0" w:line="103"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67"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90" w:lineRule="exact"/>
        <w:rPr>
          <w:rFonts w:ascii="Times New Roman" w:cs="Times New Roman" w:eastAsia="Times New Roman" w:hAnsi="Times New Roman"/>
          <w:sz w:val="18"/>
          <w:szCs w:val="18"/>
          <w:color w:val="auto"/>
        </w:rPr>
      </w:pPr>
    </w:p>
    <w:p>
      <w:pPr>
        <w:ind w:left="760" w:right="560" w:hanging="378"/>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0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36" w:lineRule="exact"/>
        <w:rPr>
          <w:sz w:val="20"/>
          <w:szCs w:val="20"/>
          <w:color w:val="auto"/>
        </w:rPr>
      </w:pPr>
    </w:p>
    <w:p>
      <w:pPr>
        <w:ind w:right="40" w:firstLine="509"/>
        <w:spacing w:after="0" w:line="296" w:lineRule="auto"/>
        <w:rPr>
          <w:sz w:val="20"/>
          <w:szCs w:val="20"/>
          <w:color w:val="auto"/>
        </w:rPr>
      </w:pPr>
      <w:r>
        <w:rPr>
          <w:rFonts w:ascii="Times New Roman" w:cs="Times New Roman" w:eastAsia="Times New Roman" w:hAnsi="Times New Roman"/>
          <w:sz w:val="17"/>
          <w:szCs w:val="17"/>
          <w:color w:val="auto"/>
        </w:rPr>
        <w:t>Developing and commercializing new medicines is a challenging exercise and requires diverse expertise in a variety of scientific, clinical, manufacturing, commercial, financial, people and legal functions. Failure to adequately develop these functions will hurt our ability to compete effectively.</w:t>
      </w:r>
    </w:p>
    <w:p>
      <w:pPr>
        <w:spacing w:after="0" w:line="31"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63" w:lineRule="exact"/>
        <w:rPr>
          <w:sz w:val="20"/>
          <w:szCs w:val="20"/>
          <w:color w:val="auto"/>
        </w:rPr>
      </w:pPr>
    </w:p>
    <w:p>
      <w:pPr>
        <w:ind w:right="20" w:firstLine="509"/>
        <w:spacing w:after="0"/>
        <w:rPr>
          <w:sz w:val="20"/>
          <w:szCs w:val="20"/>
          <w:color w:val="auto"/>
        </w:rPr>
      </w:pPr>
      <w:r>
        <w:rPr>
          <w:rFonts w:ascii="Times New Roman" w:cs="Times New Roman" w:eastAsia="Times New Roman" w:hAnsi="Times New Roman"/>
          <w:sz w:val="18"/>
          <w:szCs w:val="18"/>
          <w:color w:val="auto"/>
        </w:rPr>
        <w:t>We conduct our U.S. operations at our facilities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77" w:lineRule="exact"/>
        <w:rPr>
          <w:sz w:val="20"/>
          <w:szCs w:val="20"/>
          <w:color w:val="auto"/>
        </w:rPr>
      </w:pPr>
    </w:p>
    <w:p>
      <w:pPr>
        <w:ind w:right="80" w:firstLine="509"/>
        <w:spacing w:after="0" w:line="235"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and capabilities of our organization, and we may experience difficulties in managing this growth.*</w:t>
      </w:r>
    </w:p>
    <w:p>
      <w:pPr>
        <w:spacing w:after="0" w:line="108" w:lineRule="exact"/>
        <w:rPr>
          <w:sz w:val="20"/>
          <w:szCs w:val="20"/>
          <w:color w:val="auto"/>
        </w:rPr>
      </w:pPr>
    </w:p>
    <w:p>
      <w:pPr>
        <w:ind w:right="200" w:firstLine="509"/>
        <w:spacing w:after="0" w:line="242" w:lineRule="auto"/>
        <w:rPr>
          <w:sz w:val="20"/>
          <w:szCs w:val="20"/>
          <w:color w:val="auto"/>
        </w:rPr>
      </w:pPr>
      <w:r>
        <w:rPr>
          <w:rFonts w:ascii="Times New Roman" w:cs="Times New Roman" w:eastAsia="Times New Roman" w:hAnsi="Times New Roman"/>
          <w:sz w:val="18"/>
          <w:szCs w:val="18"/>
          <w:color w:val="auto"/>
        </w:rPr>
        <w:t>As of June 30, 2022, we had 101 employees, all of whom were full-time.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w:t>
      </w:r>
    </w:p>
    <w:p>
      <w:pPr>
        <w:spacing w:after="0" w:line="76"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retaining and motivating additional employees;</w:t>
      </w:r>
    </w:p>
    <w:p>
      <w:pPr>
        <w:spacing w:after="0" w:line="103" w:lineRule="exact"/>
        <w:rPr>
          <w:rFonts w:ascii="Times New Roman" w:cs="Times New Roman" w:eastAsia="Times New Roman" w:hAnsi="Times New Roman"/>
          <w:sz w:val="18"/>
          <w:szCs w:val="18"/>
          <w:color w:val="auto"/>
        </w:rPr>
      </w:pPr>
    </w:p>
    <w:p>
      <w:pPr>
        <w:ind w:left="760" w:right="700" w:hanging="378"/>
        <w:spacing w:after="0" w:line="250"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8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operational, financial and management controls, reporting systems and procedures;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increasing operational and managerial complexity.</w:t>
      </w:r>
    </w:p>
    <w:p>
      <w:pPr>
        <w:spacing w:after="0" w:line="117"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82"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7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165"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engage in acquisitions, in-licensing or strategic partnerships, this may increase our capital requirements, dilute our stockholders, cause us to incur debt or assume contingent liabilities and subject us to other risks.</w:t>
      </w:r>
    </w:p>
    <w:p>
      <w:pPr>
        <w:spacing w:after="0" w:line="5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40"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indebtedness or contingent liabilities;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 which would result in dilution to our stockholders;</w:t>
      </w:r>
    </w:p>
    <w:p>
      <w:pPr>
        <w:spacing w:after="0" w:line="103"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products and product candidates of an acquired company, including difficulties associated with integrating new personnel;</w:t>
      </w:r>
    </w:p>
    <w:p>
      <w:pPr>
        <w:spacing w:after="0" w:line="67" w:lineRule="exact"/>
        <w:rPr>
          <w:rFonts w:ascii="Times New Roman" w:cs="Times New Roman" w:eastAsia="Times New Roman" w:hAnsi="Times New Roman"/>
          <w:sz w:val="18"/>
          <w:szCs w:val="18"/>
          <w:color w:val="auto"/>
        </w:rPr>
      </w:pPr>
    </w:p>
    <w:p>
      <w:pPr>
        <w:ind w:left="760" w:right="42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candidates and initiatives in pursuing such an acquisition or strategic partnership;</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54"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4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addition, if we undertake such a transaction, we may incur large one-time expenses and acquire intangible assets that could result in significant future amortization expense.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5" w:name="page56"/>
    <w:bookmarkEnd w:id="55"/>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or those maintained on our behalf by CROs, service providers or other third parties, are compromised now, or in the future, or the security, confidentiality, integrity or availability of our information technology, software, services, networks, communications or data is compromised, limited or fails, this could result in significant fines or other liability, interrupt our development programs, harm our reputation, or otherwise adversely affect our business.*</w:t>
      </w:r>
    </w:p>
    <w:p>
      <w:pPr>
        <w:spacing w:after="0" w:line="80"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In the ordinary course of our business, we process personal data and other sensitive information, including proprietary and confidential business data, trade secrets, intellectual property, data collected about trial participants in connection with clinical trials, and sensitive third-party data. We may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and other functions. Our ability to monitor these third parties’ information security practices is limited, and these third parties may not have adequate information security measures in place.</w:t>
      </w:r>
    </w:p>
    <w:p>
      <w:pPr>
        <w:spacing w:after="0" w:line="74"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Cyberattacks, malicious internet-based activity, and online and offline fraud are prevalent and continue to increase. These threats are becoming increasingly difficult to detect. The information and data processed and stored in our technology systems, and those of our research collaborators, CROs, contractors, consultants, and other third parties on which we depend to operate our business, may be vulnerable to these threats. These threats come from a variety of sources, including traditional computer “hackers,” threat actors, personnel (such as through theft or misuse), sophisticated nation-states, and nation-state-supported actors. During times of war and other major conflicts, including as a result of the ongoing military conflict between Russia and Ukraine and the related sanctions imposed against Russia, we and the third parties upon which we rely may be vulnerable to a heightened risk of these attacks, including cyber-attacks that could materially disrupt our systems and operations and supply chain.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w:t>
      </w:r>
    </w:p>
    <w:p>
      <w:pPr>
        <w:spacing w:after="0" w:line="98"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Additionally, as a result of the ongoing COVID-19 pandemic, certain employees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w:t>
      </w:r>
    </w:p>
    <w:p>
      <w:pPr>
        <w:spacing w:after="0" w:line="69"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7"/>
          <w:szCs w:val="17"/>
          <w:color w:val="auto"/>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our sensitive information. Although to our knowledge, we have not experienced a material system failure or security incident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third-party research institution collaborators, CROs, other contractors and consultants for many aspects of our business, including research and development activities and manufacturing of our product candidates, and similar events relating to their computer systems could also have a material adverse effect on our business.</w:t>
      </w:r>
    </w:p>
    <w:p>
      <w:pPr>
        <w:spacing w:after="0" w:line="7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While we have developed systems and processes designed to protect the integrity, confidentiality and security of the sensitive information under our control, we cannot assure you that our security measures or those of the third parties we depend on will be effective in preventing security incidents. There are many different and rapidly evolving cybercrime and hacking techniques, and we may be unable to anticipate attempted security incidents, identify them before our information is exploited, or react in a timely manner.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6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Additionally, applicable data protection requirements, including, without limitation, laws, regulations, guidance as well as our internal and external policies and our contractual obligations, may require us to notify relevant stakeholders of security incidents, including affected individuals, partners, collaborators, regulators, law enforcement agencies, and others. Such disclosures are costly, and the disclosure or the failure to comply with such requirements could lead to litigation or other liability, fines, harm to our reputation, significant costs, or other materially adverse effects. Any limitations or exclusions of liability in our contracts may not be enforceable or adequate or protect us from liability or damages.</w:t>
      </w:r>
    </w:p>
    <w:p>
      <w:pPr>
        <w:spacing w:after="0" w:line="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56" w:name="page57"/>
    <w:bookmarkEnd w:id="56"/>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Our insurance coverage may not be adequate for cybersecurity liabilities, may not continue to be available to us on economically reasonable terms, or at all, and insurers could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08"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For example, in connection to the ongoing COVID-19 pandemic, the various quarantines, shelter-in-place and similar government orders, or the perception that such orders, shutdowns or other restrictions on the conduct of business operations could occur, related to COVID-19 or other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the ongoing COVID-19 pandemic impacts our results will depend on future developments, which are highly uncertain and cannot be accurately predicted, including new information which may emerge concerning the severity of the COVID-19 pandemic and the actions to contain the coronavirus or treat its impact, among others.</w:t>
      </w:r>
    </w:p>
    <w:p>
      <w:pPr>
        <w:spacing w:after="0" w:line="77"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87" w:lineRule="exact"/>
        <w:rPr>
          <w:sz w:val="20"/>
          <w:szCs w:val="20"/>
          <w:color w:val="auto"/>
        </w:rPr>
      </w:pPr>
    </w:p>
    <w:p>
      <w:pPr>
        <w:ind w:right="180" w:firstLine="509"/>
        <w:spacing w:after="0" w:line="272" w:lineRule="auto"/>
        <w:rPr>
          <w:sz w:val="20"/>
          <w:szCs w:val="20"/>
          <w:color w:val="auto"/>
        </w:rPr>
      </w:pPr>
      <w:r>
        <w:rPr>
          <w:rFonts w:ascii="Times New Roman" w:cs="Times New Roman" w:eastAsia="Times New Roman" w:hAnsi="Times New Roman"/>
          <w:sz w:val="17"/>
          <w:szCs w:val="17"/>
          <w:color w:val="auto"/>
        </w:rPr>
        <w:t>We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economic, political, regulatory and other risks associated with international operations.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54"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non-U.S. economies and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changing regulatory requirements, pricing and reimbursement regimes in non-U.S. countries;</w:t>
      </w:r>
    </w:p>
    <w:p>
      <w:pPr>
        <w:spacing w:after="0" w:line="103" w:lineRule="exact"/>
        <w:rPr>
          <w:rFonts w:ascii="Times New Roman" w:cs="Times New Roman" w:eastAsia="Times New Roman" w:hAnsi="Times New Roman"/>
          <w:sz w:val="18"/>
          <w:szCs w:val="18"/>
          <w:color w:val="auto"/>
        </w:rPr>
      </w:pPr>
    </w:p>
    <w:p>
      <w:pPr>
        <w:ind w:left="760" w:right="68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non-U.S. laws and regulations;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regulations and customs, tariffs and trade barriers;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and currency controls;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U.S. or non-U.S. governments;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or comparable foreign laws; and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7" w:name="page58"/>
    <w:bookmarkEnd w:id="57"/>
    <w:p>
      <w:pPr>
        <w:ind w:left="760" w:right="8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(including the current Russia-Ukraine conflict) and terrorism or natural disasters.</w:t>
      </w:r>
    </w:p>
    <w:p>
      <w:pPr>
        <w:spacing w:after="0" w:line="40"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Following the result of a referendum in 2016, the United Kingdom, or UK, left the European Union, or EU, on January 31, 2020, commonly referred to as Brexit. Pursuant to the formal withdrawal arrangements agreed between the UK and the EU, the UK was subject to a transition period until December 31, 2020, or the Transition Period, during which EU rules continued to apply. A trade and cooperation agreement, or the Trade and Cooperation Agreement, that outlines the future trading relationship between the United Kingdom and the European Union applied provisionally from January 1, 2021, and formally entered into force on May 1, 2021.</w:t>
      </w:r>
    </w:p>
    <w:p>
      <w:pPr>
        <w:spacing w:after="0" w:line="87"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7"/>
          <w:szCs w:val="17"/>
          <w:color w:val="auto"/>
        </w:rPr>
        <w:t>Since a significant proportion of the regulatory framework in the UK, is derived from EU directives and regulations, Brexit may have a material impact upon the regulatory regime applicable to our operations, including with respect to our ability to obtain regulatory approvals of our product candidates in the EU. For example, Great Britain is no longer covered by the centralized procedures for obtaining EU-wide marketing authorization from the European Medicines Agency, or EMA, and a separate marketing authorization will be required to market our product candidates in Great Britain. Any delay in obtaining, or an inability to obtain, any marketing approvals, would restrict our ability to generate revenue and achieve and sustain profitability.</w:t>
      </w:r>
    </w:p>
    <w:p>
      <w:pPr>
        <w:spacing w:after="0" w:line="59"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While the Trade and Cooperation Agreement provides for the tariff-free trade of medicinal products between the UK and the EU there are additional non-tariff costs to such trade which did not exist prior to the end of the Transition Period. Further, should the UK diverge from the EU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92"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Other international, geo-political, and macroeconomic events could also have an adverse impact on our business. For instance, in February 2022, Russia initiated military action against Ukraine.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materially adversely affect global trade, currency exchange rates, inflation, regional economies, and the global economy, which in turn may increase our costs, disrupt our supply chain, or otherwise adversely affect our business, financial condition, and results of operations. In addition, increasing inflation rates and the responses by central banking authorities to control such inflation have contributed to uncertainty and volatility in U.S. and global markets. Rising inflation rates in the United States have begun to affect businesses across many industries, including ours, by increasing costs of operations such as labor.</w:t>
      </w:r>
    </w:p>
    <w:p>
      <w:pPr>
        <w:spacing w:after="0" w:line="78"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These and other risks associated with our planned international operations may materially adversely affect our business, financial condition, and ability to attain profitable operations.</w:t>
      </w:r>
    </w:p>
    <w:p>
      <w:pPr>
        <w:spacing w:after="0" w:line="17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business is currently affected and could be materially and adversely affected in the future by the effects of disease outbreaks, epidemics and pandemics, including the ongoing effects of the COVID-19 pandemic. The COVID-19 pandemic continues to impact our business and could materially and adversely affect our operations, as well as the business or operations of our manufacturers, CROs or other third parties with whom we conduct business.</w:t>
      </w:r>
    </w:p>
    <w:p>
      <w:pPr>
        <w:spacing w:after="0" w:line="66"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Our business could be materially and adversely affected by health epidemics in regions where we have concentrations of clinical trial sites or other business operations and could cause significant disruption in the operations of third-party manufacturers and CROs upon whom we rely. For example, in March 2020, the World Health Organization declared the COVID-19 outbreak a pandemic. In response, we delayed initiation of the next set of tarcocimab pivotal studies by one quarter from June to September 2020 in order to assess how best to minimize the impact of COVID-19 on clinical trial conduct. We implemented and continue to implement various enhancements into our ongoing study execution to help ensure the safety of patients, physicians, study site staff and Kodiak operations team members during the ongoing COVID-19 pandemic, including the use of remote study monitoring.</w:t>
      </w:r>
    </w:p>
    <w:p>
      <w:pPr>
        <w:spacing w:after="0" w:line="72"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The COVID-19 pandemic continues to unfold and we will continue to monitor our operations in response. We continue to observe government recommendations. Quarantines for COVID-19 or other viruses could impact personnel at third party manufacturing facilities, or the availability or cost of materials, which would disrupt our supply chain. While many of these materials may be obtained by more than one supplier, port closures and other restrictions resulting from the coronavirus outbreak in the region may disrupt our supply chain or limit our ability to obtain sufficient materials for our drug products. As we work towards commercial scale-up and manufacturing activities to support BLA submission, there is increasing competition with COVID-19 vaccine and therapeutic programs for manufacturing related (i) materials such as resins, filters, sterile tubesets, pipette tips; (ii) personnel such as facility engineering and construction as well as plant engineers and workers; and (iii) production slots in cGMP facilities.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8" w:name="page59"/>
    <w:bookmarkEnd w:id="58"/>
    <w:p>
      <w:pPr>
        <w:ind w:firstLine="509"/>
        <w:spacing w:after="0" w:line="242" w:lineRule="auto"/>
        <w:rPr>
          <w:sz w:val="20"/>
          <w:szCs w:val="20"/>
          <w:color w:val="auto"/>
        </w:rPr>
      </w:pPr>
      <w:r>
        <w:rPr>
          <w:rFonts w:ascii="Times New Roman" w:cs="Times New Roman" w:eastAsia="Times New Roman" w:hAnsi="Times New Roman"/>
          <w:sz w:val="18"/>
          <w:szCs w:val="18"/>
          <w:color w:val="auto"/>
        </w:rPr>
        <w:t>In addition, our current and future clinical trials may be materially and adversely affected by the COVID-19 outbreak in the future. Site initiation and patient enrollment may be further delayed due to prioritization of hospital resources toward the COVID-19 outbreak.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to COVID-19, and may adversely impact our clinical trial operations. Kodiak staff and/or our CRO partners may not be able to travel to study sites, impacting further site initiations and in-person monitoring of study data quality. Other Kodiak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and/or missed visit rates if these patients are adversely affected by the COVID-19 outbreak. To date, we continue to see low levels of patient missed visits. Additionally, the pandemic could result in delayed recruitment in some or all of our clinical studies that are currently recruiting patients, for example if as a consequence of the pandemic patients are not willing to be seen by their physician as frequently as our study protocols require.</w:t>
      </w:r>
    </w:p>
    <w:p>
      <w:pPr>
        <w:spacing w:after="0" w:line="94"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The global outbreak of COVID-19 continues to rapidly evolve. The ultimate impact of the COVID-19 outbreak or a similar health epidemic is highly uncertain and subject to change.</w:t>
      </w:r>
    </w:p>
    <w:p>
      <w:pPr>
        <w:spacing w:after="0" w:line="54"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The extent to which the risks and evolving effects of the COVID-19 pandemic impact our business and our clinical development and regulatory efforts will depend on future developments that are highly uncertain and cannot be predicted with confidence, such as the ultimate duration and severity of the pandemic, government actions, such as travel restrictions, quarantines and social distancing requirements, business closures or business disruptions and the effectiveness of actions taken in the United States and in other countries to contain and treat the disease, including the effectiveness and timing of vaccine programs in the United States and worldwide. The COVID-19 pandemic may also have the effect of heightening many of the other risks described in this “Risk Factors” section.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As of December 31, 2021, we had $57.5 million of federal and $395.4 million of state net operating loss, or NOLs, that may be available to offset future taxable income. A portion of the federal NOL carryforwards begin to expire in 2035 and the state NOL carryforwards begin to expire in 2035,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NOL carryforwards and other pre-change tax attributes to offset its post-change taxable income or taxes may be limited. We may have experienced such ownership changes in the past, and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w:t>
      </w:r>
    </w:p>
    <w:p>
      <w:pPr>
        <w:spacing w:after="0" w:line="78"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U.S. federal tax legislation enacted in 2017, informally titled The Tax Cuts and Jobs Act (the “Tax Act”), as modified by the Coronavirus Aid, Relief, and Economic Security Act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The new limitations on use of NOLs may significantly impact our ability to utilize our NOLs to offset taxable income in the future.</w:t>
      </w:r>
    </w:p>
    <w:p>
      <w:pPr>
        <w:spacing w:after="0" w:line="182"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9" w:name="page60"/>
    <w:bookmarkEnd w:id="59"/>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and proposals have recently been made in Congress (which have not yet been enacted) to make tax law changes that could have a material adverse impact on us. In addition, it is uncertain if and to what extent various states will conform to the Tax Act, the CARES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Financial Condition and Capital Requirements</w:t>
      </w:r>
    </w:p>
    <w:p>
      <w:pPr>
        <w:spacing w:after="0" w:line="104"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6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are a clinical stage biopharmaceutical company committed to researching, developing and commercializing transformative therapeutics to treat high prevalence retinal diseases. We commenced operations in June 2009, have no products approved for commercial sale and have not generated any revenue. Drug development is a highly uncertain undertaking and involves a substantial degree of risk. Except for tarcocimab, we have not initiated clinical trials for any of our other product candidates. To date, we have not completed a pivotal clinical trial, obtained marketing approval for any product candidates, manufactured a commercial scale product,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97"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5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have incurred net losses in each reporting period since our inception, including net losses of $186.3 million for the six months ended June 30, 2022. As of June 30, 2022, we had an accumulated deficit of $744.6 million.</w:t>
      </w:r>
    </w:p>
    <w:p>
      <w:pPr>
        <w:spacing w:after="0" w:line="6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p>
    <w:p>
      <w:pPr>
        <w:spacing w:after="0" w:line="6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68"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our current and any future product candidates through preclinical and clinical development;</w:t>
      </w:r>
    </w:p>
    <w:p>
      <w:pPr>
        <w:spacing w:after="0" w:line="103"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our contract manufacturers to scale up the manufacturing processes for our product candidates or, in the future, establish and operate a manufacturing facility;</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discovery activities;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development of our ABC Platform;</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additional preclinical, clinical or other studies for our current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add additional contract manufacturers or suppliers;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and marketing authorizations for our product candidates, including tarcocimab;</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and distribution infrastructure to commercialize any products for which we obtain approval;</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 candidates, intellectual property and technologies;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0" w:name="page61"/>
    <w:bookmarkEnd w:id="60"/>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due under any current or future collaboration or license agreements;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protect and enforce our intellectual property portfolio;</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other issues related to our operations;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requirements and demands of being a public company;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against any product liability claims or other lawsuits related to our products.</w:t>
      </w:r>
    </w:p>
    <w:p>
      <w:pPr>
        <w:spacing w:after="0" w:line="10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spacing w:after="0" w:line="165"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63"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ability to generate revenue and achieve profitability depends significantly on many factors, including:</w:t>
      </w:r>
    </w:p>
    <w:p>
      <w:pPr>
        <w:spacing w:after="0" w:line="104"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research and preclinical and clinical development of our product candidates;</w:t>
      </w:r>
    </w:p>
    <w:p>
      <w:pPr>
        <w:spacing w:after="0" w:line="10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approvals and marketing authorizations for product candidates for which we successfully complete clinical development and clinical trials;</w:t>
      </w:r>
    </w:p>
    <w:p>
      <w:pPr>
        <w:spacing w:after="0" w:line="40" w:lineRule="exact"/>
        <w:rPr>
          <w:rFonts w:ascii="Times New Roman" w:cs="Times New Roman" w:eastAsia="Times New Roman" w:hAnsi="Times New Roman"/>
          <w:sz w:val="18"/>
          <w:szCs w:val="18"/>
          <w:color w:val="auto"/>
        </w:rPr>
      </w:pPr>
    </w:p>
    <w:p>
      <w:pPr>
        <w:jc w:val="both"/>
        <w:ind w:left="760" w:right="240" w:hanging="378"/>
        <w:spacing w:after="0" w:line="258"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and/or developing new product candidates;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w:t>
      </w:r>
    </w:p>
    <w:p>
      <w:pPr>
        <w:spacing w:after="0" w:line="117"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54"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an adequate price for our product candidates, both in the United States and in foreign countries where our products are commercialized;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adequate reimbursement for our product candidates from payors;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as viable treatment options;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expanding and enforcing our portfolio of intellectual property rights, including patents, trade secrets and know-how;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04" w:lineRule="exact"/>
        <w:rPr>
          <w:sz w:val="20"/>
          <w:szCs w:val="20"/>
          <w:color w:val="auto"/>
        </w:rPr>
      </w:pPr>
    </w:p>
    <w:p>
      <w:pPr>
        <w:jc w:val="both"/>
        <w:ind w:right="80" w:firstLine="509"/>
        <w:spacing w:after="0" w:line="247"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1" w:name="page62"/>
    <w:bookmarkEnd w:id="61"/>
    <w:p>
      <w:pPr>
        <w:ind w:firstLine="509"/>
        <w:spacing w:after="0" w:line="235" w:lineRule="auto"/>
        <w:rPr>
          <w:sz w:val="20"/>
          <w:szCs w:val="20"/>
          <w:color w:val="auto"/>
        </w:rPr>
      </w:pPr>
      <w:r>
        <w:rPr>
          <w:rFonts w:ascii="Times New Roman" w:cs="Times New Roman" w:eastAsia="Times New Roman" w:hAnsi="Times New Roman"/>
          <w:sz w:val="18"/>
          <w:szCs w:val="18"/>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80" w:lineRule="exact"/>
        <w:rPr>
          <w:sz w:val="20"/>
          <w:szCs w:val="20"/>
          <w:color w:val="auto"/>
        </w:rPr>
      </w:pPr>
    </w:p>
    <w:p>
      <w:pPr>
        <w:ind w:right="120" w:firstLine="509"/>
        <w:spacing w:after="0" w:line="242" w:lineRule="auto"/>
        <w:rPr>
          <w:sz w:val="20"/>
          <w:szCs w:val="20"/>
          <w:color w:val="auto"/>
        </w:rPr>
      </w:pPr>
      <w:r>
        <w:rPr>
          <w:rFonts w:ascii="Times New Roman" w:cs="Times New Roman" w:eastAsia="Times New Roman" w:hAnsi="Times New Roman"/>
          <w:sz w:val="18"/>
          <w:szCs w:val="18"/>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p>
    <w:p>
      <w:pPr>
        <w:spacing w:after="0" w:line="180" w:lineRule="exact"/>
        <w:rPr>
          <w:sz w:val="20"/>
          <w:szCs w:val="20"/>
          <w:color w:val="auto"/>
        </w:rPr>
      </w:pPr>
    </w:p>
    <w:p>
      <w:pPr>
        <w:ind w:right="9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additional financing, we may be unable to complete the development and, if approved, commercialization of our product candidates.*</w:t>
      </w:r>
    </w:p>
    <w:p>
      <w:pPr>
        <w:spacing w:after="0" w:line="36" w:lineRule="exact"/>
        <w:rPr>
          <w:sz w:val="20"/>
          <w:szCs w:val="20"/>
          <w:color w:val="auto"/>
        </w:rPr>
      </w:pPr>
    </w:p>
    <w:p>
      <w:pPr>
        <w:ind w:right="160" w:firstLine="509"/>
        <w:spacing w:after="0"/>
        <w:rPr>
          <w:sz w:val="20"/>
          <w:szCs w:val="20"/>
          <w:color w:val="auto"/>
        </w:rPr>
      </w:pPr>
      <w:r>
        <w:rPr>
          <w:rFonts w:ascii="Times New Roman" w:cs="Times New Roman" w:eastAsia="Times New Roman" w:hAnsi="Times New Roman"/>
          <w:sz w:val="18"/>
          <w:szCs w:val="18"/>
          <w:color w:val="auto"/>
        </w:rPr>
        <w:t>Our operations have required substantial amounts of cash since inception. To date, we have funded our operations primarily through the sale of equity securities. Developing our product candidates is expensive, and we expect to continue to increase our spending as we conduct the Phase 3 clinical trials for our tarcocimab product candidate. Even if we are successful in developing our product candidates, obtaining regulatory approvals and launching and commercializing any product candidate will require substantial additional funding.</w:t>
      </w:r>
    </w:p>
    <w:p>
      <w:pPr>
        <w:spacing w:after="0" w:line="77" w:lineRule="exact"/>
        <w:rPr>
          <w:sz w:val="20"/>
          <w:szCs w:val="20"/>
          <w:color w:val="auto"/>
        </w:rPr>
      </w:pPr>
    </w:p>
    <w:p>
      <w:pPr>
        <w:ind w:right="160" w:firstLine="509"/>
        <w:spacing w:after="0" w:line="239" w:lineRule="auto"/>
        <w:rPr>
          <w:sz w:val="20"/>
          <w:szCs w:val="20"/>
          <w:color w:val="auto"/>
        </w:rPr>
      </w:pPr>
      <w:r>
        <w:rPr>
          <w:rFonts w:ascii="Times New Roman" w:cs="Times New Roman" w:eastAsia="Times New Roman" w:hAnsi="Times New Roman"/>
          <w:sz w:val="18"/>
          <w:szCs w:val="18"/>
          <w:color w:val="auto"/>
        </w:rPr>
        <w:t>Our estimate as to how long we expect our existing cash, cash equivalents and marketable securities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63" w:lineRule="exact"/>
        <w:rPr>
          <w:sz w:val="20"/>
          <w:szCs w:val="20"/>
          <w:color w:val="auto"/>
        </w:rPr>
      </w:pPr>
    </w:p>
    <w:p>
      <w:pPr>
        <w:ind w:right="20" w:firstLine="509"/>
        <w:spacing w:after="0" w:line="233" w:lineRule="auto"/>
        <w:rPr>
          <w:sz w:val="20"/>
          <w:szCs w:val="20"/>
          <w:color w:val="auto"/>
        </w:rPr>
      </w:pPr>
      <w:r>
        <w:rPr>
          <w:rFonts w:ascii="Times New Roman" w:cs="Times New Roman" w:eastAsia="Times New Roman" w:hAnsi="Times New Roman"/>
          <w:sz w:val="18"/>
          <w:szCs w:val="18"/>
          <w:color w:val="auto"/>
        </w:rPr>
        <w:t>We will require additional capital for the further development and, if approved, commercialization of our product candidates. Additional capital may not be available when we need it, on terms acceptable to us or at all. For example, the ongoing COVID-19 pandemic has significantly disrupted world financial markets, negatively impacted US market conditions, increased the volatility of trading prices for biopharmaceutical companies, and may reduce opportunities for us to seek out additional funding when needed. Similarly, the current Russia-Ukraine conflict has created extreme volatility in the global capital markets and is expected to have further global economic consequences, including disruptions of the global supply chain. Further, inflation rates, particularly in the United States, have increased recently to levels not seen in decades, and the Federal Reserve has raised, and may again raise, interest rates. These conditions of economic uncertainty and market volatility could limit additional capital available to us, if and when needed. We currently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spacing w:after="0" w:line="189"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91"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result in substantial losses for investors purchasing shares.*</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market price of our common stock may be volatile. For example, the closing price of our common stock from December 31, 2020 to December 31, 2021 ranged from a low of $77.20 to a high of $164.47 and from January 1, 2022 to July 29, 2022 ranged from a low of $5.04 to a high of $89.45. As a result, you may not be able to sell your common stock at or above the price that you paid for such shares. Some of the factors that may cause the market price of our common stock to fluctuate include:</w:t>
      </w:r>
    </w:p>
    <w:p>
      <w:pPr>
        <w:spacing w:after="0" w:line="83"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for our current product candidates and any future product candidates that we may develop;</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product candidates;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our ABC Platform;</w:t>
      </w:r>
    </w:p>
    <w:p>
      <w:pPr>
        <w:spacing w:after="0" w:line="103"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litigation;</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programs, product candidates that we may develop;</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develop additional product candidates or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stock;</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9" w:right="399" w:bottom="1440" w:gutter="0" w:footer="0" w:header="0"/>
        </w:sectPr>
      </w:pPr>
    </w:p>
    <w:bookmarkStart w:id="63" w:name="page64"/>
    <w:bookmarkEnd w:id="63"/>
    <w:p>
      <w:pPr>
        <w:ind w:left="760" w:right="380" w:hanging="378"/>
        <w:spacing w:after="0" w:line="250"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fluctuations attributable to the ongoing COVID-19 pandemic, the current inflationary environment, lowered consumer confidence, the recent Russian invasion of Ukraine as well as continued and any new sanctions against Russia by, among others, the United States and the European Union, which restrict a wide range of trade and financial dealings with Russia and Russia parties, and other unforeseeable circumstances; and</w:t>
      </w:r>
    </w:p>
    <w:p>
      <w:pPr>
        <w:spacing w:after="0" w:line="8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04"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7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50" w:lineRule="exact"/>
        <w:rPr>
          <w:sz w:val="20"/>
          <w:szCs w:val="20"/>
          <w:color w:val="auto"/>
        </w:rPr>
      </w:pPr>
    </w:p>
    <w:p>
      <w:pPr>
        <w:ind w:firstLine="509"/>
        <w:spacing w:after="0" w:line="225" w:lineRule="auto"/>
        <w:rPr>
          <w:sz w:val="20"/>
          <w:szCs w:val="20"/>
          <w:color w:val="auto"/>
        </w:rPr>
      </w:pPr>
      <w:r>
        <w:rPr>
          <w:rFonts w:ascii="Times New Roman" w:cs="Times New Roman" w:eastAsia="Times New Roman" w:hAnsi="Times New Roman"/>
          <w:sz w:val="18"/>
          <w:szCs w:val="18"/>
          <w:color w:val="auto"/>
        </w:rPr>
        <w:t>We will seek additional capital through one or a combination of public and private equity offerings, debt financings, strategic partnerships and alliances or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own a significant percentage of our common stock, which could limit your ability to affect the outcome of key transactions, including a change of control.</w:t>
      </w:r>
    </w:p>
    <w:p>
      <w:pPr>
        <w:spacing w:after="0" w:line="50" w:lineRule="exact"/>
        <w:rPr>
          <w:sz w:val="20"/>
          <w:szCs w:val="20"/>
          <w:color w:val="auto"/>
        </w:rPr>
      </w:pPr>
    </w:p>
    <w:p>
      <w:pPr>
        <w:ind w:right="80" w:firstLine="509"/>
        <w:spacing w:after="0" w:line="236" w:lineRule="auto"/>
        <w:rPr>
          <w:sz w:val="20"/>
          <w:szCs w:val="20"/>
          <w:color w:val="auto"/>
        </w:rPr>
      </w:pPr>
      <w:r>
        <w:rPr>
          <w:rFonts w:ascii="Times New Roman" w:cs="Times New Roman" w:eastAsia="Times New Roman" w:hAnsi="Times New Roman"/>
          <w:sz w:val="18"/>
          <w:szCs w:val="18"/>
          <w:color w:val="auto"/>
        </w:rPr>
        <w:t>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8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50"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83"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cumulative voting in the election of directors;</w:t>
      </w:r>
    </w:p>
    <w:p>
      <w:pPr>
        <w:spacing w:after="0" w:line="103"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shares of preferred stock and determine the price and other terms of those shares, including preferences and voting rights, without stockholder approval;</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with the exclusive right to elect a director to fill a vacancy or newly created directorship;</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stockholders to only take actions at a duly called annual or special meeting and not by written consent;</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a special meeting of stockholders;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stockholders give advance notice to nominate directors or submit proposals for consideration at stockholder meetings;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by a majority vote, to amend the bylaws;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4" w:name="page65"/>
    <w:bookmarkEnd w:id="64"/>
    <w:p>
      <w:pPr>
        <w:ind w:left="760" w:right="22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at least 66 2/3% or more of the outstanding shares of common stock to amend many of the provisions described above.</w:t>
      </w:r>
    </w:p>
    <w:p>
      <w:pPr>
        <w:spacing w:after="0" w:line="40"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69" w:lineRule="exact"/>
        <w:rPr>
          <w:sz w:val="20"/>
          <w:szCs w:val="20"/>
          <w:color w:val="auto"/>
        </w:rPr>
      </w:pPr>
    </w:p>
    <w:p>
      <w:pPr>
        <w:jc w:val="both"/>
        <w:ind w:right="200" w:firstLine="509"/>
        <w:spacing w:after="0" w:line="258"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65" w:lineRule="exact"/>
        <w:rPr>
          <w:sz w:val="20"/>
          <w:szCs w:val="20"/>
          <w:color w:val="auto"/>
        </w:rPr>
      </w:pPr>
    </w:p>
    <w:p>
      <w:pPr>
        <w:jc w:val="both"/>
        <w:ind w:right="5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bylaws provide that the Court of Chancery of the State of Delaware will be the exclusive forum for:</w:t>
      </w:r>
    </w:p>
    <w:p>
      <w:pPr>
        <w:spacing w:after="0" w:line="104"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fiduciary duty;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our certificate of incorporation, or our bylaws;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1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bylaws further provide that the U.S. federal district courts will be the exclusive forum for resolving any complaint asserting a cause of action arising under the Securities Act of 1933, as amended.</w:t>
      </w:r>
    </w:p>
    <w:p>
      <w:pPr>
        <w:spacing w:after="0" w:line="54"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5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share price to decline, even if our business is doing well.</w:t>
      </w:r>
    </w:p>
    <w:p>
      <w:pPr>
        <w:spacing w:after="0" w:line="12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5" w:name="page66"/>
    <w:bookmarkEnd w:id="65"/>
    <w:p>
      <w:pPr>
        <w:jc w:val="both"/>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 Furthermore, our business, financial position, and results of operations could be adversely affected.</w:t>
      </w:r>
    </w:p>
    <w:p>
      <w:pPr>
        <w:spacing w:after="0" w:line="60" w:lineRule="exact"/>
        <w:rPr>
          <w:sz w:val="20"/>
          <w:szCs w:val="20"/>
          <w:color w:val="auto"/>
        </w:rPr>
      </w:pPr>
    </w:p>
    <w:p>
      <w:pPr>
        <w:ind w:right="140" w:firstLine="509"/>
        <w:spacing w:after="0" w:line="312" w:lineRule="auto"/>
        <w:rPr>
          <w:sz w:val="20"/>
          <w:szCs w:val="20"/>
          <w:color w:val="auto"/>
        </w:rPr>
      </w:pPr>
      <w:r>
        <w:rPr>
          <w:rFonts w:ascii="Times New Roman" w:cs="Times New Roman" w:eastAsia="Times New Roman" w:hAnsi="Times New Roman"/>
          <w:sz w:val="17"/>
          <w:szCs w:val="17"/>
          <w:color w:val="auto"/>
        </w:rPr>
        <w:t>As a public company, we are subject to reporting and other obligations under the Exchange Act, including the requirements of the Sarbanes-Oxley Act of 2002 ("SOX") Section 404, which require annual management assessments of the effectiveness of our internal control over financial reporting.</w:t>
      </w:r>
    </w:p>
    <w:p>
      <w:pPr>
        <w:spacing w:after="0" w:line="18" w:lineRule="exact"/>
        <w:rPr>
          <w:sz w:val="20"/>
          <w:szCs w:val="20"/>
          <w:color w:val="auto"/>
        </w:rPr>
      </w:pPr>
    </w:p>
    <w:p>
      <w:pPr>
        <w:jc w:val="both"/>
        <w:ind w:right="240" w:firstLine="509"/>
        <w:spacing w:after="0" w:line="247"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w:t>
      </w:r>
    </w:p>
    <w:p>
      <w:pPr>
        <w:spacing w:after="0" w:line="2" w:lineRule="exact"/>
        <w:rPr>
          <w:sz w:val="20"/>
          <w:szCs w:val="20"/>
          <w:color w:val="auto"/>
        </w:rPr>
      </w:pPr>
    </w:p>
    <w:p>
      <w:pPr>
        <w:jc w:val="both"/>
        <w:ind w:right="240"/>
        <w:spacing w:after="0" w:line="243" w:lineRule="auto"/>
        <w:rPr>
          <w:sz w:val="20"/>
          <w:szCs w:val="20"/>
          <w:color w:val="auto"/>
        </w:rPr>
      </w:pPr>
      <w:r>
        <w:rPr>
          <w:rFonts w:ascii="Times New Roman" w:cs="Times New Roman" w:eastAsia="Times New Roman" w:hAnsi="Times New Roman"/>
          <w:sz w:val="18"/>
          <w:szCs w:val="18"/>
          <w:color w:val="auto"/>
        </w:rPr>
        <w:t>These reporting and other obligations place significant demands on our management and administrative and operational resources, including accounting resources.</w:t>
      </w:r>
    </w:p>
    <w:p>
      <w:pPr>
        <w:spacing w:after="0" w:line="74"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 Any failure to maintain effective internal controls could also have an adverse effect on our business, financial position and results of operations.</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0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0"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rPr>
              <w:t>(a)</w:t>
            </w:r>
          </w:p>
        </w:tc>
        <w:tc>
          <w:tcPr>
            <w:tcW w:w="6640" w:type="dxa"/>
            <w:vAlign w:val="bottom"/>
            <w:gridSpan w:val="23"/>
          </w:tcPr>
          <w:p>
            <w:pPr>
              <w:ind w:left="100"/>
              <w:spacing w:after="0"/>
              <w:rPr>
                <w:sz w:val="20"/>
                <w:szCs w:val="20"/>
                <w:color w:val="auto"/>
              </w:rPr>
            </w:pPr>
            <w:r>
              <w:rPr>
                <w:rFonts w:ascii="Times New Roman" w:cs="Times New Roman" w:eastAsia="Times New Roman" w:hAnsi="Times New Roman"/>
                <w:sz w:val="18"/>
                <w:szCs w:val="18"/>
                <w:i w:val="1"/>
                <w:iCs w:val="1"/>
                <w:color w:val="auto"/>
              </w:rPr>
              <w:t>Exhibits.</w:t>
            </w:r>
          </w:p>
        </w:tc>
        <w:tc>
          <w:tcPr>
            <w:tcW w:w="0" w:type="dxa"/>
            <w:vAlign w:val="bottom"/>
          </w:tcPr>
          <w:p>
            <w:pPr>
              <w:spacing w:after="0"/>
              <w:rPr>
                <w:sz w:val="1"/>
                <w:szCs w:val="1"/>
                <w:color w:val="auto"/>
              </w:rPr>
            </w:pPr>
          </w:p>
        </w:tc>
      </w:tr>
      <w:tr>
        <w:trPr>
          <w:trHeight w:val="515"/>
        </w:trPr>
        <w:tc>
          <w:tcPr>
            <w:tcW w:w="8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40" w:type="dxa"/>
            <w:vAlign w:val="bottom"/>
            <w:gridSpan w:val="1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Amended and Restated Certificate of Incorporation of Kodiak Sciences Inc.</w:t>
              </w:r>
            </w:hyperlink>
          </w:p>
        </w:tc>
        <w:tc>
          <w:tcPr>
            <w:tcW w:w="0" w:type="dxa"/>
            <w:vAlign w:val="bottom"/>
          </w:tcPr>
          <w:p>
            <w:pPr>
              <w:spacing w:after="0"/>
              <w:rPr>
                <w:sz w:val="1"/>
                <w:szCs w:val="1"/>
                <w:color w:val="auto"/>
              </w:rPr>
            </w:pPr>
          </w:p>
        </w:tc>
      </w:tr>
      <w:tr>
        <w:trPr>
          <w:trHeight w:val="331"/>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Amended and Restated Bylaws of Kodiak Sciences Inc.</w:t>
              </w:r>
            </w:hyperlink>
          </w:p>
        </w:tc>
        <w:tc>
          <w:tcPr>
            <w:tcW w:w="1420" w:type="dxa"/>
            <w:vAlign w:val="bottom"/>
            <w:tcBorders>
              <w:top w:val="single" w:sz="8" w:color="0000FF"/>
            </w:tcBorders>
            <w:gridSpan w:val="3"/>
          </w:tcPr>
          <w:p>
            <w:pPr>
              <w:spacing w:after="0"/>
              <w:rPr>
                <w:sz w:val="24"/>
                <w:szCs w:val="24"/>
                <w:color w:val="auto"/>
              </w:rPr>
            </w:pPr>
          </w:p>
        </w:tc>
        <w:tc>
          <w:tcPr>
            <w:tcW w:w="9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Form of Common Stock Certificate</w:t>
              </w:r>
            </w:hyperlink>
          </w:p>
        </w:tc>
        <w:tc>
          <w:tcPr>
            <w:tcW w:w="38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hyperlink r:id="rId229">
              <w:r>
                <w:rPr>
                  <w:rFonts w:ascii="Times New Roman" w:cs="Times New Roman" w:eastAsia="Times New Roman" w:hAnsi="Times New Roman"/>
                  <w:sz w:val="18"/>
                  <w:szCs w:val="18"/>
                  <w:color w:val="0000FF"/>
                  <w:w w:val="98"/>
                </w:rPr>
                <w:t>Form of Class B Share Warrant</w:t>
              </w:r>
            </w:hyperlink>
          </w:p>
        </w:tc>
        <w:tc>
          <w:tcPr>
            <w:tcW w:w="20" w:type="dxa"/>
            <w:vAlign w:val="bottom"/>
            <w:tcBorders>
              <w:bottom w:val="single" w:sz="8" w:color="0000EE"/>
            </w:tcBorders>
          </w:tcPr>
          <w:p>
            <w:pPr>
              <w:spacing w:after="0"/>
              <w:rPr>
                <w:sz w:val="24"/>
                <w:szCs w:val="24"/>
                <w:color w:val="auto"/>
              </w:rPr>
            </w:pPr>
          </w:p>
        </w:tc>
        <w:tc>
          <w:tcPr>
            <w:tcW w:w="41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Registration Rights Agreement, dated March 1, 2021, by and among the registrant and</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230">
              <w:r>
                <w:rPr>
                  <w:rFonts w:ascii="Times New Roman" w:cs="Times New Roman" w:eastAsia="Times New Roman" w:hAnsi="Times New Roman"/>
                  <w:sz w:val="18"/>
                  <w:szCs w:val="18"/>
                  <w:color w:val="0000FF"/>
                  <w:w w:val="98"/>
                </w:rPr>
                <w:t>the investors named therein</w:t>
              </w:r>
            </w:hyperlink>
          </w:p>
        </w:tc>
        <w:tc>
          <w:tcPr>
            <w:tcW w:w="20" w:type="dxa"/>
            <w:vAlign w:val="bottom"/>
            <w:tcBorders>
              <w:top w:val="single" w:sz="8" w:color="0000FF"/>
              <w:bottom w:val="single" w:sz="8" w:color="0000EE"/>
            </w:tcBorders>
          </w:tcPr>
          <w:p>
            <w:pPr>
              <w:spacing w:after="0"/>
              <w:rPr>
                <w:sz w:val="14"/>
                <w:szCs w:val="14"/>
                <w:color w:val="auto"/>
              </w:rPr>
            </w:pPr>
          </w:p>
        </w:tc>
        <w:tc>
          <w:tcPr>
            <w:tcW w:w="426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8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under the Securities Exchange Act of 1934, as Adopted Pursuant to Section 302 of the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2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Borders>
              <w:right w:val="single" w:sz="8" w:color="0000EE"/>
            </w:tcBorders>
            <w:gridSpan w:val="3"/>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Accounting and Financial Officer Pursuant to Rules 13a-14(a)</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6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 Pursuant 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Borders>
              <w:right w:val="single" w:sz="8" w:color="0000EE"/>
            </w:tcBorders>
            <w:gridSpan w:val="7"/>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Borders>
              <w:top w:val="single" w:sz="8" w:color="0000FF"/>
              <w:bottom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1040" w:type="dxa"/>
            <w:vAlign w:val="bottom"/>
            <w:tcBorders>
              <w:top w:val="single" w:sz="8" w:color="0000FF"/>
            </w:tcBorders>
            <w:gridSpan w:val="4"/>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Accounting and Financial Officer Pursuant to 18 U.S.C.</w:t>
            </w:r>
          </w:p>
        </w:tc>
        <w:tc>
          <w:tcPr>
            <w:tcW w:w="4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0" w:type="dxa"/>
            <w:vAlign w:val="bottom"/>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Sarbanes-Oxley Act of 2002</w:t>
            </w:r>
          </w:p>
        </w:tc>
        <w:tc>
          <w:tcPr>
            <w:tcW w:w="0" w:type="dxa"/>
            <w:vAlign w:val="bottom"/>
          </w:tcPr>
          <w:p>
            <w:pPr>
              <w:spacing w:after="0"/>
              <w:rPr>
                <w:sz w:val="1"/>
                <w:szCs w:val="1"/>
                <w:color w:val="auto"/>
              </w:rPr>
            </w:pPr>
          </w:p>
        </w:tc>
      </w:tr>
      <w:tr>
        <w:trPr>
          <w:trHeight w:val="31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w:t>
            </w:r>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33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51"/>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51"/>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51"/>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51"/>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040" w:right="140" w:hanging="1019"/>
        <w:spacing w:after="0" w:line="250"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95123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3399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6"/>
                <w:szCs w:val="16"/>
                <w:color w:val="auto"/>
              </w:rPr>
            </w:pPr>
          </w:p>
        </w:tc>
        <w:tc>
          <w:tcPr>
            <w:tcW w:w="1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4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001-38682</w:t>
            </w:r>
          </w:p>
        </w:tc>
        <w:tc>
          <w:tcPr>
            <w:tcW w:w="7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11/16/2018</w:t>
            </w:r>
          </w:p>
        </w:tc>
      </w:tr>
      <w:tr>
        <w:trPr>
          <w:trHeight w:val="35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001-38682</w:t>
            </w:r>
          </w:p>
        </w:tc>
        <w:tc>
          <w:tcPr>
            <w:tcW w:w="7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3.2</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11/16/2018</w:t>
            </w:r>
          </w:p>
        </w:tc>
      </w:tr>
      <w:tr>
        <w:trPr>
          <w:trHeight w:val="35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333-227237</w:t>
            </w:r>
          </w:p>
        </w:tc>
        <w:tc>
          <w:tcPr>
            <w:tcW w:w="7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9/24/2018</w:t>
            </w:r>
          </w:p>
        </w:tc>
      </w:tr>
      <w:tr>
        <w:trPr>
          <w:trHeight w:val="35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333-227237</w:t>
            </w:r>
          </w:p>
        </w:tc>
        <w:tc>
          <w:tcPr>
            <w:tcW w:w="7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4.5</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9/7/2018</w:t>
            </w:r>
          </w:p>
        </w:tc>
      </w:tr>
      <w:tr>
        <w:trPr>
          <w:trHeight w:val="35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001-38682</w:t>
            </w:r>
          </w:p>
        </w:tc>
        <w:tc>
          <w:tcPr>
            <w:tcW w:w="7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4.7</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3/1/2021</w:t>
            </w:r>
          </w:p>
        </w:tc>
      </w:tr>
    </w:tbl>
    <w:p>
      <w:pPr>
        <w:spacing w:after="0" w:line="5864" w:lineRule="exact"/>
        <w:rPr>
          <w:sz w:val="20"/>
          <w:szCs w:val="20"/>
          <w:color w:val="auto"/>
        </w:rPr>
      </w:pPr>
    </w:p>
    <w:p>
      <w:pPr>
        <w:sectPr>
          <w:pgSz w:w="11900" w:h="16838" w:orient="portrait"/>
          <w:cols w:equalWidth="0" w:num="2">
            <w:col w:w="7440" w:space="120"/>
            <w:col w:w="3680"/>
          </w:cols>
          <w:pgMar w:left="320" w:top="320" w:right="339" w:bottom="1440" w:gutter="0" w:footer="0" w:header="0"/>
        </w:sectPr>
      </w:pPr>
    </w:p>
    <w:p>
      <w:pPr>
        <w:spacing w:after="0" w:line="273" w:lineRule="exact"/>
        <w:rPr>
          <w:sz w:val="20"/>
          <w:szCs w:val="20"/>
          <w:color w:val="auto"/>
        </w:rPr>
      </w:pPr>
    </w:p>
    <w:p>
      <w:pPr>
        <w:ind w:right="60" w:firstLine="8"/>
        <w:spacing w:after="0" w:line="245" w:lineRule="auto"/>
        <w:tabs>
          <w:tab w:leader="none" w:pos="1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are deemed “furnished” and not deemed “filed” for purposes of Section 18 of the Securities Exchange Act of 1934, as amended, and are not to be incorporated by reference into any filing of Kodiak Sciences Inc. under the Securities Act of 1933, as amended, or the Securities Exchange Act of 1934, as amended, whether made before or after the date hereof irrespective of any general incorporation by reference language contained in any such filing, except to the extent that the registrant specifically incorporates it by reference.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68" w:name="page69"/>
    <w:bookmarkEnd w:id="68"/>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KODIAK SCIENCES INC.</w:t>
      </w:r>
    </w:p>
    <w:p>
      <w:pPr>
        <w:spacing w:after="0" w:line="198" w:lineRule="exact"/>
        <w:rPr>
          <w:sz w:val="20"/>
          <w:szCs w:val="20"/>
          <w:color w:val="auto"/>
        </w:rPr>
      </w:pPr>
    </w:p>
    <w:p>
      <w:pPr>
        <w:ind w:left="20"/>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Victor Perlroth, M.D.</w:t>
      </w:r>
    </w:p>
    <w:p>
      <w:pPr>
        <w:ind w:left="7140"/>
        <w:spacing w:after="0" w:line="219" w:lineRule="auto"/>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178" w:lineRule="exact"/>
        <w:rPr>
          <w:sz w:val="20"/>
          <w:szCs w:val="20"/>
          <w:color w:val="auto"/>
        </w:rPr>
      </w:pPr>
    </w:p>
    <w:p>
      <w:pPr>
        <w:ind w:left="20"/>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John Borgeson</w:t>
      </w:r>
    </w:p>
    <w:p>
      <w:pPr>
        <w:ind w:left="7720"/>
        <w:spacing w:after="0" w:line="219"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ind w:left="6920"/>
        <w:spacing w:after="0"/>
        <w:rPr>
          <w:sz w:val="20"/>
          <w:szCs w:val="20"/>
          <w:color w:val="auto"/>
        </w:rPr>
      </w:pPr>
      <w:r>
        <w:rPr>
          <w:rFonts w:ascii="Times New Roman" w:cs="Times New Roman" w:eastAsia="Times New Roman" w:hAnsi="Times New Roman"/>
          <w:sz w:val="18"/>
          <w:szCs w:val="18"/>
          <w:b w:val="1"/>
          <w:bCs w:val="1"/>
          <w:color w:val="auto"/>
        </w:rPr>
        <w:t>(Principal Accounting and Financial Officer)</w:t>
      </w:r>
    </w:p>
    <w:p>
      <w:pPr>
        <w:spacing w:after="0" w:line="30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0" w:right="77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Victor Perlroth, M.D., certify that:</w:t>
      </w:r>
    </w:p>
    <w:p>
      <w:pPr>
        <w:spacing w:after="0" w:line="212"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Kodiak Sciences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5640" w:val="left"/>
          <w:tab w:leader="none" w:pos="794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5"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Victor Perlroth, M.D.</w:t>
      </w:r>
    </w:p>
    <w:p>
      <w:pPr>
        <w:ind w:left="7120"/>
        <w:spacing w:after="0" w:line="219" w:lineRule="auto"/>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ind w:left="75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Borgeson, certify that:</w:t>
      </w:r>
    </w:p>
    <w:p>
      <w:pPr>
        <w:spacing w:after="0" w:line="212"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Kodiak Sciences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5640" w:val="left"/>
          <w:tab w:leader="none" w:pos="794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5"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John Borgeson</w:t>
      </w:r>
    </w:p>
    <w:p>
      <w:pPr>
        <w:ind w:left="7720"/>
        <w:spacing w:after="0" w:line="219"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ind w:left="6880"/>
        <w:spacing w:after="0"/>
        <w:rPr>
          <w:sz w:val="20"/>
          <w:szCs w:val="20"/>
          <w:color w:val="auto"/>
        </w:rPr>
      </w:pPr>
      <w:r>
        <w:rPr>
          <w:rFonts w:ascii="Times New Roman" w:cs="Times New Roman" w:eastAsia="Times New Roman" w:hAnsi="Times New Roman"/>
          <w:sz w:val="18"/>
          <w:szCs w:val="18"/>
          <w:b w:val="1"/>
          <w:bCs w:val="1"/>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Kodiak Sciences Inc. (the “Company”) on Form 10-Q for the period ending June 30, 2022 as filed with the Securities and Exchange Commission on the date hereof (the “Report”), I certify, pursuant to 18 U.S.C. § 1350, as adopted pursuant to § 906 of the Sarbanes-Oxley Act of 2002, to the best of my knowledge, that:</w:t>
      </w:r>
    </w:p>
    <w:p>
      <w:pPr>
        <w:spacing w:after="0" w:line="190"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By:</w:t>
      </w:r>
    </w:p>
    <w:p>
      <w:pPr>
        <w:ind w:left="20"/>
        <w:spacing w:after="0"/>
        <w:tabs>
          <w:tab w:leader="none" w:pos="778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7"/>
          <w:szCs w:val="17"/>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4445</wp:posOffset>
            </wp:positionV>
            <wp:extent cx="35401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5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Victor Perlroth, M.D.</w:t>
      </w:r>
    </w:p>
    <w:p>
      <w:pPr>
        <w:spacing w:after="0" w:line="2"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ind w:left="73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1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Kodiak Sciences Inc. (the “Company”) on Form 10-Q for the period ending June 30, 2022 as filed with the Securities and Exchange Commission on the date hereof (the “Report”), I certify, pursuant to 18 U.S.C. § 1350, as adopted pursuant to § 906 of the Sarbanes-Oxley Act of 2002, to the best of my knowledge, that:</w:t>
      </w:r>
    </w:p>
    <w:p>
      <w:pPr>
        <w:spacing w:after="0" w:line="190"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By:</w:t>
      </w:r>
    </w:p>
    <w:p>
      <w:pPr>
        <w:ind w:left="20"/>
        <w:spacing w:after="0"/>
        <w:tabs>
          <w:tab w:leader="none" w:pos="778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4445</wp:posOffset>
            </wp:positionV>
            <wp:extent cx="35401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54"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John Borgeson</w:t>
      </w:r>
    </w:p>
    <w:p>
      <w:pPr>
        <w:spacing w:after="0" w:line="2"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ind w:left="6720"/>
        <w:spacing w:after="0"/>
        <w:rPr>
          <w:sz w:val="20"/>
          <w:szCs w:val="20"/>
          <w:color w:val="auto"/>
        </w:rPr>
      </w:pPr>
      <w:r>
        <w:rPr>
          <w:rFonts w:ascii="Times New Roman" w:cs="Times New Roman" w:eastAsia="Times New Roman" w:hAnsi="Times New Roman"/>
          <w:sz w:val="18"/>
          <w:szCs w:val="18"/>
          <w:b w:val="1"/>
          <w:bCs w:val="1"/>
          <w:color w:val="auto"/>
        </w:rPr>
        <w:t>(Principal Accounting and Financial Officer)</w:t>
      </w:r>
    </w:p>
    <w:p>
      <w:pPr>
        <w:spacing w:after="0" w:line="21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decimal"/>
      <w:start w:val="2"/>
    </w:lvl>
  </w:abstractNum>
  <w:abstractNum w:abstractNumId="7">
    <w:nsid w:val="71F32454"/>
    <w:multiLevelType w:val="hybridMultilevel"/>
    <w:lvl w:ilvl="0">
      <w:lvlJc w:val="left"/>
      <w:lvlText w:val="%1."/>
      <w:numFmt w:val="decimal"/>
      <w:start w:val="6"/>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04"/>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26" Type="http://schemas.openxmlformats.org/officeDocument/2006/relationships/hyperlink" Target="https://www.sec.gov/Archives/edgar/data/1468748/000156459018029743/kod-ex31_303.htm" TargetMode="External"/><Relationship Id="rId227" Type="http://schemas.openxmlformats.org/officeDocument/2006/relationships/hyperlink" Target="https://www.sec.gov/Archives/edgar/data/1468748/000156459018029743/kod-ex32_302.htm" TargetMode="External"/><Relationship Id="rId228" Type="http://schemas.openxmlformats.org/officeDocument/2006/relationships/hyperlink" Target="https://www.sec.gov/Archives/edgar/data/1468748/000119312518280419/d516071dex41.htm" TargetMode="External"/><Relationship Id="rId229" Type="http://schemas.openxmlformats.org/officeDocument/2006/relationships/hyperlink" Target="https://www.sec.gov/Archives/edgar/data/1468748/000119312518269221/d516071dex45.htm" TargetMode="External"/><Relationship Id="rId230" Type="http://schemas.openxmlformats.org/officeDocument/2006/relationships/hyperlink" Target="https://www.sec.gov/Archives/edgar/data/1468748/000156459021009946/kod-ex47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2022-08-09T19:37:32Z</dcterms:created>
  <dcterms:modified xsi:type="dcterms:W3CDTF">2022-08-09T19:37:32Z</dcterms:modified>
</cp:coreProperties>
</file>