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20" w:right="1720" w:hanging="3812"/>
        <w:spacing w:after="0" w:line="352" w:lineRule="auto"/>
        <w:tabs>
          <w:tab w:leader="none" w:pos="37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3460" w:right="1720" w:hanging="3452"/>
        <w:spacing w:after="0" w:line="360" w:lineRule="auto"/>
        <w:tabs>
          <w:tab w:leader="none" w:pos="36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001-38682</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p>
      <w:pPr>
        <w:spacing w:after="0" w:line="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8"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27-0476525</w:t>
      </w:r>
    </w:p>
    <w:p>
      <w:pPr>
        <w:spacing w:after="0" w:line="22"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5" w:lineRule="exact"/>
        <w:rPr>
          <w:sz w:val="24"/>
          <w:szCs w:val="24"/>
          <w:color w:val="auto"/>
        </w:rPr>
      </w:pPr>
    </w:p>
    <w:p>
      <w:pPr>
        <w:sectPr>
          <w:pgSz w:w="11900" w:h="16838" w:orient="portrait"/>
          <w:cols w:equalWidth="0" w:num="2">
            <w:col w:w="7700" w:space="160"/>
            <w:col w:w="3380"/>
          </w:cols>
          <w:pgMar w:left="320" w:top="584" w:right="339" w:bottom="1440" w:gutter="0" w:footer="0" w:header="0"/>
          <w:type w:val="continuous"/>
        </w:sectPr>
      </w:pPr>
    </w:p>
    <w:tbl>
      <w:tblPr>
        <w:tblLayout w:type="fixed"/>
        <w:tblInd w:w="1620" w:type="dxa"/>
        <w:tblCellMar>
          <w:top w:w="0" w:type="dxa"/>
          <w:left w:w="0" w:type="dxa"/>
          <w:bottom w:w="0" w:type="dxa"/>
          <w:right w:w="0" w:type="dxa"/>
        </w:tblCellMar>
      </w:tblPr>
      <w:tr>
        <w:trPr>
          <w:trHeight w:val="207"/>
        </w:trPr>
        <w:tc>
          <w:tcPr>
            <w:tcW w:w="4440" w:type="dxa"/>
            <w:vAlign w:val="bottom"/>
          </w:tcPr>
          <w:p>
            <w:pPr>
              <w:jc w:val="center"/>
              <w:ind w:right="1956"/>
              <w:spacing w:after="0"/>
              <w:rPr>
                <w:sz w:val="20"/>
                <w:szCs w:val="20"/>
                <w:color w:val="auto"/>
              </w:rPr>
            </w:pPr>
            <w:r>
              <w:rPr>
                <w:rFonts w:ascii="Arial" w:cs="Arial" w:eastAsia="Arial" w:hAnsi="Arial"/>
                <w:sz w:val="18"/>
                <w:szCs w:val="18"/>
                <w:b w:val="1"/>
                <w:bCs w:val="1"/>
                <w:color w:val="auto"/>
                <w:w w:val="92"/>
              </w:rPr>
              <w:t>1200 Page Mill Road</w:t>
            </w:r>
          </w:p>
        </w:tc>
        <w:tc>
          <w:tcPr>
            <w:tcW w:w="2700" w:type="dxa"/>
            <w:vAlign w:val="bottom"/>
            <w:vMerge w:val="restart"/>
          </w:tcPr>
          <w:p>
            <w:pPr>
              <w:jc w:val="right"/>
              <w:ind w:right="19"/>
              <w:spacing w:after="0"/>
              <w:rPr>
                <w:sz w:val="20"/>
                <w:szCs w:val="20"/>
                <w:color w:val="auto"/>
              </w:rPr>
            </w:pPr>
            <w:r>
              <w:rPr>
                <w:rFonts w:ascii="Arial" w:cs="Arial" w:eastAsia="Arial" w:hAnsi="Arial"/>
                <w:sz w:val="18"/>
                <w:szCs w:val="18"/>
                <w:b w:val="1"/>
                <w:bCs w:val="1"/>
                <w:color w:val="auto"/>
              </w:rPr>
              <w:t>94304</w:t>
            </w:r>
          </w:p>
        </w:tc>
        <w:tc>
          <w:tcPr>
            <w:tcW w:w="0" w:type="dxa"/>
            <w:vAlign w:val="bottom"/>
          </w:tcPr>
          <w:p>
            <w:pPr>
              <w:spacing w:after="0"/>
              <w:rPr>
                <w:sz w:val="1"/>
                <w:szCs w:val="1"/>
                <w:color w:val="auto"/>
              </w:rPr>
            </w:pPr>
          </w:p>
        </w:tc>
      </w:tr>
      <w:tr>
        <w:trPr>
          <w:trHeight w:val="207"/>
        </w:trPr>
        <w:tc>
          <w:tcPr>
            <w:tcW w:w="4440" w:type="dxa"/>
            <w:vAlign w:val="bottom"/>
          </w:tcPr>
          <w:p>
            <w:pPr>
              <w:jc w:val="center"/>
              <w:ind w:right="1976"/>
              <w:spacing w:after="0"/>
              <w:rPr>
                <w:sz w:val="20"/>
                <w:szCs w:val="20"/>
                <w:color w:val="auto"/>
              </w:rPr>
            </w:pPr>
            <w:r>
              <w:rPr>
                <w:rFonts w:ascii="Arial" w:cs="Arial" w:eastAsia="Arial" w:hAnsi="Arial"/>
                <w:sz w:val="18"/>
                <w:szCs w:val="18"/>
                <w:b w:val="1"/>
                <w:bCs w:val="1"/>
                <w:color w:val="auto"/>
                <w:w w:val="92"/>
              </w:rPr>
              <w:t>Palo Alto, CA</w:t>
            </w:r>
          </w:p>
        </w:tc>
        <w:tc>
          <w:tcPr>
            <w:tcW w:w="2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440" w:type="dxa"/>
            <w:vAlign w:val="bottom"/>
          </w:tcPr>
          <w:p>
            <w:pPr>
              <w:jc w:val="center"/>
              <w:ind w:right="197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00" w:type="dxa"/>
            <w:vAlign w:val="bottom"/>
          </w:tcPr>
          <w:p>
            <w:pPr>
              <w:jc w:val="center"/>
              <w:ind w:left="195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6"/>
          <w:szCs w:val="16"/>
          <w:b w:val="1"/>
          <w:bCs w:val="1"/>
          <w:color w:val="auto"/>
        </w:rPr>
        <w:t>(650) 281-0850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3" w:lineRule="exact"/>
        <w:rPr>
          <w:sz w:val="24"/>
          <w:szCs w:val="24"/>
          <w:color w:val="auto"/>
        </w:rPr>
      </w:pPr>
    </w:p>
    <w:tbl>
      <w:tblPr>
        <w:tblLayout w:type="fixed"/>
        <w:tblInd w:w="10" w:type="dxa"/>
        <w:tblCellMar>
          <w:top w:w="0" w:type="dxa"/>
          <w:left w:w="0" w:type="dxa"/>
          <w:bottom w:w="0" w:type="dxa"/>
          <w:right w:w="0" w:type="dxa"/>
        </w:tblCellMar>
      </w:tblPr>
      <w:tr>
        <w:trPr>
          <w:trHeight w:val="297"/>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KOD</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98" w:lineRule="exact"/>
        <w:rPr>
          <w:sz w:val="24"/>
          <w:szCs w:val="24"/>
          <w:color w:val="auto"/>
        </w:rPr>
      </w:pPr>
    </w:p>
    <w:p>
      <w:pPr>
        <w:jc w:val="both"/>
        <w:ind w:firstLine="509"/>
        <w:spacing w:after="0" w:line="28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p>
      <w:pPr>
        <w:ind w:right="180" w:firstLine="509"/>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240"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8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2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22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78"/>
        </w:trPr>
        <w:tc>
          <w:tcPr>
            <w:tcW w:w="1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tcPr>
          <w:p>
            <w:pPr>
              <w:ind w:left="322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3" w:lineRule="exact"/>
        <w:rPr>
          <w:sz w:val="24"/>
          <w:szCs w:val="24"/>
          <w:color w:val="auto"/>
        </w:rPr>
      </w:pPr>
    </w:p>
    <w:p>
      <w:pPr>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4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29, 2022, the registrant had 51,953,631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3"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report. Forward-looking statements include, but are not limited to, statements about:</w:t>
      </w:r>
    </w:p>
    <w:p>
      <w:pPr>
        <w:spacing w:after="0" w:line="67"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0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portfolio of clinical trials planned for submission in our Biologics License Application, or BLA, of KSI-301;</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present clinical data across our pivotal trials for the remainder of 2022 and 2023;</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Lonza’s ability to successfully execute on our manufacturing development plan;</w:t>
      </w:r>
    </w:p>
    <w:p>
      <w:pPr>
        <w:spacing w:after="0" w:line="103"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BLA in wet age-related macular degeneration, or wet AMD, diabetic macular edema, or DME, retinal vein occlusion, or RVO, and diabetic retinopathy, or DR;</w:t>
      </w:r>
    </w:p>
    <w:p>
      <w:pPr>
        <w:spacing w:after="0" w:line="73"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chemistry manufacturing and controls, or CMC, requirements of the United States Food and Drug Administration, or FDA, and other regulatory bodies to support our BLA submission and potential commercial launch;</w:t>
      </w:r>
    </w:p>
    <w:p>
      <w:pPr>
        <w:spacing w:after="0" w:line="62"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FDA approval of KSI-301 in wet AMD, DME, RVO and DR;</w:t>
      </w:r>
    </w:p>
    <w:p>
      <w:pPr>
        <w:spacing w:after="0" w:line="62"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03" w:lineRule="exact"/>
        <w:rPr>
          <w:rFonts w:ascii="Arial" w:cs="Arial" w:eastAsia="Arial" w:hAnsi="Arial"/>
          <w:sz w:val="18"/>
          <w:szCs w:val="18"/>
          <w:color w:val="auto"/>
        </w:rPr>
      </w:pPr>
    </w:p>
    <w:p>
      <w:pPr>
        <w:ind w:left="760" w:right="24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 w:name="page3"/>
    <w:bookmarkEnd w:id="2"/>
    <w:p>
      <w:pPr>
        <w:ind w:left="760" w:right="34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03" w:lineRule="exact"/>
        <w:rPr>
          <w:rFonts w:ascii="Arial" w:cs="Arial" w:eastAsia="Arial" w:hAnsi="Arial"/>
          <w:sz w:val="18"/>
          <w:szCs w:val="18"/>
          <w:color w:val="auto"/>
        </w:rPr>
      </w:pPr>
    </w:p>
    <w:p>
      <w:pPr>
        <w:ind w:left="760" w:right="76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impact of the novel coronavirus, or COVID-19, pandemic on our business and operations, the business and operations of our collaborators, and on the global economy;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aspirational goals and objectives related to our human capital resources and workforce objectives;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03" w:lineRule="exact"/>
        <w:rPr>
          <w:rFonts w:ascii="Arial" w:cs="Arial" w:eastAsia="Arial" w:hAnsi="Arial"/>
          <w:sz w:val="18"/>
          <w:szCs w:val="18"/>
          <w:color w:val="auto"/>
        </w:rPr>
      </w:pPr>
    </w:p>
    <w:p>
      <w:pPr>
        <w:ind w:left="760" w:right="520" w:hanging="378"/>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w:t>
      </w:r>
    </w:p>
    <w:p>
      <w:pPr>
        <w:spacing w:after="0" w:line="8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9" w:lineRule="exact"/>
        <w:rPr>
          <w:sz w:val="20"/>
          <w:szCs w:val="20"/>
          <w:color w:val="auto"/>
        </w:rPr>
      </w:pPr>
    </w:p>
    <w:p>
      <w:pPr>
        <w:ind w:right="720" w:firstLine="509"/>
        <w:spacing w:after="0" w:line="291" w:lineRule="auto"/>
        <w:rPr>
          <w:sz w:val="20"/>
          <w:szCs w:val="20"/>
          <w:color w:val="auto"/>
        </w:rPr>
      </w:pPr>
      <w:r>
        <w:rPr>
          <w:rFonts w:ascii="Arial" w:cs="Arial" w:eastAsia="Arial" w:hAnsi="Arial"/>
          <w:sz w:val="17"/>
          <w:szCs w:val="17"/>
          <w:i w:val="1"/>
          <w:iCs w:val="1"/>
          <w:color w:val="auto"/>
        </w:rPr>
        <w:t>All brand names or trademarks appearing in this report are the property of their respective holders. Unless the context requires otherwise, references in this report to “Kodiak” the “Company,” “we,” “us,” and “our” refer to Kodiak Sciences Inc. and its subsidiaries.</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Investing in our common stock involves numerous risks, including the risks described in “Part II—Other Information, Item 1A. Risk Factors” of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 any one of which could materially adversely affect our business, financial condition, results of operations, and prospects.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among others, the following:</w:t>
      </w:r>
    </w:p>
    <w:p>
      <w:pPr>
        <w:spacing w:after="0" w:line="88" w:lineRule="exact"/>
        <w:rPr>
          <w:sz w:val="20"/>
          <w:szCs w:val="20"/>
          <w:color w:val="auto"/>
        </w:rPr>
      </w:pPr>
    </w:p>
    <w:p>
      <w:pPr>
        <w:ind w:left="7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net losses in each period since our inception and anticipate that we will continue to incur significant and increasing net losses for the foreseeable future.</w:t>
      </w:r>
    </w:p>
    <w:p>
      <w:pPr>
        <w:spacing w:after="0" w:line="62" w:lineRule="exact"/>
        <w:rPr>
          <w:rFonts w:ascii="Arial" w:cs="Arial" w:eastAsia="Arial" w:hAnsi="Arial"/>
          <w:sz w:val="18"/>
          <w:szCs w:val="18"/>
          <w:color w:val="auto"/>
        </w:rPr>
      </w:pPr>
    </w:p>
    <w:p>
      <w:pPr>
        <w:ind w:left="760" w:right="50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prospects are heavily dependent on our KSI-301 product candidate, which is currently in clinical development for multiple indications.</w:t>
      </w:r>
    </w:p>
    <w:p>
      <w:pPr>
        <w:spacing w:after="0" w:line="115" w:lineRule="exact"/>
        <w:rPr>
          <w:rFonts w:ascii="Arial" w:cs="Arial" w:eastAsia="Arial" w:hAnsi="Arial"/>
          <w:sz w:val="17"/>
          <w:szCs w:val="17"/>
          <w:color w:val="auto"/>
        </w:rPr>
      </w:pPr>
    </w:p>
    <w:p>
      <w:pPr>
        <w:ind w:left="760" w:right="62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failure of KSI-301 in clinical development may require us to discontinue development of other product candidates based on our ABC Platform.</w:t>
      </w:r>
    </w:p>
    <w:p>
      <w:pPr>
        <w:spacing w:after="0" w:line="62"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62" w:lineRule="exact"/>
        <w:rPr>
          <w:rFonts w:ascii="Arial" w:cs="Arial" w:eastAsia="Arial" w:hAnsi="Arial"/>
          <w:sz w:val="18"/>
          <w:szCs w:val="18"/>
          <w:color w:val="auto"/>
        </w:rPr>
      </w:pPr>
    </w:p>
    <w:p>
      <w:pPr>
        <w:ind w:left="760" w:right="4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substantial delays in our clinical trials, or may not be able to conduct or complete our clinical trials on the timelines we expect, if at all.</w:t>
      </w:r>
    </w:p>
    <w:p>
      <w:pPr>
        <w:spacing w:after="0" w:line="62" w:lineRule="exact"/>
        <w:rPr>
          <w:rFonts w:ascii="Arial" w:cs="Arial" w:eastAsia="Arial" w:hAnsi="Arial"/>
          <w:sz w:val="18"/>
          <w:szCs w:val="18"/>
          <w:color w:val="auto"/>
        </w:rPr>
      </w:pPr>
    </w:p>
    <w:p>
      <w:pPr>
        <w:ind w:left="760" w:right="5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encounter difficulties enrolling patients in our clinical trials, and our clinical development activities could thereby be delayed or otherwise adversely affected.</w:t>
      </w:r>
    </w:p>
    <w:p>
      <w:pPr>
        <w:spacing w:after="0" w:line="62" w:lineRule="exact"/>
        <w:rPr>
          <w:rFonts w:ascii="Arial" w:cs="Arial" w:eastAsia="Arial" w:hAnsi="Arial"/>
          <w:sz w:val="18"/>
          <w:szCs w:val="18"/>
          <w:color w:val="auto"/>
        </w:rPr>
      </w:pPr>
    </w:p>
    <w:p>
      <w:pPr>
        <w:ind w:left="760" w:right="36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durability, efficacy and safety of our product candidates, which would prevent, delay or limit the scope of regulatory approval and commercialization.</w:t>
      </w:r>
    </w:p>
    <w:p>
      <w:pPr>
        <w:spacing w:after="0" w:line="62" w:lineRule="exact"/>
        <w:rPr>
          <w:rFonts w:ascii="Arial" w:cs="Arial" w:eastAsia="Arial" w:hAnsi="Arial"/>
          <w:sz w:val="18"/>
          <w:szCs w:val="18"/>
          <w:color w:val="auto"/>
        </w:rPr>
      </w:pPr>
    </w:p>
    <w:p>
      <w:pPr>
        <w:ind w:left="760" w:right="60" w:hanging="378"/>
        <w:spacing w:after="0" w:line="24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manufacture of our product candidates is highly complex and requires substantial lead time to produce.</w:t>
      </w:r>
    </w:p>
    <w:p>
      <w:pPr>
        <w:spacing w:after="0" w:line="103" w:lineRule="exact"/>
        <w:rPr>
          <w:rFonts w:ascii="Arial" w:cs="Arial" w:eastAsia="Arial" w:hAnsi="Arial"/>
          <w:sz w:val="18"/>
          <w:szCs w:val="18"/>
          <w:color w:val="auto"/>
        </w:rPr>
      </w:pPr>
    </w:p>
    <w:p>
      <w:pPr>
        <w:ind w:left="760" w:right="60" w:hanging="378"/>
        <w:spacing w:after="0" w:line="24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provide the information needed in the regulatory dossiers for our planned BLA filing, or our ability to supply our products for patients, if approved, could be delayed or stopped, or we may be unable to establish a commercially viable cost structure.</w:t>
      </w:r>
    </w:p>
    <w:p>
      <w:pPr>
        <w:spacing w:after="0" w:line="81" w:lineRule="exact"/>
        <w:rPr>
          <w:rFonts w:ascii="Arial" w:cs="Arial" w:eastAsia="Arial" w:hAnsi="Arial"/>
          <w:sz w:val="18"/>
          <w:szCs w:val="18"/>
          <w:color w:val="auto"/>
        </w:rPr>
      </w:pPr>
    </w:p>
    <w:p>
      <w:pPr>
        <w:ind w:left="760" w:right="20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3" w:lineRule="exact"/>
        <w:rPr>
          <w:rFonts w:ascii="Arial" w:cs="Arial" w:eastAsia="Arial" w:hAnsi="Arial"/>
          <w:sz w:val="18"/>
          <w:szCs w:val="18"/>
          <w:color w:val="auto"/>
        </w:rPr>
      </w:pPr>
    </w:p>
    <w:p>
      <w:pPr>
        <w:ind w:left="760" w:right="50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conduct clinical trials for our product candidates outside the United States, and the FDA, EMA, NMPA and applicable foreign regulatory authorities may not accept data from such trials.</w:t>
      </w:r>
    </w:p>
    <w:p>
      <w:pPr>
        <w:spacing w:after="0" w:line="62" w:lineRule="exact"/>
        <w:rPr>
          <w:rFonts w:ascii="Arial" w:cs="Arial" w:eastAsia="Arial" w:hAnsi="Arial"/>
          <w:sz w:val="18"/>
          <w:szCs w:val="18"/>
          <w:color w:val="auto"/>
        </w:rPr>
      </w:pPr>
    </w:p>
    <w:p>
      <w:pPr>
        <w:ind w:left="760" w:right="18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3" w:lineRule="exact"/>
        <w:rPr>
          <w:rFonts w:ascii="Arial" w:cs="Arial" w:eastAsia="Arial" w:hAnsi="Arial"/>
          <w:sz w:val="18"/>
          <w:szCs w:val="18"/>
          <w:color w:val="auto"/>
        </w:rPr>
      </w:pPr>
    </w:p>
    <w:p>
      <w:pPr>
        <w:ind w:left="760" w:right="340" w:hanging="378"/>
        <w:spacing w:after="0" w:line="32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rFonts w:ascii="Arial" w:cs="Arial" w:eastAsia="Arial" w:hAnsi="Arial"/>
          <w:sz w:val="16"/>
          <w:szCs w:val="16"/>
          <w:color w:val="auto"/>
        </w:rPr>
      </w:pPr>
    </w:p>
    <w:p>
      <w:pPr>
        <w:ind w:left="760" w:right="340" w:hanging="378"/>
        <w:spacing w:after="0" w:line="32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4" w:name="page5"/>
    <w:bookmarkEnd w:id="4"/>
    <w:p>
      <w:pPr>
        <w:ind w:left="380" w:right="20" w:hanging="378"/>
        <w:spacing w:after="0" w:line="248"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3" w:lineRule="exact"/>
        <w:rPr>
          <w:rFonts w:ascii="Arial" w:cs="Arial" w:eastAsia="Arial" w:hAnsi="Arial"/>
          <w:sz w:val="18"/>
          <w:szCs w:val="18"/>
          <w:color w:val="auto"/>
        </w:rPr>
      </w:pPr>
    </w:p>
    <w:p>
      <w:pPr>
        <w:ind w:left="380" w:right="400" w:hanging="378"/>
        <w:spacing w:after="0" w:line="291"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rFonts w:ascii="Arial" w:cs="Arial" w:eastAsia="Arial" w:hAnsi="Arial"/>
          <w:sz w:val="17"/>
          <w:szCs w:val="17"/>
          <w:color w:val="auto"/>
        </w:rPr>
      </w:pPr>
    </w:p>
    <w:p>
      <w:pPr>
        <w:ind w:left="38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rFonts w:ascii="Arial" w:cs="Arial" w:eastAsia="Arial" w:hAnsi="Arial"/>
          <w:sz w:val="18"/>
          <w:szCs w:val="18"/>
          <w:color w:val="auto"/>
        </w:rPr>
      </w:pPr>
    </w:p>
    <w:p>
      <w:pPr>
        <w:ind w:left="380" w:right="34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and other intellectual property rights, which could be expensive, time consuming and unsuccessful.</w:t>
      </w:r>
    </w:p>
    <w:p>
      <w:pPr>
        <w:spacing w:after="0" w:line="62" w:lineRule="exact"/>
        <w:rPr>
          <w:rFonts w:ascii="Arial" w:cs="Arial" w:eastAsia="Arial" w:hAnsi="Arial"/>
          <w:sz w:val="18"/>
          <w:szCs w:val="18"/>
          <w:color w:val="auto"/>
        </w:rPr>
      </w:pPr>
    </w:p>
    <w:p>
      <w:pPr>
        <w:ind w:left="380" w:hanging="378"/>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380" w:right="40" w:hanging="378"/>
        <w:spacing w:after="0" w:line="257"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contract research organizations (“CROs”) or other third parties with whom we conduct business. Our manufacturers are also engaged in the manufacturing of COVID-19 vaccines and therapeutic treatments, and the success of and demand for these vaccines and therapeutic treatments means we and our programs are competing for scarce manufacturing resources.</w:t>
      </w:r>
    </w:p>
    <w:p>
      <w:pPr>
        <w:spacing w:after="0" w:line="2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436" w:right="3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160" w:type="dxa"/>
            <w:vAlign w:val="bottom"/>
            <w:gridSpan w:val="23"/>
            <w:vMerge w:val="restart"/>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FINANCIAL INFORMATION</w:t>
              </w:r>
            </w:hyperlink>
          </w:p>
        </w:tc>
        <w:tc>
          <w:tcPr>
            <w:tcW w:w="11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00" w:type="dxa"/>
            <w:vAlign w:val="bottom"/>
            <w:gridSpan w:val="2"/>
            <w:vMerge w:val="continue"/>
          </w:tcPr>
          <w:p>
            <w:pPr>
              <w:spacing w:after="0"/>
              <w:rPr>
                <w:sz w:val="13"/>
                <w:szCs w:val="13"/>
                <w:color w:val="auto"/>
              </w:rPr>
            </w:pPr>
          </w:p>
        </w:tc>
        <w:tc>
          <w:tcPr>
            <w:tcW w:w="9160" w:type="dxa"/>
            <w:vAlign w:val="bottom"/>
            <w:gridSpan w:val="23"/>
            <w:vMerge w:val="continue"/>
          </w:tcPr>
          <w:p>
            <w:pPr>
              <w:spacing w:after="0"/>
              <w:rPr>
                <w:sz w:val="13"/>
                <w:szCs w:val="13"/>
                <w:color w:val="auto"/>
              </w:rPr>
            </w:pPr>
          </w:p>
        </w:tc>
        <w:tc>
          <w:tcPr>
            <w:tcW w:w="1160" w:type="dxa"/>
            <w:vAlign w:val="bottom"/>
          </w:tcPr>
          <w:p>
            <w:pPr>
              <w:jc w:val="right"/>
              <w:spacing w:after="0" w:line="15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22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83"/>
              </w:rPr>
            </w:pPr>
            <w:hyperlink w:anchor="page7">
              <w:r>
                <w:rPr>
                  <w:rFonts w:ascii="Arial" w:cs="Arial" w:eastAsia="Arial" w:hAnsi="Arial"/>
                  <w:sz w:val="18"/>
                  <w:szCs w:val="18"/>
                  <w:color w:val="0000FF"/>
                  <w:w w:val="83"/>
                </w:rPr>
                <w:t>Financial Statements (Unaudited)</w:t>
              </w:r>
            </w:hyperlink>
          </w:p>
        </w:tc>
        <w:tc>
          <w:tcPr>
            <w:tcW w:w="6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12"/>
          </w:tcPr>
          <w:p>
            <w:pPr>
              <w:spacing w:after="0" w:line="169" w:lineRule="exact"/>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Balance</w:t>
              </w:r>
            </w:hyperlink>
          </w:p>
        </w:tc>
        <w:tc>
          <w:tcPr>
            <w:tcW w:w="6720" w:type="dxa"/>
            <w:vAlign w:val="bottom"/>
            <w:gridSpan w:val="11"/>
          </w:tcPr>
          <w:p>
            <w:pPr>
              <w:ind w:left="20"/>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Sheets</w:t>
              </w:r>
            </w:hyperlink>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tcBorders>
              <w:top w:val="single" w:sz="8" w:color="0000FF"/>
            </w:tcBorders>
            <w:gridSpan w:val="13"/>
          </w:tcPr>
          <w:p>
            <w:pPr>
              <w:spacing w:after="0" w:line="169" w:lineRule="exact"/>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w:t>
              </w:r>
            </w:hyperlink>
          </w:p>
        </w:tc>
        <w:tc>
          <w:tcPr>
            <w:tcW w:w="6220" w:type="dxa"/>
            <w:vAlign w:val="bottom"/>
            <w:gridSpan w:val="10"/>
          </w:tcPr>
          <w:p>
            <w:pPr>
              <w:spacing w:after="0" w:line="169" w:lineRule="exact"/>
              <w:rPr>
                <w:rFonts w:ascii="Arial" w:cs="Arial" w:eastAsia="Arial" w:hAnsi="Arial"/>
                <w:sz w:val="18"/>
                <w:szCs w:val="18"/>
                <w:color w:val="0000FF"/>
              </w:rPr>
            </w:pPr>
            <w:hyperlink w:anchor="page8">
              <w:r>
                <w:rPr>
                  <w:rFonts w:ascii="Arial" w:cs="Arial" w:eastAsia="Arial" w:hAnsi="Arial"/>
                  <w:sz w:val="18"/>
                  <w:szCs w:val="18"/>
                  <w:color w:val="0000FF"/>
                </w:rPr>
                <w:t>Operations and Comprehensive Loss</w:t>
              </w:r>
            </w:hyperlink>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Stockholders’ Equity</w:t>
              </w:r>
            </w:hyperlink>
          </w:p>
        </w:tc>
        <w:tc>
          <w:tcPr>
            <w:tcW w:w="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88"/>
              </w:rPr>
            </w:pPr>
            <w:hyperlink w:anchor="page10">
              <w:r>
                <w:rPr>
                  <w:rFonts w:ascii="Arial" w:cs="Arial" w:eastAsia="Arial" w:hAnsi="Arial"/>
                  <w:sz w:val="18"/>
                  <w:szCs w:val="18"/>
                  <w:color w:val="0000FF"/>
                  <w:w w:val="88"/>
                </w:rPr>
                <w:t>Condensed Consolidated Statements of Cash Flows</w:t>
              </w:r>
            </w:hyperlink>
          </w:p>
        </w:tc>
        <w:tc>
          <w:tcPr>
            <w:tcW w:w="20" w:type="dxa"/>
            <w:vAlign w:val="bottom"/>
            <w:tcBorders>
              <w:top w:val="single" w:sz="8" w:color="0000FF"/>
              <w:bottom w:val="single" w:sz="8" w:color="0000EE"/>
            </w:tcBorders>
          </w:tcPr>
          <w:p>
            <w:pPr>
              <w:spacing w:after="0"/>
              <w:rPr>
                <w:sz w:val="14"/>
                <w:szCs w:val="14"/>
                <w:color w:val="auto"/>
              </w:rPr>
            </w:pPr>
          </w:p>
        </w:tc>
        <w:tc>
          <w:tcPr>
            <w:tcW w:w="660" w:type="dxa"/>
            <w:vAlign w:val="bottom"/>
            <w:tcBorders>
              <w:top w:val="single" w:sz="8" w:color="0000FF"/>
            </w:tcBorders>
            <w:gridSpan w:val="3"/>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2"/>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tcBorders>
              <w:bottom w:val="single" w:sz="8" w:color="0000FF"/>
            </w:tcBorders>
            <w:gridSpan w:val="19"/>
          </w:tcPr>
          <w:p>
            <w:pPr>
              <w:spacing w:after="0" w:line="169" w:lineRule="exact"/>
              <w:rPr>
                <w:rFonts w:ascii="Arial" w:cs="Arial" w:eastAsia="Arial" w:hAnsi="Arial"/>
                <w:sz w:val="18"/>
                <w:szCs w:val="18"/>
                <w:color w:val="0000FF"/>
                <w:w w:val="89"/>
              </w:rPr>
            </w:pPr>
            <w:hyperlink w:anchor="page11">
              <w:r>
                <w:rPr>
                  <w:rFonts w:ascii="Arial" w:cs="Arial" w:eastAsia="Arial" w:hAnsi="Arial"/>
                  <w:sz w:val="18"/>
                  <w:szCs w:val="18"/>
                  <w:color w:val="0000FF"/>
                  <w:w w:val="89"/>
                </w:rPr>
                <w:t>Notes to Unaudited Condensed Consolidated Financial Statements</w:t>
              </w:r>
            </w:hyperlink>
          </w:p>
        </w:tc>
        <w:tc>
          <w:tcPr>
            <w:tcW w:w="20" w:type="dxa"/>
            <w:vAlign w:val="bottom"/>
            <w:tcBorders>
              <w:bottom w:val="single" w:sz="8" w:color="0000EE"/>
            </w:tcBorders>
          </w:tcPr>
          <w:p>
            <w:pPr>
              <w:spacing w:after="0"/>
              <w:rPr>
                <w:sz w:val="14"/>
                <w:szCs w:val="14"/>
                <w:color w:val="auto"/>
              </w:rPr>
            </w:pPr>
          </w:p>
        </w:tc>
        <w:tc>
          <w:tcPr>
            <w:tcW w:w="4340" w:type="dxa"/>
            <w:vAlign w:val="bottom"/>
            <w:gridSpan w:val="3"/>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160" w:type="dxa"/>
            <w:vAlign w:val="bottom"/>
            <w:gridSpan w:val="23"/>
          </w:tcPr>
          <w:p>
            <w:pPr>
              <w:spacing w:after="0" w:line="169" w:lineRule="exact"/>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23">
              <w:r>
                <w:rPr>
                  <w:rFonts w:ascii="Arial" w:cs="Arial" w:eastAsia="Arial" w:hAnsi="Arial"/>
                  <w:sz w:val="18"/>
                  <w:szCs w:val="18"/>
                  <w:color w:val="0000FF"/>
                </w:rPr>
                <w:t>Quantitative and Qualitative Disclosures About Market Risk</w:t>
              </w:r>
            </w:hyperlink>
          </w:p>
        </w:tc>
        <w:tc>
          <w:tcPr>
            <w:tcW w:w="27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8"/>
              </w:rPr>
            </w:pPr>
            <w:hyperlink w:anchor="page23">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10"/>
          </w:tcPr>
          <w:p>
            <w:pPr>
              <w:spacing w:after="0"/>
              <w:rPr>
                <w:sz w:val="14"/>
                <w:szCs w:val="14"/>
                <w:color w:val="auto"/>
              </w:rPr>
            </w:pPr>
          </w:p>
        </w:tc>
        <w:tc>
          <w:tcPr>
            <w:tcW w:w="4780" w:type="dxa"/>
            <w:vAlign w:val="bottom"/>
            <w:gridSpan w:val="6"/>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b w:val="1"/>
                <w:bCs w:val="1"/>
                <w:color w:val="auto"/>
              </w:rPr>
              <w:t>PART II.</w:t>
            </w:r>
          </w:p>
        </w:tc>
        <w:tc>
          <w:tcPr>
            <w:tcW w:w="1800" w:type="dxa"/>
            <w:vAlign w:val="bottom"/>
            <w:tcBorders>
              <w:bottom w:val="single" w:sz="8" w:color="0000FF"/>
            </w:tcBorders>
            <w:gridSpan w:val="7"/>
          </w:tcPr>
          <w:p>
            <w:pPr>
              <w:spacing w:after="0" w:line="169" w:lineRule="exact"/>
              <w:rPr>
                <w:rFonts w:ascii="Arial" w:cs="Arial" w:eastAsia="Arial" w:hAnsi="Arial"/>
                <w:sz w:val="18"/>
                <w:szCs w:val="18"/>
                <w:color w:val="0000FF"/>
                <w:w w:val="91"/>
              </w:rPr>
            </w:pPr>
            <w:hyperlink w:anchor="page24">
              <w:r>
                <w:rPr>
                  <w:rFonts w:ascii="Arial" w:cs="Arial" w:eastAsia="Arial" w:hAnsi="Arial"/>
                  <w:sz w:val="18"/>
                  <w:szCs w:val="18"/>
                  <w:color w:val="0000FF"/>
                  <w:w w:val="91"/>
                </w:rPr>
                <w:t>OTHER INFORMATION</w:t>
              </w:r>
            </w:hyperlink>
          </w:p>
        </w:tc>
        <w:tc>
          <w:tcPr>
            <w:tcW w:w="100" w:type="dxa"/>
            <w:vAlign w:val="bottom"/>
            <w:tcBorders>
              <w:bottom w:val="single" w:sz="8" w:color="0000FF"/>
            </w:tcBorders>
          </w:tcPr>
          <w:p>
            <w:pPr>
              <w:spacing w:after="0"/>
              <w:rPr>
                <w:sz w:val="14"/>
                <w:szCs w:val="14"/>
                <w:color w:val="auto"/>
              </w:rPr>
            </w:pPr>
          </w:p>
        </w:tc>
        <w:tc>
          <w:tcPr>
            <w:tcW w:w="420" w:type="dxa"/>
            <w:vAlign w:val="bottom"/>
            <w:gridSpan w:val="2"/>
          </w:tcPr>
          <w:p>
            <w:pPr>
              <w:spacing w:after="0"/>
              <w:rPr>
                <w:sz w:val="14"/>
                <w:szCs w:val="14"/>
                <w:color w:val="auto"/>
              </w:rPr>
            </w:pPr>
          </w:p>
        </w:tc>
        <w:tc>
          <w:tcPr>
            <w:tcW w:w="2040" w:type="dxa"/>
            <w:vAlign w:val="bottom"/>
            <w:gridSpan w:val="6"/>
          </w:tcPr>
          <w:p>
            <w:pPr>
              <w:spacing w:after="0"/>
              <w:rPr>
                <w:sz w:val="14"/>
                <w:szCs w:val="14"/>
                <w:color w:val="auto"/>
              </w:rPr>
            </w:pPr>
          </w:p>
        </w:tc>
        <w:tc>
          <w:tcPr>
            <w:tcW w:w="4800" w:type="dxa"/>
            <w:vAlign w:val="bottom"/>
            <w:gridSpan w:val="7"/>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1.</w:t>
            </w:r>
          </w:p>
        </w:tc>
        <w:tc>
          <w:tcPr>
            <w:tcW w:w="1900" w:type="dxa"/>
            <w:vAlign w:val="bottom"/>
            <w:gridSpan w:val="8"/>
          </w:tcPr>
          <w:p>
            <w:pPr>
              <w:spacing w:after="0" w:line="169" w:lineRule="exact"/>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420" w:type="dxa"/>
            <w:vAlign w:val="bottom"/>
            <w:gridSpan w:val="2"/>
          </w:tcPr>
          <w:p>
            <w:pPr>
              <w:spacing w:after="0"/>
              <w:rPr>
                <w:sz w:val="14"/>
                <w:szCs w:val="14"/>
                <w:color w:val="auto"/>
              </w:rPr>
            </w:pPr>
          </w:p>
        </w:tc>
        <w:tc>
          <w:tcPr>
            <w:tcW w:w="2040" w:type="dxa"/>
            <w:vAlign w:val="bottom"/>
            <w:gridSpan w:val="6"/>
          </w:tcPr>
          <w:p>
            <w:pPr>
              <w:spacing w:after="0"/>
              <w:rPr>
                <w:sz w:val="14"/>
                <w:szCs w:val="14"/>
                <w:color w:val="auto"/>
              </w:rPr>
            </w:pPr>
          </w:p>
        </w:tc>
        <w:tc>
          <w:tcPr>
            <w:tcW w:w="4800" w:type="dxa"/>
            <w:vAlign w:val="bottom"/>
            <w:gridSpan w:val="7"/>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2"/>
          </w:tcPr>
          <w:p>
            <w:pPr>
              <w:spacing w:after="0"/>
              <w:rPr>
                <w:sz w:val="14"/>
                <w:szCs w:val="14"/>
                <w:color w:val="auto"/>
              </w:rPr>
            </w:pPr>
          </w:p>
        </w:tc>
        <w:tc>
          <w:tcPr>
            <w:tcW w:w="980" w:type="dxa"/>
            <w:vAlign w:val="bottom"/>
            <w:gridSpan w:val="5"/>
          </w:tcPr>
          <w:p>
            <w:pPr>
              <w:spacing w:after="0"/>
              <w:rPr>
                <w:sz w:val="14"/>
                <w:szCs w:val="14"/>
                <w:color w:val="auto"/>
              </w:rPr>
            </w:pPr>
          </w:p>
        </w:tc>
        <w:tc>
          <w:tcPr>
            <w:tcW w:w="2040" w:type="dxa"/>
            <w:vAlign w:val="bottom"/>
            <w:gridSpan w:val="6"/>
          </w:tcPr>
          <w:p>
            <w:pPr>
              <w:spacing w:after="0"/>
              <w:rPr>
                <w:sz w:val="14"/>
                <w:szCs w:val="14"/>
                <w:color w:val="auto"/>
              </w:rPr>
            </w:pPr>
          </w:p>
        </w:tc>
        <w:tc>
          <w:tcPr>
            <w:tcW w:w="4800" w:type="dxa"/>
            <w:vAlign w:val="bottom"/>
            <w:gridSpan w:val="7"/>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6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Unregistered</w:t>
              </w:r>
            </w:hyperlink>
          </w:p>
        </w:tc>
        <w:tc>
          <w:tcPr>
            <w:tcW w:w="8220" w:type="dxa"/>
            <w:vAlign w:val="bottom"/>
            <w:gridSpan w:val="20"/>
          </w:tcPr>
          <w:p>
            <w:pPr>
              <w:ind w:left="40"/>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Sales of Equity Securities and Use of Proceeds</w:t>
              </w:r>
            </w:hyperlink>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Defaults Upon Senior Securities</w:t>
              </w:r>
            </w:hyperlink>
          </w:p>
        </w:tc>
        <w:tc>
          <w:tcPr>
            <w:tcW w:w="4800" w:type="dxa"/>
            <w:vAlign w:val="bottom"/>
            <w:gridSpan w:val="7"/>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Mine Safety Disclosures</w:t>
              </w:r>
            </w:hyperlink>
          </w:p>
        </w:tc>
        <w:tc>
          <w:tcPr>
            <w:tcW w:w="6840" w:type="dxa"/>
            <w:vAlign w:val="bottom"/>
            <w:gridSpan w:val="13"/>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Other Information</w:t>
              </w:r>
            </w:hyperlink>
          </w:p>
        </w:tc>
        <w:tc>
          <w:tcPr>
            <w:tcW w:w="7380" w:type="dxa"/>
            <w:vAlign w:val="bottom"/>
            <w:gridSpan w:val="17"/>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67">
              <w:r>
                <w:rPr>
                  <w:rFonts w:ascii="Arial" w:cs="Arial" w:eastAsia="Arial" w:hAnsi="Arial"/>
                  <w:sz w:val="18"/>
                  <w:szCs w:val="18"/>
                  <w:color w:val="0000FF"/>
                </w:rPr>
                <w:t>Exhibits</w:t>
              </w:r>
            </w:hyperlink>
          </w:p>
        </w:tc>
        <w:tc>
          <w:tcPr>
            <w:tcW w:w="7840" w:type="dxa"/>
            <w:vAlign w:val="bottom"/>
            <w:gridSpan w:val="19"/>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line="169" w:lineRule="exact"/>
              <w:rPr>
                <w:rFonts w:ascii="Arial" w:cs="Arial" w:eastAsia="Arial" w:hAnsi="Arial"/>
                <w:sz w:val="18"/>
                <w:szCs w:val="18"/>
                <w:color w:val="0000FF"/>
              </w:rPr>
            </w:pPr>
            <w:hyperlink w:anchor="page68">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tcPr>
          <w:p>
            <w:pPr>
              <w:jc w:val="right"/>
              <w:spacing w:after="0" w:line="169"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rPr>
              <w:t>PART I—FINANCIAL INFORMATION</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68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89"/>
              </w:rPr>
              <w:t>Kodiak Sciences Inc.</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80" w:type="dxa"/>
            <w:vAlign w:val="bottom"/>
          </w:tcPr>
          <w:p>
            <w:pPr>
              <w:jc w:val="center"/>
              <w:ind w:left="3490"/>
              <w:spacing w:after="0" w:line="202" w:lineRule="exact"/>
              <w:rPr>
                <w:sz w:val="20"/>
                <w:szCs w:val="20"/>
                <w:color w:val="auto"/>
              </w:rPr>
            </w:pPr>
            <w:r>
              <w:rPr>
                <w:rFonts w:ascii="Arial" w:cs="Arial" w:eastAsia="Arial" w:hAnsi="Arial"/>
                <w:sz w:val="18"/>
                <w:szCs w:val="18"/>
                <w:b w:val="1"/>
                <w:bCs w:val="1"/>
                <w:color w:val="auto"/>
                <w:w w:val="87"/>
              </w:rPr>
              <w:t>Condensed Consolidated Balance Sheets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jc w:val="center"/>
              <w:ind w:left="3490"/>
              <w:spacing w:after="0" w:line="202" w:lineRule="exact"/>
              <w:rPr>
                <w:sz w:val="20"/>
                <w:szCs w:val="20"/>
                <w:color w:val="auto"/>
              </w:rPr>
            </w:pPr>
            <w:r>
              <w:rPr>
                <w:rFonts w:ascii="Arial" w:cs="Arial" w:eastAsia="Arial" w:hAnsi="Arial"/>
                <w:sz w:val="18"/>
                <w:szCs w:val="18"/>
                <w:b w:val="1"/>
                <w:bCs w:val="1"/>
                <w:color w:val="auto"/>
                <w:w w:val="88"/>
              </w:rPr>
              <w:t>(in thousands, except share and per share amounts)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660"/>
              <w:spacing w:after="0" w:line="202" w:lineRule="exact"/>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48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671,727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731,510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10,460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682,187</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734,811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6,324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6,324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48,892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41,330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64,914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66,744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47,971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55,011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850,288</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904,220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13,074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and other current liabilities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58,277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48,319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liability</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4,983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3,933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76,334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64,683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liability, net of current portion</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76,415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76,063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Liability related to sale of future royalties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99,956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99,943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252,904</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240,900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Preferred stock, $0.0001 par value, 10,000,000 shares authorized;</w:t>
            </w:r>
          </w:p>
        </w:tc>
        <w:tc>
          <w:tcPr>
            <w:tcW w:w="2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0 shares issued and outstanding at March 31, 2022 and</w:t>
            </w:r>
          </w:p>
        </w:tc>
        <w:tc>
          <w:tcPr>
            <w:tcW w:w="260" w:type="dxa"/>
            <w:vAlign w:val="bottom"/>
            <w:shd w:val="clear" w:color="auto" w:fill="CFF0FC"/>
          </w:tcPr>
          <w:p>
            <w:pPr>
              <w:spacing w:after="0"/>
              <w:rPr>
                <w:sz w:val="15"/>
                <w:szCs w:val="15"/>
                <w:color w:val="auto"/>
              </w:rPr>
            </w:pPr>
          </w:p>
        </w:tc>
        <w:tc>
          <w:tcPr>
            <w:tcW w:w="16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5"/>
                <w:szCs w:val="15"/>
                <w:color w:val="auto"/>
              </w:rPr>
            </w:pPr>
          </w:p>
        </w:tc>
        <w:tc>
          <w:tcPr>
            <w:tcW w:w="14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2021, respectively</w:t>
            </w:r>
          </w:p>
        </w:tc>
        <w:tc>
          <w:tcPr>
            <w:tcW w:w="260" w:type="dxa"/>
            <w:vAlign w:val="bottom"/>
            <w:shd w:val="clear" w:color="auto" w:fill="CFF0FC"/>
          </w:tcPr>
          <w:p>
            <w:pPr>
              <w:spacing w:after="0"/>
              <w:rPr>
                <w:sz w:val="18"/>
                <w:szCs w:val="18"/>
                <w:color w:val="auto"/>
              </w:rPr>
            </w:pPr>
          </w:p>
        </w:tc>
        <w:tc>
          <w:tcPr>
            <w:tcW w:w="162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$0.0001 par value, 490,000,000 shares authorized</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rPr>
              <w:t>at March 31, 2022 and December 31, 2021; 51,939,881 and</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340"/>
              <w:spacing w:after="0" w:line="176" w:lineRule="exact"/>
              <w:rPr>
                <w:sz w:val="20"/>
                <w:szCs w:val="20"/>
                <w:color w:val="auto"/>
              </w:rPr>
            </w:pPr>
            <w:r>
              <w:rPr>
                <w:rFonts w:ascii="Arial" w:cs="Arial" w:eastAsia="Arial" w:hAnsi="Arial"/>
                <w:sz w:val="18"/>
                <w:szCs w:val="18"/>
                <w:color w:val="auto"/>
              </w:rPr>
              <w:t>51,826,257 shares issued and outstanding at March 31, 2022 and</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40"/>
              <w:spacing w:after="0"/>
              <w:rPr>
                <w:sz w:val="20"/>
                <w:szCs w:val="20"/>
                <w:color w:val="auto"/>
              </w:rPr>
            </w:pPr>
            <w:r>
              <w:rPr>
                <w:rFonts w:ascii="Arial" w:cs="Arial" w:eastAsia="Arial" w:hAnsi="Arial"/>
                <w:sz w:val="18"/>
                <w:szCs w:val="18"/>
                <w:color w:val="auto"/>
              </w:rPr>
              <w:t>December 31, 2021, respectively</w:t>
            </w: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1,251,305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1,221,532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(653,926 )</w:t>
            </w:r>
          </w:p>
        </w:tc>
        <w:tc>
          <w:tcPr>
            <w:tcW w:w="200" w:type="dxa"/>
            <w:vAlign w:val="bottom"/>
          </w:tcPr>
          <w:p>
            <w:pPr>
              <w:spacing w:after="0"/>
              <w:rPr>
                <w:sz w:val="17"/>
                <w:szCs w:val="17"/>
                <w:color w:val="auto"/>
              </w:rPr>
            </w:pP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(558,217 )</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597,384</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663,320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850,288</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904,220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-3099435</wp:posOffset>
            </wp:positionV>
            <wp:extent cx="5143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-3099435</wp:posOffset>
            </wp:positionV>
            <wp:extent cx="5143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-2293620</wp:posOffset>
            </wp:positionV>
            <wp:extent cx="514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-2293620</wp:posOffset>
            </wp:positionV>
            <wp:extent cx="514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-1771015</wp:posOffset>
            </wp:positionV>
            <wp:extent cx="5143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-1771015</wp:posOffset>
            </wp:positionV>
            <wp:extent cx="514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-159385</wp:posOffset>
            </wp:positionV>
            <wp:extent cx="5143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Three Months Ended</w:t>
      </w:r>
    </w:p>
    <w:tbl>
      <w:tblPr>
        <w:tblLayout w:type="fixed"/>
        <w:tblInd w:w="0" w:type="dxa"/>
        <w:tblCellMar>
          <w:top w:w="0" w:type="dxa"/>
          <w:left w:w="0" w:type="dxa"/>
          <w:bottom w:w="0" w:type="dxa"/>
          <w:right w:w="0" w:type="dxa"/>
        </w:tblCellMar>
      </w:tblPr>
      <w:tr>
        <w:trPr>
          <w:trHeight w:val="201"/>
        </w:trPr>
        <w:tc>
          <w:tcPr>
            <w:tcW w:w="7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80" w:type="dxa"/>
            <w:vAlign w:val="bottom"/>
            <w:gridSpan w:val="3"/>
          </w:tcPr>
          <w:p>
            <w:pPr>
              <w:jc w:val="right"/>
              <w:ind w:right="90"/>
              <w:spacing w:after="0" w:line="201" w:lineRule="exact"/>
              <w:rPr>
                <w:sz w:val="20"/>
                <w:szCs w:val="20"/>
                <w:color w:val="auto"/>
              </w:rPr>
            </w:pPr>
            <w:r>
              <w:rPr>
                <w:rFonts w:ascii="Arial" w:cs="Arial" w:eastAsia="Arial" w:hAnsi="Arial"/>
                <w:sz w:val="18"/>
                <w:szCs w:val="18"/>
                <w:b w:val="1"/>
                <w:bCs w:val="1"/>
                <w:color w:val="auto"/>
              </w:rPr>
              <w:t>March 31,</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50"/>
              <w:spacing w:after="0" w:line="182"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76,177</w:t>
            </w:r>
          </w:p>
        </w:tc>
        <w:tc>
          <w:tcPr>
            <w:tcW w:w="26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40,337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19,590</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10,221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95,767</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(95,767</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(50,558</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7"/>
                <w:szCs w:val="17"/>
                <w:color w:val="auto"/>
              </w:rPr>
            </w:pPr>
          </w:p>
        </w:tc>
        <w:tc>
          <w:tcPr>
            <w:tcW w:w="15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(13 )</w:t>
            </w:r>
          </w:p>
        </w:tc>
        <w:tc>
          <w:tcPr>
            <w:tcW w:w="46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(95,709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(50,447</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color w:val="auto"/>
              </w:rPr>
              <w:t>Net loss per common share, basic and diluted</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(1.83 )</w:t>
            </w:r>
          </w:p>
        </w:tc>
        <w:tc>
          <w:tcPr>
            <w:tcW w:w="460" w:type="dxa"/>
            <w:vAlign w:val="bottom"/>
          </w:tcPr>
          <w:p>
            <w:pPr>
              <w:jc w:val="right"/>
              <w:ind w:right="270"/>
              <w:spacing w:after="0" w:line="183"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(0.98 )</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6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shares of common stock outstanding used</w:t>
            </w:r>
          </w:p>
        </w:tc>
        <w:tc>
          <w:tcPr>
            <w:tcW w:w="38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52,172,918</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51,573,909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in computing net loss per common share, basic and diluted</w:t>
            </w:r>
          </w:p>
        </w:tc>
        <w:tc>
          <w:tcPr>
            <w:tcW w:w="3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660" w:type="dxa"/>
            <w:vAlign w:val="bottom"/>
          </w:tcPr>
          <w:p>
            <w:pPr>
              <w:ind w:left="20"/>
              <w:spacing w:after="0" w:line="183" w:lineRule="exact"/>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6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Change in unrealized gains related to available-for-sale</w:t>
            </w:r>
          </w:p>
        </w:tc>
        <w:tc>
          <w:tcPr>
            <w:tcW w:w="380" w:type="dxa"/>
            <w:vAlign w:val="bottom"/>
            <w:shd w:val="clear" w:color="auto" w:fill="CFF0FC"/>
          </w:tcPr>
          <w:p>
            <w:pPr>
              <w:spacing w:after="0"/>
              <w:rPr>
                <w:sz w:val="14"/>
                <w:szCs w:val="14"/>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766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debt securities, net of tax</w:t>
            </w:r>
          </w:p>
        </w:tc>
        <w:tc>
          <w:tcPr>
            <w:tcW w:w="380" w:type="dxa"/>
            <w:vAlign w:val="bottom"/>
            <w:shd w:val="clear" w:color="auto" w:fill="CFF0FC"/>
          </w:tcPr>
          <w:p>
            <w:pPr>
              <w:spacing w:after="0"/>
              <w:rPr>
                <w:sz w:val="17"/>
                <w:szCs w:val="17"/>
                <w:color w:val="auto"/>
              </w:rPr>
            </w:pPr>
          </w:p>
        </w:tc>
        <w:tc>
          <w:tcPr>
            <w:tcW w:w="1260" w:type="dxa"/>
            <w:vAlign w:val="bottom"/>
            <w:vMerge w:val="continue"/>
            <w:shd w:val="clear" w:color="auto" w:fill="CFF0FC"/>
          </w:tcPr>
          <w:p>
            <w:pPr>
              <w:spacing w:after="0"/>
              <w:rPr>
                <w:sz w:val="17"/>
                <w:szCs w:val="17"/>
                <w:color w:val="auto"/>
              </w:rPr>
            </w:pPr>
          </w:p>
        </w:tc>
        <w:tc>
          <w:tcPr>
            <w:tcW w:w="260" w:type="dxa"/>
            <w:vAlign w:val="bottom"/>
            <w:vMerge w:val="continue"/>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tcPr>
          <w:p>
            <w:pPr>
              <w:ind w:left="380"/>
              <w:spacing w:after="0" w:line="196" w:lineRule="exact"/>
              <w:rPr>
                <w:sz w:val="20"/>
                <w:szCs w:val="20"/>
                <w:color w:val="auto"/>
              </w:rPr>
            </w:pPr>
            <w:r>
              <w:rPr>
                <w:rFonts w:ascii="Arial" w:cs="Arial" w:eastAsia="Arial" w:hAnsi="Arial"/>
                <w:sz w:val="18"/>
                <w:szCs w:val="18"/>
                <w:color w:val="auto"/>
              </w:rPr>
              <w:t>Total other comprehensive income (loss)</w:t>
            </w:r>
          </w:p>
        </w:tc>
        <w:tc>
          <w:tcPr>
            <w:tcW w:w="3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(95,709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(50,482</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-2412365</wp:posOffset>
            </wp:positionV>
            <wp:extent cx="7683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-2412365</wp:posOffset>
            </wp:positionV>
            <wp:extent cx="768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-1873885</wp:posOffset>
            </wp:positionV>
            <wp:extent cx="514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-1873885</wp:posOffset>
            </wp:positionV>
            <wp:extent cx="5143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51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-1062355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-1079500</wp:posOffset>
            </wp:positionV>
            <wp:extent cx="51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-1062355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-685165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-668020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-685165</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-668020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514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42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4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12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at December 31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51,826,257</w:t>
            </w:r>
          </w:p>
        </w:tc>
        <w:tc>
          <w:tcPr>
            <w:tcW w:w="18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1,221,532</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(558,217</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663,320</w:t>
            </w:r>
          </w:p>
        </w:tc>
        <w:tc>
          <w:tcPr>
            <w:tcW w:w="0" w:type="dxa"/>
            <w:vAlign w:val="bottom"/>
          </w:tcPr>
          <w:p>
            <w:pPr>
              <w:spacing w:after="0"/>
              <w:rPr>
                <w:sz w:val="1"/>
                <w:szCs w:val="1"/>
                <w:color w:val="auto"/>
              </w:rPr>
            </w:pPr>
          </w:p>
        </w:tc>
      </w:tr>
      <w:tr>
        <w:trPr>
          <w:trHeight w:val="143"/>
        </w:trPr>
        <w:tc>
          <w:tcPr>
            <w:tcW w:w="274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240" w:type="dxa"/>
            <w:vAlign w:val="bottom"/>
          </w:tcPr>
          <w:p>
            <w:pPr>
              <w:jc w:val="right"/>
              <w:spacing w:after="0"/>
              <w:rPr>
                <w:sz w:val="20"/>
                <w:szCs w:val="20"/>
                <w:color w:val="auto"/>
              </w:rPr>
            </w:pPr>
            <w:r>
              <w:rPr>
                <w:rFonts w:ascii="Arial" w:cs="Arial" w:eastAsia="Arial" w:hAnsi="Arial"/>
                <w:sz w:val="14"/>
                <w:szCs w:val="14"/>
                <w:color w:val="auto"/>
              </w:rPr>
              <w:t>110,043</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143"/>
        </w:trPr>
        <w:tc>
          <w:tcPr>
            <w:tcW w:w="27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vesting of restricted stock units,</w:t>
            </w: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of taxes withheld</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3,581</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740" w:type="dxa"/>
            <w:vAlign w:val="bottom"/>
          </w:tcPr>
          <w:p>
            <w:pPr>
              <w:ind w:left="200"/>
              <w:spacing w:after="0" w:line="143" w:lineRule="exact"/>
              <w:rPr>
                <w:sz w:val="20"/>
                <w:szCs w:val="20"/>
                <w:color w:val="auto"/>
              </w:rPr>
            </w:pPr>
            <w:r>
              <w:rPr>
                <w:rFonts w:ascii="Arial" w:cs="Arial" w:eastAsia="Arial" w:hAnsi="Arial"/>
                <w:sz w:val="14"/>
                <w:szCs w:val="14"/>
                <w:color w:val="auto"/>
              </w:rPr>
              <w:t>Stock-based compensation</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300"/>
              <w:spacing w:after="0"/>
              <w:rPr>
                <w:sz w:val="20"/>
                <w:szCs w:val="20"/>
                <w:color w:val="auto"/>
              </w:rPr>
            </w:pPr>
            <w:r>
              <w:rPr>
                <w:rFonts w:ascii="Arial" w:cs="Arial" w:eastAsia="Arial" w:hAnsi="Arial"/>
                <w:sz w:val="14"/>
                <w:szCs w:val="14"/>
                <w:color w:val="auto"/>
              </w:rPr>
              <w:t>expense</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28,095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28,095</w:t>
            </w: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(95,709 )</w:t>
            </w:r>
          </w:p>
        </w:tc>
        <w:tc>
          <w:tcPr>
            <w:tcW w:w="14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(95,709 )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4"/>
                <w:szCs w:val="14"/>
                <w:color w:val="auto"/>
              </w:rPr>
              <w:t>Balances at March 31, 2022</w:t>
            </w:r>
          </w:p>
        </w:tc>
        <w:tc>
          <w:tcPr>
            <w:tcW w:w="1240" w:type="dxa"/>
            <w:vAlign w:val="bottom"/>
          </w:tcPr>
          <w:p>
            <w:pPr>
              <w:jc w:val="right"/>
              <w:spacing w:after="0"/>
              <w:rPr>
                <w:sz w:val="20"/>
                <w:szCs w:val="20"/>
                <w:color w:val="auto"/>
              </w:rPr>
            </w:pPr>
            <w:r>
              <w:rPr>
                <w:rFonts w:ascii="Arial" w:cs="Arial" w:eastAsia="Arial" w:hAnsi="Arial"/>
                <w:sz w:val="14"/>
                <w:szCs w:val="14"/>
                <w:color w:val="auto"/>
              </w:rPr>
              <w:t>51,939,881</w:t>
            </w:r>
          </w:p>
        </w:tc>
        <w:tc>
          <w:tcPr>
            <w:tcW w:w="180" w:type="dxa"/>
            <w:vAlign w:val="bottom"/>
          </w:tcPr>
          <w:p>
            <w:pPr>
              <w:spacing w:after="0"/>
              <w:rPr>
                <w:sz w:val="14"/>
                <w:szCs w:val="14"/>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1,251,305</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(653,926 )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597,384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42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26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24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12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4"/>
                <w:szCs w:val="14"/>
                <w:color w:val="auto"/>
              </w:rPr>
            </w:pPr>
          </w:p>
        </w:tc>
        <w:tc>
          <w:tcPr>
            <w:tcW w:w="114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Balances at December 31, 2020</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51,112,302</w:t>
            </w:r>
          </w:p>
        </w:tc>
        <w:tc>
          <w:tcPr>
            <w:tcW w:w="18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1,151,920</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(291,227</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860,751</w:t>
            </w:r>
          </w:p>
        </w:tc>
        <w:tc>
          <w:tcPr>
            <w:tcW w:w="0" w:type="dxa"/>
            <w:vAlign w:val="bottom"/>
          </w:tcPr>
          <w:p>
            <w:pPr>
              <w:spacing w:after="0"/>
              <w:rPr>
                <w:sz w:val="1"/>
                <w:szCs w:val="1"/>
                <w:color w:val="auto"/>
              </w:rPr>
            </w:pPr>
          </w:p>
        </w:tc>
      </w:tr>
      <w:tr>
        <w:trPr>
          <w:trHeight w:val="143"/>
        </w:trPr>
        <w:tc>
          <w:tcPr>
            <w:tcW w:w="274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 upon</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1240" w:type="dxa"/>
            <w:vAlign w:val="bottom"/>
          </w:tcPr>
          <w:p>
            <w:pPr>
              <w:jc w:val="right"/>
              <w:spacing w:after="0"/>
              <w:rPr>
                <w:sz w:val="20"/>
                <w:szCs w:val="20"/>
                <w:color w:val="auto"/>
              </w:rPr>
            </w:pPr>
            <w:r>
              <w:rPr>
                <w:rFonts w:ascii="Arial" w:cs="Arial" w:eastAsia="Arial" w:hAnsi="Arial"/>
                <w:sz w:val="14"/>
                <w:szCs w:val="14"/>
                <w:color w:val="auto"/>
              </w:rPr>
              <w:t>113,559</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43"/>
        </w:trPr>
        <w:tc>
          <w:tcPr>
            <w:tcW w:w="27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Stock-based compensation</w:t>
            </w: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expense</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9,925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rPr>
              <w:t>9,925</w:t>
            </w:r>
          </w:p>
        </w:tc>
        <w:tc>
          <w:tcPr>
            <w:tcW w:w="0" w:type="dxa"/>
            <w:vAlign w:val="bottom"/>
          </w:tcPr>
          <w:p>
            <w:pPr>
              <w:spacing w:after="0"/>
              <w:rPr>
                <w:sz w:val="1"/>
                <w:szCs w:val="1"/>
                <w:color w:val="auto"/>
              </w:rPr>
            </w:pPr>
          </w:p>
        </w:tc>
      </w:tr>
      <w:tr>
        <w:trPr>
          <w:trHeight w:val="176"/>
        </w:trPr>
        <w:tc>
          <w:tcPr>
            <w:tcW w:w="2740" w:type="dxa"/>
            <w:vAlign w:val="bottom"/>
          </w:tcPr>
          <w:p>
            <w:pPr>
              <w:ind w:left="200"/>
              <w:spacing w:after="0"/>
              <w:rPr>
                <w:sz w:val="20"/>
                <w:szCs w:val="20"/>
                <w:color w:val="auto"/>
              </w:rPr>
            </w:pPr>
            <w:r>
              <w:rPr>
                <w:rFonts w:ascii="Arial" w:cs="Arial" w:eastAsia="Arial" w:hAnsi="Arial"/>
                <w:sz w:val="14"/>
                <w:szCs w:val="14"/>
                <w:color w:val="auto"/>
              </w:rPr>
              <w:t>Other comprehensive loss</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(35 )</w:t>
            </w:r>
          </w:p>
        </w:tc>
        <w:tc>
          <w:tcPr>
            <w:tcW w:w="140" w:type="dxa"/>
            <w:vAlign w:val="bottom"/>
          </w:tcPr>
          <w:p>
            <w:pPr>
              <w:spacing w:after="0"/>
              <w:rPr>
                <w:sz w:val="15"/>
                <w:szCs w:val="15"/>
                <w:color w:val="auto"/>
              </w:rPr>
            </w:pPr>
          </w:p>
        </w:tc>
        <w:tc>
          <w:tcPr>
            <w:tcW w:w="12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76"/>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(50,447 )</w:t>
            </w:r>
          </w:p>
        </w:tc>
        <w:tc>
          <w:tcPr>
            <w:tcW w:w="140" w:type="dxa"/>
            <w:vAlign w:val="bottom"/>
            <w:shd w:val="clear" w:color="auto" w:fill="CFF0FC"/>
          </w:tcPr>
          <w:p>
            <w:pPr>
              <w:spacing w:after="0"/>
              <w:rPr>
                <w:sz w:val="15"/>
                <w:szCs w:val="15"/>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(50,447 )</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4"/>
                <w:szCs w:val="14"/>
                <w:color w:val="auto"/>
              </w:rPr>
              <w:t>Balances at March 31, 2021</w:t>
            </w:r>
          </w:p>
        </w:tc>
        <w:tc>
          <w:tcPr>
            <w:tcW w:w="1240" w:type="dxa"/>
            <w:vAlign w:val="bottom"/>
          </w:tcPr>
          <w:p>
            <w:pPr>
              <w:jc w:val="right"/>
              <w:spacing w:after="0"/>
              <w:rPr>
                <w:sz w:val="20"/>
                <w:szCs w:val="20"/>
                <w:color w:val="auto"/>
              </w:rPr>
            </w:pPr>
            <w:r>
              <w:rPr>
                <w:rFonts w:ascii="Arial" w:cs="Arial" w:eastAsia="Arial" w:hAnsi="Arial"/>
                <w:sz w:val="14"/>
                <w:szCs w:val="14"/>
                <w:color w:val="auto"/>
              </w:rPr>
              <w:t>51,225,861</w:t>
            </w:r>
          </w:p>
        </w:tc>
        <w:tc>
          <w:tcPr>
            <w:tcW w:w="180" w:type="dxa"/>
            <w:vAlign w:val="bottom"/>
          </w:tcPr>
          <w:p>
            <w:pPr>
              <w:spacing w:after="0"/>
              <w:rPr>
                <w:sz w:val="14"/>
                <w:szCs w:val="14"/>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1,163,328</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48"/>
              <w:spacing w:after="0"/>
              <w:rPr>
                <w:sz w:val="20"/>
                <w:szCs w:val="20"/>
                <w:color w:val="auto"/>
              </w:rPr>
            </w:pPr>
            <w:r>
              <w:rPr>
                <w:rFonts w:ascii="Arial" w:cs="Arial" w:eastAsia="Arial" w:hAnsi="Arial"/>
                <w:sz w:val="14"/>
                <w:szCs w:val="14"/>
                <w:color w:val="auto"/>
              </w:rPr>
              <w:t>(341,674 )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821,677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-1565275</wp:posOffset>
            </wp:positionV>
            <wp:extent cx="342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-1565275</wp:posOffset>
            </wp:positionV>
            <wp:extent cx="342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-1565275</wp:posOffset>
            </wp:positionV>
            <wp:extent cx="3429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-1565275</wp:posOffset>
            </wp:positionV>
            <wp:extent cx="5143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-1565275</wp:posOffset>
            </wp:positionV>
            <wp:extent cx="431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-1565275</wp:posOffset>
            </wp:positionV>
            <wp:extent cx="431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-142240</wp:posOffset>
            </wp:positionV>
            <wp:extent cx="3429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-142240</wp:posOffset>
            </wp:positionV>
            <wp:extent cx="3429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-142240</wp:posOffset>
            </wp:positionV>
            <wp:extent cx="342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-142240</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-142240</wp:posOffset>
            </wp:positionV>
            <wp:extent cx="431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-142240</wp:posOffset>
            </wp:positionV>
            <wp:extent cx="431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80" w:type="dxa"/>
            <w:vAlign w:val="bottom"/>
          </w:tcPr>
          <w:p>
            <w:pPr>
              <w:spacing w:after="0"/>
              <w:rPr>
                <w:sz w:val="19"/>
                <w:szCs w:val="19"/>
                <w:color w:val="auto"/>
              </w:rPr>
            </w:pPr>
          </w:p>
        </w:tc>
        <w:tc>
          <w:tcPr>
            <w:tcW w:w="3560" w:type="dxa"/>
            <w:vAlign w:val="bottom"/>
            <w:gridSpan w:val="6"/>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r>
      <w:tr>
        <w:trPr>
          <w:trHeight w:val="183"/>
        </w:trPr>
        <w:tc>
          <w:tcPr>
            <w:tcW w:w="768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auto"/>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2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91"/>
              </w:rPr>
              <w:t>(95,709 )</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(50,447 )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28,095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9,925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Amortization (accretion) of premium (discount) on marketable securities</w:t>
            </w:r>
          </w:p>
        </w:tc>
        <w:tc>
          <w:tcPr>
            <w:tcW w:w="1020" w:type="dxa"/>
            <w:vAlign w:val="bottom"/>
          </w:tcPr>
          <w:p>
            <w:pPr>
              <w:spacing w:after="0"/>
              <w:rPr>
                <w:sz w:val="17"/>
                <w:szCs w:val="17"/>
                <w:color w:val="auto"/>
              </w:rPr>
            </w:pPr>
          </w:p>
        </w:tc>
        <w:tc>
          <w:tcPr>
            <w:tcW w:w="8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operating lease right-of-use asset</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issuance costs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assets and liabilities: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(7,159 )</w:t>
            </w: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assets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7,869</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603</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6,505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(165 )</w:t>
            </w: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and other current liabilities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3,205</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Operating lease liability</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1,328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(84 )</w:t>
            </w:r>
          </w:p>
        </w:tc>
      </w:tr>
      <w:tr>
        <w:trPr>
          <w:trHeight w:val="19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(43,160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(34,625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 of property and equipment</w:t>
            </w:r>
          </w:p>
        </w:tc>
        <w:tc>
          <w:tcPr>
            <w:tcW w:w="10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1"/>
              </w:rPr>
              <w:t>(17,460 )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(1,237 )</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Deposits on property and equipment</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(829 )</w:t>
            </w:r>
          </w:p>
        </w:tc>
        <w:tc>
          <w:tcPr>
            <w:tcW w:w="360" w:type="dxa"/>
            <w:vAlign w:val="bottom"/>
          </w:tcPr>
          <w:p>
            <w:pPr>
              <w:spacing w:after="0"/>
              <w:rPr>
                <w:sz w:val="17"/>
                <w:szCs w:val="17"/>
                <w:color w:val="auto"/>
              </w:rPr>
            </w:pP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(5,545 )</w:t>
            </w:r>
          </w:p>
        </w:tc>
      </w:tr>
      <w:tr>
        <w:trPr>
          <w:trHeight w:val="202"/>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Maturities of marketable securities</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16,000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6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Pr>
          <w:p>
            <w:pPr>
              <w:spacing w:after="0"/>
              <w:rPr>
                <w:sz w:val="17"/>
                <w:szCs w:val="17"/>
                <w:color w:val="auto"/>
              </w:rPr>
            </w:pPr>
          </w:p>
        </w:tc>
        <w:tc>
          <w:tcPr>
            <w:tcW w:w="8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w w:val="91"/>
              </w:rPr>
              <w:t>(18,289 )</w:t>
            </w:r>
          </w:p>
        </w:tc>
        <w:tc>
          <w:tcPr>
            <w:tcW w:w="3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9,218</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Proceeds from issuance of common stock upon options exercise</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1,678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1,483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Principal payments of tenant improvement allowance payable</w:t>
            </w:r>
          </w:p>
        </w:tc>
        <w:tc>
          <w:tcPr>
            <w:tcW w:w="10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(12 )</w:t>
            </w: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196"/>
        </w:trPr>
        <w:tc>
          <w:tcPr>
            <w:tcW w:w="768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1,666</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w:t>
            </w:r>
          </w:p>
        </w:tc>
        <w:tc>
          <w:tcPr>
            <w:tcW w:w="80" w:type="dxa"/>
            <w:vAlign w:val="bottom"/>
            <w:tcBorders>
              <w:top w:val="single" w:sz="8" w:color="CFF0FC"/>
            </w:tcBorders>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(59,783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(23,935</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9"/>
              </w:rPr>
              <w:t>737,834</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950,720</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1020" w:type="dxa"/>
            <w:vAlign w:val="bottom"/>
            <w:tcBorders>
              <w:bottom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678,051</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926,785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Arial" w:cs="Arial" w:eastAsia="Arial" w:hAnsi="Arial"/>
                <w:sz w:val="18"/>
                <w:szCs w:val="18"/>
                <w:color w:val="auto"/>
              </w:rPr>
              <w:t>Reconciliation of cash, cash equivalents and restricted cash to consolidated balance sheets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FF0FC"/>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9"/>
              </w:rPr>
              <w:t>671,727</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920,461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6,324</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6,324</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cash equivalents and restricted cash in consolidated balance sheets</w:t>
            </w:r>
          </w:p>
        </w:tc>
        <w:tc>
          <w:tcPr>
            <w:tcW w:w="1020" w:type="dxa"/>
            <w:vAlign w:val="bottom"/>
            <w:tcBorders>
              <w:bottom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678,051</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926,785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85"/>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 obtained in exchange for operating lease liability</w:t>
            </w:r>
          </w:p>
        </w:tc>
        <w:tc>
          <w:tcPr>
            <w:tcW w:w="1020" w:type="dxa"/>
            <w:vAlign w:val="bottom"/>
            <w:shd w:val="clear" w:color="auto" w:fill="CFF0FC"/>
          </w:tcPr>
          <w:p>
            <w:pPr>
              <w:jc w:val="right"/>
              <w:ind w:right="81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335</w:t>
            </w:r>
          </w:p>
        </w:tc>
        <w:tc>
          <w:tcPr>
            <w:tcW w:w="80" w:type="dxa"/>
            <w:vAlign w:val="bottom"/>
            <w:shd w:val="clear" w:color="auto" w:fill="CFF0FC"/>
          </w:tcPr>
          <w:p>
            <w:pPr>
              <w:spacing w:after="0"/>
              <w:rPr>
                <w:sz w:val="17"/>
                <w:szCs w:val="17"/>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Purchase of property and equipment under accounts payable and accruals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11,488</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1,966</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-4787265</wp:posOffset>
            </wp:positionV>
            <wp:extent cx="76835"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-4787265</wp:posOffset>
            </wp:positionV>
            <wp:extent cx="7683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-2697480</wp:posOffset>
            </wp:positionV>
            <wp:extent cx="5143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-2697480</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-2174240</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-2174240</wp:posOffset>
            </wp:positionV>
            <wp:extent cx="514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-1642745</wp:posOffset>
            </wp:positionV>
            <wp:extent cx="514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-1642745</wp:posOffset>
            </wp:positionV>
            <wp:extent cx="514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-1105535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-1088390</wp:posOffset>
            </wp:positionV>
            <wp:extent cx="51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-1105535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-1088390</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-556895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-539750</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-556895</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-539750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08"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Kodiak Sciences Inc. (the “Company”) is a clinical stage biopharmaceutical company committed to researching, developing and commercializing transformative therapeutics to treat high prevalence retinal diseases in the United States and additional international markets. The Company devotes substantially all of its resources to the research and development of its product platforms and product candidates including activities to conduct clinical studies of its product candidates, manufacture product candidates and provide general and administrative support for these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of March 31, 2022, the Company had cash and cash equivalents of $671.7 million. Although the Company has incurred significant operating losses since inception and expects to continue to incur operating losses and negative operating cash flows for the foreseeable future, the Company believes that the cash and cash equivalents will be sufficient to meet the anticipated operating and capital expenditure requirements for the 12 months following the date of this Form 10-Q.</w:t>
      </w:r>
    </w:p>
    <w:p>
      <w:pPr>
        <w:spacing w:after="0" w:line="184" w:lineRule="exact"/>
        <w:rPr>
          <w:sz w:val="20"/>
          <w:szCs w:val="20"/>
          <w:color w:val="auto"/>
        </w:rPr>
      </w:pPr>
    </w:p>
    <w:p>
      <w:pPr>
        <w:ind w:right="7240" w:firstLine="8"/>
        <w:spacing w:after="0" w:line="434" w:lineRule="auto"/>
        <w:tabs>
          <w:tab w:leader="none" w:pos="18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Presentation and Principles of Consolidation</w:t>
      </w:r>
    </w:p>
    <w:p>
      <w:pPr>
        <w:spacing w:after="0" w:line="1"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accounting principles generally accepted in the United States (“GAAP”) applicable to interim periods. The condensed consolidated financial statements, in the opinion of management, include all normal and recurring adjustments necessary to state fairly the Company's financial position and results of operations for the reported periods.</w:t>
      </w:r>
    </w:p>
    <w:p>
      <w:pPr>
        <w:spacing w:after="0" w:line="80"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These condensed consolidated financial statements have been prepared on a basis substantially consistent with, and should be read in conjunction with the audited financial statements for the year ended December 31, 2021 and notes thereto, the Company’s Annual Report on Form 10-K filed with the Securities and Exchange Commission (“SEC”) on March 1, 2022.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2022, or for any future period.</w:t>
      </w:r>
    </w:p>
    <w:p>
      <w:pPr>
        <w:spacing w:after="0" w:line="66"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The impact of the ongoing COVID-19 pandemic continues to evolve. As a result, certain estimates and assumptions required increased judgment and carried a higher degree of variability and volatility, including but not limited to, the fair value of marketable securities, performance-based equity awards, and research and development accruals. As events continue to unfold and additional information becomes available, these estimates may change materially in future periods. Actual results could differ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March 2020, the World Health Organization declared a pandemic due to the global COVID-19 outbreak. The significant uncertainties caused by the ongoing COVID-19 pandemic may negatively impact the Company’s operations, liquidity, and capital resources and will depend on certain evolving developments, including the duration and spread of the outbreak, regulatory and private sector responses and the impact on employees and vendors including supply chain and clinical partners, all of which are uncertain and cannot be predicted. During this pandemic, the Company continues to work closely with clinical sites towards maximal patient safety and the lowest number of missed visits and study discontinuations. The Company has taken and continues to take proactive measures to maintain the integrity of its ongoing clinical studies. Despite these efforts, the ongoing COVID-19 pandemic could significantly impact clinical trial enrollment and completion of its clinical studies. The Company will continue to monitor the COVID-19 situation and its impact on the ability to continue the development of, and seek regulatory approvals for, the Company’s product candidates, and begin to commercialize any approved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0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2022, respectively, are consistent with those discussed in Note 2 to the consolidated financial statements in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9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Company’s Annual Report on Form 10-K for the year ended December 31, 2021, except as noted within the “Recent Accounting Pronouncements – Recently Adopted Accounting Pronouncements” section.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 and adopted by the Company as of the specified effective date. There have been no new accounting pronouncements issued nor adopted during the three months ended March 31, 2022 that are of significance to the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3. Accrued and Other Current Liabilities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1"/>
        </w:trPr>
        <w:tc>
          <w:tcPr>
            <w:tcW w:w="7720" w:type="dxa"/>
            <w:vAlign w:val="bottom"/>
          </w:tcPr>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7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23"/>
                <w:szCs w:val="23"/>
                <w:color w:val="auto"/>
              </w:rPr>
            </w:pPr>
          </w:p>
        </w:tc>
      </w:tr>
      <w:tr>
        <w:trPr>
          <w:trHeight w:val="216"/>
        </w:trPr>
        <w:tc>
          <w:tcPr>
            <w:tcW w:w="7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clinical trial and related costs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30,263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21,776</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Accrued research and development</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9,522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6,041</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leasehold improvements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9,329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13,021</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Accrued salaries and benefits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7,331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6,187</w:t>
            </w:r>
          </w:p>
        </w:tc>
        <w:tc>
          <w:tcPr>
            <w:tcW w:w="60" w:type="dxa"/>
            <w:vAlign w:val="bottom"/>
          </w:tcPr>
          <w:p>
            <w:pPr>
              <w:spacing w:after="0"/>
              <w:rPr>
                <w:sz w:val="17"/>
                <w:szCs w:val="17"/>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legal fees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403</w:t>
            </w:r>
          </w:p>
        </w:tc>
        <w:tc>
          <w:tcPr>
            <w:tcW w:w="60" w:type="dxa"/>
            <w:vAlign w:val="bottom"/>
            <w:shd w:val="clear" w:color="auto" w:fill="CFF0FC"/>
          </w:tcPr>
          <w:p>
            <w:pPr>
              <w:spacing w:after="0"/>
              <w:rPr>
                <w:sz w:val="17"/>
                <w:szCs w:val="17"/>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60" w:type="dxa"/>
            <w:vAlign w:val="bottom"/>
          </w:tcPr>
          <w:p>
            <w:pPr>
              <w:spacing w:after="0"/>
              <w:rPr>
                <w:sz w:val="17"/>
                <w:szCs w:val="17"/>
                <w:color w:val="auto"/>
              </w:rPr>
            </w:pPr>
          </w:p>
        </w:tc>
      </w:tr>
      <w:tr>
        <w:trPr>
          <w:trHeight w:val="203"/>
        </w:trPr>
        <w:tc>
          <w:tcPr>
            <w:tcW w:w="7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other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1,206</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720" w:type="dxa"/>
            <w:vAlign w:val="bottom"/>
          </w:tcPr>
          <w:p>
            <w:pPr>
              <w:ind w:left="20"/>
              <w:spacing w:after="0" w:line="196" w:lineRule="exact"/>
              <w:rPr>
                <w:sz w:val="20"/>
                <w:szCs w:val="20"/>
                <w:color w:val="auto"/>
              </w:rPr>
            </w:pPr>
            <w:r>
              <w:rPr>
                <w:rFonts w:ascii="Arial" w:cs="Arial" w:eastAsia="Arial" w:hAnsi="Arial"/>
                <w:sz w:val="18"/>
                <w:szCs w:val="18"/>
                <w:color w:val="auto"/>
              </w:rPr>
              <w:t>Total accrued and other current liabilities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58,277</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48,319</w:t>
            </w:r>
          </w:p>
        </w:tc>
        <w:tc>
          <w:tcPr>
            <w:tcW w:w="6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-159385</wp:posOffset>
            </wp:positionV>
            <wp:extent cx="431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the Company’s fair value hierarchy for assets measured at fair value on a recurring basis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b w:val="1"/>
                <w:bCs w:val="1"/>
                <w:color w:val="auto"/>
              </w:rPr>
              <w:t>Fair Value Measurements at March 31, 2022</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760" w:type="dxa"/>
            <w:vAlign w:val="bottom"/>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639,691</w:t>
            </w:r>
          </w:p>
        </w:tc>
        <w:tc>
          <w:tcPr>
            <w:tcW w:w="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800"/>
              <w:spacing w:after="0" w:line="202" w:lineRule="exact"/>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ind w:left="80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639,691</w:t>
            </w:r>
          </w:p>
        </w:tc>
        <w:tc>
          <w:tcPr>
            <w:tcW w:w="60" w:type="dxa"/>
            <w:vAlign w:val="bottom"/>
          </w:tcPr>
          <w:p>
            <w:pPr>
              <w:spacing w:after="0"/>
              <w:rPr>
                <w:sz w:val="17"/>
                <w:szCs w:val="17"/>
                <w:color w:val="auto"/>
              </w:rPr>
            </w:pPr>
          </w:p>
        </w:tc>
      </w:tr>
      <w:tr>
        <w:trPr>
          <w:trHeight w:val="236"/>
        </w:trPr>
        <w:tc>
          <w:tcPr>
            <w:tcW w:w="5760" w:type="dxa"/>
            <w:vAlign w:val="bottom"/>
            <w:tcBorders>
              <w:top w:val="single" w:sz="8" w:color="CFF0FC"/>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639,691</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ind w:left="80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639,691</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43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-162560</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34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-162560</wp:posOffset>
            </wp:positionV>
            <wp:extent cx="342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34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2021</w:t>
            </w: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760" w:type="dxa"/>
            <w:vAlign w:val="bottom"/>
            <w:vMerge w:val="restart"/>
          </w:tcPr>
          <w:p>
            <w:pPr>
              <w:ind w:left="2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706,703</w:t>
            </w:r>
          </w:p>
        </w:tc>
        <w:tc>
          <w:tcPr>
            <w:tcW w:w="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800"/>
              <w:spacing w:after="0" w:line="202" w:lineRule="exact"/>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80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706,703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706,703</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line="196"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00"/>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706,703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509"/>
        <w:spacing w:after="0" w:line="291" w:lineRule="auto"/>
        <w:rPr>
          <w:sz w:val="20"/>
          <w:szCs w:val="20"/>
          <w:color w:val="auto"/>
        </w:rPr>
      </w:pPr>
      <w:r>
        <w:rPr>
          <w:rFonts w:ascii="Arial" w:cs="Arial" w:eastAsia="Arial" w:hAnsi="Arial"/>
          <w:sz w:val="17"/>
          <w:szCs w:val="17"/>
          <w:color w:val="auto"/>
        </w:rPr>
        <w:t>As of March 31, 2022 and December 31, 2021, the fair value of the liability related to sale of future royalties is based on the Company's current estimates of future royalties expected to be paid to Baker Bros. Advisors, LP (“BBA”), which are considered Level 3 inputs.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no marketable securities at March 31, 2022 and December 31, 2021.</w:t>
      </w:r>
    </w:p>
    <w:p>
      <w:pPr>
        <w:spacing w:after="0" w:line="208" w:lineRule="exact"/>
        <w:rPr>
          <w:sz w:val="20"/>
          <w:szCs w:val="20"/>
          <w:color w:val="auto"/>
        </w:rPr>
      </w:pPr>
    </w:p>
    <w:p>
      <w:pPr>
        <w:ind w:right="8500" w:firstLine="8"/>
        <w:spacing w:after="0" w:line="375" w:lineRule="auto"/>
        <w:tabs>
          <w:tab w:leader="none" w:pos="1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Embedded Lease</w:t>
      </w:r>
    </w:p>
    <w:p>
      <w:pPr>
        <w:spacing w:after="0" w:line="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August 2020, the Company and its wholly-owned subsidiary Kodiak Sciences GmbH entered into a manufacturing agreement with Lonza Ltd (“Lonza”) for the clinical and commercial supply of drug substance for KSI-301. A custom-built manufacturing facility is planned to be completed and dedicated to the manufacture of the Company’s drug substance. The manufacturing agreement has an initial term of eight years, and the Company has the right to extend the term up to a total of 16 years. The Company and Lonza each have the ability to terminate this agreement upon the occurrence of certain conditions.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9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April 2021, the agreement was amended to provide for higher annual manufacturing capacity. The Company expanded and finalized the design and scope of the bioconjugate manufacturing facility with a revised estimated capital contribution of approximately 75.0 million Swiss Francs of which the Company has paid 35.0 million Swiss Francs of the capital contribution, equivalent to $38.7 million U.S. Dollars, which is recorded in other assets on the consolidated balance sheet as of March 31, 2022. Over the period from 2022 through 2029, manufacturing payments totaling approximately 150.0 million Swiss Francs may be incurred for potential commercial supply of KSI-301 drug substance.</w:t>
      </w:r>
    </w:p>
    <w:p>
      <w:pPr>
        <w:spacing w:after="0" w:line="66"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concluded that this agreement contains an embedded lease as the custom-built manufacturing suite will be dedicated for the Company’s use. As of March 31, 2022, the Company did not have control of this manufacturing space and therefore, did not record a right-of-use asset and corresponding lease liability.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p>
    <w:p>
      <w:pPr>
        <w:spacing w:after="0" w:line="80"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0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In January 2022 and 2021, the number of shares of common stock available for issuance under the 2018 Equity Incentive Plan (the "2018 Plan") was increased by approximately 2.1 million and 2.0 million shares, respectively, as a result of the automatic increase provision in the 2018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option activity, including stock options and performance-based stock options under the 2021 Long-Term Performance Incentive Plan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LTPIP”), 2018 Plan and 2015 Plan is summarized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7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2"/>
              </w:rPr>
              <w:t>of</w:t>
            </w:r>
          </w:p>
        </w:tc>
        <w:tc>
          <w:tcPr>
            <w:tcW w:w="240" w:type="dxa"/>
            <w:vAlign w:val="bottom"/>
          </w:tcPr>
          <w:p>
            <w:pPr>
              <w:spacing w:after="0"/>
              <w:rPr>
                <w:sz w:val="15"/>
                <w:szCs w:val="15"/>
                <w:color w:val="auto"/>
              </w:rPr>
            </w:pPr>
          </w:p>
        </w:tc>
        <w:tc>
          <w:tcPr>
            <w:tcW w:w="12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6"/>
              </w:rPr>
              <w:t>Exercise</w:t>
            </w:r>
          </w:p>
        </w:tc>
        <w:tc>
          <w:tcPr>
            <w:tcW w:w="24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Term</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14,523,917</w:t>
            </w: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61.68</w:t>
            </w:r>
          </w:p>
        </w:tc>
        <w:tc>
          <w:tcPr>
            <w:tcW w:w="24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8.60</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335,440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79,500</w:t>
            </w:r>
          </w:p>
        </w:tc>
        <w:tc>
          <w:tcPr>
            <w:tcW w:w="2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42.69</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(110,043 )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15.24</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Forfeited or canceled</w:t>
            </w:r>
          </w:p>
        </w:tc>
        <w:tc>
          <w:tcPr>
            <w:tcW w:w="17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(164,412 )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82.00</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at March 31, 2022</w:t>
            </w:r>
          </w:p>
        </w:tc>
        <w:tc>
          <w:tcPr>
            <w:tcW w:w="1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14,328,962</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61.70</w:t>
            </w:r>
          </w:p>
        </w:tc>
        <w:tc>
          <w:tcPr>
            <w:tcW w:w="17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8.36</w:t>
            </w:r>
          </w:p>
        </w:tc>
        <w:tc>
          <w:tcPr>
            <w:tcW w:w="3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6,571</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0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Restricted share activity, including restricted stock awards, restricted stock units, and performance-based restricted stock units, under the 2018 Plan and 2015 Plan is summarized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540" w:type="dxa"/>
            <w:vAlign w:val="bottom"/>
            <w:vMerge w:val="restart"/>
          </w:tcPr>
          <w:p>
            <w:pPr>
              <w:jc w:val="center"/>
              <w:ind w:left="570"/>
              <w:spacing w:after="0"/>
              <w:rPr>
                <w:sz w:val="20"/>
                <w:szCs w:val="20"/>
                <w:color w:val="auto"/>
              </w:rPr>
            </w:pPr>
            <w:r>
              <w:rPr>
                <w:rFonts w:ascii="Arial" w:cs="Arial" w:eastAsia="Arial" w:hAnsi="Arial"/>
                <w:sz w:val="18"/>
                <w:szCs w:val="18"/>
                <w:b w:val="1"/>
                <w:bCs w:val="1"/>
                <w:color w:val="auto"/>
                <w:w w:val="93"/>
              </w:rPr>
              <w:t>Number of</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5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1540" w:type="dxa"/>
            <w:vAlign w:val="bottom"/>
          </w:tcPr>
          <w:p>
            <w:pPr>
              <w:jc w:val="center"/>
              <w:ind w:left="550"/>
              <w:spacing w:after="0" w:line="176" w:lineRule="exact"/>
              <w:rPr>
                <w:sz w:val="20"/>
                <w:szCs w:val="20"/>
                <w:color w:val="auto"/>
              </w:rPr>
            </w:pPr>
            <w:r>
              <w:rPr>
                <w:rFonts w:ascii="Arial" w:cs="Arial" w:eastAsia="Arial" w:hAnsi="Arial"/>
                <w:sz w:val="18"/>
                <w:szCs w:val="18"/>
                <w:b w:val="1"/>
                <w:bCs w:val="1"/>
                <w:color w:val="auto"/>
                <w:w w:val="88"/>
              </w:rPr>
              <w:t>Restricted</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93"/>
              </w:rPr>
              <w:t>Grant Date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vMerge w:val="restart"/>
          </w:tcPr>
          <w:p>
            <w:pPr>
              <w:ind w:left="20"/>
              <w:spacing w:after="0"/>
              <w:rPr>
                <w:sz w:val="20"/>
                <w:szCs w:val="20"/>
                <w:color w:val="auto"/>
              </w:rPr>
            </w:pPr>
            <w:r>
              <w:rPr>
                <w:rFonts w:ascii="Arial" w:cs="Arial" w:eastAsia="Arial" w:hAnsi="Arial"/>
                <w:sz w:val="18"/>
                <w:szCs w:val="18"/>
                <w:color w:val="auto"/>
              </w:rPr>
              <w:t>Unvested at December 31, 2021</w:t>
            </w:r>
          </w:p>
        </w:tc>
        <w:tc>
          <w:tcPr>
            <w:tcW w:w="154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6"/>
              </w:rPr>
              <w:t>Shares</w:t>
            </w: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5"/>
              </w:rPr>
              <w:t>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w w:val="92"/>
              </w:rPr>
              <w:t>363,930</w:t>
            </w:r>
          </w:p>
        </w:tc>
        <w:tc>
          <w:tcPr>
            <w:tcW w:w="32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72.75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Granted</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24,550</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Vested</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(3,581 )</w:t>
            </w:r>
          </w:p>
        </w:tc>
        <w:tc>
          <w:tcPr>
            <w:tcW w:w="36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120.86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Canceled</w:t>
            </w:r>
          </w:p>
        </w:tc>
        <w:tc>
          <w:tcPr>
            <w:tcW w:w="15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97"/>
              </w:rPr>
              <w:t>(11,563 )</w:t>
            </w:r>
          </w:p>
        </w:tc>
        <w:tc>
          <w:tcPr>
            <w:tcW w:w="36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Unvested at March 31, 2022</w:t>
            </w:r>
          </w:p>
        </w:tc>
        <w:tc>
          <w:tcPr>
            <w:tcW w:w="15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373,336</w:t>
            </w:r>
          </w:p>
        </w:tc>
        <w:tc>
          <w:tcPr>
            <w:tcW w:w="3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70.61</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-159385</wp:posOffset>
            </wp:positionV>
            <wp:extent cx="5143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performance-based equity awards during the three months ended March 31, 2022.</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February 2021, the Company granted 190,831 performance-based stock options ("2021 Feb PSO"). Upon the achievement of the specific clinical development milestone for the 2021 Feb PSO, 25% of the 2021 Feb PSO vested during the first quarter of 2022. The remaining awards will continue to vest in 36 successive equal monthly installments after the performance criteria was achieved.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04"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Stock-based compensation for options, restricted shares, and ESPP is classified in the condensed consolidated statements of operations and comprehensive loss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7"/>
              </w:rPr>
              <w:t>Three Months Ended</w:t>
            </w: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5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39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9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15,975</w:t>
            </w:r>
          </w:p>
        </w:tc>
        <w:tc>
          <w:tcPr>
            <w:tcW w:w="30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5,399</w:t>
            </w:r>
          </w:p>
        </w:tc>
        <w:tc>
          <w:tcPr>
            <w:tcW w:w="60" w:type="dxa"/>
            <w:vAlign w:val="bottom"/>
            <w:shd w:val="clear" w:color="auto" w:fill="CFF0FC"/>
          </w:tcPr>
          <w:p>
            <w:pPr>
              <w:spacing w:after="0"/>
              <w:rPr>
                <w:sz w:val="17"/>
                <w:szCs w:val="17"/>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12,120</w:t>
            </w:r>
          </w:p>
        </w:tc>
        <w:tc>
          <w:tcPr>
            <w:tcW w:w="3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4,526</w:t>
            </w:r>
          </w:p>
        </w:tc>
        <w:tc>
          <w:tcPr>
            <w:tcW w:w="60" w:type="dxa"/>
            <w:vAlign w:val="bottom"/>
          </w:tcPr>
          <w:p>
            <w:pPr>
              <w:spacing w:after="0"/>
              <w:rPr>
                <w:sz w:val="17"/>
                <w:szCs w:val="17"/>
                <w:color w:val="auto"/>
              </w:rPr>
            </w:pPr>
          </w:p>
        </w:tc>
      </w:tr>
      <w:tr>
        <w:trPr>
          <w:trHeight w:val="236"/>
        </w:trPr>
        <w:tc>
          <w:tcPr>
            <w:tcW w:w="3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stock-based compensation</w:t>
            </w:r>
          </w:p>
        </w:tc>
        <w:tc>
          <w:tcPr>
            <w:tcW w:w="232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1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28,095</w:t>
            </w: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07"/>
        </w:trPr>
        <w:tc>
          <w:tcPr>
            <w:tcW w:w="3960" w:type="dxa"/>
            <w:vAlign w:val="bottom"/>
          </w:tcPr>
          <w:p>
            <w:pPr>
              <w:spacing w:after="0"/>
              <w:rPr>
                <w:sz w:val="24"/>
                <w:szCs w:val="24"/>
                <w:color w:val="auto"/>
              </w:rPr>
            </w:pPr>
          </w:p>
        </w:tc>
        <w:tc>
          <w:tcPr>
            <w:tcW w:w="2320" w:type="dxa"/>
            <w:vAlign w:val="bottom"/>
          </w:tcPr>
          <w:p>
            <w:pPr>
              <w:jc w:val="right"/>
              <w:ind w:right="530"/>
              <w:spacing w:after="0"/>
              <w:rPr>
                <w:sz w:val="20"/>
                <w:szCs w:val="20"/>
                <w:color w:val="auto"/>
              </w:rPr>
            </w:pPr>
            <w:r>
              <w:rPr>
                <w:rFonts w:ascii="Arial" w:cs="Arial" w:eastAsia="Arial" w:hAnsi="Arial"/>
                <w:sz w:val="18"/>
                <w:szCs w:val="18"/>
                <w:color w:val="auto"/>
              </w:rPr>
              <w:t>8</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39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-427990</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-410845</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-427990</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-410845</wp:posOffset>
            </wp:positionV>
            <wp:extent cx="43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Kodiak Sciences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108"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The following common share equivalents were excluded from the computation of diluted net loss per common share for the periods presented because their inclusion would have been antidilutive:</w:t>
      </w:r>
    </w:p>
    <w:p>
      <w:pPr>
        <w:spacing w:after="0" w:line="7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As of March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3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86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2"/>
          </w:tcPr>
          <w:p>
            <w:pPr>
              <w:jc w:val="right"/>
              <w:ind w:right="83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stock options</w:t>
            </w:r>
          </w:p>
        </w:tc>
        <w:tc>
          <w:tcPr>
            <w:tcW w:w="1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14,328,962</w:t>
            </w:r>
          </w:p>
        </w:tc>
        <w:tc>
          <w:tcPr>
            <w:tcW w:w="300" w:type="dxa"/>
            <w:vAlign w:val="bottom"/>
            <w:shd w:val="clear" w:color="auto" w:fill="CFF0FC"/>
          </w:tcPr>
          <w:p>
            <w:pPr>
              <w:spacing w:after="0"/>
              <w:rPr>
                <w:sz w:val="17"/>
                <w:szCs w:val="17"/>
                <w:color w:val="auto"/>
              </w:rPr>
            </w:pPr>
          </w:p>
        </w:tc>
        <w:tc>
          <w:tcPr>
            <w:tcW w:w="2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6,999,615</w:t>
            </w:r>
          </w:p>
        </w:tc>
        <w:tc>
          <w:tcPr>
            <w:tcW w:w="60" w:type="dxa"/>
            <w:vAlign w:val="bottom"/>
            <w:shd w:val="clear" w:color="auto" w:fill="CFF0FC"/>
          </w:tcPr>
          <w:p>
            <w:pPr>
              <w:spacing w:after="0"/>
              <w:rPr>
                <w:sz w:val="17"/>
                <w:szCs w:val="17"/>
                <w:color w:val="auto"/>
              </w:rPr>
            </w:pPr>
          </w:p>
        </w:tc>
      </w:tr>
      <w:tr>
        <w:trPr>
          <w:trHeight w:val="203"/>
        </w:trPr>
        <w:tc>
          <w:tcPr>
            <w:tcW w:w="7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Unvested restricted shares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373,336</w:t>
            </w: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369,895</w:t>
            </w:r>
          </w:p>
        </w:tc>
        <w:tc>
          <w:tcPr>
            <w:tcW w:w="60" w:type="dxa"/>
            <w:vAlign w:val="bottom"/>
          </w:tcPr>
          <w:p>
            <w:pPr>
              <w:spacing w:after="0"/>
              <w:rPr>
                <w:sz w:val="17"/>
                <w:szCs w:val="17"/>
                <w:color w:val="auto"/>
              </w:rPr>
            </w:pPr>
          </w:p>
        </w:tc>
      </w:tr>
      <w:tr>
        <w:trPr>
          <w:trHeight w:val="236"/>
        </w:trPr>
        <w:tc>
          <w:tcPr>
            <w:tcW w:w="6520" w:type="dxa"/>
            <w:vAlign w:val="bottom"/>
            <w:tcBorders>
              <w:top w:val="single" w:sz="8" w:color="CFF0FC"/>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14,702,298</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7,369,510</w:t>
            </w:r>
          </w:p>
        </w:tc>
        <w:tc>
          <w:tcPr>
            <w:tcW w:w="6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507"/>
        </w:trPr>
        <w:tc>
          <w:tcPr>
            <w:tcW w:w="6520" w:type="dxa"/>
            <w:vAlign w:val="bottom"/>
          </w:tcPr>
          <w:p>
            <w:pPr>
              <w:jc w:val="right"/>
              <w:ind w:right="770"/>
              <w:spacing w:after="0"/>
              <w:rPr>
                <w:sz w:val="20"/>
                <w:szCs w:val="20"/>
                <w:color w:val="auto"/>
              </w:rPr>
            </w:pPr>
            <w:r>
              <w:rPr>
                <w:rFonts w:ascii="Arial" w:cs="Arial" w:eastAsia="Arial" w:hAnsi="Arial"/>
                <w:sz w:val="18"/>
                <w:szCs w:val="18"/>
                <w:color w:val="auto"/>
              </w:rPr>
              <w:t>9</w:t>
            </w: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65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-436245</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-419100</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-573405</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-436245</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-419100</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-573405</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2021, included in our Annual Report on Form 10-K filed with the Securities and Exchange Commission, or the SEC, on March 1, 2022.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Since its founding in 2009, Kodiak Sciences Inc. (“Kodiak,” the “Company,” “we” or “our”) has developed a new technology platform for retinal medicines. Our goal is to prevent and treat the major causes of blindness by developing and commercializing next-generation therapeutics for chronic, high-prevalence retinal diseases.</w:t>
      </w:r>
    </w:p>
    <w:p>
      <w:pPr>
        <w:spacing w:after="0" w:line="7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Kodiak’s lead product candidate, KSI-301, is being investigated in five registrational clinical trials. The comprehensive clinical program targets high prevalence anti-vascular endothelial growth factor (“anti-VEGF”) dependent retinal diseases with clinical trials designed as a package to support a broad product label, which we hope will include the key diseases and the longest dosing intervals. KSI-301 is being developed to become a differentiated, long-interval therapy for use in many patients who may benefit from anti-VEGF therapy. At the same time, Kodiak is investing in commercial scale manufacturing. We aim to provide a pre-filled syringe early in commercialization, and are working actively towards this goal. We believe combining these ambitious clinical and manufacturing efforts sets the stage for potential market share capture when and if KSI-301 is approved.</w:t>
      </w:r>
    </w:p>
    <w:p>
      <w:pPr>
        <w:spacing w:after="0" w:line="54" w:lineRule="exact"/>
        <w:rPr>
          <w:sz w:val="20"/>
          <w:szCs w:val="20"/>
          <w:color w:val="auto"/>
        </w:rPr>
      </w:pPr>
    </w:p>
    <w:p>
      <w:pPr>
        <w:ind w:right="180" w:firstLine="509"/>
        <w:spacing w:after="0" w:line="236" w:lineRule="auto"/>
        <w:rPr>
          <w:sz w:val="20"/>
          <w:szCs w:val="20"/>
          <w:color w:val="auto"/>
        </w:rPr>
      </w:pPr>
      <w:r>
        <w:rPr>
          <w:rFonts w:ascii="Arial" w:cs="Arial" w:eastAsia="Arial" w:hAnsi="Arial"/>
          <w:sz w:val="17"/>
          <w:szCs w:val="17"/>
          <w:color w:val="auto"/>
        </w:rPr>
        <w:t>In addition, Kodiak is investing in its pipeline. The Company is progressing its Antibody Biopolymer Conjugate (“ABC”) Platform</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towards suboptimal anti-VEGF responder patients, a group estimated to be as large as 30% of treated patients, with its bispecific conjugate KSI-501. Beyond today’s anti-VEGF market, Kodiak’s new triplet medicines are being designed on its ABC Platform in an effort to bring new capabilities to treat the even higher prevalence retinal diseases of dry age-related macular degeneration (“AMD”) and glaucoma.</w:t>
      </w:r>
    </w:p>
    <w:p>
      <w:pPr>
        <w:spacing w:after="0" w:line="81"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Notably, up to this point, Kodiak has retained all global rights to make, use and sell its product candidates, which we believe preserves future value and allows for agile decision-making.</w:t>
      </w:r>
    </w:p>
    <w:p>
      <w:pPr>
        <w:spacing w:after="0" w:line="63"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While engaged in these research and development efforts, we believe we have demonstrated a disciplined and creative approach to building and financing the company. As of March 31, 2022, we had $671.7 million in cash and cash equivalents.</w:t>
      </w:r>
    </w:p>
    <w:p>
      <w:pPr>
        <w:spacing w:after="0" w:line="63"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Our objective is to develop our retina-focused product candidates, seek FDA and worldwide health authority marketing authorization approvals, and ultimately commercialize our product candidates.</w:t>
      </w:r>
    </w:p>
    <w:p>
      <w:pPr>
        <w:spacing w:after="0" w:line="63"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Following from these efforts, we believe Kodiak has the potential to achieve our ambition of becoming a significant incumbent retinal development and commercialization franchise on a global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Updates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Clinical Program Highlights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part of the learnings from our initial Phase 2b/3 study in wet AMD, we are implementing changes to our ongoing Phase 3 studies of KSI-301 that we believe will mitigate a similar risk of undertreatment in high-need patients and improve the probability of success of these studies. We have five Phase 3 studies of KSI-301 ongoing, namely BEACON in retinal vein occlusion (“RVO”), paired studies GLEAM and GLIMMER in diabetic macular edema (“DME”), short-interval study DAYLIGHT in wet AMD, and GLOW in non-proliferative diabetic retinopathy without DME (“NPDR” without DME). If successful, we intend to include data from the BEACON, GLEAM, GLIMMER and DAYLIGHT studies in a single initial BLA and would seek labeling at launch that is supportive of a range of indications and dosing intervals. If successful, we may include the results of the GLOW study in a supplemental BLA following our planned initial BLA submission.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BEACON – Phase 3 Study in Patients with Treatment-Naïve Retinal Vein Occlusion (RVO)</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The Phase 3 BEACON study is a global, multi-center, randomized study designed to evaluate the durability, efficacy and safety of KSI-301 in patients with treatment-naïve macular edema due to retinal vein occlusion, including both branch and central subtypes. Patients are randomized 1:1 to a KSI-301 arm or an aflibercept arm. In the first six months, the KSI-301 arm is treated with a proactive, fixed regimen which includes two monthly loading doses and then every 8-week treatment (including treatment four weeks prior to the 24-week primary endpoint). In the first six months, the aflibercept arm is treated with a fixed monthly regimen, per its label. In the second six months, patients in both groups will receive treatment on an individualized basis per protocol-specified criteria. Following this, patients can continue to receive KSI-301 for an additional six months on an individualized basis. The study completed enrollment of over 550 patients worldwide in the fourth quarter of 2021. The primary endpoint is at six months, and patients will be treated and followed for 18 months. The current BEACON study design will remain unchanged and compares four doses of KSI-301 versus six doses of aflibercept over the 6-month duration to the primary endpoint. The last patient visit for the 24-week primary endpoint is expected in June 2022, and we expect to announce top-line data in August 2022. If successful, data from the BEACON study are intended to serve as the basis for approval in RVO.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GLEAM / GLIMMER – Paired Phase 3 Studies in Patients with Treatment-Naïve Diabetic Macular Edema (DME)</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Phase 3 GLEAM and GLIMMER studies are global, multi-center, randomized pivotal studies designed to evaluate the durability, efficacy and safety of KSI-301 in patients with treatment-naïve diabetic macular edema. In each study, patients are randomized 1:1 to receive either KSI-301 or aflibercept. The KSI-301 arm is treated with a proactive, individualized dosing regimen of every 8-, 12-, 16-, 20- or 24 weeks (utilizing tight dynamic retreatment criteria) after three loading doses. The aflibercept arm is treated with a fixed dosing regimen of every 8-weeks after five monthly loading doses, per its label. Both studies completed enrollment of approximately 450 patients each worldwide in the first quarter of 2022. We have modified the study protocols to decrease the risk of undertreatment in high need patients by 1) triggering retreatment earlier in disease reactivation; 2) triggering retreatment in the presence of persistent disease; 3) removing subjectivity in the application of the criteria. We are also extending the primary endpoint by twelve weeks to allow two full cycles of every 24-week dosing for patients receiving KSI-301, so that the durability, efficacy, and safety of the longer dosing intervals can be more fully evaluated. The primary endpoint for both studies is the average of weeks 60 and 64, and patients will be treated and followed for a total of two years. We expect to announce top-line data in mid-2023. If successful, we expect that data from our GLEAM and GLIMMER studies will serve as the primary basis for approval of KSI-301 in our anticipated BLA submission.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DAYLIGHT – Phase 3 Study in Patients with Treatment-Naïve Wet AMD</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Phase 3 DAYLIGHT study is a global, multi-center, randomized pivotal study designed to evaluate the efficacy and safety of high-frequency KSI-301 in patients with treatment-naïve wet AMD. Patients are randomized to receive either KSI-301 on a monthly dosing regimen or to receive standard-of-care aflibercept on a fixed dosing regimen of every 8-weeks after three monthly loading doses per its label. The DAYLIGHT study is intended to clarify the efficacy of KSI-301 to treat high need patients with wet AMD and, if successful, is intended to serve as the basis for approval in wet AMD with monthly dosing. Consistent with this intent to serve as a registrational study worldwide, we are extending the length of this study by eight weeks to 48 weeks, with the primary endpoint, mean change in Best Corrected Visual Acuity (“BCVA”) from baseline, measured at the average of weeks 40, 44 and 48. DAYLIGHT has completed enrollment of approximately 550 patients worldwide, and we expect to announce top-line data in mid-2023.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GLOW – Phase 3 Study in Patients with Non-Proliferative Diabetic Retinopathy without DME</w:t>
      </w:r>
    </w:p>
    <w:p>
      <w:pPr>
        <w:spacing w:after="0" w:line="104" w:lineRule="exact"/>
        <w:rPr>
          <w:sz w:val="20"/>
          <w:szCs w:val="20"/>
          <w:color w:val="auto"/>
        </w:rPr>
      </w:pPr>
    </w:p>
    <w:p>
      <w:pPr>
        <w:ind w:right="20" w:firstLine="554"/>
        <w:spacing w:after="0" w:line="254" w:lineRule="auto"/>
        <w:rPr>
          <w:sz w:val="20"/>
          <w:szCs w:val="20"/>
          <w:color w:val="auto"/>
        </w:rPr>
      </w:pPr>
      <w:r>
        <w:rPr>
          <w:rFonts w:ascii="Arial" w:cs="Arial" w:eastAsia="Arial" w:hAnsi="Arial"/>
          <w:sz w:val="17"/>
          <w:szCs w:val="17"/>
          <w:color w:val="auto"/>
        </w:rPr>
        <w:t>The Phase 3 GLOW study is a global, multi-center, randomized pivotal study designed to evaluate the efficacy and safety of KSI-301 in patients with treatment-naïve, moderately severe to severe non-proliferative diabetic retinopathy (“NPDR”). Patients are randomized to receive either KSI-301 on a once every six-month dosing regimen after three initiating doses or to receive sham injections. The primary endpoint is at one year and patients will be treated and followed for two years. Outcomes include changes in diabetic retinopathy severity, measured on a standardized photographic grading scale, and the rate of development of sight-threatening complications due to diabetic retinopathy. We randomized the first patients into GLOW in September 2021 and expect to complete enrollment of approximately 240 patients worldwide in 2022. We believe KSI-301 has the potential to be a longest-interval therapeutic option for patients with diabetic retinopathy. If successful, we intend to include the results of the GLOW study in a supplemental BLA following our planned initial BLA submission.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Clinical Development Activities</w:t>
      </w:r>
    </w:p>
    <w:p>
      <w:pPr>
        <w:spacing w:after="0" w:line="104"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In March 2021, our investigational new drug (“IND”) application for KSI-301 in RVO and DME were approved by China’s National Medicinal Products Administration (“NMPA”). These approvals allow Kodiak to enroll patients from China into the BEACON and GLIMMER Phase 3 pivotal studies. Since early 2022, parts of China and the city of Shanghai in particular have been experiencing a surge in Covid-19 infections and resultant lockdowns which has negatively impacted our trial recruitment, clinical</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operations and other China-focused activities. Given these risks, we have decided to pause our clinical development activities in China at this time.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Manufacturing</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August 2020, we and our wholly-owned subsidiary Kodiak Sciences GmbH entered into a manufacturing agreement with Lonza Ltd (“Lonza”) for the clinical and commercial supply of drug substance for KSI-301. The manufacturing agreement has an initial term of eight years, and the Company has the right to extend the term up to a total of 16 years. The Company and Lonza each has the ability to terminate this agreement upon the occurrence of certain conditions. We planned a custom-built bioconjugation facility with Lonza dedicated to the manufacture of Kodiak’s drug substance. In March 2022, we achieved mechanical completion of this facility in partnership with Lonza.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Progression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continued progressing pipeline product candidates developed from our ABC Platform, including KSI-501 and KSI-601. KSI-501 is a recombinant, mammalian cell expressed dual inhibitor antibody biopolymer conjugate, targeting both VEGF (VEGF -trap) and IL-6 (anti-IL-6-antibody) for the treatment of retinal diseases. We are progressing the bioconjugate cGMP manufacturing, non-clinical toxicology and other supporting activities towards expected IND submission in the second half of 2022.</w:t>
      </w:r>
    </w:p>
    <w:p>
      <w:pPr>
        <w:spacing w:after="0" w:line="80"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KSI-601 is a triplet inhibitor for dry AMD. In this approach, a bispecific antibody is conjugated to a phosphorylcholine biopolymer variant that is embedded with hundreds of copies of a small-molecule drug. As a result, multiple disease-related biologies - both intracellular and extracellular - can be targeted with a single medicine. We believe this approach may be of particular relevance for common vision-threatening diseases with multifactorial pathophysiology, such as dry AMD and glaucoma.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are continuing to monitor the global ongoing COVID-19 pandemic. We and our key clinical and manufacturing partners have been able to continue to advance our operations. Through this pandemic, we continue to work closely with our clinical sites to ensure patient safety and minimize the number of missed visits and study discontinuations. The overall rate of missed study visits remains less than 5% across all of our ongoing studies combined.</w:t>
      </w:r>
    </w:p>
    <w:p>
      <w:pPr>
        <w:spacing w:after="0" w:line="80"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response to the COVID-19 pandemic with regards to business operations, clinical trials, and manufacturing activities, we have taken steps in line with guidance from the U.S. Centers for Disease Control and Prevention (“CDC”) and the State of California to protect the health and safety of our employees and our community.</w:t>
      </w:r>
    </w:p>
    <w:p>
      <w:pPr>
        <w:spacing w:after="0" w:line="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will continue to monitor the COVID-19 situation closely. The ultimate impact of the ongoing COVID-19 pandemic on our business operations remains uncertain and subject to change. We do not yet know the full extent of potential delays or impacts on our business, our clinical trials, healthcare systems or the global economy as a whole. See also the section titled “Risk Factors” for additional information on risks and uncertainties related to the evolving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603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8" w:name="page19"/>
    <w:bookmarkEnd w:id="18"/>
    <w:p>
      <w:pPr>
        <w:ind w:right="80" w:firstLine="509"/>
        <w:spacing w:after="0" w:line="254"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conduct our Phase 3 clinical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primarily of interest income earned on our cash and cash equivalents.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0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Other income (expense), net consists primarily of tax provisions and amortized issuance costs from the liability related to the future sale of royalties to BBA in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results of our operations for the periods indicated,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vMerge w:val="restart"/>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120" w:type="dxa"/>
            <w:vAlign w:val="bottom"/>
          </w:tcPr>
          <w:p>
            <w:pPr>
              <w:jc w:val="right"/>
              <w:ind w:right="9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76,177</w:t>
            </w:r>
          </w:p>
        </w:tc>
        <w:tc>
          <w:tcPr>
            <w:tcW w:w="280" w:type="dxa"/>
            <w:vAlign w:val="bottom"/>
          </w:tcPr>
          <w:p>
            <w:pPr>
              <w:spacing w:after="0"/>
              <w:rPr>
                <w:sz w:val="17"/>
                <w:szCs w:val="17"/>
                <w:color w:val="auto"/>
              </w:rPr>
            </w:pPr>
          </w:p>
        </w:tc>
        <w:tc>
          <w:tcPr>
            <w:tcW w:w="680" w:type="dxa"/>
            <w:vAlign w:val="bottom"/>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40,337</w:t>
            </w:r>
          </w:p>
        </w:tc>
        <w:tc>
          <w:tcPr>
            <w:tcW w:w="28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35,840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19,590</w:t>
            </w:r>
          </w:p>
        </w:tc>
        <w:tc>
          <w:tcPr>
            <w:tcW w:w="28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10,221</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9,369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7"/>
                <w:szCs w:val="17"/>
                <w:color w:val="auto"/>
              </w:rPr>
            </w:pP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(95,767 )</w:t>
            </w:r>
          </w:p>
        </w:tc>
        <w:tc>
          <w:tcPr>
            <w:tcW w:w="680" w:type="dxa"/>
            <w:vAlign w:val="bottom"/>
          </w:tcPr>
          <w:p>
            <w:pPr>
              <w:spacing w:after="0"/>
              <w:rPr>
                <w:sz w:val="17"/>
                <w:szCs w:val="17"/>
                <w:color w:val="auto"/>
              </w:rPr>
            </w:pPr>
          </w:p>
        </w:tc>
        <w:tc>
          <w:tcPr>
            <w:tcW w:w="14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(50,558 )</w:t>
            </w:r>
          </w:p>
        </w:tc>
        <w:tc>
          <w:tcPr>
            <w:tcW w:w="360" w:type="dxa"/>
            <w:vAlign w:val="bottom"/>
          </w:tcPr>
          <w:p>
            <w:pPr>
              <w:spacing w:after="0"/>
              <w:rPr>
                <w:sz w:val="17"/>
                <w:szCs w:val="17"/>
                <w:color w:val="auto"/>
              </w:rPr>
            </w:pP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(45,209 )</w:t>
            </w: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3"/>
        </w:trPr>
        <w:tc>
          <w:tcPr>
            <w:tcW w:w="512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7"/>
                <w:szCs w:val="17"/>
                <w:color w:val="auto"/>
              </w:rPr>
            </w:pPr>
          </w:p>
        </w:tc>
        <w:tc>
          <w:tcPr>
            <w:tcW w:w="1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(5 )</w:t>
            </w:r>
          </w:p>
        </w:tc>
        <w:tc>
          <w:tcPr>
            <w:tcW w:w="68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(6 )</w:t>
            </w:r>
          </w:p>
        </w:tc>
        <w:tc>
          <w:tcPr>
            <w:tcW w:w="3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 (expense), net</w:t>
            </w:r>
          </w:p>
        </w:tc>
        <w:tc>
          <w:tcPr>
            <w:tcW w:w="1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(13 )</w:t>
            </w:r>
          </w:p>
        </w:tc>
        <w:tc>
          <w:tcPr>
            <w:tcW w:w="6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(32 )</w:t>
            </w:r>
          </w:p>
        </w:tc>
        <w:tc>
          <w:tcPr>
            <w:tcW w:w="3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120" w:type="dxa"/>
            <w:vAlign w:val="bottom"/>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(95,709 )</w:t>
            </w:r>
          </w:p>
        </w:tc>
        <w:tc>
          <w:tcPr>
            <w:tcW w:w="68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(50,447 )</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(45,262 )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-681990</wp:posOffset>
            </wp:positionV>
            <wp:extent cx="603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-681990</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-681990</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-159385</wp:posOffset>
            </wp:positionV>
            <wp:extent cx="603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-159385</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Three Months Ended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2"/>
            <w:vMerge w:val="restart"/>
          </w:tcPr>
          <w:p>
            <w:pPr>
              <w:jc w:val="right"/>
              <w:ind w:right="8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KSI-301 program expenses</w:t>
            </w:r>
          </w:p>
        </w:tc>
        <w:tc>
          <w:tcPr>
            <w:tcW w:w="1100" w:type="dxa"/>
            <w:vAlign w:val="bottom"/>
            <w:tcBorders>
              <w:top w:val="single" w:sz="8" w:color="auto"/>
            </w:tcBorders>
            <w:shd w:val="clear" w:color="auto" w:fill="CFF0FC"/>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40,677</w:t>
            </w:r>
          </w:p>
        </w:tc>
        <w:tc>
          <w:tcPr>
            <w:tcW w:w="26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23,486</w:t>
            </w:r>
          </w:p>
        </w:tc>
        <w:tc>
          <w:tcPr>
            <w:tcW w:w="24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KSI-501 program expenses</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1,405</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1,665</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ABC Platform and other program expenses</w:t>
            </w:r>
          </w:p>
        </w:tc>
        <w:tc>
          <w:tcPr>
            <w:tcW w:w="1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8,417</w:t>
            </w: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2,076</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2" w:lineRule="exact"/>
              <w:rPr>
                <w:sz w:val="20"/>
                <w:szCs w:val="20"/>
                <w:color w:val="auto"/>
              </w:rPr>
            </w:pPr>
            <w:r>
              <w:rPr>
                <w:rFonts w:ascii="Arial" w:cs="Arial" w:eastAsia="Arial" w:hAnsi="Arial"/>
                <w:sz w:val="18"/>
                <w:szCs w:val="18"/>
                <w:color w:val="auto"/>
              </w:rPr>
              <w:t>Payroll and personnel expenses</w:t>
            </w:r>
          </w:p>
        </w:tc>
        <w:tc>
          <w:tcPr>
            <w:tcW w:w="1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21,190</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9,613</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11,577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Facilities and other research and development</w:t>
            </w:r>
          </w:p>
        </w:tc>
        <w:tc>
          <w:tcPr>
            <w:tcW w:w="1100" w:type="dxa"/>
            <w:vAlign w:val="bottom"/>
            <w:shd w:val="clear" w:color="auto" w:fill="CFF0FC"/>
          </w:tcPr>
          <w:p>
            <w:pPr>
              <w:spacing w:after="0"/>
              <w:rPr>
                <w:sz w:val="14"/>
                <w:szCs w:val="14"/>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4,488</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3,497</w:t>
            </w:r>
          </w:p>
        </w:tc>
        <w:tc>
          <w:tcPr>
            <w:tcW w:w="2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expenses</w:t>
            </w:r>
          </w:p>
        </w:tc>
        <w:tc>
          <w:tcPr>
            <w:tcW w:w="11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vMerge w:val="continue"/>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0"/>
              <w:spacing w:after="0" w:line="196" w:lineRule="exact"/>
              <w:rPr>
                <w:sz w:val="20"/>
                <w:szCs w:val="20"/>
                <w:color w:val="auto"/>
              </w:rPr>
            </w:pPr>
            <w:r>
              <w:rPr>
                <w:rFonts w:ascii="Arial" w:cs="Arial" w:eastAsia="Arial" w:hAnsi="Arial"/>
                <w:sz w:val="18"/>
                <w:szCs w:val="18"/>
                <w:color w:val="auto"/>
              </w:rPr>
              <w:t>Total research and development expenses</w:t>
            </w:r>
          </w:p>
        </w:tc>
        <w:tc>
          <w:tcPr>
            <w:tcW w:w="1100" w:type="dxa"/>
            <w:vAlign w:val="bottom"/>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76,177</w:t>
            </w:r>
          </w:p>
        </w:tc>
        <w:tc>
          <w:tcPr>
            <w:tcW w:w="960" w:type="dxa"/>
            <w:vAlign w:val="bottom"/>
            <w:gridSpan w:val="2"/>
          </w:tcPr>
          <w:p>
            <w:pPr>
              <w:jc w:val="right"/>
              <w:ind w:right="49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40,337</w:t>
            </w:r>
          </w:p>
        </w:tc>
        <w:tc>
          <w:tcPr>
            <w:tcW w:w="68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35,840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40" w:type="dxa"/>
            <w:vAlign w:val="bottom"/>
          </w:tcPr>
          <w:p>
            <w:pPr>
              <w:spacing w:after="0"/>
              <w:rPr>
                <w:sz w:val="24"/>
                <w:szCs w:val="24"/>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-570865</wp:posOffset>
            </wp:positionV>
            <wp:extent cx="431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-570865</wp:posOffset>
            </wp:positionV>
            <wp:extent cx="342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-570865</wp:posOffset>
            </wp:positionV>
            <wp:extent cx="514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ind w:firstLine="509"/>
        <w:spacing w:after="0"/>
        <w:rPr>
          <w:sz w:val="20"/>
          <w:szCs w:val="20"/>
          <w:color w:val="auto"/>
        </w:rPr>
      </w:pPr>
      <w:r>
        <w:rPr>
          <w:rFonts w:ascii="Arial" w:cs="Arial" w:eastAsia="Arial" w:hAnsi="Arial"/>
          <w:sz w:val="18"/>
          <w:szCs w:val="18"/>
          <w:color w:val="auto"/>
        </w:rPr>
        <w:t>KSI-301 program expenses increased $17.2 million during the three months ended March 31, 2022 as compared to 2021. The increase was primarily due to clinical trial costs to support ongoing trials, as well as manufacturing progress for KSI-301. In June 2021, we randomized the first patients into an additional Phase 3 study in wet AMD (DAYLIGHT). We initiated enrollment of our pivotal Phase 3 clinical study in RVO (BEACON) in the third quarter of 2020 and completed enrollment in the fourth quarter of 2021. Two pivotal Phase 3 clinical studies in DME (GLEAM and GLIMMER) began enrollment in the third quarter of 2020 and completed enrollment in the first quarter of 2022. Additionally, we randomized the first patients into a Phase 3 clinical study in NPDR without DME (GLOW) in September 2021.</w:t>
      </w:r>
    </w:p>
    <w:p>
      <w:pPr>
        <w:spacing w:after="0" w:line="8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ABC Platform and other program expenses increased $6.3 million during the three months ended March 31, 2022, as compared to 2021, primarily due to increased raw material purchases to support future research and development effort for our pipeline.</w:t>
      </w:r>
    </w:p>
    <w:p>
      <w:pPr>
        <w:spacing w:after="0" w:line="63" w:lineRule="exact"/>
        <w:rPr>
          <w:sz w:val="20"/>
          <w:szCs w:val="20"/>
          <w:color w:val="auto"/>
        </w:rPr>
      </w:pPr>
    </w:p>
    <w:p>
      <w:pPr>
        <w:jc w:val="both"/>
        <w:ind w:right="260" w:firstLine="509"/>
        <w:spacing w:after="0" w:line="294" w:lineRule="auto"/>
        <w:rPr>
          <w:sz w:val="20"/>
          <w:szCs w:val="20"/>
          <w:color w:val="auto"/>
        </w:rPr>
      </w:pPr>
      <w:r>
        <w:rPr>
          <w:rFonts w:ascii="Arial" w:cs="Arial" w:eastAsia="Arial" w:hAnsi="Arial"/>
          <w:sz w:val="16"/>
          <w:szCs w:val="16"/>
          <w:color w:val="auto"/>
        </w:rPr>
        <w:t>Payroll and personnel expenses increased $11.6 million during the three months ended March 31, 2022 as compared to 2021, primarily driven by increased stock-based compensation expense. We recorded an incremental stock-based compensation expense of $9.4 million in the first quarter of 2022 relating to the Kodiak 2021 Long-Term Performance Incentive Plan (“LTPIP”), which was approved by stockholders in the fourth quarter of 2021.</w:t>
      </w:r>
    </w:p>
    <w:p>
      <w:pPr>
        <w:spacing w:after="0" w:line="39" w:lineRule="exact"/>
        <w:rPr>
          <w:sz w:val="20"/>
          <w:szCs w:val="20"/>
          <w:color w:val="auto"/>
        </w:rPr>
      </w:pPr>
    </w:p>
    <w:p>
      <w:pPr>
        <w:ind w:right="20" w:firstLine="509"/>
        <w:spacing w:after="0" w:line="291" w:lineRule="auto"/>
        <w:rPr>
          <w:sz w:val="20"/>
          <w:szCs w:val="20"/>
          <w:color w:val="auto"/>
        </w:rPr>
      </w:pPr>
      <w:r>
        <w:rPr>
          <w:rFonts w:ascii="Arial" w:cs="Arial" w:eastAsia="Arial" w:hAnsi="Arial"/>
          <w:sz w:val="17"/>
          <w:szCs w:val="17"/>
          <w:color w:val="auto"/>
        </w:rPr>
        <w:t>Facilities and other research and development expenses increased $1.0 million during the three months ended March 31, 2022, as compared to 2021, primarily due to expansion of our Palo Alto and Switzerland research facilities and incremental research efforts on our pipeline.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General and administrative expenses increased $9.4 million during the three months ended March 31, 2022, as compared to 2021, primarily driven by increased stock-based compensation expense. We recorded an incremental stock-based compensation expense of $6.6 million in the first quarter of 2022 relating to the LTPIP.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warrants and the sale of royalties. As of March 31, 2022, we had cash and cash equivalents of $671.7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have incurred net losses since our inception. For the three months ended March 31, 2022, we had a net loss of $95.7 million and we expect to continue to incur additional losses in future periods. As of March 31, 2022, we had an accumulated deficit of $653.9 million. The Company believes that the cash and cash equivalents will be sufficient to meet the anticipated operating and capital expenditure requirements at least 12 months following the date of this Form 10-Q.</w:t>
      </w:r>
    </w:p>
    <w:p>
      <w:pPr>
        <w:spacing w:after="0" w:line="8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have based these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spacing w:after="0" w:line="8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timing and amount of our operating expenditures and capital requirements will depend on many factors, including:</w:t>
      </w:r>
    </w:p>
    <w:p>
      <w:pPr>
        <w:spacing w:after="0" w:line="104" w:lineRule="exact"/>
        <w:rPr>
          <w:sz w:val="20"/>
          <w:szCs w:val="20"/>
          <w:color w:val="auto"/>
        </w:rPr>
      </w:pPr>
    </w:p>
    <w:p>
      <w:pPr>
        <w:ind w:left="760" w:right="4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ind w:left="760" w:right="56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03" w:lineRule="exact"/>
        <w:rPr>
          <w:rFonts w:ascii="Arial" w:cs="Arial" w:eastAsia="Arial" w:hAnsi="Arial"/>
          <w:sz w:val="18"/>
          <w:szCs w:val="18"/>
          <w:color w:val="auto"/>
        </w:rPr>
      </w:pPr>
    </w:p>
    <w:p>
      <w:pPr>
        <w:ind w:left="760" w:right="560" w:hanging="378"/>
        <w:spacing w:after="0" w:line="261"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6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significant uncertainties caused by the evolving effects of the ongoing COVID-19 pandemic may also negatively impact our operations and capital resources. We and our key clinical and manufacturing partners have been able to continue to advance our operations, and we continue to monitor the impact of COVID-19 on our ability to continue the development of, and seek regulatory approvals for, our product candidates, and begin to commercialize any approved products. This pandemic may ultimately have a material adverse effect on our liquidity and operating plans, although we are unable to make any prediction with certainty given the spread and rapidly changing nature of the pandemic and the evolving global actions taken to contain and treat the novel coronavirus.</w:t>
      </w:r>
    </w:p>
    <w:p>
      <w:pPr>
        <w:spacing w:after="0" w:line="81"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of this report titled “Part II, Item 1A — Risk Factors” for additional risks associated with our substantial capital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 in thousands:</w:t>
      </w:r>
    </w:p>
    <w:p>
      <w:pPr>
        <w:spacing w:after="0" w:line="102"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Three Months Ended</w:t>
      </w:r>
    </w:p>
    <w:tbl>
      <w:tblPr>
        <w:tblLayout w:type="fixed"/>
        <w:tblInd w:w="0" w:type="dxa"/>
        <w:tblCellMar>
          <w:top w:w="0" w:type="dxa"/>
          <w:left w:w="0" w:type="dxa"/>
          <w:bottom w:w="0" w:type="dxa"/>
          <w:right w:w="0" w:type="dxa"/>
        </w:tblCellMar>
      </w:tblPr>
      <w:tr>
        <w:trPr>
          <w:trHeight w:val="201"/>
        </w:trPr>
        <w:tc>
          <w:tcPr>
            <w:tcW w:w="76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70"/>
              <w:spacing w:after="0" w:line="201" w:lineRule="exact"/>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6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88"/>
              </w:rPr>
              <w:t>(43,160 )</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(34,625 )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88"/>
              </w:rPr>
              <w:t>(18,289 )</w:t>
            </w:r>
          </w:p>
        </w:tc>
        <w:tc>
          <w:tcPr>
            <w:tcW w:w="4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9,218</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1,666</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1,472</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104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1"/>
              </w:rPr>
              <w:t>(59,783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(23,935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08"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Net cash used in operating activities was $43.2 million for the three months ended March 31, 2022, primarily attributable to a net loss during this period due to increased payroll and personnel expenses and manufacturing and clinical trial costs to support overall growth. Cash used in operating activities was also driven by changes in operating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0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Net cash used in investing activities was $18.3 million for the three months ended March 31, 2022, primarily related to purchases of and deposits related to property and equipment during the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08"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Net cash provided by financing activities was $1.7 million for the three months ended March 31, 2022, primarily due to the proceeds from stock option exercises.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The disclosure of our contractual obligations and commitments is set forth under the heading “Management’s Discussion and Analysis of Financial Condition and Results of Operations — Contractual Obligations and Commitments” in our Annual Report on Form 10-K for the year ended December 31, 2021, which was filed with the SEC on March 1, 2022. There have been no material changes in our contractual obligations and commitments since December 31, 2021, except as otherwise described in Note 6 to our unaudited condensed consolidated financial statements included in this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During the three months ended March 31, 2022, there were no material changes to our critical accounting policies as reported in our Annual Report on Form 10-K for the year ended December 31, 2021, which was filed with the SEC on March 1, 2022, except as otherwise described in Note 2 to our unaudited condensed consolidated financial statements included in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unaudited condensed consolidated financial statements included in this report.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During the three months ended March 31, 2022, there were no material changes to our market risk disclosures as reported in our Annual Report on Form 10-K for the year ended December 31, 2021, which was filed with the SEC on March 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0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7" w:lineRule="exact"/>
        <w:rPr>
          <w:sz w:val="20"/>
          <w:szCs w:val="20"/>
          <w:color w:val="auto"/>
        </w:rPr>
      </w:pPr>
    </w:p>
    <w:p>
      <w:pPr>
        <w:ind w:right="300" w:firstLine="509"/>
        <w:spacing w:after="0" w:line="279"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March 31, 2022. Based upon such evaluation, our principal executive officer and principal financial officer concluded that the design and operation of our disclosure controls and procedures were effective at a reasonable assurance level as of March 31,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2022, that has materially affected, or is reasonably likely to materially affect, our internal control over financial reporting.</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prospects are heavily dependent on our KSI-301 product candidate, which is currently in clinical development for multiple indications.</w:t>
      </w:r>
    </w:p>
    <w:p>
      <w:pPr>
        <w:spacing w:after="0" w:line="11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KSI-301 is our only product candidate currently in clinical trials. It may be years before a registrational-type trial is completed, if at all. Further, we cannot be certain that either KSI-301 or any of our product candidates will be successful in clinical trials.</w:t>
      </w:r>
    </w:p>
    <w:p>
      <w:pPr>
        <w:spacing w:after="0" w:line="63"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Our early preclinical and Phase 1/1b clinical trial results for KSI-301 in the respective indications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with KSI-301 and followed for longer periods of time.</w:t>
      </w:r>
    </w:p>
    <w:p>
      <w:pPr>
        <w:spacing w:after="0" w:line="55"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For example, we recently announced top-line results from our randomized, double-masked, active comparator-controlled Phase 2b/3 clinical trial evaluating the efficacy, durability and safety of KSI-301 in treatment-naïve subjects with neovascular wet AMD. The results show that KSI-301 did not meet the primary efficacy endpoint of showing non-inferior visual acuity gains for subjects dosed on extended regimens compared to aflibercept given every eight weeks.</w:t>
      </w:r>
    </w:p>
    <w:p>
      <w:pPr>
        <w:spacing w:after="0" w:line="66" w:lineRule="exact"/>
        <w:rPr>
          <w:sz w:val="20"/>
          <w:szCs w:val="20"/>
          <w:color w:val="auto"/>
        </w:rPr>
      </w:pPr>
    </w:p>
    <w:p>
      <w:pPr>
        <w:ind w:firstLine="509"/>
        <w:spacing w:after="0" w:line="258" w:lineRule="auto"/>
        <w:rPr>
          <w:sz w:val="20"/>
          <w:szCs w:val="20"/>
          <w:color w:val="auto"/>
        </w:rPr>
      </w:pPr>
      <w:r>
        <w:rPr>
          <w:rFonts w:ascii="Arial" w:cs="Arial" w:eastAsia="Arial" w:hAnsi="Arial"/>
          <w:sz w:val="16"/>
          <w:szCs w:val="16"/>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KSI-301 clinical study designs and data are not necessarily predictive of KSI-301’s final marketed product label. FDA may not approve a label for a particular dosing frequency, even if we believe the data demonstrate support for that dosing.</w:t>
      </w:r>
    </w:p>
    <w:p>
      <w:pPr>
        <w:spacing w:after="0" w:line="55" w:lineRule="exact"/>
        <w:rPr>
          <w:sz w:val="20"/>
          <w:szCs w:val="20"/>
          <w:color w:val="auto"/>
        </w:rPr>
      </w:pPr>
    </w:p>
    <w:p>
      <w:pPr>
        <w:ind w:right="200" w:firstLine="509"/>
        <w:spacing w:after="0" w:line="235"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such as KSI-501 and KSI-601 in development and intend to develop other product candidates, it will take additional investment and time for such programs to reach the same stage of development as KSI-301.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13"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receive regulatory approval in one or more of our four planned key clinical indications or were to fail to achieve sufficient market acceptance, we could be prevented from or significantly delayed in achieving profitability.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ind w:right="300"/>
        <w:spacing w:after="0" w:line="274"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40" w:lineRule="exact"/>
        <w:rPr>
          <w:sz w:val="20"/>
          <w:szCs w:val="20"/>
          <w:color w:val="auto"/>
        </w:rPr>
      </w:pPr>
    </w:p>
    <w:p>
      <w:pPr>
        <w:ind w:right="160" w:firstLine="509"/>
        <w:spacing w:after="0" w:line="307"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5"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90"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approval may be for indications, dosage and administration or patient populations that are not as broad as intended or desired;</w:t>
      </w:r>
    </w:p>
    <w:p>
      <w:pPr>
        <w:spacing w:after="0" w:line="61" w:lineRule="exact"/>
        <w:rPr>
          <w:rFonts w:ascii="Arial" w:cs="Arial" w:eastAsia="Arial" w:hAnsi="Arial"/>
          <w:sz w:val="18"/>
          <w:szCs w:val="18"/>
          <w:color w:val="auto"/>
        </w:rPr>
      </w:pPr>
    </w:p>
    <w:p>
      <w:pPr>
        <w:ind w:left="760" w:right="4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 for example a positive benefit-risk profile;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90"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1" w:lineRule="exact"/>
        <w:rPr>
          <w:rFonts w:ascii="Arial" w:cs="Arial" w:eastAsia="Arial" w:hAnsi="Arial"/>
          <w:sz w:val="18"/>
          <w:szCs w:val="18"/>
          <w:color w:val="auto"/>
        </w:rPr>
      </w:pPr>
    </w:p>
    <w:p>
      <w:pPr>
        <w:ind w:left="760" w:right="82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90" w:lineRule="exact"/>
        <w:rPr>
          <w:rFonts w:ascii="Arial" w:cs="Arial" w:eastAsia="Arial" w:hAnsi="Arial"/>
          <w:sz w:val="18"/>
          <w:szCs w:val="18"/>
          <w:color w:val="auto"/>
        </w:rPr>
      </w:pPr>
    </w:p>
    <w:p>
      <w:pPr>
        <w:ind w:left="760" w:right="200" w:hanging="378"/>
        <w:spacing w:after="0" w:line="24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02" w:lineRule="exact"/>
        <w:rPr>
          <w:sz w:val="20"/>
          <w:szCs w:val="20"/>
          <w:color w:val="auto"/>
        </w:rPr>
      </w:pPr>
    </w:p>
    <w:p>
      <w:pPr>
        <w:ind w:right="420" w:firstLine="509"/>
        <w:spacing w:after="0" w:line="246" w:lineRule="auto"/>
        <w:rPr>
          <w:sz w:val="20"/>
          <w:szCs w:val="20"/>
          <w:color w:val="auto"/>
        </w:rPr>
      </w:pPr>
      <w:r>
        <w:rPr>
          <w:rFonts w:ascii="Arial" w:cs="Arial" w:eastAsia="Arial" w:hAnsi="Arial"/>
          <w:sz w:val="17"/>
          <w:szCs w:val="17"/>
          <w:color w:val="auto"/>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We may not be successful in our efforts to further develop our ABC Platform and current product candidates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25" w:name="page26"/>
    <w:bookmarkEnd w:id="25"/>
    <w:p>
      <w:pPr>
        <w:ind w:right="80" w:firstLine="509"/>
        <w:spacing w:after="0" w:line="254" w:lineRule="auto"/>
        <w:rPr>
          <w:sz w:val="20"/>
          <w:szCs w:val="20"/>
          <w:color w:val="auto"/>
        </w:rPr>
      </w:pPr>
      <w:r>
        <w:rPr>
          <w:rFonts w:ascii="Arial" w:cs="Arial" w:eastAsia="Arial" w:hAnsi="Arial"/>
          <w:sz w:val="17"/>
          <w:szCs w:val="17"/>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7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49" w:lineRule="exact"/>
        <w:rPr>
          <w:sz w:val="20"/>
          <w:szCs w:val="20"/>
          <w:color w:val="auto"/>
        </w:rPr>
      </w:pPr>
    </w:p>
    <w:p>
      <w:pPr>
        <w:ind w:firstLine="509"/>
        <w:spacing w:after="0" w:line="227"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China National Medical Products Administration, or NMPA,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67"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01" w:lineRule="exact"/>
        <w:rPr>
          <w:rFonts w:ascii="Arial" w:cs="Arial" w:eastAsia="Arial" w:hAnsi="Arial"/>
          <w:sz w:val="17"/>
          <w:szCs w:val="17"/>
          <w:color w:val="auto"/>
        </w:rPr>
      </w:pPr>
    </w:p>
    <w:p>
      <w:pPr>
        <w:ind w:left="760" w:right="120" w:hanging="378"/>
        <w:spacing w:after="0" w:line="24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90" w:lineRule="exact"/>
        <w:rPr>
          <w:rFonts w:ascii="Arial" w:cs="Arial" w:eastAsia="Arial" w:hAnsi="Arial"/>
          <w:sz w:val="18"/>
          <w:szCs w:val="18"/>
          <w:color w:val="auto"/>
        </w:rPr>
      </w:pPr>
    </w:p>
    <w:p>
      <w:pPr>
        <w:ind w:left="760" w:right="160" w:hanging="378"/>
        <w:spacing w:after="0" w:line="24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90" w:lineRule="exact"/>
        <w:rPr>
          <w:rFonts w:ascii="Arial" w:cs="Arial" w:eastAsia="Arial" w:hAnsi="Arial"/>
          <w:sz w:val="18"/>
          <w:szCs w:val="18"/>
          <w:color w:val="auto"/>
        </w:rPr>
      </w:pPr>
    </w:p>
    <w:p>
      <w:pPr>
        <w:ind w:left="760" w:right="40" w:hanging="378"/>
        <w:spacing w:after="0" w:line="22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NMPA or any other regulatory authority concerns about risk to patients of the technology broadly; or if the FDA, EMA, NMPA or any other regulatory authority finds that the investigational protocol or plan is clearly deficient to meet its stated objectives;</w:t>
      </w:r>
    </w:p>
    <w:p>
      <w:pPr>
        <w:spacing w:after="0" w:line="67" w:lineRule="exact"/>
        <w:rPr>
          <w:rFonts w:ascii="Arial" w:cs="Arial" w:eastAsia="Arial" w:hAnsi="Arial"/>
          <w:sz w:val="18"/>
          <w:szCs w:val="18"/>
          <w:color w:val="auto"/>
        </w:rPr>
      </w:pPr>
    </w:p>
    <w:p>
      <w:pPr>
        <w:ind w:left="760" w:hanging="378"/>
        <w:spacing w:after="0" w:line="24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90" w:lineRule="exact"/>
        <w:rPr>
          <w:rFonts w:ascii="Arial" w:cs="Arial" w:eastAsia="Arial" w:hAnsi="Arial"/>
          <w:sz w:val="18"/>
          <w:szCs w:val="18"/>
          <w:color w:val="auto"/>
        </w:rPr>
      </w:pPr>
    </w:p>
    <w:p>
      <w:pPr>
        <w:ind w:left="760" w:right="240" w:hanging="378"/>
        <w:spacing w:after="0" w:line="246"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NMPA or other regulatory guidelines in other countries;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ind w:left="760" w:right="160" w:hanging="378"/>
        <w:spacing w:after="0" w:line="246"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1" w:lineRule="exact"/>
        <w:rPr>
          <w:rFonts w:ascii="Arial" w:cs="Arial" w:eastAsia="Arial" w:hAnsi="Arial"/>
          <w:sz w:val="18"/>
          <w:szCs w:val="18"/>
          <w:color w:val="auto"/>
        </w:rPr>
      </w:pPr>
    </w:p>
    <w:p>
      <w:pPr>
        <w:ind w:left="760" w:right="220" w:hanging="378"/>
        <w:spacing w:after="0" w:line="246"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1" w:lineRule="exact"/>
        <w:rPr>
          <w:rFonts w:ascii="Arial" w:cs="Arial" w:eastAsia="Arial" w:hAnsi="Arial"/>
          <w:sz w:val="18"/>
          <w:szCs w:val="18"/>
          <w:color w:val="auto"/>
        </w:rPr>
      </w:pPr>
    </w:p>
    <w:p>
      <w:pPr>
        <w:ind w:left="760" w:right="360" w:hanging="378"/>
        <w:spacing w:after="0" w:line="246"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and for use in regulatory filings or the inability to do any of the foregoing.</w:t>
      </w:r>
    </w:p>
    <w:p>
      <w:pPr>
        <w:spacing w:after="0" w:line="62" w:lineRule="exact"/>
        <w:rPr>
          <w:sz w:val="20"/>
          <w:szCs w:val="20"/>
          <w:color w:val="auto"/>
        </w:rPr>
      </w:pPr>
    </w:p>
    <w:p>
      <w:pPr>
        <w:ind w:right="80" w:firstLine="509"/>
        <w:spacing w:after="0" w:line="228"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7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6"/>
          <w:szCs w:val="16"/>
          <w:color w:val="auto"/>
        </w:rPr>
        <w:t>We could also encounter delays if a clinical trial is suspended or terminated by us, by the data safety monitoring board for such trial or by the FDA, EMA, NMPA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NMPA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NMPA or other regulatory authorities regarding CMC matters, including methodologies for, and assessment of, comparability of manufacturing procedures and lots.</w:t>
      </w:r>
    </w:p>
    <w:p>
      <w:pPr>
        <w:spacing w:after="0" w:line="56"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7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NMPA or other comparable foreign regulatory authorities.</w:t>
      </w:r>
    </w:p>
    <w:p>
      <w:pPr>
        <w:spacing w:after="0" w:line="67" w:lineRule="exact"/>
        <w:rPr>
          <w:sz w:val="20"/>
          <w:szCs w:val="20"/>
          <w:color w:val="auto"/>
        </w:rPr>
      </w:pPr>
    </w:p>
    <w:p>
      <w:pPr>
        <w:ind w:firstLine="509"/>
        <w:spacing w:after="0" w:line="251"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the safety profile we have observed in the Phase 1a/1b study of KSI-301 and in the recently completed Phase 2b/3 clinical trial evaluating the efficacy, durability and safety of KSI-301 in treatment-naïve subjects with neovascular wet AMD may not be representative of the safety profile in additional studies. We may still observe significant safety events that may negatively impact the KSI-301 program and the ABC platform. A safety database through pivotal studies of approximately 1,500 patients, a safety profile for KSI-301 in line with today’s standard of care agents may not be sustained when administered to 100,000s of patients at varying dose intervals if approved.</w:t>
      </w:r>
    </w:p>
    <w:p>
      <w:pPr>
        <w:spacing w:after="0" w:line="64"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Our most advanced product candidate, KSI-301, is an anti-VEGF biologic that we are studying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7" w:name="page28"/>
    <w:bookmarkEnd w:id="27"/>
    <w:p>
      <w:pPr>
        <w:ind w:right="20" w:firstLine="509"/>
        <w:spacing w:after="0" w:line="238" w:lineRule="auto"/>
        <w:rPr>
          <w:sz w:val="20"/>
          <w:szCs w:val="20"/>
          <w:color w:val="auto"/>
        </w:rPr>
      </w:pPr>
      <w:r>
        <w:rPr>
          <w:rFonts w:ascii="Arial" w:cs="Arial" w:eastAsia="Arial" w:hAnsi="Arial"/>
          <w:sz w:val="17"/>
          <w:szCs w:val="17"/>
          <w:color w:val="auto"/>
        </w:rPr>
        <w:t>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 KSI-301 is also being explored clinically with higher frequency dosing, which may increase the risk of potential adverse events. Any additional toxicology signal observed, be it real or perceived, may negatively impact perceptions of utilization of KSI-301 in broader populations and impact clinical trial enrollment, regulatory approval and commercial success.</w:t>
      </w:r>
    </w:p>
    <w:p>
      <w:pPr>
        <w:spacing w:after="0" w:line="69" w:lineRule="exact"/>
        <w:rPr>
          <w:sz w:val="20"/>
          <w:szCs w:val="20"/>
          <w:color w:val="auto"/>
        </w:rPr>
      </w:pPr>
    </w:p>
    <w:p>
      <w:pPr>
        <w:ind w:firstLine="509"/>
        <w:spacing w:after="0" w:line="239"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82" w:lineRule="exact"/>
        <w:rPr>
          <w:sz w:val="20"/>
          <w:szCs w:val="20"/>
          <w:color w:val="auto"/>
        </w:rPr>
      </w:pPr>
    </w:p>
    <w:p>
      <w:pPr>
        <w:ind w:right="580" w:firstLine="509"/>
        <w:spacing w:after="0" w:line="324"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03" w:lineRule="exact"/>
        <w:rPr>
          <w:rFonts w:ascii="Arial" w:cs="Arial" w:eastAsia="Arial" w:hAnsi="Arial"/>
          <w:sz w:val="18"/>
          <w:szCs w:val="18"/>
          <w:color w:val="auto"/>
        </w:rPr>
      </w:pPr>
    </w:p>
    <w:p>
      <w:pPr>
        <w:ind w:left="760" w:right="34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3"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4" w:lineRule="exact"/>
        <w:rPr>
          <w:sz w:val="20"/>
          <w:szCs w:val="20"/>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03" w:lineRule="exact"/>
        <w:rPr>
          <w:rFonts w:ascii="Arial" w:cs="Arial" w:eastAsia="Arial" w:hAnsi="Arial"/>
          <w:sz w:val="18"/>
          <w:szCs w:val="18"/>
          <w:color w:val="auto"/>
        </w:rPr>
      </w:pPr>
    </w:p>
    <w:p>
      <w:pPr>
        <w:ind w:left="760" w:right="100" w:hanging="378"/>
        <w:spacing w:after="0" w:line="24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effects of health epidemics, including the ongoing COVID-19 pandemic and the resulting shelter-in-place, travel or similar restrictions;</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safety events may cause physicians to decrease patient enrollment in our current or planned studies;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28" w:name="page29"/>
    <w:bookmarkEnd w:id="28"/>
    <w:p>
      <w:pPr>
        <w:ind w:left="760" w:right="38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6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09"/>
        <w:spacing w:after="0" w:line="261"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Eylea and Avastin are established products with accepted safety profiles.</w:t>
      </w:r>
    </w:p>
    <w:p>
      <w:pPr>
        <w:spacing w:after="0" w:line="53"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For example, in our recently completed Phase 2b/3 clinical trial evaluating the efficacy, durability and safety of KSI-301 in treatment-naïve subjects with neovascular wet AMD, KSI-301 did not meet the primary efficacy endpoint of showing non-inferior visual acuity gains for subjects dosed on extended regimens compared to aflibercept given every eight weeks.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7" w:lineRule="exact"/>
        <w:rPr>
          <w:sz w:val="20"/>
          <w:szCs w:val="20"/>
          <w:color w:val="auto"/>
        </w:rPr>
      </w:pPr>
    </w:p>
    <w:p>
      <w:pPr>
        <w:ind w:right="180" w:firstLine="509"/>
        <w:spacing w:after="0" w:line="231"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67" w:lineRule="exact"/>
        <w:rPr>
          <w:sz w:val="20"/>
          <w:szCs w:val="20"/>
          <w:color w:val="auto"/>
        </w:rPr>
      </w:pPr>
    </w:p>
    <w:p>
      <w:pPr>
        <w:ind w:right="20" w:firstLine="509"/>
        <w:spacing w:after="0" w:line="254" w:lineRule="auto"/>
        <w:rPr>
          <w:sz w:val="20"/>
          <w:szCs w:val="20"/>
          <w:color w:val="auto"/>
        </w:rPr>
      </w:pPr>
      <w:r>
        <w:rPr>
          <w:rFonts w:ascii="Arial" w:cs="Arial" w:eastAsia="Arial" w:hAnsi="Arial"/>
          <w:sz w:val="16"/>
          <w:szCs w:val="16"/>
          <w:color w:val="auto"/>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Our KSI-301 pivotal study program relies on a single active arm in each study at a single dose (5mg), such that if a safety observation is observed there is no fallback position at a lower dose to rely 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spacing w:after="0" w:line="16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b w:val="1"/>
          <w:bCs w:val="1"/>
          <w:i w:val="1"/>
          <w:iCs w:val="1"/>
          <w:color w:val="auto"/>
        </w:rPr>
        <w:t>The top-line results from our Phase 2b/3 pivotal study of KSI-301 in wet AMD may lead to study design modifications in our other ongoing pivotal studies and may impact the timeline of completion and likelihood of success of these pivotal studies.</w:t>
      </w:r>
    </w:p>
    <w:p>
      <w:pPr>
        <w:spacing w:after="0" w:line="62" w:lineRule="exact"/>
        <w:rPr>
          <w:sz w:val="20"/>
          <w:szCs w:val="20"/>
          <w:color w:val="auto"/>
        </w:rPr>
      </w:pPr>
    </w:p>
    <w:p>
      <w:pPr>
        <w:ind w:right="120" w:firstLine="509"/>
        <w:spacing w:after="0" w:line="228" w:lineRule="auto"/>
        <w:rPr>
          <w:sz w:val="20"/>
          <w:szCs w:val="20"/>
          <w:color w:val="auto"/>
        </w:rPr>
      </w:pPr>
      <w:r>
        <w:rPr>
          <w:rFonts w:ascii="Arial" w:cs="Arial" w:eastAsia="Arial" w:hAnsi="Arial"/>
          <w:sz w:val="18"/>
          <w:szCs w:val="18"/>
          <w:color w:val="auto"/>
        </w:rPr>
        <w:t>We recently announced that our Phase 2b/3 pivotal study of KSI-301 in wet AMD did not meet the primary efficacy endpoint of non-inferiority in visual acuity gains for KSI-301 treated patients on extended regimens of every 12-, 16-, or 20- weeks compared to patients treated with aflibercept every eight weeks. In light of these results, we may decide to modify the design of our other ongoing pivotal studies in order to reduce the risk of similar undertreatment of patients, which may lead to potential delays in trial readouts and may impact the likelihood of trial success, which may in turn harm our business and operations and adversely affect our stock price.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right="40"/>
        <w:spacing w:after="0" w:line="274"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40" w:lineRule="exact"/>
        <w:rPr>
          <w:sz w:val="20"/>
          <w:szCs w:val="20"/>
          <w:color w:val="auto"/>
        </w:rPr>
      </w:pPr>
    </w:p>
    <w:p>
      <w:pPr>
        <w:ind w:right="60" w:firstLine="509"/>
        <w:spacing w:after="0" w:line="239"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6" w:lineRule="exact"/>
        <w:rPr>
          <w:sz w:val="20"/>
          <w:szCs w:val="20"/>
          <w:color w:val="auto"/>
        </w:rPr>
      </w:pPr>
    </w:p>
    <w:p>
      <w:pPr>
        <w:ind w:right="380"/>
        <w:spacing w:after="0" w:line="231"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67" w:lineRule="exact"/>
        <w:rPr>
          <w:sz w:val="20"/>
          <w:szCs w:val="20"/>
          <w:color w:val="auto"/>
        </w:rPr>
      </w:pPr>
    </w:p>
    <w:p>
      <w:pPr>
        <w:ind w:right="80" w:firstLine="509"/>
        <w:spacing w:after="0" w:line="228"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3"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There are a number of large pharmaceutical and biotechnology companies that are currently pursuing the development of products for the treatment of the retinal disease indications for which we have product candidates, including wet AMD, DME/DR, and RVO. Certain of our competitors have commercially approved products for the treatment of retinal diseases that we are pursuing or may pursue in the future, including Roche, Regeneron and Novartis for the treatment of wet AMD, DME/DR, and RVO. These drugs are well established therapies and are widely accepted by physicians, patients and third-party payors, which may make it difficult to educate these parties on the benefits of switching to KSI-301. Companies that we are aware are developing therapeutics in the retinal disease area include large companies with significant financial resources, such as Roche, Novartis, Bayer and Regeneron, AbbVie/Allergan,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6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first Lucentis biosimilar was approved this year in the United States, and its approval may impact market dynamics and payor policies negatively for KSI-301. Roche’s product candidate, Vabysmo (faricimab) received FDA approval for the treatment of wet AMD and DME in January 2022 and is currently enrolling pivotal studies in RVO. We believe faricimab’s clinical profile together with physician enthusiasm for a new branded anti-VEGF will make it an important product in the marketplace. Even if KSI-301 presents a compelling clinical profile, we may not be able to market our product candidates as effectively as our competitors. For example, entrenched franchises may seek to impede adoption of KSI-301 through significant discounts or rebates.</w:t>
      </w:r>
    </w:p>
    <w:p>
      <w:pPr>
        <w:spacing w:after="0" w:line="8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NMPA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2"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COVID-19, the ongoing military conflict between Russia and Ukraine and the related sanctions imposed against Russia, or other reasons.</w:t>
      </w:r>
    </w:p>
    <w:p>
      <w:pPr>
        <w:spacing w:after="0" w:line="86"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76"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rely on third parties for raw materials needed for manufacturing KSI-301. We may not be able to obtain adequate amounts in the future. These challenges are magnified by the international nature of our supply chain, which, for KSI-301, requires drug substance and drug product sourced from single source suppliers from China, Japan, the United Kingdom, the United States and Switzerland. For example, the effects of health epidemics, including the ongoing COVID-19 pandemic and the resulting shelter-in-place, travel or similar restrictions may impact the timing of clinical resupply facing and BLA facing manufacturing activities.</w:t>
      </w:r>
    </w:p>
    <w:p>
      <w:pPr>
        <w:spacing w:after="0" w:line="189"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and regulatory applications or our products for patients, if approved, could be delayed or stopped, or we may be unable to establish a commercially viable cost structure.</w:t>
      </w:r>
    </w:p>
    <w:p>
      <w:pPr>
        <w:spacing w:after="0" w:line="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1" w:name="page32"/>
    <w:bookmarkEnd w:id="31"/>
    <w:p>
      <w:pPr>
        <w:ind w:firstLine="509"/>
        <w:spacing w:after="0" w:line="268" w:lineRule="auto"/>
        <w:rPr>
          <w:sz w:val="20"/>
          <w:szCs w:val="20"/>
          <w:color w:val="auto"/>
        </w:rPr>
      </w:pPr>
      <w:r>
        <w:rPr>
          <w:rFonts w:ascii="Arial" w:cs="Arial" w:eastAsia="Arial" w:hAnsi="Arial"/>
          <w:sz w:val="16"/>
          <w:szCs w:val="16"/>
          <w:color w:val="auto"/>
        </w:rPr>
        <w:t>In addition, the manufacturing process for any products that we may develop is subject to FDA, EMA, NMPA and foreign regulatory authority approval processes and continuous oversight. We will need to contract with manufacturers who can meet all applicable FDA, EMA, NMPA and foreign regulatory authority requirements, including complying with current good manufacturing practices, or cGMPs, on an ongoing basis. If we or our third-party manufacturers are unable to reliably produce products to specifications acceptable to the FDA, EMA, NMPA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NMPA or other regulatory authorities, to produce it in sufficient quantities to meet the requirements for the potential launch of the product, or to meet potential future demand. Our manufacturers are also engaged in the manufacturing of COVID-19 vaccines and therapeutic treatments, and the success of and demand for these vaccines and therapeutic treatments means we and our programs are competing for scarce manufacturing resources. We aim to distribute KSI-301 in a prefilled syringe early in our commercial rollout. We may not be able to complete our prefilled syringe activities in a timely manner, or we may fail technically to design and develop a prefilled syringe for KSI-301. If we require large volumes of glass vials, we may not be able to secure a sufficient supply due to COVID-19 related shortages of glass and vials.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75"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60" w:firstLine="509"/>
        <w:spacing w:after="0" w:line="284"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7"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90" w:lineRule="exact"/>
        <w:rPr>
          <w:sz w:val="20"/>
          <w:szCs w:val="20"/>
          <w:color w:val="auto"/>
        </w:rPr>
      </w:pPr>
    </w:p>
    <w:p>
      <w:pPr>
        <w:ind w:left="760" w:right="340" w:hanging="378"/>
        <w:spacing w:after="0" w:line="24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1" w:lineRule="exact"/>
        <w:rPr>
          <w:rFonts w:ascii="Arial" w:cs="Arial" w:eastAsia="Arial" w:hAnsi="Arial"/>
          <w:sz w:val="18"/>
          <w:szCs w:val="18"/>
          <w:color w:val="auto"/>
        </w:rPr>
      </w:pPr>
    </w:p>
    <w:p>
      <w:pPr>
        <w:ind w:left="760" w:right="20" w:hanging="378"/>
        <w:spacing w:after="0" w:line="24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13" w:lineRule="exact"/>
        <w:rPr>
          <w:rFonts w:ascii="Arial" w:cs="Arial" w:eastAsia="Arial" w:hAnsi="Arial"/>
          <w:sz w:val="16"/>
          <w:szCs w:val="16"/>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90"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90" w:lineRule="exact"/>
        <w:rPr>
          <w:sz w:val="20"/>
          <w:szCs w:val="20"/>
          <w:color w:val="auto"/>
        </w:rPr>
      </w:pPr>
    </w:p>
    <w:p>
      <w:pPr>
        <w:ind w:firstLine="509"/>
        <w:spacing w:after="0"/>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right="640"/>
        <w:spacing w:after="0" w:line="274"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40" w:lineRule="exact"/>
        <w:rPr>
          <w:sz w:val="20"/>
          <w:szCs w:val="20"/>
          <w:color w:val="auto"/>
        </w:rPr>
      </w:pPr>
    </w:p>
    <w:p>
      <w:pPr>
        <w:ind w:firstLine="509"/>
        <w:spacing w:after="0" w:line="246"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label as compared to alternative treatments;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NMPA or other regulatory agencies;</w:t>
      </w:r>
    </w:p>
    <w:p>
      <w:pPr>
        <w:spacing w:after="0" w:line="90" w:lineRule="exact"/>
        <w:rPr>
          <w:rFonts w:ascii="Arial" w:cs="Arial" w:eastAsia="Arial" w:hAnsi="Arial"/>
          <w:sz w:val="18"/>
          <w:szCs w:val="18"/>
          <w:color w:val="auto"/>
        </w:rPr>
      </w:pPr>
    </w:p>
    <w:p>
      <w:pPr>
        <w:ind w:left="760" w:right="400" w:hanging="378"/>
        <w:spacing w:after="0" w:line="246"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NMPA or other comparable foreign regulatory authorities, including any limitations, contraindications or warnings contained in a product’s approved labeling;</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0"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40" w:firstLine="509"/>
        <w:spacing w:after="0" w:line="236" w:lineRule="auto"/>
        <w:rPr>
          <w:sz w:val="20"/>
          <w:szCs w:val="20"/>
          <w:color w:val="auto"/>
        </w:rPr>
      </w:pPr>
      <w:r>
        <w:rPr>
          <w:rFonts w:ascii="Arial" w:cs="Arial" w:eastAsia="Arial" w:hAnsi="Arial"/>
          <w:sz w:val="17"/>
          <w:szCs w:val="17"/>
          <w:color w:val="auto"/>
        </w:rPr>
        <w:t>Drug pricing and access policies in the United States and internationally may change and negatively impact KSI-301’s commercial viability. Proposed policy changes, including the potential for Medicare to negotiate with drug manufacturers, may limit our ability to competitively price KSI-301, if approved. Further, commercial insurers may limit patient access to KSI-301,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3"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3" w:name="page34"/>
    <w:bookmarkEnd w:id="33"/>
    <w:p>
      <w:pPr>
        <w:ind w:right="40" w:firstLine="509"/>
        <w:spacing w:after="0" w:line="225"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68"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NMPA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Our product candidates may face competition from biological products that are biosimilar to or interchangeable with our product candidates sooner than anticipated.</w:t>
      </w:r>
    </w:p>
    <w:p>
      <w:pPr>
        <w:spacing w:after="0" w:line="62"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68" w:lineRule="exact"/>
        <w:rPr>
          <w:sz w:val="20"/>
          <w:szCs w:val="20"/>
          <w:color w:val="auto"/>
        </w:rPr>
      </w:pPr>
    </w:p>
    <w:p>
      <w:pPr>
        <w:ind w:right="40" w:firstLine="509"/>
        <w:spacing w:after="0" w:line="258"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40" w:firstLine="509"/>
        <w:spacing w:after="0" w:line="23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8"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4" w:name="page35"/>
    <w:bookmarkEnd w:id="34"/>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90"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81"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b w:val="1"/>
          <w:bCs w:val="1"/>
          <w:i w:val="1"/>
          <w:iCs w:val="1"/>
          <w:color w:val="auto"/>
        </w:rPr>
        <w:t>The regulatory approval processes of the FDA, EMA, NMPA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55" w:lineRule="exact"/>
        <w:rPr>
          <w:sz w:val="20"/>
          <w:szCs w:val="20"/>
          <w:color w:val="auto"/>
        </w:rPr>
      </w:pPr>
    </w:p>
    <w:p>
      <w:pPr>
        <w:ind w:right="80" w:firstLine="509"/>
        <w:spacing w:after="0" w:line="211" w:lineRule="auto"/>
        <w:rPr>
          <w:sz w:val="20"/>
          <w:szCs w:val="20"/>
          <w:color w:val="auto"/>
        </w:rPr>
      </w:pPr>
      <w:r>
        <w:rPr>
          <w:rFonts w:ascii="Arial" w:cs="Arial" w:eastAsia="Arial" w:hAnsi="Arial"/>
          <w:sz w:val="18"/>
          <w:szCs w:val="18"/>
          <w:color w:val="auto"/>
        </w:rPr>
        <w:t>The time required to obtain approval by the FDA, EMA, NMPA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77" w:lineRule="exact"/>
        <w:rPr>
          <w:sz w:val="20"/>
          <w:szCs w:val="20"/>
          <w:color w:val="auto"/>
        </w:rPr>
      </w:pPr>
    </w:p>
    <w:p>
      <w:pPr>
        <w:ind w:left="760" w:hanging="378"/>
        <w:spacing w:after="0" w:line="23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the design, implementation or results of our clinical trials or the portfolio of clinical trials planned for submission in our BLA;</w:t>
      </w:r>
    </w:p>
    <w:p>
      <w:pPr>
        <w:spacing w:after="0" w:line="53" w:lineRule="exact"/>
        <w:rPr>
          <w:rFonts w:ascii="Arial" w:cs="Arial" w:eastAsia="Arial" w:hAnsi="Arial"/>
          <w:sz w:val="18"/>
          <w:szCs w:val="18"/>
          <w:color w:val="auto"/>
        </w:rPr>
      </w:pPr>
    </w:p>
    <w:p>
      <w:pPr>
        <w:ind w:left="760" w:right="140" w:hanging="378"/>
        <w:spacing w:after="0" w:line="22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54" w:lineRule="exact"/>
        <w:rPr>
          <w:rFonts w:ascii="Arial" w:cs="Arial" w:eastAsia="Arial" w:hAnsi="Arial"/>
          <w:sz w:val="18"/>
          <w:szCs w:val="18"/>
          <w:color w:val="auto"/>
        </w:rPr>
      </w:pPr>
    </w:p>
    <w:p>
      <w:pPr>
        <w:ind w:left="760" w:right="140" w:hanging="378"/>
        <w:spacing w:after="0" w:line="23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53" w:lineRule="exact"/>
        <w:rPr>
          <w:rFonts w:ascii="Arial" w:cs="Arial" w:eastAsia="Arial" w:hAnsi="Arial"/>
          <w:sz w:val="18"/>
          <w:szCs w:val="18"/>
          <w:color w:val="auto"/>
        </w:rPr>
      </w:pPr>
    </w:p>
    <w:p>
      <w:pPr>
        <w:ind w:left="760" w:right="120" w:hanging="378"/>
        <w:spacing w:after="0" w:line="23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to the FDA, EMA, NMPA or comparable foreign regulatory authorities that a product candidate’s risk-benefit ratio for its proposed indication(s), when compared to the standard of care, is acceptable;</w:t>
      </w:r>
    </w:p>
    <w:p>
      <w:pPr>
        <w:spacing w:after="0" w:line="53" w:lineRule="exact"/>
        <w:rPr>
          <w:rFonts w:ascii="Arial" w:cs="Arial" w:eastAsia="Arial" w:hAnsi="Arial"/>
          <w:sz w:val="18"/>
          <w:szCs w:val="18"/>
          <w:color w:val="auto"/>
        </w:rPr>
      </w:pPr>
    </w:p>
    <w:p>
      <w:pPr>
        <w:ind w:left="760" w:right="380" w:hanging="378"/>
        <w:spacing w:after="0" w:line="23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EMA, NMPA or comparable foreign regulatory authorities may disagree with our interpretation of data from preclinical studies or clinical trials;</w:t>
      </w:r>
    </w:p>
    <w:p>
      <w:pPr>
        <w:spacing w:after="0" w:line="53" w:lineRule="exact"/>
        <w:rPr>
          <w:rFonts w:ascii="Arial" w:cs="Arial" w:eastAsia="Arial" w:hAnsi="Arial"/>
          <w:sz w:val="18"/>
          <w:szCs w:val="18"/>
          <w:color w:val="auto"/>
        </w:rPr>
      </w:pPr>
    </w:p>
    <w:p>
      <w:pPr>
        <w:ind w:left="760" w:right="120" w:hanging="378"/>
        <w:spacing w:after="0" w:line="23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53"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study data may not be positive in all clinical trials demonstrating a mix of positive and negative clinical trial results;</w:t>
      </w:r>
    </w:p>
    <w:p>
      <w:pPr>
        <w:spacing w:after="0" w:line="76" w:lineRule="exact"/>
        <w:rPr>
          <w:rFonts w:ascii="Arial" w:cs="Arial" w:eastAsia="Arial" w:hAnsi="Arial"/>
          <w:sz w:val="18"/>
          <w:szCs w:val="18"/>
          <w:color w:val="auto"/>
        </w:rPr>
      </w:pPr>
    </w:p>
    <w:p>
      <w:pPr>
        <w:ind w:left="760" w:right="220" w:hanging="378"/>
        <w:spacing w:after="0" w:line="289"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EMA, NMPA or comparable foreign regulatory authorities may fail to approve the chemistry, manufacturing and controls processes, test procedures and specifications, or facilities or third-party manufacturers with which we contract for clinical and commercial supplies; and</w:t>
      </w:r>
    </w:p>
    <w:p>
      <w:pPr>
        <w:spacing w:after="0" w:line="15" w:lineRule="exact"/>
        <w:rPr>
          <w:rFonts w:ascii="Arial" w:cs="Arial" w:eastAsia="Arial" w:hAnsi="Arial"/>
          <w:sz w:val="16"/>
          <w:szCs w:val="16"/>
          <w:color w:val="auto"/>
        </w:rPr>
      </w:pPr>
    </w:p>
    <w:p>
      <w:pPr>
        <w:ind w:left="760" w:hanging="378"/>
        <w:spacing w:after="0" w:line="23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NMPA or comparable foreign regulatory authorities may significantly change in a manner rendering our clinical data insufficient for approval.</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5" w:name="page36"/>
    <w:bookmarkEnd w:id="35"/>
    <w:p>
      <w:pPr>
        <w:ind w:firstLine="509"/>
        <w:spacing w:after="0" w:line="235"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62"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b w:val="1"/>
          <w:bCs w:val="1"/>
          <w:i w:val="1"/>
          <w:iCs w:val="1"/>
          <w:color w:val="auto"/>
        </w:rPr>
        <w:t>We plan to conduct clinical trials for our product candidates outside the United States (or the respective jurisdictions of other regulatory authorities), and the FDA, (or EMA, NMPA and applicable foreign regulatory authorities) may not accept data from such trials.</w:t>
      </w:r>
    </w:p>
    <w:p>
      <w:pPr>
        <w:spacing w:after="0" w:line="39" w:lineRule="exact"/>
        <w:rPr>
          <w:sz w:val="20"/>
          <w:szCs w:val="20"/>
          <w:color w:val="auto"/>
        </w:rPr>
      </w:pPr>
    </w:p>
    <w:p>
      <w:pPr>
        <w:ind w:firstLine="509"/>
        <w:spacing w:after="0" w:line="221"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global clinical trials by the FDA, EMA, NMPA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NMPA or any applicable foreign regulatory authority will accept data from trials conducted outside of their respective jurisdiction. If the FDA, EMA, NMPA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8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NMPA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5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04" w:lineRule="exact"/>
        <w:rPr>
          <w:sz w:val="20"/>
          <w:szCs w:val="20"/>
          <w:color w:val="auto"/>
        </w:rPr>
      </w:pPr>
    </w:p>
    <w:p>
      <w:pPr>
        <w:jc w:val="both"/>
        <w:ind w:right="400" w:firstLine="509"/>
        <w:spacing w:after="0" w:line="294"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39"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NMPA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36" w:name="page37"/>
    <w:bookmarkEnd w:id="36"/>
    <w:p>
      <w:pPr>
        <w:ind w:firstLine="509"/>
        <w:spacing w:after="0" w:line="268"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NMPA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80"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2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ind w:right="20" w:firstLine="509"/>
        <w:spacing w:after="0" w:line="269" w:lineRule="auto"/>
        <w:rPr>
          <w:sz w:val="20"/>
          <w:szCs w:val="20"/>
          <w:color w:val="auto"/>
        </w:rPr>
      </w:pPr>
      <w:r>
        <w:rPr>
          <w:rFonts w:ascii="Arial" w:cs="Arial" w:eastAsia="Arial" w:hAnsi="Arial"/>
          <w:sz w:val="16"/>
          <w:szCs w:val="16"/>
          <w:color w:val="auto"/>
        </w:rPr>
        <w:t>Since the ACA’s enactment, there have been numerous challenges to the ACA. For example, President Trump signed several Executive Orders and other directives designed to delay the implementation of certain provisions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On June 17, 2021, the U.S. Supreme Court dismissed a challenge on procedural grounds that argued that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such challenges and the healthcare reform measures of the Biden administration will impact the ACA and our business.</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including the Infrastructure Investment and Jobs Act, will remain in effect through 2031 unless additional Congressional action is taken. However, COVID-19 relief support legislation suspended the 2% Medicare sequester from May 1, 2020 through March 31, 2022. Under current legislation the actual reduction in Medicare payments will vary from 1% in 2022 to up to 3% in the final fiscal year of this sequester. The American Taxpayer Relief Act of 2012 further reduced Medicare payments to several providers, including hospitals and cancer treatment centers, and increased the statute of limitations period for the government to recover overpayments to providers from three to five years. Further, on March 11, 2021, President Biden signed the American Rescue Plan Act of 2021 into law, which eliminates the statutory Medicaid drug rebate cap for single source and innovator multiple source drugs, beginning January 1, 2024. In addition, Congress is considering additional health reform measures, such as capping the costs for prescription drugs covered by Medicare Part D and by setting the annual out-of-pocket limit at $2,000 beginning in 2024, as part of other health reform initiatives.</w:t>
      </w:r>
    </w:p>
    <w:p>
      <w:pPr>
        <w:spacing w:after="0" w:line="46" w:lineRule="exact"/>
        <w:rPr>
          <w:sz w:val="20"/>
          <w:szCs w:val="20"/>
          <w:color w:val="auto"/>
        </w:rPr>
      </w:pPr>
    </w:p>
    <w:p>
      <w:pPr>
        <w:ind w:right="120" w:firstLine="509"/>
        <w:spacing w:after="0" w:line="231"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7"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8" w:name="page39"/>
    <w:bookmarkEnd w:id="38"/>
    <w:p>
      <w:pPr>
        <w:ind w:firstLine="509"/>
        <w:spacing w:after="0" w:line="249" w:lineRule="auto"/>
        <w:rPr>
          <w:sz w:val="20"/>
          <w:szCs w:val="20"/>
          <w:color w:val="auto"/>
        </w:rPr>
      </w:pPr>
      <w:r>
        <w:rPr>
          <w:rFonts w:ascii="Arial" w:cs="Arial" w:eastAsia="Arial" w:hAnsi="Arial"/>
          <w:sz w:val="16"/>
          <w:szCs w:val="16"/>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2026. On November 20, 2020, the Centers for Medicare &amp; Medicaid Services, or CMS, issued an interim final rule implementing President Trump’s Most Favored Nation, or MFN, executive order, which would tie Medicare Part B payments for certain physician-administered drugs to the lowest price paid in other economically advanced countries, effective January 1, 2021. As a result of litigation challenging the MFN Model, on December 27, 2021, CMS published a final rule that rescinded MFN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56" w:lineRule="exact"/>
        <w:rPr>
          <w:sz w:val="20"/>
          <w:szCs w:val="20"/>
          <w:color w:val="auto"/>
        </w:rPr>
      </w:pPr>
    </w:p>
    <w:p>
      <w:pPr>
        <w:ind w:right="20" w:firstLine="509"/>
        <w:spacing w:after="0" w:line="22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 it is possible that additional governmental action is taken in response to the COVID-19 pandemic.</w:t>
      </w:r>
    </w:p>
    <w:p>
      <w:pPr>
        <w:spacing w:after="0" w:line="175" w:lineRule="exact"/>
        <w:rPr>
          <w:sz w:val="20"/>
          <w:szCs w:val="20"/>
          <w:color w:val="auto"/>
        </w:rPr>
      </w:pPr>
    </w:p>
    <w:p>
      <w:pPr>
        <w:ind w:right="500"/>
        <w:spacing w:after="0" w:line="338"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ind w:right="20" w:firstLine="509"/>
        <w:spacing w:after="0" w:line="251"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NMPA and other comparable foreign regulatory authorities; provide true, complete and accurate information to the FDA, EMA, NMPA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64" w:lineRule="exact"/>
        <w:rPr>
          <w:sz w:val="20"/>
          <w:szCs w:val="20"/>
          <w:color w:val="auto"/>
        </w:rPr>
      </w:pPr>
    </w:p>
    <w:p>
      <w:pPr>
        <w:ind w:right="40" w:firstLine="509"/>
        <w:spacing w:after="0" w:line="261" w:lineRule="auto"/>
        <w:rPr>
          <w:sz w:val="20"/>
          <w:szCs w:val="20"/>
          <w:color w:val="auto"/>
        </w:rPr>
      </w:pPr>
      <w:r>
        <w:rPr>
          <w:rFonts w:ascii="Arial" w:cs="Arial" w:eastAsia="Arial" w:hAnsi="Arial"/>
          <w:sz w:val="16"/>
          <w:szCs w:val="16"/>
          <w:color w:val="auto"/>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39" w:name="page40"/>
    <w:bookmarkEnd w:id="39"/>
    <w:p>
      <w:pPr>
        <w:ind w:right="140"/>
        <w:spacing w:after="0" w:line="246"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0" w:lineRule="exact"/>
        <w:rPr>
          <w:sz w:val="20"/>
          <w:szCs w:val="20"/>
          <w:color w:val="auto"/>
        </w:rPr>
      </w:pPr>
    </w:p>
    <w:p>
      <w:pPr>
        <w:ind w:left="760" w:right="120" w:hanging="378"/>
        <w:spacing w:after="0" w:line="239"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8" w:lineRule="exact"/>
        <w:rPr>
          <w:rFonts w:ascii="Arial" w:cs="Arial" w:eastAsia="Arial" w:hAnsi="Arial"/>
          <w:sz w:val="17"/>
          <w:szCs w:val="17"/>
          <w:color w:val="auto"/>
        </w:rPr>
      </w:pPr>
    </w:p>
    <w:p>
      <w:pPr>
        <w:ind w:left="760" w:right="100" w:hanging="378"/>
        <w:spacing w:after="0" w:line="22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w:t>
      </w:r>
    </w:p>
    <w:p>
      <w:pPr>
        <w:spacing w:after="0" w:line="69" w:lineRule="exact"/>
        <w:rPr>
          <w:rFonts w:ascii="Arial" w:cs="Arial" w:eastAsia="Arial" w:hAnsi="Arial"/>
          <w:sz w:val="18"/>
          <w:szCs w:val="18"/>
          <w:color w:val="auto"/>
        </w:rPr>
      </w:pPr>
    </w:p>
    <w:p>
      <w:pPr>
        <w:ind w:left="760" w:hanging="378"/>
        <w:spacing w:after="0" w:line="239"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w:t>
      </w:r>
    </w:p>
    <w:p>
      <w:pPr>
        <w:spacing w:after="0" w:line="68" w:lineRule="exact"/>
        <w:rPr>
          <w:rFonts w:ascii="Arial" w:cs="Arial" w:eastAsia="Arial" w:hAnsi="Arial"/>
          <w:sz w:val="17"/>
          <w:szCs w:val="17"/>
          <w:color w:val="auto"/>
        </w:rPr>
      </w:pPr>
    </w:p>
    <w:p>
      <w:pPr>
        <w:ind w:left="760" w:right="220" w:hanging="378"/>
        <w:spacing w:after="0" w:line="22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relating to the privacy, security and transmission of individually identifiable health information;</w:t>
      </w:r>
    </w:p>
    <w:p>
      <w:pPr>
        <w:spacing w:after="0" w:line="83" w:lineRule="exact"/>
        <w:rPr>
          <w:rFonts w:ascii="Arial" w:cs="Arial" w:eastAsia="Arial" w:hAnsi="Arial"/>
          <w:sz w:val="18"/>
          <w:szCs w:val="18"/>
          <w:color w:val="auto"/>
        </w:rPr>
      </w:pPr>
    </w:p>
    <w:p>
      <w:pPr>
        <w:ind w:left="760" w:right="4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w:t>
      </w:r>
    </w:p>
    <w:p>
      <w:pPr>
        <w:spacing w:after="0" w:line="81" w:lineRule="exact"/>
        <w:rPr>
          <w:rFonts w:ascii="Arial" w:cs="Arial" w:eastAsia="Arial" w:hAnsi="Arial"/>
          <w:sz w:val="18"/>
          <w:szCs w:val="18"/>
          <w:color w:val="auto"/>
        </w:rPr>
      </w:pPr>
    </w:p>
    <w:p>
      <w:pPr>
        <w:ind w:left="760" w:right="50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760" w:right="20" w:hanging="378"/>
        <w:spacing w:after="0" w:line="253"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0" w:name="page41"/>
    <w:bookmarkEnd w:id="40"/>
    <w:p>
      <w:pPr>
        <w:ind w:right="20" w:firstLine="509"/>
        <w:spacing w:after="0" w:line="270"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7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sales; and other adverse business consequences</w:t>
      </w:r>
    </w:p>
    <w:p>
      <w:pPr>
        <w:spacing w:after="0" w:line="74"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In the ordinary course of business, we may collect, receive, store, process, generate, use, transfer, disclose, make accessible, protect, secure, dispose of, transmit, and share (commonly known as processing)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a variety of provincial, state, national, and foreign laws and regulations, as well as policies, contracts and other obligations that apply to the processing of sensitive information. Data privacy and security laws and regulations are evolving and may result in ever-increasing regulatory and public scrutiny and escalating levels of enforcement and sanctions.</w:t>
      </w:r>
    </w:p>
    <w:p>
      <w:pPr>
        <w:spacing w:after="0" w:line="6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For example, the California legislature enacted the California Consumer Privacy Act, or CCPA, which took effect on January 1, 2020. The CCPA requires covered companies to provide new disclosures to California residents, and honor their requests to access, delete and opt-out of certain sharing of their personal data. The CCPA provides for civil penalties for violations (up to $7,500 per violation) and a private right of action for certain data breaches. In addition, it is anticipated that the California Privacy Rights Act of 2020, or CPRA, effective January 1, 2023, will expand the CCPA. Additionally, the CPRA establishes a new California Privacy Protection Agency to implement and enforce the CPRA, which could increase the risk of enforcement. While certain clinical trial activities are exempt from the CCPA’s and the CPRA’s requirements, other personal data that we handle may be subject to the CCPA and the CPRA, which may increase our compliance costs, exposure to regulatory enforcement action and other liabilities. Since the enactment of the CCPA, new privacy and data security laws have been proposed in more than half of the states and in the U.S. Congress, reflecting a trend toward more stringent privacy legislation in the U.S. For example, Virginia passed the Consumer Data Protection Act, Colorado passed the Colorado Privacy Act, and Utah passed the Utah Consumer Privacy Act, all of which become effective in 2023.</w:t>
      </w:r>
    </w:p>
    <w:p>
      <w:pPr>
        <w:spacing w:after="0" w:line="75"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w:t>
      </w:r>
    </w:p>
    <w:p>
      <w:pPr>
        <w:spacing w:after="0" w:line="81"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European Economic Area, or EEA, that the European Commission does not consider to provide an adequate level of data privacy and security, such as the United States. The European Commission released a set of “Standard Contractual Clauses,” or SCCs, that are designed to be a valid mechanism to facilitate personal data transfers out of the EEA to these jurisdictions. Currently, these SCCs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Switzerland and the UK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ind w:right="280" w:firstLine="509"/>
        <w:spacing w:after="0" w:line="279" w:lineRule="auto"/>
        <w:rPr>
          <w:sz w:val="20"/>
          <w:szCs w:val="20"/>
          <w:color w:val="auto"/>
        </w:rPr>
      </w:pPr>
      <w:r>
        <w:rPr>
          <w:rFonts w:ascii="Arial" w:cs="Arial" w:eastAsia="Arial" w:hAnsi="Arial"/>
          <w:sz w:val="16"/>
          <w:szCs w:val="16"/>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5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GDPR, CCPA and many other laws and regulations relating to data privacy and security are still being tested in courts, and they are subject to new and differing interpretations by courts and regulatory officials. We are working to comply with the data privacy and security laws and regulations that apply to us, and we anticipate needing to devote significant additional resources to complying with these laws and regulations. It is possible that the GDPR, CCPA or other laws and regulations relating to data privacy and security may be interpreted and applied in a manner that is inconsistent from jurisdiction to jurisdiction or inconsistent with our current policies and practices.</w:t>
      </w:r>
    </w:p>
    <w:p>
      <w:pPr>
        <w:spacing w:after="0" w:line="81" w:lineRule="exact"/>
        <w:rPr>
          <w:sz w:val="20"/>
          <w:szCs w:val="20"/>
          <w:color w:val="auto"/>
        </w:rPr>
      </w:pPr>
    </w:p>
    <w:p>
      <w:pPr>
        <w:ind w:right="380" w:firstLine="509"/>
        <w:spacing w:after="0" w:line="241" w:lineRule="auto"/>
        <w:rPr>
          <w:sz w:val="20"/>
          <w:szCs w:val="20"/>
          <w:color w:val="auto"/>
        </w:rPr>
      </w:pPr>
      <w:r>
        <w:rPr>
          <w:rFonts w:ascii="Arial" w:cs="Arial" w:eastAsia="Arial" w:hAnsi="Arial"/>
          <w:sz w:val="18"/>
          <w:szCs w:val="18"/>
          <w:color w:val="auto"/>
        </w:rPr>
        <w:t>Our actual or perceived failure to adequately comply with applicable laws, regulations, policies, contracts and other obligations relating to data privacy and security, or to protect personal data and other data we process or maintain, could result in regulatory fines and bans on processing personal data, investigations and enforcement actions, penalties and other liabilities, interruptions to our development process, claims for damages by affected individuals, and damage to our reputation, any of which could materially affect our business, financial condition, results of operations and growth prospects.</w:t>
      </w:r>
    </w:p>
    <w:p>
      <w:pPr>
        <w:spacing w:after="0" w:line="378"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5" w:lineRule="exact"/>
        <w:rPr>
          <w:sz w:val="20"/>
          <w:szCs w:val="20"/>
          <w:color w:val="auto"/>
        </w:rPr>
      </w:pPr>
    </w:p>
    <w:p>
      <w:pPr>
        <w:ind w:right="40" w:firstLine="509"/>
        <w:spacing w:after="0" w:line="224"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70" w:lineRule="exact"/>
        <w:rPr>
          <w:sz w:val="20"/>
          <w:szCs w:val="20"/>
          <w:color w:val="auto"/>
        </w:rPr>
      </w:pPr>
    </w:p>
    <w:p>
      <w:pPr>
        <w:ind w:firstLine="509"/>
        <w:spacing w:after="0" w:line="255"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15"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9" w:lineRule="exact"/>
        <w:rPr>
          <w:sz w:val="20"/>
          <w:szCs w:val="20"/>
          <w:color w:val="auto"/>
        </w:rPr>
      </w:pPr>
    </w:p>
    <w:p>
      <w:pPr>
        <w:ind w:right="300" w:firstLine="509"/>
        <w:spacing w:after="0" w:line="243"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67"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6" w:lineRule="exact"/>
        <w:rPr>
          <w:sz w:val="20"/>
          <w:szCs w:val="20"/>
          <w:color w:val="auto"/>
        </w:rPr>
      </w:pPr>
    </w:p>
    <w:p>
      <w:pPr>
        <w:jc w:val="both"/>
        <w:ind w:right="280" w:firstLine="509"/>
        <w:spacing w:after="0" w:line="248"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7"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right="600" w:firstLine="509"/>
        <w:spacing w:after="0" w:line="274"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40"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90" w:lineRule="exact"/>
        <w:rPr>
          <w:sz w:val="20"/>
          <w:szCs w:val="20"/>
          <w:color w:val="auto"/>
        </w:rPr>
      </w:pPr>
    </w:p>
    <w:p>
      <w:pPr>
        <w:ind w:right="280" w:firstLine="509"/>
        <w:spacing w:after="0" w:line="242"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7" w:lineRule="exact"/>
        <w:rPr>
          <w:sz w:val="20"/>
          <w:szCs w:val="20"/>
          <w:color w:val="auto"/>
        </w:rPr>
      </w:pPr>
    </w:p>
    <w:p>
      <w:pPr>
        <w:ind w:right="300" w:firstLine="509"/>
        <w:spacing w:after="0" w:line="274"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40" w:lineRule="exact"/>
        <w:rPr>
          <w:sz w:val="20"/>
          <w:szCs w:val="20"/>
          <w:color w:val="auto"/>
        </w:rPr>
      </w:pPr>
    </w:p>
    <w:p>
      <w:pPr>
        <w:ind w:right="360" w:firstLine="509"/>
        <w:spacing w:after="0" w:line="266"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8" w:lineRule="exact"/>
        <w:rPr>
          <w:sz w:val="20"/>
          <w:szCs w:val="20"/>
          <w:color w:val="auto"/>
        </w:rPr>
      </w:pPr>
    </w:p>
    <w:p>
      <w:pPr>
        <w:ind w:right="80" w:firstLine="509"/>
        <w:spacing w:after="0" w:line="307"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09"/>
        <w:spacing w:after="0" w:line="237"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09"/>
        <w:spacing w:after="0" w:line="237"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44" w:name="page45"/>
    <w:bookmarkEnd w:id="44"/>
    <w:p>
      <w:pPr>
        <w:ind w:right="160"/>
        <w:spacing w:after="0" w:line="324"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04"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15" w:lineRule="exact"/>
        <w:rPr>
          <w:rFonts w:ascii="Arial" w:cs="Arial" w:eastAsia="Arial" w:hAnsi="Arial"/>
          <w:sz w:val="17"/>
          <w:szCs w:val="17"/>
          <w:color w:val="auto"/>
        </w:rPr>
      </w:pPr>
    </w:p>
    <w:p>
      <w:pPr>
        <w:ind w:left="760" w:right="40" w:hanging="378"/>
        <w:spacing w:after="0" w:line="248"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3"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03" w:lineRule="exact"/>
        <w:rPr>
          <w:rFonts w:ascii="Arial" w:cs="Arial" w:eastAsia="Arial" w:hAnsi="Arial"/>
          <w:sz w:val="18"/>
          <w:szCs w:val="18"/>
          <w:color w:val="auto"/>
        </w:rPr>
      </w:pPr>
    </w:p>
    <w:p>
      <w:pPr>
        <w:ind w:left="760" w:right="68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90" w:lineRule="exact"/>
        <w:rPr>
          <w:rFonts w:ascii="Arial" w:cs="Arial" w:eastAsia="Arial" w:hAnsi="Arial"/>
          <w:sz w:val="18"/>
          <w:szCs w:val="18"/>
          <w:color w:val="auto"/>
        </w:rPr>
      </w:pPr>
    </w:p>
    <w:p>
      <w:pPr>
        <w:ind w:left="760" w:right="100" w:hanging="378"/>
        <w:spacing w:after="0" w:line="307"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760" w:hanging="378"/>
        <w:spacing w:after="0" w:line="235"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6" w:lineRule="exact"/>
        <w:rPr>
          <w:rFonts w:ascii="Arial" w:cs="Arial" w:eastAsia="Arial" w:hAnsi="Arial"/>
          <w:sz w:val="18"/>
          <w:szCs w:val="18"/>
          <w:color w:val="auto"/>
        </w:rPr>
      </w:pPr>
    </w:p>
    <w:p>
      <w:pPr>
        <w:ind w:left="760" w:right="12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1" w:lineRule="exact"/>
        <w:rPr>
          <w:rFonts w:ascii="Arial" w:cs="Arial" w:eastAsia="Arial" w:hAnsi="Arial"/>
          <w:sz w:val="18"/>
          <w:szCs w:val="18"/>
          <w:color w:val="auto"/>
        </w:rPr>
      </w:pPr>
    </w:p>
    <w:p>
      <w:pPr>
        <w:jc w:val="both"/>
        <w:ind w:left="760" w:right="40" w:hanging="378"/>
        <w:spacing w:after="0" w:line="235"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6" w:lineRule="exact"/>
        <w:rPr>
          <w:rFonts w:ascii="Arial" w:cs="Arial" w:eastAsia="Arial" w:hAnsi="Arial"/>
          <w:sz w:val="18"/>
          <w:szCs w:val="18"/>
          <w:color w:val="auto"/>
        </w:rPr>
      </w:pPr>
    </w:p>
    <w:p>
      <w:pPr>
        <w:ind w:left="760" w:right="8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01" w:lineRule="exact"/>
        <w:rPr>
          <w:rFonts w:ascii="Arial" w:cs="Arial" w:eastAsia="Arial" w:hAnsi="Arial"/>
          <w:sz w:val="17"/>
          <w:szCs w:val="17"/>
          <w:color w:val="auto"/>
        </w:rPr>
      </w:pPr>
    </w:p>
    <w:p>
      <w:pPr>
        <w:ind w:left="760" w:right="26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1" w:lineRule="exact"/>
        <w:rPr>
          <w:rFonts w:ascii="Arial" w:cs="Arial" w:eastAsia="Arial" w:hAnsi="Arial"/>
          <w:sz w:val="18"/>
          <w:szCs w:val="18"/>
          <w:color w:val="auto"/>
        </w:rPr>
      </w:pPr>
    </w:p>
    <w:p>
      <w:pPr>
        <w:ind w:left="760" w:right="860" w:hanging="378"/>
        <w:spacing w:after="0" w:line="307"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760" w:right="360" w:hanging="378"/>
        <w:spacing w:after="0" w:line="274"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90"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1" w:lineRule="exact"/>
        <w:rPr>
          <w:rFonts w:ascii="Arial" w:cs="Arial" w:eastAsia="Arial" w:hAnsi="Arial"/>
          <w:sz w:val="18"/>
          <w:szCs w:val="18"/>
          <w:color w:val="auto"/>
        </w:rPr>
      </w:pPr>
    </w:p>
    <w:p>
      <w:pPr>
        <w:ind w:left="760" w:right="122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1"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02" w:lineRule="exact"/>
        <w:rPr>
          <w:sz w:val="20"/>
          <w:szCs w:val="20"/>
          <w:color w:val="auto"/>
        </w:rPr>
      </w:pPr>
    </w:p>
    <w:p>
      <w:pPr>
        <w:ind w:firstLine="509"/>
        <w:spacing w:after="0" w:line="238"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69" w:lineRule="exact"/>
        <w:rPr>
          <w:sz w:val="20"/>
          <w:szCs w:val="20"/>
          <w:color w:val="auto"/>
        </w:rPr>
      </w:pPr>
    </w:p>
    <w:p>
      <w:pPr>
        <w:ind w:right="80" w:firstLine="509"/>
        <w:spacing w:after="0" w:line="237"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67" w:lineRule="exact"/>
        <w:rPr>
          <w:sz w:val="20"/>
          <w:szCs w:val="20"/>
          <w:color w:val="auto"/>
        </w:rPr>
      </w:pPr>
    </w:p>
    <w:p>
      <w:pPr>
        <w:ind w:right="20" w:firstLine="509"/>
        <w:spacing w:after="0" w:line="250"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90" w:lineRule="exact"/>
        <w:rPr>
          <w:sz w:val="20"/>
          <w:szCs w:val="20"/>
          <w:color w:val="auto"/>
        </w:rPr>
      </w:pPr>
    </w:p>
    <w:p>
      <w:pPr>
        <w:ind w:right="80" w:firstLine="509"/>
        <w:spacing w:after="0" w:line="266"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8" w:lineRule="exact"/>
        <w:rPr>
          <w:sz w:val="20"/>
          <w:szCs w:val="20"/>
          <w:color w:val="auto"/>
        </w:rPr>
      </w:pPr>
    </w:p>
    <w:p>
      <w:pPr>
        <w:ind w:right="60" w:firstLine="509"/>
        <w:spacing w:after="0" w:line="252"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0"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40"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48" w:lineRule="exact"/>
        <w:rPr>
          <w:sz w:val="20"/>
          <w:szCs w:val="20"/>
          <w:color w:val="auto"/>
        </w:rPr>
      </w:pPr>
    </w:p>
    <w:p>
      <w:pPr>
        <w:ind w:right="40" w:firstLine="509"/>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7" w:lineRule="exact"/>
        <w:rPr>
          <w:sz w:val="20"/>
          <w:szCs w:val="20"/>
          <w:color w:val="auto"/>
        </w:rPr>
      </w:pPr>
    </w:p>
    <w:p>
      <w:pPr>
        <w:ind w:right="80" w:firstLine="509"/>
        <w:spacing w:after="0" w:line="235"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90"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90" w:lineRule="exact"/>
        <w:rPr>
          <w:sz w:val="20"/>
          <w:szCs w:val="20"/>
          <w:color w:val="auto"/>
        </w:rPr>
      </w:pPr>
    </w:p>
    <w:p>
      <w:pPr>
        <w:ind w:firstLine="509"/>
        <w:spacing w:after="0" w:line="239"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8" w:lineRule="exact"/>
        <w:rPr>
          <w:sz w:val="20"/>
          <w:szCs w:val="20"/>
          <w:color w:val="auto"/>
        </w:rPr>
      </w:pPr>
    </w:p>
    <w:p>
      <w:pPr>
        <w:ind w:right="60" w:firstLine="509"/>
        <w:spacing w:after="0" w:line="25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7" w:lineRule="exact"/>
        <w:rPr>
          <w:sz w:val="20"/>
          <w:szCs w:val="20"/>
          <w:color w:val="auto"/>
        </w:rPr>
      </w:pPr>
    </w:p>
    <w:p>
      <w:pPr>
        <w:ind w:right="40" w:firstLine="509"/>
        <w:spacing w:after="0" w:line="22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78" w:lineRule="exact"/>
        <w:rPr>
          <w:sz w:val="20"/>
          <w:szCs w:val="20"/>
          <w:color w:val="auto"/>
        </w:rPr>
      </w:pPr>
    </w:p>
    <w:p>
      <w:pPr>
        <w:jc w:val="both"/>
        <w:ind w:right="560"/>
        <w:spacing w:after="0" w:line="235"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76" w:lineRule="exact"/>
        <w:rPr>
          <w:sz w:val="20"/>
          <w:szCs w:val="20"/>
          <w:color w:val="auto"/>
        </w:rPr>
      </w:pPr>
    </w:p>
    <w:p>
      <w:pPr>
        <w:ind w:right="80"/>
        <w:spacing w:after="0" w:line="338"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ind w:firstLine="509"/>
        <w:spacing w:after="0" w:line="225"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8" w:name="page49"/>
    <w:bookmarkEnd w:id="48"/>
    <w:p>
      <w:pPr>
        <w:ind w:right="60" w:firstLine="509"/>
        <w:spacing w:after="0" w:line="237"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2" w:lineRule="exact"/>
        <w:rPr>
          <w:sz w:val="20"/>
          <w:szCs w:val="20"/>
          <w:color w:val="auto"/>
        </w:rPr>
      </w:pPr>
    </w:p>
    <w:p>
      <w:pPr>
        <w:ind w:firstLine="509"/>
        <w:spacing w:after="0" w:line="254"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7" w:lineRule="exact"/>
        <w:rPr>
          <w:sz w:val="20"/>
          <w:szCs w:val="20"/>
          <w:color w:val="auto"/>
        </w:rPr>
      </w:pPr>
    </w:p>
    <w:p>
      <w:pPr>
        <w:ind w:right="40" w:firstLine="509"/>
        <w:spacing w:after="0" w:line="227"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2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4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3"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0" w:name="page51"/>
    <w:bookmarkEnd w:id="50"/>
    <w:p>
      <w:pPr>
        <w:ind w:right="200"/>
        <w:spacing w:after="0" w:line="26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8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54" w:lineRule="exact"/>
        <w:rPr>
          <w:sz w:val="20"/>
          <w:szCs w:val="20"/>
          <w:color w:val="auto"/>
        </w:rPr>
      </w:pPr>
    </w:p>
    <w:p>
      <w:pPr>
        <w:ind w:right="20" w:firstLine="509"/>
        <w:spacing w:after="0" w:line="236"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69" w:lineRule="exact"/>
        <w:rPr>
          <w:sz w:val="20"/>
          <w:szCs w:val="20"/>
          <w:color w:val="auto"/>
        </w:rPr>
      </w:pPr>
    </w:p>
    <w:p>
      <w:pPr>
        <w:ind w:firstLine="509"/>
        <w:spacing w:after="0" w:line="253"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58" w:lineRule="exact"/>
        <w:rPr>
          <w:sz w:val="20"/>
          <w:szCs w:val="20"/>
          <w:color w:val="auto"/>
        </w:rPr>
      </w:pPr>
    </w:p>
    <w:p>
      <w:pPr>
        <w:ind w:right="40" w:firstLine="509"/>
        <w:spacing w:after="0" w:line="261"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60" w:firstLine="509"/>
        <w:spacing w:after="0" w:line="235"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67" w:lineRule="exact"/>
        <w:rPr>
          <w:sz w:val="20"/>
          <w:szCs w:val="20"/>
          <w:color w:val="auto"/>
        </w:rPr>
      </w:pPr>
    </w:p>
    <w:p>
      <w:pPr>
        <w:ind w:right="20" w:firstLine="509"/>
        <w:spacing w:after="0" w:line="253"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right="100" w:firstLine="509"/>
        <w:spacing w:after="0" w:line="227"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7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5"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cease and desist letters to two companies and filed a trademark opposition proceeding against one company.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76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760" w:right="54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62" w:lineRule="exact"/>
        <w:rPr>
          <w:rFonts w:ascii="Arial" w:cs="Arial" w:eastAsia="Arial" w:hAnsi="Arial"/>
          <w:sz w:val="18"/>
          <w:szCs w:val="18"/>
          <w:color w:val="auto"/>
        </w:rPr>
      </w:pPr>
    </w:p>
    <w:p>
      <w:pPr>
        <w:ind w:left="760" w:right="36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760" w:right="50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03" w:lineRule="exact"/>
        <w:rPr>
          <w:rFonts w:ascii="Arial" w:cs="Arial" w:eastAsia="Arial" w:hAnsi="Arial"/>
          <w:sz w:val="18"/>
          <w:szCs w:val="18"/>
          <w:color w:val="auto"/>
        </w:rPr>
      </w:pPr>
    </w:p>
    <w:p>
      <w:pPr>
        <w:ind w:left="760" w:right="220" w:hanging="378"/>
        <w:spacing w:after="0" w:line="26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0"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90" w:lineRule="exact"/>
        <w:rPr>
          <w:rFonts w:ascii="Arial" w:cs="Arial" w:eastAsia="Arial" w:hAnsi="Arial"/>
          <w:sz w:val="18"/>
          <w:szCs w:val="18"/>
          <w:color w:val="auto"/>
        </w:rPr>
      </w:pPr>
    </w:p>
    <w:p>
      <w:pPr>
        <w:ind w:left="760" w:right="560" w:hanging="378"/>
        <w:spacing w:after="0" w:line="24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9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40" w:firstLine="509"/>
        <w:spacing w:after="0" w:line="307" w:lineRule="auto"/>
        <w:rPr>
          <w:sz w:val="20"/>
          <w:szCs w:val="20"/>
          <w:color w:val="auto"/>
        </w:rPr>
      </w:pPr>
      <w:r>
        <w:rPr>
          <w:rFonts w:ascii="Arial" w:cs="Arial" w:eastAsia="Arial" w:hAnsi="Arial"/>
          <w:sz w:val="16"/>
          <w:szCs w:val="16"/>
          <w:color w:val="auto"/>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p>
    <w:p>
      <w:pPr>
        <w:spacing w:after="0" w:line="15" w:lineRule="exact"/>
        <w:rPr>
          <w:sz w:val="20"/>
          <w:szCs w:val="20"/>
          <w:color w:val="auto"/>
        </w:rPr>
      </w:pPr>
    </w:p>
    <w:p>
      <w:pPr>
        <w:ind w:firstLine="509"/>
        <w:spacing w:after="0" w:line="228"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70" w:lineRule="exact"/>
        <w:rPr>
          <w:sz w:val="20"/>
          <w:szCs w:val="20"/>
          <w:color w:val="auto"/>
        </w:rPr>
      </w:pPr>
    </w:p>
    <w:p>
      <w:pPr>
        <w:ind w:right="20" w:firstLine="509"/>
        <w:spacing w:after="0" w:line="231" w:lineRule="auto"/>
        <w:rPr>
          <w:sz w:val="20"/>
          <w:szCs w:val="20"/>
          <w:color w:val="auto"/>
        </w:rPr>
      </w:pPr>
      <w:r>
        <w:rPr>
          <w:rFonts w:ascii="Arial" w:cs="Arial" w:eastAsia="Arial" w:hAnsi="Arial"/>
          <w:sz w:val="18"/>
          <w:szCs w:val="18"/>
          <w:color w:val="auto"/>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67" w:lineRule="exact"/>
        <w:rPr>
          <w:sz w:val="20"/>
          <w:szCs w:val="20"/>
          <w:color w:val="auto"/>
        </w:rPr>
      </w:pPr>
    </w:p>
    <w:p>
      <w:pPr>
        <w:ind w:right="80" w:firstLine="509"/>
        <w:spacing w:after="0" w:line="256"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90" w:lineRule="exact"/>
        <w:rPr>
          <w:sz w:val="20"/>
          <w:szCs w:val="20"/>
          <w:color w:val="auto"/>
        </w:rPr>
      </w:pPr>
    </w:p>
    <w:p>
      <w:pPr>
        <w:ind w:right="200" w:firstLine="509"/>
        <w:spacing w:after="0" w:line="235" w:lineRule="auto"/>
        <w:rPr>
          <w:sz w:val="20"/>
          <w:szCs w:val="20"/>
          <w:color w:val="auto"/>
        </w:rPr>
      </w:pPr>
      <w:r>
        <w:rPr>
          <w:rFonts w:ascii="Arial" w:cs="Arial" w:eastAsia="Arial" w:hAnsi="Arial"/>
          <w:sz w:val="18"/>
          <w:szCs w:val="18"/>
          <w:color w:val="auto"/>
        </w:rPr>
        <w:t>As of March 31, 2022, we had 101 employees, all of whom were full-time.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p>
    <w:p>
      <w:pPr>
        <w:spacing w:after="0" w:line="67"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90" w:lineRule="exact"/>
        <w:rPr>
          <w:rFonts w:ascii="Arial" w:cs="Arial" w:eastAsia="Arial" w:hAnsi="Arial"/>
          <w:sz w:val="18"/>
          <w:szCs w:val="18"/>
          <w:color w:val="auto"/>
        </w:rPr>
      </w:pPr>
    </w:p>
    <w:p>
      <w:pPr>
        <w:ind w:left="760" w:right="700" w:hanging="378"/>
        <w:spacing w:after="0" w:line="24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0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3"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39" w:lineRule="exact"/>
        <w:rPr>
          <w:sz w:val="20"/>
          <w:szCs w:val="20"/>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03" w:lineRule="exact"/>
        <w:rPr>
          <w:rFonts w:ascii="Arial" w:cs="Arial" w:eastAsia="Arial" w:hAnsi="Arial"/>
          <w:sz w:val="18"/>
          <w:szCs w:val="18"/>
          <w:color w:val="auto"/>
        </w:rPr>
      </w:pPr>
    </w:p>
    <w:p>
      <w:pPr>
        <w:ind w:left="760" w:right="18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760" w:right="42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03" w:lineRule="exact"/>
        <w:rPr>
          <w:rFonts w:ascii="Arial" w:cs="Arial" w:eastAsia="Arial" w:hAnsi="Arial"/>
          <w:sz w:val="18"/>
          <w:szCs w:val="18"/>
          <w:color w:val="auto"/>
        </w:rPr>
      </w:pPr>
    </w:p>
    <w:p>
      <w:pPr>
        <w:ind w:left="760" w:right="28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760" w:right="420" w:hanging="378"/>
        <w:spacing w:after="0" w:line="261"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3"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4" w:name="page55"/>
    <w:bookmarkEnd w:id="54"/>
    <w:p>
      <w:pPr>
        <w:ind w:right="160"/>
        <w:spacing w:after="0" w:line="243"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by CROs, service providers or other third parties, are compromised now, or in the future, or the security, confidentiality, integrity or availability of our information technology, software, services, networks, communications or data is compromised, limited or fails, this could result in significant fines or other liability, interrupt our development programs, harm our reputation, or otherwise adversely affect our business.</w:t>
      </w:r>
    </w:p>
    <w:p>
      <w:pPr>
        <w:spacing w:after="0" w:line="8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ordinary course of our business, we process personal data and other sensitive information, including proprietary and confidential business data, trade secrets, intellectual property, data collected about trial participants in connection with clinical trials, and sensitive third-party data.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w:t>
      </w:r>
    </w:p>
    <w:p>
      <w:pPr>
        <w:spacing w:after="0" w:line="81"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CROs, contractors, consultants, and other third parties on which we depend to operate our business, may be vulnerable to these threats. These threats come from a variety of sources, including traditional computer “hackers,” threat actors, personnel (such as through theft or misuse), sophisticated nation-states, and nation-state-supported actors. During times of war and other major conflicts, including as a result of the ongoing military conflict between Russia and Ukraine and the related sanctions imposed against Russia, we and the third parties upon which we rely may be vulnerable to a heightened risk of these attacks, including cyber-attacks that could materially disrupt our systems and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w:t>
      </w:r>
    </w:p>
    <w:p>
      <w:pPr>
        <w:spacing w:after="0" w:line="71"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Additionally, as a result of the ongoing COVID-19 pandemic, certain employees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80"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60"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While we have developed systems and processes designed to protect the integrity, confidentiality and security of the sensitive information under our control, we cannot assure you that our security measures or those of the third parties we depend on will be effective in preventing security incidents. There are many different and rapidly evolving cybercrime and hacking techniques, and we may be unable to anticipate attempted security incidents, identify them before our information is exploited, or react in a timely manner.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53"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Additionally, applicable data protection requirements, including, without limitation, laws, regulations, guidance as well as our internal and external policies and our contractual obligations, may require us to notify relevant stakeholders of security incidents, including affected individuals, partners, collaborators, regulators, law enforcement agencies, and others. Such disclosures are costly, and the disclosure or the failure to comply with such requirements could lead to litigation or other liability, fines, harm to our reputation, significant costs, or other materially adverse effects. Any limitations or exclusions of liability in our contracts may not be enforceable or adequate or protect us from liability or damages.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5" w:name="page56"/>
    <w:bookmarkEnd w:id="55"/>
    <w:p>
      <w:pPr>
        <w:ind w:right="120" w:firstLine="509"/>
        <w:spacing w:after="0" w:line="262" w:lineRule="auto"/>
        <w:rPr>
          <w:sz w:val="20"/>
          <w:szCs w:val="20"/>
          <w:color w:val="auto"/>
        </w:rPr>
      </w:pPr>
      <w:r>
        <w:rPr>
          <w:rFonts w:ascii="Arial" w:cs="Arial" w:eastAsia="Arial" w:hAnsi="Arial"/>
          <w:sz w:val="17"/>
          <w:szCs w:val="17"/>
          <w:color w:val="auto"/>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connection to the ongoing COVID-19 pandemic, the various quarantines, shelter-in-place and similar government orders, or the perception that such orders, shutdowns or other restrictions on the conduct of business operations could occur, related to COVID-19 or other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the ongoing COVID-19 pandemic impacts our results will depend on future developments, which are highly uncertain and cannot be accurately predicted, including new information which may emerge concerning the severity of the COVID-19 pandemic and the actions to contain the coronavirus or treat its impact, among others.</w:t>
      </w:r>
    </w:p>
    <w:p>
      <w:pPr>
        <w:spacing w:after="0" w:line="7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1"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We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3" w:lineRule="exact"/>
        <w:rPr>
          <w:sz w:val="20"/>
          <w:szCs w:val="20"/>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03" w:lineRule="exact"/>
        <w:rPr>
          <w:rFonts w:ascii="Arial" w:cs="Arial" w:eastAsia="Arial" w:hAnsi="Arial"/>
          <w:sz w:val="18"/>
          <w:szCs w:val="18"/>
          <w:color w:val="auto"/>
        </w:rPr>
      </w:pPr>
    </w:p>
    <w:p>
      <w:pPr>
        <w:ind w:left="760" w:right="68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6" w:name="page57"/>
    <w:bookmarkEnd w:id="56"/>
    <w:p>
      <w:pPr>
        <w:ind w:left="760" w:right="8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(including the current Russia-Ukraine conflict) and terrorism or natural disasters.</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Following the result of a referendum in 2016, the United Kingdom, or UK, left the European Union, or EU, on January 31, 2020, commonly referred to as Brexit. Pursuant to the formal withdrawal arrangements agreed between the UK and the EU, the UK was subject to a transition period until December 31, 2020, or the Transition Period, during which EU rules continued to apply. A trade and cooperation agreement, or the Trade and Cooperation Agreement, that outlines the future trading relationship between the United Kingdom and the European Union applied provisionally from January 1, 2021, and formally entered into force on May 1, 2021.</w:t>
      </w:r>
    </w:p>
    <w:p>
      <w:pPr>
        <w:spacing w:after="0" w:line="8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may have a material impact upon the regulatory regime applicable to our operations, including with respect to our ability to obtain regulatory approvals of our product candidates in the EU. For example, Great Britain is no longer covered by the centralized procedures for obtaining EU-wide marketing authorization from the European Medicines Agency, or EMA, and a separate marketing authorization will be required to market our product candidates in Great Britain. Any delay in obtaining, or an inability to obtain, any marketing approvals, would restrict our ability to generate revenue and achieve and sustain profitability.</w:t>
      </w:r>
    </w:p>
    <w:p>
      <w:pPr>
        <w:spacing w:after="0" w:line="51"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While the Trade and Cooperation Agreement provides for the tariff-free trade of medicinal products between the UK and the EU there are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60"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Other international and geo-political events could also have an adverse impact on our business. For instance, in February 2022, Russia initiated military action against Ukraine.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23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Our business is currently affected and could be materially and adversely affected in the future by the effects of disease outbreaks, epidemics and pandemics, including the ongoing effects of the COVID-19 pandemic. The COVID-19 pandemic continues to impact our business and could materially and adversely affect our operations, as well as the business or operations of our manufacturers, CROs or other third parties with whom we conduct business.</w:t>
      </w:r>
    </w:p>
    <w:p>
      <w:pPr>
        <w:spacing w:after="0" w:line="80"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Our business could be materially and adversely affected by health epidemics in regions where we have concentrations of clinical trial sites or other business operations and could cause significant disruption in the operations of third-party manufacturers and CROs upon whom we rely. For example, in March 2020, the World Health Organization declared the COVID-19 outbreak a pandemic. In response, we delayed initiation of the next set of KSI-301 pivotal studies by one quarter from June to September 2020 in order to assess how best to minimize the impact of COVID-19 on clinical trial conduct. We implemented and continue to implement various enhancements into our ongoing study execution to help ensure the safety of patients, physicians, study site staff and Kodiak operations team members during the ongoing COVID-19 pandemic, including the use of remote study monitoring.</w:t>
      </w:r>
    </w:p>
    <w:p>
      <w:pPr>
        <w:spacing w:after="0" w:line="5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COVID-19 pandemic continues to unfold and we will continue to monitor our operations in response. We continue to observe government recommendations. Quarantines for COVID-19 or other viruses could impact personnel at third party manufacturing facilities, or the availability or cost of materials, which would disrupt our supply chain. While many of these materials may be obtained by more than one supplier, port closures and other restrictions resulting from the coronavirus outbreak in the region may disrupt our supply chain or limit our ability to obtain sufficient materials for our drug products. As we work towards commercial scale-up and manufacturing activities to support BLA submission, there is increasing competition with COVID-19 vaccine and therapeutic programs for manufacturing related (i) materials such as resins, filters, sterile tubesets, pipette tips; (ii) personnel such as facility engineering and construction as well as plant engineers and workers; and (iii) production slots in cGMP facilities.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ind w:firstLine="509"/>
        <w:spacing w:after="0" w:line="252" w:lineRule="auto"/>
        <w:rPr>
          <w:sz w:val="20"/>
          <w:szCs w:val="20"/>
          <w:color w:val="auto"/>
        </w:rPr>
      </w:pPr>
      <w:r>
        <w:rPr>
          <w:rFonts w:ascii="Arial" w:cs="Arial" w:eastAsia="Arial" w:hAnsi="Arial"/>
          <w:sz w:val="17"/>
          <w:szCs w:val="17"/>
          <w:color w:val="auto"/>
        </w:rPr>
        <w:t>In addition, our current and future clinical trials may be materially and adversely affected by the COVID-19 outbreak in the future. Site initiation and patient enrollment may be further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may adversely impact our clinical trial operations. Kodiak staff and/or our CRO partners may not be able to travel to study sites, impacting further site initiations and in-person monitoring of study data quality.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the COVID-19 outbreak. To date, we continue to see low levels of patient missed visits. Additionally, the pandemic could result in delayed recruitment in some or all of our clinical studies that are currently recruiting patients, for example if as a consequence of the pandemic patients are not willing to be seen by their physician as frequently as our study protocols require.</w:t>
      </w:r>
    </w:p>
    <w:p>
      <w:pPr>
        <w:spacing w:after="0" w:line="78"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w:t>
      </w:r>
    </w:p>
    <w:p>
      <w:pPr>
        <w:spacing w:after="0" w:line="63"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extent to which the risks and evolving effects of the COVID-19 pandemic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The COVID-19 pandemic may also have the effect of heightening many of the other risks described in this “Risk Factors” section.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of December 31, 2021, the Company had $57.5 million of federal and $395.4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have experienced such ownership changes in the past, and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p>
    <w:p>
      <w:pPr>
        <w:spacing w:after="0" w:line="8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U.S. federal tax legislation enacted in 2017, informally titled The Tax Cuts and Jobs Act (the “Tax Act”), as modified by the Coronavirus Aid, Relief, and Economic Security Act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spacing w:after="0" w:line="16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8" w:name="page59"/>
    <w:bookmarkEnd w:id="58"/>
    <w:p>
      <w:pPr>
        <w:ind w:right="40" w:firstLine="509"/>
        <w:spacing w:after="0" w:line="253"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proposals have recently been made in Congress (which have not yet been enacted) to make tax law changes that could have a material adverse impact on us.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are in the clinical stage of drug development and have a very limited operating history and no products approved for commercial sale, which may make it difficult to evaluate our current business and predict our future success and viability.</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are a clinical stage biopharmaceutical company committed to researching, developing and commercializing transformative therapeutics to treat high prevalence retinal diseases. We commenced operations in June 2009, have no products approved for commercial sale and have not generated any revenue. Drug development is a highly uncertain undertaking and involves a substantial degree of risk. Except for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3"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have incurred net losses in each reporting period since our inception, including net losses of $95.7 million for the three months ended March 31, 2022. As of March 31, 2022, we had an accumulated deficit of $653.9 million.</w:t>
      </w:r>
    </w:p>
    <w:p>
      <w:pPr>
        <w:spacing w:after="0" w:line="63"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6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3" w:lineRule="exact"/>
        <w:rPr>
          <w:sz w:val="20"/>
          <w:szCs w:val="20"/>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03"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current and any future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 including KSI-301;</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9" w:name="page60"/>
    <w:bookmarkEnd w:id="59"/>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18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3"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04"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760" w:right="240" w:hanging="378"/>
        <w:spacing w:after="0" w:line="24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03"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26" w:lineRule="exact"/>
        <w:rPr>
          <w:rFonts w:ascii="Arial" w:cs="Arial" w:eastAsia="Arial" w:hAnsi="Arial"/>
          <w:sz w:val="16"/>
          <w:szCs w:val="16"/>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ind w:firstLine="509"/>
        <w:spacing w:after="0" w:line="225"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68"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25"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Our operations have required substantial amounts of cash since inception. To date, we have funded our operations primarily through the sale of equity securities. Developing our product candidates is expensive, and we expect to continue to increase our spending as we conduct the Phase 3 clinical trials for our KSI-301 product candidate. Even if we are successful in developing our product candidates, obtaining regulatory approvals and launching and commercializing any product candidate will require substantial additional funding.</w:t>
      </w:r>
    </w:p>
    <w:p>
      <w:pPr>
        <w:spacing w:after="0" w:line="67" w:lineRule="exact"/>
        <w:rPr>
          <w:sz w:val="20"/>
          <w:szCs w:val="20"/>
          <w:color w:val="auto"/>
        </w:rPr>
      </w:pPr>
    </w:p>
    <w:p>
      <w:pPr>
        <w:ind w:right="160" w:firstLine="509"/>
        <w:spacing w:after="0" w:line="22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70" w:lineRule="exact"/>
        <w:rPr>
          <w:sz w:val="20"/>
          <w:szCs w:val="20"/>
          <w:color w:val="auto"/>
        </w:rPr>
      </w:pPr>
    </w:p>
    <w:p>
      <w:pPr>
        <w:ind w:right="20" w:firstLine="509"/>
        <w:spacing w:after="0" w:line="237" w:lineRule="auto"/>
        <w:rPr>
          <w:sz w:val="20"/>
          <w:szCs w:val="20"/>
          <w:color w:val="auto"/>
        </w:rPr>
      </w:pPr>
      <w:r>
        <w:rPr>
          <w:rFonts w:ascii="Arial" w:cs="Arial" w:eastAsia="Arial" w:hAnsi="Arial"/>
          <w:sz w:val="17"/>
          <w:szCs w:val="17"/>
          <w:color w:val="auto"/>
        </w:rPr>
        <w:t>We will require additional capital for the further development and, if approved, commercialization of our product candidates. Additional capital may not be available when we need it, on terms acceptable to us or at all. For example, the ongoing COVID-19 pandemic has significantly disrupted world financial markets, negatively impacted US market conditions, increased the volatility of trading prices for biopharmaceutical companies, and may reduce opportunities for us to seek out additional funding when needed. Similarly, the current Russia-Ukraine conflict has created extreme volatility in the global capital markets and is expected to have further global economic consequences, including disruptions of the global supply chain.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80"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81"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0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market price of our common stock may be volatile. For example, the closing price of our common stock from December 31, 2020 to December 31, 2021 ranged from a low of $77.20 to a high of $164.47 and from January 1, 2022 to April 29, 2022 ranged from a low of $5.84 to a high of $89.45. As a result, you may not be able to sell your common stock at or above the price that you paid for such shares. Some of the factors that may cause the market price of our common stock to fluctuate include:</w:t>
      </w:r>
    </w:p>
    <w:p>
      <w:pPr>
        <w:spacing w:after="0" w:line="80"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103" w:lineRule="exact"/>
        <w:rPr>
          <w:rFonts w:ascii="Arial" w:cs="Arial" w:eastAsia="Arial" w:hAnsi="Arial"/>
          <w:sz w:val="18"/>
          <w:szCs w:val="18"/>
          <w:color w:val="auto"/>
        </w:rPr>
      </w:pPr>
    </w:p>
    <w:p>
      <w:pPr>
        <w:ind w:left="760" w:right="480" w:hanging="378"/>
        <w:spacing w:after="0" w:line="26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62" w:name="page63"/>
    <w:bookmarkEnd w:id="62"/>
    <w:p>
      <w:pPr>
        <w:ind w:left="760" w:right="220" w:hanging="378"/>
        <w:spacing w:after="0" w:line="294" w:lineRule="auto"/>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fluctuations attributable to the ongoing COVID-19 pandemic, the recent Russian invasion of Ukraine as well as continued and any new sanctions against Russia by, among others, the United States and the European Union, which restrict a wide range of trade and financial dealings with Russia and Russia parties, and other unforeseeable circumstances; and</w:t>
      </w:r>
    </w:p>
    <w:p>
      <w:pPr>
        <w:spacing w:after="0" w:line="39" w:lineRule="exact"/>
        <w:rPr>
          <w:rFonts w:ascii="Arial" w:cs="Arial" w:eastAsia="Arial" w:hAnsi="Arial"/>
          <w:sz w:val="16"/>
          <w:szCs w:val="16"/>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4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80" w:firstLine="509"/>
        <w:spacing w:after="0" w:line="246"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80" w:lineRule="exact"/>
        <w:rPr>
          <w:sz w:val="20"/>
          <w:szCs w:val="20"/>
          <w:color w:val="auto"/>
        </w:rPr>
      </w:pPr>
    </w:p>
    <w:p>
      <w:pPr>
        <w:ind w:left="760" w:hanging="378"/>
        <w:spacing w:after="0"/>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03" w:lineRule="exact"/>
        <w:rPr>
          <w:rFonts w:ascii="Arial" w:cs="Arial" w:eastAsia="Arial" w:hAnsi="Arial"/>
          <w:sz w:val="18"/>
          <w:szCs w:val="18"/>
          <w:color w:val="auto"/>
        </w:rPr>
      </w:pPr>
    </w:p>
    <w:p>
      <w:pPr>
        <w:ind w:left="760" w:right="120" w:hanging="378"/>
        <w:spacing w:after="0" w:line="261"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left="760" w:right="22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0"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2"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04" w:lineRule="exact"/>
        <w:rPr>
          <w:sz w:val="20"/>
          <w:szCs w:val="20"/>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jc w:val="both"/>
        <w:ind w:right="80"/>
        <w:spacing w:after="0" w:line="270" w:lineRule="auto"/>
        <w:rPr>
          <w:sz w:val="20"/>
          <w:szCs w:val="20"/>
          <w:color w:val="auto"/>
        </w:rPr>
      </w:pPr>
      <w:r>
        <w:rPr>
          <w:rFonts w:ascii="Arial" w:cs="Arial" w:eastAsia="Arial" w:hAnsi="Arial"/>
          <w:sz w:val="17"/>
          <w:szCs w:val="17"/>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spacing w:after="0" w:line="56" w:lineRule="exact"/>
        <w:rPr>
          <w:sz w:val="20"/>
          <w:szCs w:val="20"/>
          <w:color w:val="auto"/>
        </w:rPr>
      </w:pPr>
    </w:p>
    <w:p>
      <w:pPr>
        <w:ind w:right="140" w:firstLine="509"/>
        <w:spacing w:after="0" w:line="324" w:lineRule="auto"/>
        <w:rPr>
          <w:sz w:val="20"/>
          <w:szCs w:val="20"/>
          <w:color w:val="auto"/>
        </w:rPr>
      </w:pPr>
      <w:r>
        <w:rPr>
          <w:rFonts w:ascii="Arial" w:cs="Arial" w:eastAsia="Arial" w:hAnsi="Arial"/>
          <w:sz w:val="16"/>
          <w:szCs w:val="16"/>
          <w:color w:val="auto"/>
        </w:rPr>
        <w:t>As a public company, we are subject to reporting and other obligations under the Exchange Act, including the requirements of the Sarbanes-Oxley Act of 2002 ("SOX") Section 404, which require annual management assessments of the effectiveness of our internal control over financial reporting.</w:t>
      </w:r>
    </w:p>
    <w:p>
      <w:pPr>
        <w:spacing w:after="0" w:line="16" w:lineRule="exact"/>
        <w:rPr>
          <w:sz w:val="20"/>
          <w:szCs w:val="20"/>
          <w:color w:val="auto"/>
        </w:rPr>
      </w:pPr>
    </w:p>
    <w:p>
      <w:pPr>
        <w:jc w:val="both"/>
        <w:ind w:right="240" w:firstLine="509"/>
        <w:spacing w:after="0" w:line="271"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jc w:val="both"/>
        <w:ind w:right="240"/>
        <w:spacing w:after="0" w:line="243"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ind w:left="520"/>
              <w:spacing w:after="0"/>
              <w:rPr>
                <w:sz w:val="20"/>
                <w:szCs w:val="20"/>
                <w:color w:val="auto"/>
              </w:rPr>
            </w:pPr>
            <w:r>
              <w:rPr>
                <w:rFonts w:ascii="Arial" w:cs="Arial" w:eastAsia="Arial" w:hAnsi="Arial"/>
                <w:sz w:val="18"/>
                <w:szCs w:val="18"/>
                <w:i w:val="1"/>
                <w:iCs w:val="1"/>
                <w:color w:val="auto"/>
              </w:rPr>
              <w:t>(a)</w:t>
            </w:r>
          </w:p>
        </w:tc>
        <w:tc>
          <w:tcPr>
            <w:tcW w:w="6640" w:type="dxa"/>
            <w:vAlign w:val="bottom"/>
            <w:gridSpan w:val="23"/>
          </w:tcPr>
          <w:p>
            <w:pPr>
              <w:ind w:left="100"/>
              <w:spacing w:after="0"/>
              <w:rPr>
                <w:sz w:val="20"/>
                <w:szCs w:val="20"/>
                <w:color w:val="auto"/>
              </w:rPr>
            </w:pPr>
            <w:r>
              <w:rPr>
                <w:rFonts w:ascii="Arial" w:cs="Arial" w:eastAsia="Arial" w:hAnsi="Arial"/>
                <w:sz w:val="18"/>
                <w:szCs w:val="18"/>
                <w:i w:val="1"/>
                <w:iCs w:val="1"/>
                <w:color w:val="auto"/>
              </w:rPr>
              <w:t>Exhibits.</w:t>
            </w:r>
          </w:p>
        </w:tc>
        <w:tc>
          <w:tcPr>
            <w:tcW w:w="0" w:type="dxa"/>
            <w:vAlign w:val="bottom"/>
          </w:tcPr>
          <w:p>
            <w:pPr>
              <w:spacing w:after="0"/>
              <w:rPr>
                <w:sz w:val="1"/>
                <w:szCs w:val="1"/>
                <w:color w:val="auto"/>
              </w:rPr>
            </w:pPr>
          </w:p>
        </w:tc>
      </w:tr>
      <w:tr>
        <w:trPr>
          <w:trHeight w:val="423"/>
        </w:trPr>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14"/>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1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800" w:type="dxa"/>
            <w:vAlign w:val="bottom"/>
          </w:tcPr>
          <w:p>
            <w:pPr>
              <w:ind w:lef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Arial" w:cs="Arial" w:eastAsia="Arial" w:hAnsi="Arial"/>
                <w:sz w:val="18"/>
                <w:szCs w:val="18"/>
                <w:color w:val="0000FF"/>
              </w:rPr>
            </w:pPr>
            <w:hyperlink r:id="rId182">
              <w:r>
                <w:rPr>
                  <w:rFonts w:ascii="Arial" w:cs="Arial" w:eastAsia="Arial" w:hAnsi="Arial"/>
                  <w:sz w:val="18"/>
                  <w:szCs w:val="18"/>
                  <w:color w:val="0000FF"/>
                </w:rPr>
                <w:t>Amended and Restated Certificate of Incorporation of Kodiak Sciences Inc.</w:t>
              </w:r>
            </w:hyperlink>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Amended and Restated Bylaws of Kodiak Sciences Inc.</w:t>
              </w:r>
            </w:hyperlink>
          </w:p>
        </w:tc>
        <w:tc>
          <w:tcPr>
            <w:tcW w:w="1420" w:type="dxa"/>
            <w:vAlign w:val="bottom"/>
            <w:tcBorders>
              <w:top w:val="single" w:sz="8" w:color="0000FF"/>
            </w:tcBorders>
            <w:gridSpan w:val="3"/>
          </w:tcPr>
          <w:p>
            <w:pPr>
              <w:spacing w:after="0"/>
              <w:rPr>
                <w:sz w:val="24"/>
                <w:szCs w:val="24"/>
                <w:color w:val="auto"/>
              </w:rPr>
            </w:pPr>
          </w:p>
        </w:tc>
        <w:tc>
          <w:tcPr>
            <w:tcW w:w="9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6"/>
          </w:tcPr>
          <w:p>
            <w:pPr>
              <w:spacing w:after="0"/>
              <w:rPr>
                <w:rFonts w:ascii="Arial" w:cs="Arial" w:eastAsia="Arial" w:hAnsi="Arial"/>
                <w:sz w:val="18"/>
                <w:szCs w:val="18"/>
                <w:color w:val="0000FF"/>
                <w:w w:val="91"/>
              </w:rPr>
            </w:pPr>
            <w:hyperlink r:id="rId184">
              <w:r>
                <w:rPr>
                  <w:rFonts w:ascii="Arial" w:cs="Arial" w:eastAsia="Arial" w:hAnsi="Arial"/>
                  <w:sz w:val="18"/>
                  <w:szCs w:val="18"/>
                  <w:color w:val="0000FF"/>
                  <w:w w:val="91"/>
                </w:rPr>
                <w:t>Form of Common Stock Certificate</w:t>
              </w:r>
            </w:hyperlink>
          </w:p>
        </w:tc>
        <w:tc>
          <w:tcPr>
            <w:tcW w:w="38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0000FF"/>
            </w:tcBorders>
            <w:gridSpan w:val="4"/>
          </w:tcPr>
          <w:p>
            <w:pPr>
              <w:spacing w:after="0"/>
              <w:rPr>
                <w:rFonts w:ascii="Arial" w:cs="Arial" w:eastAsia="Arial" w:hAnsi="Arial"/>
                <w:sz w:val="18"/>
                <w:szCs w:val="18"/>
                <w:color w:val="0000FF"/>
                <w:w w:val="89"/>
              </w:rPr>
            </w:pPr>
            <w:hyperlink r:id="rId185">
              <w:r>
                <w:rPr>
                  <w:rFonts w:ascii="Arial" w:cs="Arial" w:eastAsia="Arial" w:hAnsi="Arial"/>
                  <w:sz w:val="18"/>
                  <w:szCs w:val="18"/>
                  <w:color w:val="0000FF"/>
                  <w:w w:val="89"/>
                </w:rPr>
                <w:t>Form of Class B Share Warrant</w:t>
              </w:r>
            </w:hyperlink>
          </w:p>
        </w:tc>
        <w:tc>
          <w:tcPr>
            <w:tcW w:w="20" w:type="dxa"/>
            <w:vAlign w:val="bottom"/>
            <w:tcBorders>
              <w:bottom w:val="single" w:sz="8" w:color="0000EE"/>
            </w:tcBorders>
          </w:tcPr>
          <w:p>
            <w:pPr>
              <w:spacing w:after="0"/>
              <w:rPr>
                <w:sz w:val="24"/>
                <w:szCs w:val="24"/>
                <w:color w:val="auto"/>
              </w:rPr>
            </w:pPr>
          </w:p>
        </w:tc>
        <w:tc>
          <w:tcPr>
            <w:tcW w:w="41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0" w:type="dxa"/>
            <w:vAlign w:val="bottom"/>
          </w:tcPr>
          <w:p>
            <w:pPr>
              <w:ind w:left="1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Arial" w:cs="Arial" w:eastAsia="Arial" w:hAnsi="Arial"/>
                <w:sz w:val="18"/>
                <w:szCs w:val="18"/>
                <w:color w:val="0000FF"/>
                <w:w w:val="92"/>
              </w:rPr>
            </w:pPr>
            <w:hyperlink r:id="rId186">
              <w:r>
                <w:rPr>
                  <w:rFonts w:ascii="Arial" w:cs="Arial" w:eastAsia="Arial" w:hAnsi="Arial"/>
                  <w:sz w:val="18"/>
                  <w:szCs w:val="18"/>
                  <w:color w:val="0000FF"/>
                  <w:w w:val="92"/>
                </w:rPr>
                <w:t>Registration Rights Agreement, dated March 1, 2021, by and among the registrant and</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86">
              <w:r>
                <w:rPr>
                  <w:rFonts w:ascii="Arial" w:cs="Arial" w:eastAsia="Arial" w:hAnsi="Arial"/>
                  <w:sz w:val="18"/>
                  <w:szCs w:val="18"/>
                  <w:color w:val="0000FF"/>
                  <w:w w:val="88"/>
                </w:rPr>
                <w:t>the investors named therein</w:t>
              </w:r>
            </w:hyperlink>
          </w:p>
        </w:tc>
        <w:tc>
          <w:tcPr>
            <w:tcW w:w="20" w:type="dxa"/>
            <w:vAlign w:val="bottom"/>
            <w:tcBorders>
              <w:top w:val="single" w:sz="8" w:color="0000FF"/>
              <w:bottom w:val="single" w:sz="8" w:color="0000EE"/>
            </w:tcBorders>
          </w:tcPr>
          <w:p>
            <w:pPr>
              <w:spacing w:after="0"/>
              <w:rPr>
                <w:sz w:val="13"/>
                <w:szCs w:val="13"/>
                <w:color w:val="auto"/>
              </w:rPr>
            </w:pPr>
          </w:p>
        </w:tc>
        <w:tc>
          <w:tcPr>
            <w:tcW w:w="42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1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Arial" w:cs="Arial" w:eastAsia="Arial" w:hAnsi="Arial"/>
                <w:sz w:val="18"/>
                <w:szCs w:val="18"/>
                <w:color w:val="0000FF"/>
                <w:w w:val="93"/>
              </w:rPr>
            </w:pPr>
            <w:hyperlink w:anchor="page69">
              <w:r>
                <w:rPr>
                  <w:rFonts w:ascii="Arial" w:cs="Arial" w:eastAsia="Arial" w:hAnsi="Arial"/>
                  <w:sz w:val="18"/>
                  <w:szCs w:val="18"/>
                  <w:color w:val="0000FF"/>
                  <w:w w:val="93"/>
                </w:rPr>
                <w:t>Certification of Principal Executive Officer Pursuant to Rules 13a-14(a) and 15d-14(a)</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80" w:type="dxa"/>
            <w:vAlign w:val="bottom"/>
            <w:tcBorders>
              <w:top w:val="single" w:sz="8" w:color="0000FF"/>
            </w:tcBorders>
            <w:gridSpan w:val="18"/>
          </w:tcPr>
          <w:p>
            <w:pPr>
              <w:spacing w:after="0" w:line="156" w:lineRule="exact"/>
              <w:rPr>
                <w:rFonts w:ascii="Arial" w:cs="Arial" w:eastAsia="Arial" w:hAnsi="Arial"/>
                <w:sz w:val="18"/>
                <w:szCs w:val="18"/>
                <w:color w:val="0000FF"/>
                <w:w w:val="90"/>
              </w:rPr>
            </w:pPr>
            <w:hyperlink w:anchor="page69">
              <w:r>
                <w:rPr>
                  <w:rFonts w:ascii="Arial" w:cs="Arial" w:eastAsia="Arial" w:hAnsi="Arial"/>
                  <w:sz w:val="18"/>
                  <w:szCs w:val="18"/>
                  <w:color w:val="0000FF"/>
                  <w:w w:val="90"/>
                </w:rPr>
                <w:t>under the Securities Exchange Act of 1934, as Adopted Pursuant to Section 302 of the</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Sarbanes-Oxley Act of 2002</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Borders>
              <w:right w:val="single" w:sz="8" w:color="0000EE"/>
            </w:tcBorders>
            <w:gridSpan w:val="3"/>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ind w:lef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Arial" w:cs="Arial" w:eastAsia="Arial" w:hAnsi="Arial"/>
                <w:sz w:val="18"/>
                <w:szCs w:val="18"/>
                <w:color w:val="0000FF"/>
                <w:w w:val="93"/>
              </w:rPr>
            </w:pPr>
            <w:hyperlink w:anchor="page70">
              <w:r>
                <w:rPr>
                  <w:rFonts w:ascii="Arial" w:cs="Arial" w:eastAsia="Arial" w:hAnsi="Arial"/>
                  <w:sz w:val="18"/>
                  <w:szCs w:val="18"/>
                  <w:color w:val="0000FF"/>
                  <w:w w:val="93"/>
                </w:rPr>
                <w:t>Certification of Principal Accounting and Financial Officer Pursuant to Rules 13a-14(a)</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360" w:type="dxa"/>
            <w:vAlign w:val="bottom"/>
            <w:tcBorders>
              <w:top w:val="single" w:sz="8" w:color="0000FF"/>
            </w:tcBorders>
            <w:gridSpan w:val="19"/>
          </w:tcPr>
          <w:p>
            <w:pPr>
              <w:spacing w:after="0" w:line="156" w:lineRule="exact"/>
              <w:rPr>
                <w:rFonts w:ascii="Arial" w:cs="Arial" w:eastAsia="Arial" w:hAnsi="Arial"/>
                <w:sz w:val="18"/>
                <w:szCs w:val="18"/>
                <w:color w:val="0000FF"/>
                <w:w w:val="96"/>
              </w:rPr>
            </w:pPr>
            <w:hyperlink w:anchor="page70">
              <w:r>
                <w:rPr>
                  <w:rFonts w:ascii="Arial" w:cs="Arial" w:eastAsia="Arial" w:hAnsi="Arial"/>
                  <w:sz w:val="18"/>
                  <w:szCs w:val="18"/>
                  <w:color w:val="0000FF"/>
                  <w:w w:val="96"/>
                </w:rPr>
                <w:t>and 15d-14(a) under the Securities Exchange Act of 1934, as Adopted Pursuant to</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Section 302 of the Sarbanes-Oxley Act of 2002</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Borders>
              <w:right w:val="single" w:sz="8" w:color="0000EE"/>
            </w:tcBorders>
            <w:gridSpan w:val="7"/>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ind w:lef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rFonts w:ascii="Arial" w:cs="Arial" w:eastAsia="Arial" w:hAnsi="Arial"/>
                <w:sz w:val="18"/>
                <w:szCs w:val="18"/>
                <w:color w:val="0000FF"/>
                <w:w w:val="98"/>
              </w:rPr>
            </w:pPr>
            <w:hyperlink w:anchor="page71">
              <w:r>
                <w:rPr>
                  <w:rFonts w:ascii="Arial" w:cs="Arial" w:eastAsia="Arial" w:hAnsi="Arial"/>
                  <w:sz w:val="18"/>
                  <w:szCs w:val="18"/>
                  <w:color w:val="0000FF"/>
                  <w:w w:val="98"/>
                </w:rPr>
                <w:t>Certification of Principal Executive Officer Pursuant to 18 U.S.C. Section 1350, as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Adopted Pursuant to Section 906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04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1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12"/>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Principal Accounting and Financial Officer Pursuant to 18 U.S.C.</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0" w:type="dxa"/>
            <w:vAlign w:val="bottom"/>
            <w:gridSpan w:val="20"/>
          </w:tcPr>
          <w:p>
            <w:pPr>
              <w:spacing w:after="0" w:line="156" w:lineRule="exact"/>
              <w:rPr>
                <w:rFonts w:ascii="Arial" w:cs="Arial" w:eastAsia="Arial" w:hAnsi="Arial"/>
                <w:sz w:val="18"/>
                <w:szCs w:val="18"/>
                <w:color w:val="0000FF"/>
                <w:w w:val="93"/>
              </w:rPr>
            </w:pPr>
            <w:hyperlink w:anchor="page72">
              <w:r>
                <w:rPr>
                  <w:rFonts w:ascii="Arial" w:cs="Arial" w:eastAsia="Arial" w:hAnsi="Arial"/>
                  <w:sz w:val="18"/>
                  <w:szCs w:val="18"/>
                  <w:color w:val="0000FF"/>
                  <w:w w:val="93"/>
                </w:rPr>
                <w:t>Section 1350, as Adopted Pursuant to Section 906 of the Sarbanes-Oxley Act of 2002</w:t>
              </w:r>
            </w:hyperlink>
          </w:p>
        </w:tc>
        <w:tc>
          <w:tcPr>
            <w:tcW w:w="0" w:type="dxa"/>
            <w:vAlign w:val="bottom"/>
          </w:tcPr>
          <w:p>
            <w:pPr>
              <w:spacing w:after="0"/>
              <w:rPr>
                <w:sz w:val="1"/>
                <w:szCs w:val="1"/>
                <w:color w:val="auto"/>
              </w:rPr>
            </w:pPr>
          </w:p>
        </w:tc>
      </w:tr>
      <w:tr>
        <w:trPr>
          <w:trHeight w:val="291"/>
        </w:trPr>
        <w:tc>
          <w:tcPr>
            <w:tcW w:w="80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w:t>
            </w:r>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gridSpan w:val="20"/>
          </w:tcPr>
          <w:p>
            <w:pPr>
              <w:spacing w:after="0" w:line="176" w:lineRule="exact"/>
              <w:rPr>
                <w:sz w:val="20"/>
                <w:szCs w:val="20"/>
                <w:color w:val="auto"/>
              </w:rPr>
            </w:pPr>
            <w:r>
              <w:rPr>
                <w:rFonts w:ascii="Arial" w:cs="Arial" w:eastAsia="Arial" w:hAnsi="Arial"/>
                <w:sz w:val="18"/>
                <w:szCs w:val="18"/>
                <w:color w:val="auto"/>
                <w:w w:val="98"/>
              </w:rPr>
              <w:t>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23"/>
        </w:trPr>
        <w:tc>
          <w:tcPr>
            <w:tcW w:w="80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80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40" w:right="140" w:hanging="1019"/>
        <w:spacing w:after="0" w:line="235"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9512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23399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4"/>
                <w:szCs w:val="1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File No.</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r>
      <w:tr>
        <w:trPr>
          <w:trHeight w:val="344"/>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001-38682</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11/16/2018</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10-Q</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001-38682</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3.2</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11/16/2018</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S-1/A</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333-227237</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9/24/2018</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S-1</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333-227237</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4.5</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9/7/2018</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10-K</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001-38682</w:t>
            </w:r>
          </w:p>
        </w:tc>
        <w:tc>
          <w:tcPr>
            <w:tcW w:w="700" w:type="dxa"/>
            <w:vAlign w:val="bottom"/>
            <w:gridSpan w:val="2"/>
          </w:tcPr>
          <w:p>
            <w:pPr>
              <w:jc w:val="right"/>
              <w:ind w:right="228"/>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3/1/2021</w:t>
            </w:r>
          </w:p>
        </w:tc>
      </w:tr>
    </w:tbl>
    <w:p>
      <w:pPr>
        <w:spacing w:after="0" w:line="5572" w:lineRule="exact"/>
        <w:rPr>
          <w:sz w:val="20"/>
          <w:szCs w:val="20"/>
          <w:color w:val="auto"/>
        </w:rPr>
      </w:pPr>
    </w:p>
    <w:p>
      <w:pPr>
        <w:sectPr>
          <w:pgSz w:w="11900" w:h="16838" w:orient="portrait"/>
          <w:cols w:equalWidth="0" w:num="2">
            <w:col w:w="7440" w:space="120"/>
            <w:col w:w="3680"/>
          </w:cols>
          <w:pgMar w:left="320" w:top="324" w:right="339" w:bottom="1440" w:gutter="0" w:footer="0" w:header="0"/>
        </w:sectPr>
      </w:pPr>
    </w:p>
    <w:p>
      <w:pPr>
        <w:spacing w:after="0" w:line="164" w:lineRule="exact"/>
        <w:rPr>
          <w:sz w:val="20"/>
          <w:szCs w:val="20"/>
          <w:color w:val="auto"/>
        </w:rPr>
      </w:pPr>
    </w:p>
    <w:p>
      <w:pPr>
        <w:ind w:right="60" w:firstLine="8"/>
        <w:spacing w:after="0" w:line="262" w:lineRule="auto"/>
        <w:tabs>
          <w:tab w:leader="none" w:pos="1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67" w:name="page68"/>
    <w:bookmarkEnd w:id="6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KODIAK SCIENCES INC.</w:t>
      </w:r>
    </w:p>
    <w:p>
      <w:pPr>
        <w:spacing w:after="0" w:line="169"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800"/>
        <w:spacing w:after="0" w:line="219" w:lineRule="auto"/>
        <w:rPr>
          <w:sz w:val="20"/>
          <w:szCs w:val="20"/>
          <w:color w:val="auto"/>
        </w:rPr>
      </w:pPr>
      <w:r>
        <w:rPr>
          <w:rFonts w:ascii="Arial" w:cs="Arial" w:eastAsia="Arial" w:hAnsi="Arial"/>
          <w:sz w:val="18"/>
          <w:szCs w:val="18"/>
          <w:b w:val="1"/>
          <w:bCs w:val="1"/>
          <w:color w:val="auto"/>
        </w:rPr>
        <w:t>Victor Perlroth, M.D.</w:t>
      </w:r>
    </w:p>
    <w:p>
      <w:pPr>
        <w:ind w:left="7140"/>
        <w:spacing w:after="0" w:line="203" w:lineRule="auto"/>
        <w:rPr>
          <w:sz w:val="20"/>
          <w:szCs w:val="20"/>
          <w:color w:val="auto"/>
        </w:rPr>
      </w:pPr>
      <w:r>
        <w:rPr>
          <w:rFonts w:ascii="Arial" w:cs="Arial" w:eastAsia="Arial" w:hAnsi="Arial"/>
          <w:sz w:val="18"/>
          <w:szCs w:val="18"/>
          <w:b w:val="1"/>
          <w:bCs w:val="1"/>
          <w:color w:val="auto"/>
        </w:rPr>
        <w:t>Chairman and Chief Executive Officer</w:t>
      </w:r>
    </w:p>
    <w:p>
      <w:pPr>
        <w:spacing w:after="0" w:line="1"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153"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wp:posOffset>
            </wp:positionV>
            <wp:extent cx="33089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8060"/>
        <w:spacing w:after="0" w:line="219" w:lineRule="auto"/>
        <w:rPr>
          <w:sz w:val="20"/>
          <w:szCs w:val="20"/>
          <w:color w:val="auto"/>
        </w:rPr>
      </w:pPr>
      <w:r>
        <w:rPr>
          <w:rFonts w:ascii="Arial" w:cs="Arial" w:eastAsia="Arial" w:hAnsi="Arial"/>
          <w:sz w:val="18"/>
          <w:szCs w:val="18"/>
          <w:b w:val="1"/>
          <w:bCs w:val="1"/>
          <w:color w:val="auto"/>
        </w:rPr>
        <w:t>John Borgeson</w:t>
      </w:r>
    </w:p>
    <w:p>
      <w:pPr>
        <w:ind w:left="772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24" w:right="7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12"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wp:posOffset>
            </wp:positionV>
            <wp:extent cx="33432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7780"/>
        <w:spacing w:after="0" w:line="219" w:lineRule="auto"/>
        <w:rPr>
          <w:sz w:val="20"/>
          <w:szCs w:val="20"/>
          <w:color w:val="auto"/>
        </w:rPr>
      </w:pPr>
      <w:r>
        <w:rPr>
          <w:rFonts w:ascii="Arial" w:cs="Arial" w:eastAsia="Arial" w:hAnsi="Arial"/>
          <w:sz w:val="18"/>
          <w:szCs w:val="18"/>
          <w:b w:val="1"/>
          <w:bCs w:val="1"/>
          <w:color w:val="auto"/>
        </w:rPr>
        <w:t>Victor Perlroth, M.D.</w:t>
      </w:r>
    </w:p>
    <w:p>
      <w:pPr>
        <w:ind w:left="7120"/>
        <w:spacing w:after="0" w:line="203" w:lineRule="auto"/>
        <w:rPr>
          <w:sz w:val="20"/>
          <w:szCs w:val="20"/>
          <w:color w:val="auto"/>
        </w:rPr>
      </w:pPr>
      <w:r>
        <w:rPr>
          <w:rFonts w:ascii="Arial" w:cs="Arial" w:eastAsia="Arial" w:hAnsi="Arial"/>
          <w:sz w:val="18"/>
          <w:szCs w:val="18"/>
          <w:b w:val="1"/>
          <w:bCs w:val="1"/>
          <w:color w:val="auto"/>
        </w:rPr>
        <w:t>Chairman and Chief Executive Officer</w:t>
      </w:r>
    </w:p>
    <w:p>
      <w:pPr>
        <w:spacing w:after="0" w:line="1"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12"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Kodiak Sciences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5640" w:val="left"/>
          <w:tab w:leader="none" w:pos="794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wp:posOffset>
            </wp:positionV>
            <wp:extent cx="33432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8040"/>
        <w:spacing w:after="0" w:line="219" w:lineRule="auto"/>
        <w:rPr>
          <w:sz w:val="20"/>
          <w:szCs w:val="20"/>
          <w:color w:val="auto"/>
        </w:rPr>
      </w:pPr>
      <w:r>
        <w:rPr>
          <w:rFonts w:ascii="Arial" w:cs="Arial" w:eastAsia="Arial" w:hAnsi="Arial"/>
          <w:sz w:val="18"/>
          <w:szCs w:val="18"/>
          <w:b w:val="1"/>
          <w:bCs w:val="1"/>
          <w:color w:val="auto"/>
        </w:rPr>
        <w:t>John Borgeson</w:t>
      </w:r>
    </w:p>
    <w:p>
      <w:pPr>
        <w:ind w:left="772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2022 as filed with the Securities and Exchange Commission on the date hereof (the “Report”), I certify, pursuant to 18 U.S.C. § 1350, as adopted pursuant to § 906 of the Sarbanes-Oxley Act of 2002, to the best of my knowledge, that:</w:t>
      </w:r>
    </w:p>
    <w:p>
      <w:pPr>
        <w:spacing w:after="0" w:line="182"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w:t>
      </w:r>
    </w:p>
    <w:p>
      <w:pPr>
        <w:ind w:left="20"/>
        <w:spacing w:after="0"/>
        <w:tabs>
          <w:tab w:leader="none" w:pos="77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-12065</wp:posOffset>
            </wp:positionV>
            <wp:extent cx="3540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18"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Victor Perlroth, M.D.</w:t>
      </w:r>
    </w:p>
    <w:p>
      <w:pPr>
        <w:ind w:left="6960"/>
        <w:spacing w:after="0" w:line="205" w:lineRule="auto"/>
        <w:rPr>
          <w:sz w:val="20"/>
          <w:szCs w:val="20"/>
          <w:color w:val="auto"/>
        </w:rPr>
      </w:pPr>
      <w:r>
        <w:rPr>
          <w:rFonts w:ascii="Arial" w:cs="Arial" w:eastAsia="Arial" w:hAnsi="Arial"/>
          <w:sz w:val="18"/>
          <w:szCs w:val="18"/>
          <w:b w:val="1"/>
          <w:bCs w:val="1"/>
          <w:color w:val="auto"/>
        </w:rPr>
        <w:t>Chairman and Chief Executive Officer</w:t>
      </w:r>
    </w:p>
    <w:p>
      <w:pPr>
        <w:spacing w:after="0" w:line="1"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(Principal Executive Officer)</w:t>
      </w:r>
    </w:p>
    <w:p>
      <w:pPr>
        <w:spacing w:after="0" w:line="209"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5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connection with the Quarterly Report of Kodiak Sciences Inc. (the “Company”) on Form 10-Q for the period ending March 31, 2022 as filed with the Securities and Exchange Commission on the date hereof (the “Report”), I certify, pursuant to 18 U.S.C. § 1350, as adopted pursuant to § 906 of the Sarbanes-Oxley Act of 2002, to the best of my knowledge, that:</w:t>
      </w:r>
    </w:p>
    <w:p>
      <w:pPr>
        <w:spacing w:after="0" w:line="182"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By:</w:t>
      </w:r>
    </w:p>
    <w:p>
      <w:pPr>
        <w:ind w:left="20"/>
        <w:spacing w:after="0"/>
        <w:tabs>
          <w:tab w:leader="none" w:pos="778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-12065</wp:posOffset>
            </wp:positionV>
            <wp:extent cx="3540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18"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John Borgeson</w:t>
      </w:r>
    </w:p>
    <w:p>
      <w:pPr>
        <w:ind w:left="7560"/>
        <w:spacing w:after="0" w:line="205"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09"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5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1."/>
      <w:numFmt w:val="decimal"/>
      <w:start w:val="6"/>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04"/>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182" Type="http://schemas.openxmlformats.org/officeDocument/2006/relationships/hyperlink" Target="https://www.sec.gov/Archives/edgar/data/1468748/000156459018029743/kod-ex31_303.htm" TargetMode="External"/><Relationship Id="rId183" Type="http://schemas.openxmlformats.org/officeDocument/2006/relationships/hyperlink" Target="https://www.sec.gov/Archives/edgar/data/1468748/000156459018029743/kod-ex32_302.htm" TargetMode="External"/><Relationship Id="rId184" Type="http://schemas.openxmlformats.org/officeDocument/2006/relationships/hyperlink" Target="https://www.sec.gov/Archives/edgar/data/1468748/000119312518280419/d516071dex41.htm" TargetMode="External"/><Relationship Id="rId185" Type="http://schemas.openxmlformats.org/officeDocument/2006/relationships/hyperlink" Target="https://www.sec.gov/Archives/edgar/data/1468748/000119312518269221/d516071dex45.htm" TargetMode="External"/><Relationship Id="rId186" Type="http://schemas.openxmlformats.org/officeDocument/2006/relationships/hyperlink" Target="https://www.sec.gov/Archives/edgar/data/1468748/000156459021009946/kod-ex47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2022-05-10T15:28:33Z</dcterms:created>
  <dcterms:modified xsi:type="dcterms:W3CDTF">2022-05-10T15:28:33Z</dcterms:modified>
</cp:coreProperties>
</file>