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60331.htm"/>
      <w:bookmarkStart w:id="1" w:name="kskod20260331"/>
      <w:bookmarkEnd w:id="0"/>
      <w:bookmarkEnd w:id="1"/>
      <w:r>
        <w:rPr/>
        <w:t> </w:t>
      </w:r>
    </w:p>
    <w:p>
      <w:pPr>
        <w:pStyle w:val="TextBody"/>
        <w:bidi w:val="0"/>
        <w:spacing w:before="40" w:after="283"/>
        <w:jc w:val="center"/>
        <w:rPr>
          <w:rFonts w:ascii="Montserrat;sans-serif" w:hAnsi="Montserrat;sans-serif"/>
          <w:b/>
          <w:color w:val="000000"/>
          <w:sz w:val="29"/>
        </w:rPr>
      </w:pPr>
      <w:r>
        <w:rPr>
          <w:rFonts w:ascii="Montserrat;sans-serif" w:hAnsi="Montserrat;sans-serif"/>
          <w:b/>
          <w:color w:val="000000"/>
          <w:sz w:val="29"/>
        </w:rPr>
        <w:t>UNITED STATES</w:t>
      </w:r>
    </w:p>
    <w:p>
      <w:pPr>
        <w:pStyle w:val="TextBody"/>
        <w:bidi w:val="0"/>
        <w:jc w:val="center"/>
        <w:rPr>
          <w:rFonts w:ascii="Montserrat;sans-serif" w:hAnsi="Montserrat;sans-serif"/>
          <w:b/>
          <w:color w:val="000000"/>
          <w:sz w:val="29"/>
        </w:rPr>
      </w:pPr>
      <w:r>
        <w:rPr>
          <w:rFonts w:ascii="Montserrat;sans-serif" w:hAnsi="Montserrat;sans-serif"/>
          <w:b/>
          <w:color w:val="000000"/>
          <w:sz w:val="29"/>
        </w:rPr>
        <w:t>SECURITIES AND EXCHANGE COMMISSION</w:t>
      </w:r>
    </w:p>
    <w:p>
      <w:pPr>
        <w:pStyle w:val="TextBody"/>
        <w:bidi w:val="0"/>
        <w:jc w:val="center"/>
        <w:rPr>
          <w:rFonts w:ascii="Montserrat;sans-serif" w:hAnsi="Montserrat;sans-serif"/>
          <w:b/>
          <w:color w:val="000000"/>
          <w:sz w:val="22"/>
        </w:rPr>
      </w:pPr>
      <w:r>
        <w:rPr>
          <w:rFonts w:ascii="Montserrat;sans-serif" w:hAnsi="Montserrat;sans-serif"/>
          <w:b/>
          <w:color w:val="000000"/>
          <w:sz w:val="22"/>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Montserrat;sans-serif" w:hAnsi="Montserrat;sans-serif"/>
          <w:b/>
          <w:color w:val="000000"/>
          <w:sz w:val="38"/>
        </w:rPr>
      </w:pPr>
      <w:r>
        <w:rPr>
          <w:rFonts w:ascii="Montserrat;sans-serif" w:hAnsi="Montserrat;sans-serif"/>
          <w:b/>
          <w:color w:val="000000"/>
          <w:sz w:val="38"/>
        </w:rPr>
        <w:t>FORM 10-Q</w:t>
      </w:r>
    </w:p>
    <w:p>
      <w:pPr>
        <w:pStyle w:val="TextBody"/>
        <w:pBdr>
          <w:bottom w:val="single" w:sz="4" w:space="1" w:color="000000"/>
        </w:pBdr>
        <w:bidi w:val="0"/>
        <w:jc w:val="center"/>
        <w:rPr/>
      </w:pPr>
      <w:r>
        <w:rPr/>
        <w:t> </w:t>
      </w:r>
    </w:p>
    <w:p>
      <w:pPr>
        <w:pStyle w:val="TextBody"/>
        <w:bidi w:val="0"/>
        <w:jc w:val="left"/>
        <w:rPr>
          <w:rFonts w:ascii="Montserrat;sans-serif" w:hAnsi="Montserrat;sans-serif"/>
          <w:color w:val="000000"/>
          <w:sz w:val="16"/>
        </w:rPr>
      </w:pPr>
      <w:r>
        <w:rPr>
          <w:rFonts w:ascii="Montserrat;sans-serif" w:hAnsi="Montserrat;sans-serif"/>
          <w:color w:val="000000"/>
          <w:sz w:val="16"/>
        </w:rPr>
        <w:t>(Mark One)</w:t>
      </w:r>
    </w:p>
    <w:p>
      <w:pPr>
        <w:pStyle w:val="TextBody"/>
        <w:bidi w:val="0"/>
        <w:jc w:val="left"/>
        <w:rPr/>
      </w:pPr>
      <w:r>
        <w:rPr>
          <w:color w:val="000000"/>
        </w:rPr>
        <w:t xml:space="preserve">☒ </w:t>
      </w:r>
      <w:r>
        <w:rPr>
          <w:rFonts w:ascii="Montserrat;sans-serif" w:hAnsi="Montserrat;sans-serif"/>
          <w:b/>
          <w:color w:val="000000"/>
          <w:sz w:val="20"/>
        </w:rPr>
        <w:t>QUARTERLY REPORT PURSUANT TO SECTION 13 OR 15(d) OF THE SECURITIES EXCHANGE ACT OF 1934</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For the quarterly period ended March 31, 2026</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or</w:t>
      </w:r>
    </w:p>
    <w:p>
      <w:pPr>
        <w:pStyle w:val="TextBody"/>
        <w:bidi w:val="0"/>
        <w:spacing w:before="40" w:after="283"/>
        <w:jc w:val="left"/>
        <w:rPr/>
      </w:pPr>
      <w:r>
        <w:rPr>
          <w:color w:val="000000"/>
        </w:rPr>
        <w:t xml:space="preserve">☐ </w:t>
      </w:r>
      <w:r>
        <w:rPr>
          <w:rFonts w:ascii="Montserrat;sans-serif" w:hAnsi="Montserrat;sans-serif"/>
          <w:b/>
          <w:color w:val="000000"/>
          <w:sz w:val="20"/>
        </w:rPr>
        <w:t>TRANSITION REPORT PURSUANT TO SECTION 13 OR 15(d) OF THE SECURITIES EXCHANGE ACT OF 1934</w:t>
      </w:r>
    </w:p>
    <w:p>
      <w:pPr>
        <w:pStyle w:val="TextBody"/>
        <w:bidi w:val="0"/>
        <w:spacing w:before="40" w:after="283"/>
        <w:jc w:val="center"/>
        <w:rPr>
          <w:rFonts w:ascii="Montserrat;sans-serif" w:hAnsi="Montserrat;sans-serif"/>
          <w:color w:val="000000"/>
          <w:sz w:val="20"/>
        </w:rPr>
      </w:pPr>
      <w:r>
        <w:rPr>
          <w:rFonts w:ascii="Montserrat;sans-serif" w:hAnsi="Montserrat;sans-serif"/>
          <w:color w:val="000000"/>
          <w:sz w:val="20"/>
        </w:rPr>
        <w:t>For the transition period from __________ to _________</w:t>
      </w:r>
    </w:p>
    <w:p>
      <w:pPr>
        <w:pStyle w:val="TextBody"/>
        <w:bidi w:val="0"/>
        <w:spacing w:before="80" w:after="283"/>
        <w:jc w:val="center"/>
        <w:rPr>
          <w:rFonts w:ascii="Times New Roman" w:hAnsi="Times New Roman"/>
          <w:sz w:val="20"/>
        </w:rPr>
      </w:pPr>
      <w:r>
        <w:rPr>
          <w:rFonts w:ascii="Montserrat;sans-serif" w:hAnsi="Montserrat;sans-serif"/>
          <w:color w:val="000000"/>
          <w:sz w:val="20"/>
        </w:rPr>
        <w:t>Commission File Number:</w:t>
      </w:r>
      <w:r>
        <w:rPr>
          <w:rFonts w:ascii="Times New Roman" w:hAnsi="Times New Roman"/>
          <w:color w:val="000000"/>
          <w:sz w:val="20"/>
        </w:rPr>
        <w:t xml:space="preserve"> </w:t>
      </w:r>
      <w:r>
        <w:rPr>
          <w:rFonts w:ascii="Montserrat;sans-serif" w:hAnsi="Montserrat;sans-serif"/>
          <w:b/>
          <w:color w:val="000000"/>
          <w:sz w:val="20"/>
        </w:rPr>
        <w:t>001-38682</w:t>
      </w:r>
    </w:p>
    <w:p>
      <w:pPr>
        <w:pStyle w:val="TextBody"/>
        <w:pBdr>
          <w:bottom w:val="single" w:sz="4" w:space="1" w:color="000000"/>
        </w:pBdr>
        <w:bidi w:val="0"/>
        <w:jc w:val="center"/>
        <w:rPr/>
      </w:pPr>
      <w:r>
        <w:rPr/>
        <w:t> </w:t>
      </w:r>
    </w:p>
    <w:p>
      <w:pPr>
        <w:pStyle w:val="TextBody"/>
        <w:bidi w:val="0"/>
        <w:spacing w:before="60" w:after="283"/>
        <w:jc w:val="center"/>
        <w:rPr/>
      </w:pPr>
      <w:r>
        <w:rPr/>
        <w:t> </w:t>
      </w:r>
    </w:p>
    <w:p>
      <w:pPr>
        <w:pStyle w:val="TextBody"/>
        <w:bidi w:val="0"/>
        <w:jc w:val="center"/>
        <w:rPr/>
      </w:pPr>
      <w:r>
        <w:rPr/>
        <w:drawing>
          <wp:inline distT="0" distB="0" distL="0" distR="0">
            <wp:extent cx="1647825"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257175"/>
                    </a:xfrm>
                    <a:prstGeom prst="rect">
                      <a:avLst/>
                    </a:prstGeom>
                  </pic:spPr>
                </pic:pic>
              </a:graphicData>
            </a:graphic>
          </wp:inline>
        </w:drawing>
      </w:r>
    </w:p>
    <w:p>
      <w:pPr>
        <w:pStyle w:val="TextBody"/>
        <w:bidi w:val="0"/>
        <w:spacing w:before="60" w:after="283"/>
        <w:jc w:val="center"/>
        <w:rPr>
          <w:rFonts w:ascii="Montserrat;sans-serif" w:hAnsi="Montserrat;sans-serif"/>
          <w:b/>
          <w:color w:val="000000"/>
          <w:sz w:val="52"/>
        </w:rPr>
      </w:pPr>
      <w:r>
        <w:rPr>
          <w:rFonts w:ascii="Montserrat;sans-serif" w:hAnsi="Montserrat;sans-serif"/>
          <w:b/>
          <w:color w:val="000000"/>
          <w:sz w:val="52"/>
        </w:rPr>
        <w:t>KODIAK SCIENCES INC.</w:t>
      </w:r>
    </w:p>
    <w:p>
      <w:pPr>
        <w:pStyle w:val="TextBody"/>
        <w:bidi w:val="0"/>
        <w:jc w:val="center"/>
        <w:rPr>
          <w:rFonts w:ascii="Montserrat;sans-serif" w:hAnsi="Montserrat;sans-serif"/>
          <w:color w:val="000000"/>
          <w:sz w:val="17"/>
        </w:rPr>
      </w:pPr>
      <w:r>
        <w:rPr>
          <w:rFonts w:ascii="Montserrat;sans-serif" w:hAnsi="Montserrat;sans-serif"/>
          <w:color w:val="000000"/>
          <w:sz w:val="17"/>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982" w:type="dxa"/>
        <w:jc w:val="left"/>
        <w:tblInd w:w="0" w:type="dxa"/>
        <w:tblLayout w:type="fixed"/>
        <w:tblCellMar>
          <w:top w:w="28" w:type="dxa"/>
          <w:left w:w="28" w:type="dxa"/>
          <w:bottom w:w="28" w:type="dxa"/>
          <w:right w:w="28" w:type="dxa"/>
        </w:tblCellMar>
      </w:tblPr>
      <w:tblGrid>
        <w:gridCol w:w="3376"/>
        <w:gridCol w:w="1606"/>
      </w:tblGrid>
      <w:tr>
        <w:trPr/>
        <w:tc>
          <w:tcPr>
            <w:tcW w:w="337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Delaware</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27-0476525</w:t>
            </w:r>
          </w:p>
        </w:tc>
      </w:tr>
      <w:tr>
        <w:trPr/>
        <w:tc>
          <w:tcPr>
            <w:tcW w:w="3376" w:type="dxa"/>
            <w:tcBorders/>
            <w:tcMar>
              <w:top w:w="0" w:type="dxa"/>
              <w:left w:w="0" w:type="dxa"/>
              <w:bottom w:w="0" w:type="dxa"/>
              <w:right w:w="0" w:type="dxa"/>
            </w:tcMar>
            <w:vAlign w:val="center"/>
          </w:tcPr>
          <w:p>
            <w:pPr>
              <w:pStyle w:val="TableContents"/>
              <w:bidi w:val="0"/>
              <w:jc w:val="center"/>
              <w:rPr>
                <w:rFonts w:ascii="Montserrat;sans-serif" w:hAnsi="Montserrat;sans-serif"/>
                <w:color w:val="000000"/>
                <w:sz w:val="16"/>
              </w:rPr>
            </w:pPr>
            <w:r>
              <w:rPr>
                <w:rFonts w:ascii="Montserrat;sans-serif" w:hAnsi="Montserrat;sans-serif"/>
                <w:color w:val="000000"/>
                <w:sz w:val="16"/>
              </w:rPr>
              <w:t>(State or other jurisdiction of</w:t>
            </w:r>
          </w:p>
          <w:p>
            <w:pPr>
              <w:pStyle w:val="TableContents"/>
              <w:bidi w:val="0"/>
              <w:spacing w:before="0" w:after="15"/>
              <w:jc w:val="center"/>
              <w:rPr>
                <w:rFonts w:ascii="Montserrat;sans-serif" w:hAnsi="Montserrat;sans-serif"/>
                <w:color w:val="000000"/>
                <w:sz w:val="16"/>
              </w:rPr>
            </w:pPr>
            <w:r>
              <w:rPr>
                <w:rFonts w:ascii="Montserrat;sans-serif" w:hAnsi="Montserrat;sans-serif"/>
                <w:color w:val="000000"/>
                <w:sz w:val="16"/>
              </w:rPr>
              <w:t>incorporation or organization)</w:t>
            </w:r>
          </w:p>
        </w:tc>
        <w:tc>
          <w:tcPr>
            <w:tcW w:w="1606" w:type="dxa"/>
            <w:tcBorders/>
            <w:tcMar>
              <w:top w:w="0" w:type="dxa"/>
              <w:left w:w="0" w:type="dxa"/>
              <w:bottom w:w="0" w:type="dxa"/>
              <w:right w:w="0" w:type="dxa"/>
            </w:tcMar>
            <w:vAlign w:val="center"/>
          </w:tcPr>
          <w:p>
            <w:pPr>
              <w:pStyle w:val="TableContents"/>
              <w:bidi w:val="0"/>
              <w:jc w:val="center"/>
              <w:rPr>
                <w:rFonts w:ascii="Montserrat;sans-serif" w:hAnsi="Montserrat;sans-serif"/>
                <w:color w:val="000000"/>
                <w:sz w:val="16"/>
              </w:rPr>
            </w:pPr>
            <w:r>
              <w:rPr>
                <w:rFonts w:ascii="Montserrat;sans-serif" w:hAnsi="Montserrat;sans-serif"/>
                <w:color w:val="000000"/>
                <w:sz w:val="16"/>
              </w:rPr>
              <w:t>(I.R.S. Employer</w:t>
            </w:r>
          </w:p>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Identification No.)</w:t>
            </w:r>
          </w:p>
        </w:tc>
      </w:tr>
      <w:tr>
        <w:trPr/>
        <w:tc>
          <w:tcPr>
            <w:tcW w:w="3376" w:type="dxa"/>
            <w:tcBorders/>
            <w:tcMar>
              <w:top w:w="0" w:type="dxa"/>
              <w:left w:w="0" w:type="dxa"/>
              <w:bottom w:w="0" w:type="dxa"/>
              <w:right w:w="0" w:type="dxa"/>
            </w:tcMar>
            <w:vAlign w:val="center"/>
          </w:tcPr>
          <w:p>
            <w:pPr>
              <w:pStyle w:val="TableContents"/>
              <w:bidi w:val="0"/>
              <w:spacing w:before="40" w:after="283"/>
              <w:jc w:val="center"/>
              <w:rPr>
                <w:rFonts w:ascii="Montserrat;sans-serif" w:hAnsi="Montserrat;sans-serif"/>
                <w:b/>
                <w:color w:val="000000"/>
                <w:sz w:val="19"/>
              </w:rPr>
            </w:pPr>
            <w:r>
              <w:rPr>
                <w:rFonts w:ascii="Montserrat;sans-serif" w:hAnsi="Montserrat;sans-serif"/>
                <w:b/>
                <w:color w:val="000000"/>
                <w:sz w:val="19"/>
              </w:rPr>
              <w:t>1250 Page Mill Road</w:t>
            </w:r>
          </w:p>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Palo Alto, CA</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9"/>
              </w:rPr>
            </w:pPr>
            <w:r>
              <w:rPr>
                <w:rFonts w:ascii="Montserrat;sans-serif" w:hAnsi="Montserrat;sans-serif"/>
                <w:b/>
                <w:color w:val="000000"/>
                <w:sz w:val="19"/>
              </w:rPr>
              <w:t>94304</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(Address of principal executive offices)</w:t>
            </w:r>
          </w:p>
        </w:tc>
        <w:tc>
          <w:tcPr>
            <w:tcW w:w="1606"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6"/>
              </w:rPr>
            </w:pPr>
            <w:r>
              <w:rPr>
                <w:rFonts w:ascii="Montserrat;sans-serif" w:hAnsi="Montserrat;sans-serif"/>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Montserrat;sans-serif" w:hAnsi="Montserrat;sans-serif"/>
          <w:color w:val="000000"/>
          <w:sz w:val="19"/>
        </w:rPr>
        <w:t>Registrant’s telephone number, including area code:</w:t>
      </w:r>
      <w:r>
        <w:rPr>
          <w:rFonts w:ascii="Times New Roman" w:hAnsi="Times New Roman"/>
          <w:color w:val="000000"/>
          <w:sz w:val="20"/>
        </w:rPr>
        <w:t xml:space="preserve"> </w:t>
      </w:r>
      <w:r>
        <w:rPr>
          <w:rFonts w:ascii="Montserrat;sans-serif" w:hAnsi="Montserrat;sans-serif"/>
          <w:b/>
          <w:color w:val="000000"/>
          <w:sz w:val="19"/>
        </w:rPr>
        <w:t>(650) 281-0850</w:t>
      </w:r>
    </w:p>
    <w:p>
      <w:pPr>
        <w:pStyle w:val="TextBody"/>
        <w:pBdr>
          <w:bottom w:val="single" w:sz="4" w:space="1" w:color="000000"/>
        </w:pBdr>
        <w:bidi w:val="0"/>
        <w:jc w:val="center"/>
        <w:rPr/>
      </w:pPr>
      <w:r>
        <w:rPr/>
        <w:t> </w:t>
      </w:r>
    </w:p>
    <w:p>
      <w:pPr>
        <w:pStyle w:val="TextBody"/>
        <w:bidi w:val="0"/>
        <w:spacing w:before="60" w:after="283"/>
        <w:jc w:val="left"/>
        <w:rPr>
          <w:rFonts w:ascii="Montserrat;sans-serif" w:hAnsi="Montserrat;sans-serif"/>
          <w:color w:val="000000"/>
          <w:sz w:val="17"/>
        </w:rPr>
      </w:pPr>
      <w:r>
        <w:rPr>
          <w:rFonts w:ascii="Montserrat;sans-serif" w:hAnsi="Montserrat;sans-serif"/>
          <w:color w:val="000000"/>
          <w:sz w:val="17"/>
        </w:rPr>
        <w:t>Securities registered pursuant to Section 12(b) of the Act:</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3316"/>
        <w:gridCol w:w="1636"/>
        <w:gridCol w:w="3871"/>
      </w:tblGrid>
      <w:tr>
        <w:trPr/>
        <w:tc>
          <w:tcPr>
            <w:tcW w:w="331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31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Title of each class</w:t>
            </w:r>
          </w:p>
        </w:tc>
        <w:tc>
          <w:tcPr>
            <w:tcW w:w="16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Trading Symbol(s)</w:t>
            </w:r>
          </w:p>
        </w:tc>
        <w:tc>
          <w:tcPr>
            <w:tcW w:w="38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283"/>
              <w:jc w:val="center"/>
              <w:rPr>
                <w:rFonts w:ascii="Montserrat;sans-serif" w:hAnsi="Montserrat;sans-serif"/>
                <w:color w:val="000000"/>
                <w:sz w:val="17"/>
              </w:rPr>
            </w:pPr>
            <w:r>
              <w:rPr>
                <w:rFonts w:ascii="Montserrat;sans-serif" w:hAnsi="Montserrat;sans-serif"/>
                <w:color w:val="000000"/>
                <w:sz w:val="17"/>
              </w:rPr>
              <w:t>Name of each exchange on which registered</w:t>
            </w:r>
          </w:p>
        </w:tc>
      </w:tr>
      <w:tr>
        <w:trPr/>
        <w:tc>
          <w:tcPr>
            <w:tcW w:w="331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Common stock, par value $0.0001</w:t>
            </w:r>
          </w:p>
        </w:tc>
        <w:tc>
          <w:tcPr>
            <w:tcW w:w="1636"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KOD</w:t>
            </w:r>
          </w:p>
        </w:tc>
        <w:tc>
          <w:tcPr>
            <w:tcW w:w="3871" w:type="dxa"/>
            <w:tcBorders>
              <w:bottom w:val="single" w:sz="4" w:space="0" w:color="000000"/>
              <w:right w:val="single" w:sz="4" w:space="0" w:color="000000"/>
            </w:tcBorders>
            <w:tcMar>
              <w:top w:w="0" w:type="dxa"/>
              <w:left w:w="0" w:type="dxa"/>
            </w:tcMar>
            <w:vAlign w:val="center"/>
          </w:tcPr>
          <w:p>
            <w:pPr>
              <w:pStyle w:val="TableContents"/>
              <w:bidi w:val="0"/>
              <w:spacing w:before="80" w:after="283"/>
              <w:jc w:val="center"/>
              <w:rPr>
                <w:rFonts w:ascii="Montserrat;sans-serif" w:hAnsi="Montserrat;sans-serif"/>
                <w:b/>
                <w:color w:val="000000"/>
                <w:sz w:val="17"/>
              </w:rPr>
            </w:pPr>
            <w:r>
              <w:rPr>
                <w:rFonts w:ascii="Montserrat;sans-serif" w:hAnsi="Montserrat;sans-serif"/>
                <w:b/>
                <w:color w:val="000000"/>
                <w:sz w:val="17"/>
              </w:rPr>
              <w:t>The Nasdaq Stock Market LLC</w:t>
            </w:r>
          </w:p>
        </w:tc>
      </w:tr>
    </w:tbl>
    <w:p>
      <w:pPr>
        <w:pStyle w:val="TextBody"/>
        <w:bidi w:val="0"/>
        <w:jc w:val="center"/>
        <w:rPr/>
      </w:pPr>
      <w:r>
        <w:rPr/>
        <w:t> </w:t>
      </w:r>
    </w:p>
    <w:p>
      <w:pPr>
        <w:pStyle w:val="TextBody"/>
        <w:bidi w:val="0"/>
        <w:spacing w:before="0" w:after="120"/>
        <w:jc w:val="left"/>
        <w:rPr>
          <w:rFonts w:ascii="Times New Roman" w:hAnsi="Times New Roman"/>
          <w:sz w:val="20"/>
        </w:rPr>
      </w:pPr>
      <w:r>
        <w:rPr>
          <w:rFonts w:ascii="Montserrat;sans-serif" w:hAnsi="Montserrat;sans-serif"/>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Montserrat;sans-serif" w:hAnsi="Montserrat;sans-serif"/>
          <w:color w:val="000000"/>
          <w:sz w:val="16"/>
        </w:rPr>
        <w:t>No ☐</w:t>
      </w:r>
    </w:p>
    <w:p>
      <w:pPr>
        <w:pStyle w:val="TextBody"/>
        <w:bidi w:val="0"/>
        <w:spacing w:before="0" w:after="120"/>
        <w:jc w:val="left"/>
        <w:rPr>
          <w:rFonts w:ascii="Times New Roman" w:hAnsi="Times New Roman"/>
          <w:sz w:val="20"/>
        </w:rPr>
      </w:pPr>
      <w:r>
        <w:rPr>
          <w:rFonts w:ascii="Montserrat;sans-serif" w:hAnsi="Montserrat;sans-serif"/>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Montserrat;sans-serif" w:hAnsi="Montserrat;sans-serif"/>
          <w:color w:val="000000"/>
          <w:sz w:val="16"/>
        </w:rPr>
        <w:t>No ☐</w:t>
      </w:r>
    </w:p>
    <w:p>
      <w:pPr>
        <w:pStyle w:val="TextBody"/>
        <w:bidi w:val="0"/>
        <w:spacing w:before="0" w:after="100"/>
        <w:jc w:val="both"/>
        <w:rPr>
          <w:rFonts w:ascii="Montserrat;sans-serif" w:hAnsi="Montserrat;sans-serif"/>
          <w:color w:val="000000"/>
          <w:sz w:val="16"/>
        </w:rPr>
      </w:pPr>
      <w:r>
        <w:rPr>
          <w:rFonts w:ascii="Montserrat;sans-serif" w:hAnsi="Montserrat;sans-serif"/>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9" w:type="dxa"/>
        <w:jc w:val="left"/>
        <w:tblInd w:w="0" w:type="dxa"/>
        <w:tblLayout w:type="fixed"/>
        <w:tblCellMar>
          <w:top w:w="28" w:type="dxa"/>
          <w:left w:w="28" w:type="dxa"/>
          <w:bottom w:w="28" w:type="dxa"/>
          <w:right w:w="28" w:type="dxa"/>
        </w:tblCellMar>
      </w:tblPr>
      <w:tblGrid>
        <w:gridCol w:w="2011"/>
        <w:gridCol w:w="316"/>
        <w:gridCol w:w="2401"/>
        <w:gridCol w:w="361"/>
      </w:tblGrid>
      <w:tr>
        <w:trPr/>
        <w:tc>
          <w:tcPr>
            <w:tcW w:w="20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0" w:after="120"/>
        <w:jc w:val="left"/>
        <w:rPr>
          <w:rFonts w:ascii="Montserrat;sans-serif" w:hAnsi="Montserrat;sans-serif"/>
          <w:color w:val="000000"/>
          <w:sz w:val="16"/>
        </w:rPr>
      </w:pPr>
      <w:r>
        <w:rPr>
          <w:rFonts w:ascii="Montserrat;sans-serif" w:hAnsi="Montserrat;sans-serif"/>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sz w:val="20"/>
        </w:rPr>
      </w:pPr>
      <w:r>
        <w:rPr>
          <w:rFonts w:ascii="Montserrat;sans-serif" w:hAnsi="Montserrat;sans-serif"/>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0" w:after="80"/>
        <w:jc w:val="left"/>
        <w:rPr>
          <w:rFonts w:ascii="Times New Roman" w:hAnsi="Times New Roman"/>
          <w:sz w:val="20"/>
        </w:rPr>
      </w:pPr>
      <w:r>
        <w:rPr>
          <w:rFonts w:ascii="Montserrat;sans-serif" w:hAnsi="Montserrat;sans-serif"/>
          <w:color w:val="000000"/>
          <w:sz w:val="16"/>
        </w:rPr>
        <w:t>As of April 30, 2026, the registrant had 62,578,441</w:t>
      </w:r>
      <w:r>
        <w:rPr>
          <w:rFonts w:ascii="Times New Roman" w:hAnsi="Times New Roman"/>
          <w:color w:val="000000"/>
          <w:sz w:val="20"/>
        </w:rPr>
        <w:t xml:space="preserve"> </w:t>
      </w:r>
      <w:r>
        <w:rPr>
          <w:rFonts w:ascii="Montserrat;sans-serif" w:hAnsi="Montserrat;sans-serif"/>
          <w:color w:val="000000"/>
          <w:sz w:val="16"/>
        </w:rPr>
        <w:t>shares of common stock outstanding.</w:t>
      </w:r>
    </w:p>
    <w:p>
      <w:pPr>
        <w:pStyle w:val="TextBody"/>
        <w:pBdr>
          <w:bottom w:val="double" w:sz="4" w:space="1" w:color="000000"/>
        </w:pBdr>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SPECIAL NOTE REGARDING FORWARD-LOOKING STATEMENTS</w:t>
      </w:r>
    </w:p>
    <w:p>
      <w:pPr>
        <w:pStyle w:val="TextBody"/>
        <w:bidi w:val="0"/>
        <w:spacing w:before="120" w:after="283"/>
        <w:jc w:val="left"/>
        <w:rPr>
          <w:rFonts w:ascii="Times New Roman" w:hAnsi="Times New Roman"/>
          <w:sz w:val="20"/>
        </w:rPr>
      </w:pPr>
      <w:r>
        <w:rPr>
          <w:rFonts w:ascii="Montserrat;sans-serif" w:hAnsi="Montserrat;sans-serif"/>
          <w:color w:val="000000"/>
          <w:sz w:val="18"/>
        </w:rPr>
        <w:t>This Quarterly Report on Form 10-Q contains “forward-looking statements” within the meaning of Section 21E of the Securities Exchange Act of 1934, or Exchange Act. We have based these forward-looking statements largely on our current expectations about future events. Forward-looking statements are not guarantees of future performance or results. Forward-looking statements are based on information available at the time those statements are made and are subject to risks and uncertainties that could cause actual performance or results to differ materially from those in the forward-looking statements.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and are based on assumptions and subject to risks and uncertainties, including those set forth in “Part II, Item 1A — Risk Factors”.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progress, results and costs of developing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expectations regarding enhancements and benefits of new formulations of tarcocimab, KSI-501, KSI-101 or other Antibody Biopolymer Conjugate, or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timing or likelihood of regulatory filings and approvals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plans and ability to establish sales, marketing and distribution infrastructure to commercialize any product candidates for which we obtain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uncertainties regarding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of protection we are able to establish and maintain for intellectual property rights covering our product candidates and technology;</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financial performance;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aspirational goals and objectives related to our human capital resources and workforce objectives, including our ability to attract and retain key managerial, scientific and medical personnel.</w:t>
      </w:r>
    </w:p>
    <w:p>
      <w:pPr>
        <w:pStyle w:val="TextBody"/>
        <w:bidi w:val="0"/>
        <w:spacing w:before="120" w:after="283"/>
        <w:jc w:val="left"/>
        <w:rPr>
          <w:rFonts w:ascii="Times New Roman" w:hAnsi="Times New Roman"/>
          <w:sz w:val="20"/>
        </w:rPr>
      </w:pPr>
      <w:r>
        <w:rPr>
          <w:rFonts w:ascii="Montserrat;sans-serif" w:hAnsi="Montserrat;sans-serif"/>
          <w:color w:val="000000"/>
          <w:sz w:val="18"/>
        </w:rPr>
        <w:t>All forward-looking statements are based on information available to us on the date of this Quarterly Report and we will not update any of the forward-looking statements after the date of this Quarterly Report, except as required by law. Our actual results could differ materially from those discussed in this Quarterly Report. The forward-looking statements contained in this Quarterly Report,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titled “Part II, Item 1A — Risk Factors”.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Montserrat;sans-serif" w:hAnsi="Montserrat;sans-serif"/>
          <w:i/>
          <w:color w:val="000000"/>
          <w:sz w:val="18"/>
        </w:rPr>
        <w:t>Kodiak</w:t>
      </w:r>
      <w:r>
        <w:rPr>
          <w:rFonts w:ascii="Montserrat;sans-serif" w:hAnsi="Montserrat;sans-serif"/>
          <w:i/>
          <w:color w:val="000000"/>
          <w:sz w:val="12"/>
        </w:rPr>
        <w:t>®</w:t>
      </w:r>
      <w:r>
        <w:rPr>
          <w:rFonts w:ascii="Montserrat;sans-serif" w:hAnsi="Montserrat;sans-serif"/>
          <w:i/>
          <w:color w:val="000000"/>
          <w:sz w:val="18"/>
        </w:rPr>
        <w:t>, Kodiak Sciences</w:t>
      </w:r>
      <w:r>
        <w:rPr>
          <w:rFonts w:ascii="Montserrat;sans-serif" w:hAnsi="Montserrat;sans-serif"/>
          <w:i/>
          <w:color w:val="000000"/>
          <w:sz w:val="12"/>
        </w:rPr>
        <w:t>®</w:t>
      </w:r>
      <w:r>
        <w:rPr>
          <w:rFonts w:ascii="Montserrat;sans-serif" w:hAnsi="Montserrat;sans-serif"/>
          <w:i/>
          <w:color w:val="000000"/>
          <w:sz w:val="18"/>
        </w:rPr>
        <w:t>, ABC</w:t>
      </w:r>
      <w:r>
        <w:rPr>
          <w:rFonts w:ascii="Montserrat;sans-serif" w:hAnsi="Montserrat;sans-serif"/>
          <w:i/>
          <w:color w:val="000000"/>
          <w:sz w:val="12"/>
        </w:rPr>
        <w:t>®</w:t>
      </w:r>
      <w:r>
        <w:rPr>
          <w:rFonts w:ascii="Montserrat;sans-serif" w:hAnsi="Montserrat;sans-serif"/>
          <w:i/>
          <w:color w:val="000000"/>
          <w:sz w:val="18"/>
        </w:rPr>
        <w:t>, ABC Platform</w:t>
      </w:r>
      <w:r>
        <w:rPr>
          <w:rFonts w:ascii="Montserrat;sans-serif" w:hAnsi="Montserrat;sans-serif"/>
          <w:i/>
          <w:color w:val="000000"/>
          <w:sz w:val="12"/>
        </w:rPr>
        <w:t></w:t>
      </w:r>
      <w:r>
        <w:rPr>
          <w:rFonts w:ascii="Montserrat;sans-serif" w:hAnsi="Montserrat;sans-serif"/>
          <w:i/>
          <w:color w:val="000000"/>
          <w:sz w:val="18"/>
        </w:rPr>
        <w:t>, ABCD, Zenkuda, VETi and the Kodiak logo are registered trademarks or trademarks of Kodiak Sciences Inc. in various global jurisdictions.</w:t>
      </w:r>
    </w:p>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SELECTED RISKS AFFECTING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are in the clinical stage of drug development and have a limited operating history and no products approved for commercial sale, which may make it difficult to evaluate our current business and predict our future success and viability.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have incurred significant net losses in each period since our inception and anticipate that we will continue to incur significant and increasing net losses for the foreseeable future.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Our financial condition raises substantial doubt about our ability to continue as a going concern.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If we fail to obtain additional financing, we may be unable to complete the development and, if approved, commercialization of our product candidates.</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The failure of pivotal studies to meet their primary efficacy endpoints may lead us to pause, change or discontinue development of product candidates based on our ABC Platform.</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plans for the development of tarcocimab, KSI-501 or KSI-101 may be unsuccessful.</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may encounter substantial delays in our clinical trials, or may not be able to conduct or complete our clinical trials on the timelines we expect, if at all.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80" w:after="283"/>
        <w:jc w:val="left"/>
        <w:rPr>
          <w:color w:val="000000"/>
        </w:rPr>
      </w:pPr>
      <w:r>
        <w:rPr>
          <w:color w:val="000000"/>
        </w:rPr>
        <w:t>•</w:t>
      </w:r>
    </w:p>
    <w:p>
      <w:pPr>
        <w:pStyle w:val="TextBody"/>
        <w:bidi w:val="0"/>
        <w:spacing w:before="80" w:after="283"/>
        <w:jc w:val="left"/>
        <w:rPr>
          <w:rFonts w:ascii="Montserrat;sans-serif" w:hAnsi="Montserrat;sans-serif"/>
          <w:color w:val="000000"/>
          <w:sz w:val="18"/>
        </w:rPr>
      </w:pPr>
      <w:r>
        <w:rPr>
          <w:rFonts w:ascii="Montserrat;sans-serif" w:hAnsi="Montserrat;sans-serif"/>
          <w:color w:val="000000"/>
          <w:sz w:val="18"/>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FORM 10-Q</w:t>
      </w:r>
    </w:p>
    <w:p>
      <w:pPr>
        <w:pStyle w:val="TextBody"/>
        <w:bidi w:val="0"/>
        <w:jc w:val="center"/>
        <w:rPr>
          <w:rFonts w:ascii="Montserrat;sans-serif" w:hAnsi="Montserrat;sans-serif"/>
          <w:b/>
          <w:color w:val="000000"/>
          <w:sz w:val="18"/>
        </w:rPr>
      </w:pPr>
      <w:r>
        <w:rPr>
          <w:rFonts w:ascii="Montserrat;sans-serif" w:hAnsi="Montserrat;sans-serif"/>
          <w:b/>
          <w:color w:val="000000"/>
          <w:sz w:val="18"/>
        </w:rPr>
        <w:t>For the Quarterly Period Ended March 31, 2026</w:t>
      </w:r>
    </w:p>
    <w:p>
      <w:pPr>
        <w:pStyle w:val="TextBody"/>
        <w:bidi w:val="0"/>
        <w:jc w:val="center"/>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TABLE OF CONTENTS</w:t>
      </w:r>
    </w:p>
    <w:p>
      <w:pPr>
        <w:pStyle w:val="TextBody"/>
        <w:bidi w:val="0"/>
        <w:jc w:val="left"/>
        <w:rPr/>
      </w:pPr>
      <w:r>
        <w:rPr/>
        <w:t> </w:t>
      </w:r>
    </w:p>
    <w:tbl>
      <w:tblPr>
        <w:tblW w:w="9558" w:type="dxa"/>
        <w:jc w:val="left"/>
        <w:tblInd w:w="0" w:type="dxa"/>
        <w:tblLayout w:type="fixed"/>
        <w:tblCellMar>
          <w:top w:w="28" w:type="dxa"/>
          <w:left w:w="28" w:type="dxa"/>
          <w:bottom w:w="28" w:type="dxa"/>
          <w:right w:w="28" w:type="dxa"/>
        </w:tblCellMar>
      </w:tblPr>
      <w:tblGrid>
        <w:gridCol w:w="901"/>
        <w:gridCol w:w="7996"/>
        <w:gridCol w:w="661"/>
      </w:tblGrid>
      <w:tr>
        <w:trPr/>
        <w:tc>
          <w:tcPr>
            <w:tcW w:w="901"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95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Montserrat;sans-serif" w:hAnsi="Montserrat;sans-serif"/>
                  <w:color w:val="0000FF"/>
                  <w:sz w:val="18"/>
                  <w:u w:val="single"/>
                </w:rPr>
                <w:t>PART I — FINANCIAL INFORMATION</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Montserrat;sans-serif" w:hAnsi="Montserrat;sans-serif"/>
                  <w:color w:val="0000FF"/>
                  <w:sz w:val="18"/>
                  <w:u w:val="single"/>
                </w:rPr>
                <w:t>Financial Statements (Unaudited)</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1</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Montserrat;sans-serif" w:hAnsi="Montserrat;sans-serif"/>
                  <w:color w:val="0000FF"/>
                  <w:sz w:val="18"/>
                  <w:u w:val="single"/>
                </w:rPr>
                <w:t>Condensed Consolidated Balance Sheets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1</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Montserrat;sans-serif" w:hAnsi="Montserrat;sans-serif"/>
                  <w:color w:val="0000FF"/>
                  <w:sz w:val="18"/>
                  <w:u w:val="single"/>
                </w:rPr>
                <w:t>Condensed Consolidated Statements of Operations and Comprehensive Loss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2</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stockh">
              <w:r>
                <w:rPr>
                  <w:rStyle w:val="InternetLink"/>
                  <w:rFonts w:ascii="Montserrat;sans-serif" w:hAnsi="Montserrat;sans-serif"/>
                  <w:color w:val="0000FF"/>
                  <w:sz w:val="18"/>
                  <w:u w:val="single"/>
                </w:rPr>
                <w:t>Condensed Consolidated Statements of Stockholders’ Equity</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Montserrat;sans-serif" w:hAnsi="Montserrat;sans-serif"/>
                  <w:color w:val="0000FF"/>
                  <w:sz w:val="18"/>
                  <w:u w:val="single"/>
                </w:rPr>
                <w:t>Condensed Consolidated Statements of Cash Flows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Montserrat;sans-serif" w:hAnsi="Montserrat;sans-serif"/>
                <w:color w:val="000000"/>
                <w:sz w:val="18"/>
              </w:rPr>
            </w:pPr>
            <w:r>
              <w:rPr>
                <w:rFonts w:ascii="Montserrat;sans-serif" w:hAnsi="Montserrat;sans-serif"/>
                <w:color w:val="000000"/>
                <w:sz w:val="18"/>
              </w:rPr>
              <w:t>4</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99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notes_to_unaudited_condensed_consolidate">
              <w:r>
                <w:rPr>
                  <w:rStyle w:val="InternetLink"/>
                  <w:rFonts w:ascii="Montserrat;sans-serif" w:hAnsi="Montserrat;sans-serif"/>
                  <w:color w:val="0000FF"/>
                  <w:sz w:val="18"/>
                  <w:u w:val="single"/>
                </w:rPr>
                <w:t>Notes to Unaudited Condensed Consolidated Financial Statements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2.</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Montserrat;sans-serif" w:hAnsi="Montserrat;sans-serif"/>
                  <w:color w:val="0000FF"/>
                  <w:sz w:val="18"/>
                  <w:u w:val="single"/>
                </w:rPr>
                <w:t>Management’s Discussion and Analysis of Financial Condition and Results of Operations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12</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3.</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Montserrat;sans-serif" w:hAnsi="Montserrat;sans-serif"/>
                  <w:color w:val="0000FF"/>
                  <w:sz w:val="18"/>
                  <w:u w:val="single"/>
                </w:rPr>
                <w:t>Quantitative and Qualitative Disclosures About Market Risk</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20</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4.</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Montserrat;sans-serif" w:hAnsi="Montserrat;sans-serif"/>
                  <w:color w:val="0000FF"/>
                  <w:sz w:val="18"/>
                  <w:u w:val="single"/>
                </w:rPr>
                <w:t>Controls and Procedures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20</w:t>
            </w:r>
          </w:p>
        </w:tc>
      </w:tr>
      <w:tr>
        <w:trPr/>
        <w:tc>
          <w:tcPr>
            <w:tcW w:w="95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Montserrat;sans-serif" w:hAnsi="Montserrat;sans-serif"/>
                  <w:color w:val="0000FF"/>
                  <w:sz w:val="18"/>
                  <w:u w:val="single"/>
                </w:rPr>
                <w:t>PART II — OTHER INFORMATION</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Montserrat;sans-serif" w:hAnsi="Montserrat;sans-serif"/>
                  <w:color w:val="0000FF"/>
                  <w:sz w:val="18"/>
                  <w:u w:val="single"/>
                </w:rPr>
                <w:t>Legal Proceedings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21</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1A.</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Montserrat;sans-serif" w:hAnsi="Montserrat;sans-serif"/>
                  <w:color w:val="0000FF"/>
                  <w:sz w:val="18"/>
                  <w:u w:val="single"/>
                </w:rPr>
                <w:t>Risk Factors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21</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2.</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Montserrat;sans-serif" w:hAnsi="Montserrat;sans-serif"/>
                  <w:color w:val="0000FF"/>
                  <w:sz w:val="18"/>
                  <w:u w:val="single"/>
                </w:rPr>
                <w:t>Unregistered Sales of Equity Securities and Use of Proceeds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65</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3.</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Montserrat;sans-serif" w:hAnsi="Montserrat;sans-serif"/>
                  <w:color w:val="0000FF"/>
                  <w:sz w:val="18"/>
                  <w:u w:val="single"/>
                </w:rPr>
                <w:t>Defaults Upon Senior Securities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65</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4.</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Montserrat;sans-serif" w:hAnsi="Montserrat;sans-serif"/>
                  <w:color w:val="0000FF"/>
                  <w:sz w:val="18"/>
                  <w:u w:val="single"/>
                </w:rPr>
                <w:t>Mine Safety Disclosures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65</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5.</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Montserrat;sans-serif" w:hAnsi="Montserrat;sans-serif"/>
                  <w:color w:val="0000FF"/>
                  <w:sz w:val="18"/>
                  <w:u w:val="single"/>
                </w:rPr>
                <w:t>Other Information</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65</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Item 6.</w:t>
            </w:r>
          </w:p>
        </w:tc>
        <w:tc>
          <w:tcPr>
            <w:tcW w:w="799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Montserrat;sans-serif" w:hAnsi="Montserrat;sans-serif"/>
                  <w:color w:val="0000FF"/>
                  <w:sz w:val="18"/>
                  <w:u w:val="single"/>
                </w:rPr>
                <w:t>Exhibits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66</w:t>
            </w:r>
          </w:p>
        </w:tc>
      </w:tr>
      <w:tr>
        <w:trPr/>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Montserrat;sans-serif" w:hAnsi="Montserrat;sans-serif"/>
                  <w:color w:val="0000FF"/>
                  <w:sz w:val="18"/>
                  <w:u w:val="single"/>
                </w:rPr>
                <w:t>Signatures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67</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bookmarkStart w:id="2" w:name="part_ifinancial_information"/>
      <w:bookmarkEnd w:id="2"/>
      <w:r>
        <w:rPr>
          <w:rFonts w:ascii="Montserrat;sans-serif" w:hAnsi="Montserrat;sans-serif"/>
          <w:b/>
          <w:color w:val="000000"/>
          <w:sz w:val="18"/>
        </w:rPr>
        <w:t>PART I — FINANCIAL INFORMATION</w:t>
      </w:r>
    </w:p>
    <w:p>
      <w:pPr>
        <w:pStyle w:val="TextBody"/>
        <w:bidi w:val="0"/>
        <w:spacing w:before="240" w:after="283"/>
        <w:jc w:val="left"/>
        <w:rPr>
          <w:rFonts w:ascii="Montserrat;sans-serif" w:hAnsi="Montserrat;sans-serif"/>
          <w:b/>
          <w:color w:val="000000"/>
          <w:sz w:val="18"/>
        </w:rPr>
      </w:pPr>
      <w:bookmarkStart w:id="3" w:name="item_1_financial_statements"/>
      <w:bookmarkEnd w:id="3"/>
      <w:r>
        <w:rPr>
          <w:rFonts w:ascii="Montserrat;sans-serif" w:hAnsi="Montserrat;sans-serif"/>
          <w:b/>
          <w:color w:val="000000"/>
          <w:sz w:val="18"/>
        </w:rPr>
        <w:t>Item 1. Financial Statements (Unaudited).</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4" w:name="condensed_consolidated_balance_sheets"/>
      <w:bookmarkEnd w:id="4"/>
      <w:r>
        <w:rPr>
          <w:rFonts w:ascii="Montserrat;sans-serif" w:hAnsi="Montserrat;sans-serif"/>
          <w:b/>
          <w:color w:val="000000"/>
          <w:sz w:val="18"/>
        </w:rPr>
        <w:t>Condensed Consolidated Balance Sheets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7"/>
        <w:gridCol w:w="146"/>
        <w:gridCol w:w="226"/>
        <w:gridCol w:w="1141"/>
        <w:gridCol w:w="181"/>
        <w:gridCol w:w="146"/>
        <w:gridCol w:w="234"/>
        <w:gridCol w:w="1186"/>
        <w:gridCol w:w="628"/>
      </w:tblGrid>
      <w:tr>
        <w:trPr/>
        <w:tc>
          <w:tcPr>
            <w:tcW w:w="6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March 31,</w:t>
              <w:b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December 31,</w:t>
              <w:br/>
              <w:t>2025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169,530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5,728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4,954</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175,258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214,816</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81,512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85,258</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34,375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36,606</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8,677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8,669</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306,006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351,533</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11,344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12,863</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26,569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20,607</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11,660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12,063</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49,573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45,533</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44,332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47,117</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100,000</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1,500</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193,905</w:t>
            </w:r>
          </w:p>
        </w:tc>
        <w:tc>
          <w:tcPr>
            <w:tcW w:w="1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194,150</w:t>
            </w:r>
          </w:p>
        </w:tc>
        <w:tc>
          <w:tcPr>
            <w:tcW w:w="6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Montserrat;sans-serif" w:hAnsi="Montserrat;sans-serif"/>
                <w:color w:val="000000"/>
                <w:sz w:val="18"/>
              </w:rPr>
              <w:t>Preferred stock, $0.0001</w:t>
            </w:r>
            <w:r>
              <w:rPr>
                <w:rFonts w:ascii="Times New Roman" w:hAnsi="Times New Roman"/>
                <w:color w:val="000000"/>
                <w:sz w:val="20"/>
              </w:rPr>
              <w:t> </w:t>
            </w:r>
            <w:r>
              <w:rPr>
                <w:rFonts w:ascii="Montserrat;sans-serif" w:hAnsi="Montserrat;sans-serif"/>
                <w:color w:val="000000"/>
                <w:sz w:val="18"/>
              </w:rPr>
              <w:t>par value – 10,000,000</w:t>
            </w:r>
            <w:r>
              <w:rPr>
                <w:rFonts w:ascii="Times New Roman" w:hAnsi="Times New Roman"/>
                <w:color w:val="000000"/>
                <w:sz w:val="20"/>
              </w:rPr>
              <w:t> </w:t>
            </w:r>
            <w:r>
              <w:rPr>
                <w:rFonts w:ascii="Montserrat;sans-serif" w:hAnsi="Montserrat;sans-serif"/>
                <w:color w:val="000000"/>
                <w:sz w:val="18"/>
              </w:rPr>
              <w:t>shares authorized;</w:t>
              <w:br/>
              <w:t>none</w:t>
            </w:r>
            <w:r>
              <w:rPr>
                <w:rFonts w:ascii="Times New Roman" w:hAnsi="Times New Roman"/>
                <w:color w:val="000000"/>
                <w:sz w:val="20"/>
              </w:rPr>
              <w:t> </w:t>
            </w:r>
            <w:r>
              <w:rPr>
                <w:rFonts w:ascii="Montserrat;sans-serif" w:hAnsi="Montserrat;sans-serif"/>
                <w:color w:val="000000"/>
                <w:sz w:val="18"/>
              </w:rPr>
              <w:t>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Montserrat;sans-serif" w:hAnsi="Montserrat;sans-serif"/>
                <w:color w:val="000000"/>
                <w:sz w:val="18"/>
              </w:rPr>
              <w:t>Common stock, $0.0001</w:t>
            </w:r>
            <w:r>
              <w:rPr>
                <w:rFonts w:ascii="Times New Roman" w:hAnsi="Times New Roman"/>
                <w:color w:val="000000"/>
                <w:sz w:val="20"/>
              </w:rPr>
              <w:t> </w:t>
            </w:r>
            <w:r>
              <w:rPr>
                <w:rFonts w:ascii="Montserrat;sans-serif" w:hAnsi="Montserrat;sans-serif"/>
                <w:color w:val="000000"/>
                <w:sz w:val="18"/>
              </w:rPr>
              <w:t>par value – 490,000,000</w:t>
            </w:r>
            <w:r>
              <w:rPr>
                <w:rFonts w:ascii="Times New Roman" w:hAnsi="Times New Roman"/>
                <w:color w:val="000000"/>
                <w:sz w:val="20"/>
              </w:rPr>
              <w:t> </w:t>
            </w:r>
            <w:r>
              <w:rPr>
                <w:rFonts w:ascii="Montserrat;sans-serif" w:hAnsi="Montserrat;sans-serif"/>
                <w:color w:val="000000"/>
                <w:sz w:val="18"/>
              </w:rPr>
              <w:t>shares authorized; 62,155,685</w:t>
            </w:r>
            <w:r>
              <w:rPr>
                <w:rFonts w:ascii="Times New Roman" w:hAnsi="Times New Roman"/>
                <w:color w:val="000000"/>
                <w:sz w:val="20"/>
              </w:rPr>
              <w:t> </w:t>
            </w:r>
            <w:r>
              <w:rPr>
                <w:rFonts w:ascii="Montserrat;sans-serif" w:hAnsi="Montserrat;sans-serif"/>
                <w:color w:val="000000"/>
                <w:sz w:val="18"/>
              </w:rPr>
              <w:t>and 61,758,454</w:t>
            </w:r>
            <w:r>
              <w:rPr>
                <w:rFonts w:ascii="Times New Roman" w:hAnsi="Times New Roman"/>
                <w:color w:val="000000"/>
                <w:sz w:val="20"/>
              </w:rPr>
              <w:t> </w:t>
            </w:r>
            <w:r>
              <w:rPr>
                <w:rFonts w:ascii="Montserrat;sans-serif" w:hAnsi="Montserrat;sans-serif"/>
                <w:color w:val="000000"/>
                <w:sz w:val="18"/>
              </w:rPr>
              <w:t>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1,728,958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1,716,082</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(1,616,863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(1,558,705</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w:t>
            </w:r>
          </w:p>
        </w:tc>
      </w:tr>
      <w:tr>
        <w:trPr/>
        <w:tc>
          <w:tcPr>
            <w:tcW w:w="63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112,101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157,383</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306,006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351,533</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5" w:name="condensed_consolidated_statements_operat"/>
      <w:bookmarkEnd w:id="5"/>
      <w:r>
        <w:rPr>
          <w:rFonts w:ascii="Montserrat;sans-serif" w:hAnsi="Montserrat;sans-serif"/>
          <w:b/>
          <w:color w:val="000000"/>
          <w:sz w:val="18"/>
        </w:rPr>
        <w:t>Condensed Consolidated Statements of Operations and Comprehensive Loss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and per share amounts)</w:t>
      </w:r>
    </w:p>
    <w:p>
      <w:pPr>
        <w:pStyle w:val="TextBody"/>
        <w:bidi w:val="0"/>
        <w:jc w:val="center"/>
        <w:rPr/>
      </w:pPr>
      <w:r>
        <w:rPr/>
        <w:t> </w:t>
      </w:r>
    </w:p>
    <w:tbl>
      <w:tblPr>
        <w:tblW w:w="9139" w:type="dxa"/>
        <w:jc w:val="left"/>
        <w:tblInd w:w="0" w:type="dxa"/>
        <w:tblLayout w:type="fixed"/>
        <w:tblCellMar>
          <w:top w:w="28" w:type="dxa"/>
          <w:left w:w="28" w:type="dxa"/>
          <w:bottom w:w="28" w:type="dxa"/>
          <w:right w:w="28" w:type="dxa"/>
        </w:tblCellMar>
      </w:tblPr>
      <w:tblGrid>
        <w:gridCol w:w="5251"/>
        <w:gridCol w:w="146"/>
        <w:gridCol w:w="226"/>
        <w:gridCol w:w="1186"/>
        <w:gridCol w:w="181"/>
        <w:gridCol w:w="146"/>
        <w:gridCol w:w="226"/>
        <w:gridCol w:w="1186"/>
        <w:gridCol w:w="5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 xml:space="preserve">Three Months Ended </w:t>
              <w:br/>
              <w:t>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48,547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43,644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11,230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15,429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59,777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59,073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(59,777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(59,073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(58,158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(57,461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(0.94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61,859,485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52,746,318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6" w:name="condensed_consolidated_statements_stockh"/>
      <w:bookmarkEnd w:id="6"/>
      <w:r>
        <w:rPr>
          <w:rFonts w:ascii="Montserrat;sans-serif" w:hAnsi="Montserrat;sans-serif"/>
          <w:b/>
          <w:color w:val="000000"/>
          <w:sz w:val="18"/>
        </w:rPr>
        <w:t>Condensed Consolidated Statements of Stockholders’ Equity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06"/>
        <w:gridCol w:w="146"/>
        <w:gridCol w:w="146"/>
        <w:gridCol w:w="1036"/>
        <w:gridCol w:w="146"/>
        <w:gridCol w:w="146"/>
        <w:gridCol w:w="318"/>
        <w:gridCol w:w="523"/>
        <w:gridCol w:w="146"/>
        <w:gridCol w:w="146"/>
        <w:gridCol w:w="211"/>
        <w:gridCol w:w="931"/>
        <w:gridCol w:w="146"/>
        <w:gridCol w:w="146"/>
        <w:gridCol w:w="231"/>
        <w:gridCol w:w="1090"/>
        <w:gridCol w:w="166"/>
        <w:gridCol w:w="146"/>
        <w:gridCol w:w="294"/>
        <w:gridCol w:w="1092"/>
        <w:gridCol w:w="393"/>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61,758,454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1,716,082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(1,558,705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157,383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392,362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721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4,869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12,155</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(58,158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(58,158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62,155,685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1,728,958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(1,616,863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112,101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Total</w:t>
              <w:br/>
              <w:t>Stockholders’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Equity</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52,726,916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1,479,021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(1,328,738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150,288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124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15,891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6"/>
              </w:rPr>
            </w:pPr>
            <w:r>
              <w:rPr>
                <w:rFonts w:ascii="Montserrat;sans-serif" w:hAnsi="Montserrat;sans-serif"/>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(57,461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(57,461</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52,751,875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1,495,036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(1,386,199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6"/>
              </w:rPr>
            </w:pPr>
            <w:r>
              <w:rPr>
                <w:rFonts w:ascii="Montserrat;sans-serif" w:hAnsi="Montserrat;sans-serif"/>
                <w:color w:val="000000"/>
                <w:sz w:val="16"/>
              </w:rPr>
              <w:t>$</w:t>
            </w:r>
          </w:p>
        </w:tc>
        <w:tc>
          <w:tcPr>
            <w:tcW w:w="10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6"/>
              </w:rPr>
            </w:pPr>
            <w:r>
              <w:rPr>
                <w:rFonts w:ascii="Montserrat;sans-serif" w:hAnsi="Montserrat;sans-serif"/>
                <w:color w:val="000000"/>
                <w:sz w:val="16"/>
              </w:rPr>
              <w:t>108,842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7" w:name="condensed_consolidated_statements_cash_f"/>
      <w:bookmarkEnd w:id="7"/>
      <w:r>
        <w:rPr>
          <w:rFonts w:ascii="Montserrat;sans-serif" w:hAnsi="Montserrat;sans-serif"/>
          <w:b/>
          <w:color w:val="000000"/>
          <w:sz w:val="18"/>
        </w:rPr>
        <w:t>Condensed Consolidated Statements of Cash Flows (unaudited)</w:t>
      </w:r>
    </w:p>
    <w:p>
      <w:pPr>
        <w:pStyle w:val="TextBody"/>
        <w:bidi w:val="0"/>
        <w:jc w:val="center"/>
        <w:rPr>
          <w:rFonts w:ascii="Montserrat;sans-serif" w:hAnsi="Montserrat;sans-serif"/>
          <w:color w:val="000000"/>
          <w:sz w:val="18"/>
        </w:rPr>
      </w:pPr>
      <w:r>
        <w:rPr>
          <w:rFonts w:ascii="Montserrat;sans-serif" w:hAnsi="Montserrat;sans-serif"/>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84"/>
        <w:gridCol w:w="265"/>
        <w:gridCol w:w="1039"/>
        <w:gridCol w:w="212"/>
        <w:gridCol w:w="171"/>
        <w:gridCol w:w="265"/>
        <w:gridCol w:w="1039"/>
        <w:gridCol w:w="830"/>
      </w:tblGrid>
      <w:tr>
        <w:trPr/>
        <w:tc>
          <w:tcPr>
            <w:tcW w:w="638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(58,158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(57,461</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Adjustments to reconcile net loss to net cash used in operating activities:</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Depreciation</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4,109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4,603</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Stock-based compensation</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12,155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15,891</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Loss on disposal of long-lived assets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Non-cash lease impairment expense</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1,910</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Amortization of operating lease right-of-use asset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2,231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2,125</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Changes in assets and liabilities:</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Prepaid expenses and other current assets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Other assets</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Accounts payable</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(733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2,606</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Accrued and other current liabilities</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4,558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2,355</w:t>
            </w:r>
          </w:p>
        </w:tc>
        <w:tc>
          <w:tcPr>
            <w:tcW w:w="8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Operating lease liability</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(3,188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(2,706</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Long-term deposit</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1,500</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used in operating activities</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(40,009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(29,077</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Purchase of property and equipment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(270</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used in investing activities</w:t>
            </w:r>
          </w:p>
        </w:tc>
        <w:tc>
          <w:tcPr>
            <w:tcW w:w="2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(942</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(270</w:t>
            </w:r>
          </w:p>
        </w:tc>
        <w:tc>
          <w:tcPr>
            <w:tcW w:w="8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Payment of public offering costs</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(303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Proceeds from stock option exercises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922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w:t>
            </w:r>
          </w:p>
        </w:tc>
        <w:tc>
          <w:tcPr>
            <w:tcW w:w="8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Montserrat;sans-serif" w:hAnsi="Montserrat;sans-serif"/>
                <w:color w:val="000000"/>
                <w:sz w:val="18"/>
              </w:rPr>
            </w:pPr>
            <w:r>
              <w:rPr>
                <w:rFonts w:ascii="Montserrat;sans-serif" w:hAnsi="Montserrat;sans-serif"/>
                <w:color w:val="000000"/>
                <w:sz w:val="18"/>
              </w:rPr>
              <w:t>Net cash provided by financing activities</w:t>
            </w:r>
          </w:p>
        </w:tc>
        <w:tc>
          <w:tcPr>
            <w:tcW w:w="2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619</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w:t>
            </w:r>
          </w:p>
        </w:tc>
        <w:tc>
          <w:tcPr>
            <w:tcW w:w="8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decrease in cash, cash equivalents and restricted cash</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(40,332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(29,223</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cash equivalents and restricted cash, at beginning of period</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216,046</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174,258</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cash equivalents and restricted cash, at end of period</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175,714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145,035</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consolidated balance sheets:</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and cash equivalents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169,530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138,851</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Restricted cash</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6,184</w:t>
            </w:r>
          </w:p>
        </w:tc>
        <w:tc>
          <w:tcPr>
            <w:tcW w:w="8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Total cash, cash equivalents and restricted cash in consolidated balance sheets</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175,714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145,035</w:t>
            </w:r>
          </w:p>
        </w:tc>
        <w:tc>
          <w:tcPr>
            <w:tcW w:w="8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b/>
                <w:color w:val="000000"/>
                <w:sz w:val="18"/>
              </w:rPr>
            </w:pPr>
            <w:r>
              <w:rPr>
                <w:rFonts w:ascii="Montserrat;sans-serif" w:hAnsi="Montserrat;sans-serif"/>
                <w:b/>
                <w:color w:val="000000"/>
                <w:sz w:val="18"/>
              </w:rPr>
              <w:t>Supplemental disclosures of non-cash investing and financing information:</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84"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Purchase of property and equipment under accounts payable and accruals</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72</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Montserrat;sans-serif" w:hAnsi="Montserrat;sans-serif"/>
          <w:color w:val="000000"/>
          <w:sz w:val="18"/>
        </w:rPr>
      </w:pPr>
      <w:r>
        <w:rPr>
          <w:rFonts w:ascii="Montserrat;sans-serif" w:hAnsi="Montserrat;sans-serif"/>
          <w:color w:val="000000"/>
          <w:sz w:val="18"/>
        </w:rPr>
        <w:t>See notes to unaudited condensed consolidated financial statements.</w:t>
      </w:r>
    </w:p>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r>
        <w:rPr>
          <w:rFonts w:ascii="Montserrat;sans-serif" w:hAnsi="Montserrat;sans-serif"/>
          <w:b/>
          <w:color w:val="000000"/>
          <w:sz w:val="18"/>
        </w:rPr>
        <w:t>Index For Notes to Unaudited Condensed Consolidated Financial Statements</w:t>
      </w:r>
    </w:p>
    <w:p>
      <w:pPr>
        <w:pStyle w:val="TextBody"/>
        <w:bidi w:val="0"/>
        <w:jc w:val="left"/>
        <w:rPr/>
      </w:pPr>
      <w:r>
        <w:rPr/>
        <w:t> </w:t>
      </w:r>
    </w:p>
    <w:tbl>
      <w:tblPr>
        <w:tblW w:w="5493" w:type="dxa"/>
        <w:jc w:val="left"/>
        <w:tblInd w:w="0" w:type="dxa"/>
        <w:tblLayout w:type="fixed"/>
        <w:tblCellMar>
          <w:top w:w="28" w:type="dxa"/>
          <w:left w:w="28" w:type="dxa"/>
          <w:bottom w:w="28" w:type="dxa"/>
          <w:right w:w="28" w:type="dxa"/>
        </w:tblCellMar>
      </w:tblPr>
      <w:tblGrid>
        <w:gridCol w:w="781"/>
        <w:gridCol w:w="4051"/>
        <w:gridCol w:w="661"/>
      </w:tblGrid>
      <w:tr>
        <w:trPr/>
        <w:tc>
          <w:tcPr>
            <w:tcW w:w="781"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1.</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note1_thecompany">
              <w:r>
                <w:rPr>
                  <w:rStyle w:val="InternetLink"/>
                  <w:rFonts w:ascii="Montserrat;sans-serif" w:hAnsi="Montserrat;sans-serif"/>
                  <w:color w:val="0000FF"/>
                  <w:sz w:val="18"/>
                  <w:u w:val="single"/>
                </w:rPr>
                <w:t>The Company</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2.</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2_sosap">
              <w:r>
                <w:rPr>
                  <w:rStyle w:val="InternetLink"/>
                  <w:rFonts w:ascii="Montserrat;sans-serif" w:hAnsi="Montserrat;sans-serif"/>
                  <w:color w:val="0000FF"/>
                  <w:sz w:val="18"/>
                  <w:u w:val="single"/>
                </w:rPr>
                <w:t>Summary of Significant Accounting Policies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6</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3.</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3_accruedotherliab">
              <w:r>
                <w:rPr>
                  <w:rStyle w:val="InternetLink"/>
                  <w:rFonts w:ascii="Montserrat;sans-serif" w:hAnsi="Montserrat;sans-serif"/>
                  <w:color w:val="0000FF"/>
                  <w:sz w:val="18"/>
                  <w:u w:val="single"/>
                </w:rPr>
                <w:t>Accrued and Other Current Liabilities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4.</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4_fairvalue">
              <w:r>
                <w:rPr>
                  <w:rStyle w:val="InternetLink"/>
                  <w:rFonts w:ascii="Montserrat;sans-serif" w:hAnsi="Montserrat;sans-serif"/>
                  <w:color w:val="0000FF"/>
                  <w:sz w:val="18"/>
                  <w:u w:val="single"/>
                </w:rPr>
                <w:t>Fair Value Measurements</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5.</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5_commitmentscontingencies">
              <w:r>
                <w:rPr>
                  <w:rStyle w:val="InternetLink"/>
                  <w:rFonts w:ascii="Montserrat;sans-serif" w:hAnsi="Montserrat;sans-serif"/>
                  <w:color w:val="0000FF"/>
                  <w:sz w:val="18"/>
                  <w:u w:val="single"/>
                </w:rPr>
                <w:t>Commitments and Contingencies</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8</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6.</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6_sbc">
              <w:r>
                <w:rPr>
                  <w:rStyle w:val="InternetLink"/>
                  <w:rFonts w:ascii="Montserrat;sans-serif" w:hAnsi="Montserrat;sans-serif"/>
                  <w:color w:val="0000FF"/>
                  <w:sz w:val="18"/>
                  <w:u w:val="single"/>
                </w:rPr>
                <w:t>Stock-Based Compensation</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7.</w:t>
            </w:r>
          </w:p>
        </w:tc>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fn7_segments">
              <w:r>
                <w:rPr>
                  <w:rStyle w:val="InternetLink"/>
                  <w:rFonts w:ascii="Montserrat;sans-serif" w:hAnsi="Montserrat;sans-serif"/>
                  <w:color w:val="0000FF"/>
                  <w:sz w:val="18"/>
                  <w:u w:val="single"/>
                </w:rPr>
                <w:t>Segment Information</w:t>
              </w:r>
            </w:hyperlink>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w:t>
            </w:r>
          </w:p>
        </w:tc>
      </w:tr>
      <w:tr>
        <w:trPr/>
        <w:tc>
          <w:tcPr>
            <w:tcW w:w="781" w:type="dxa"/>
            <w:tcBorders/>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Note 8.</w:t>
            </w:r>
          </w:p>
        </w:tc>
        <w:tc>
          <w:tcPr>
            <w:tcW w:w="4051" w:type="dxa"/>
            <w:tcBorders/>
            <w:tcMar>
              <w:top w:w="0" w:type="dxa"/>
              <w:left w:w="0" w:type="dxa"/>
              <w:bottom w:w="0" w:type="dxa"/>
              <w:right w:w="0" w:type="dxa"/>
            </w:tcMar>
            <w:vAlign w:val="center"/>
          </w:tcPr>
          <w:p>
            <w:pPr>
              <w:pStyle w:val="TableContents"/>
              <w:bidi w:val="0"/>
              <w:spacing w:before="0" w:after="283"/>
              <w:jc w:val="left"/>
              <w:rPr/>
            </w:pPr>
            <w:hyperlink w:anchor="fn8_nlps">
              <w:r>
                <w:rPr>
                  <w:rStyle w:val="InternetLink"/>
                  <w:rFonts w:ascii="Montserrat;sans-serif" w:hAnsi="Montserrat;sans-serif"/>
                  <w:color w:val="0000FF"/>
                  <w:sz w:val="18"/>
                  <w:u w:val="single"/>
                </w:rPr>
                <w:t>Net Loss Per Common Share</w:t>
              </w:r>
            </w:hyperlink>
          </w:p>
        </w:tc>
        <w:tc>
          <w:tcPr>
            <w:tcW w:w="661" w:type="dxa"/>
            <w:tcBorders/>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center"/>
        <w:rPr>
          <w:rFonts w:ascii="Montserrat;sans-serif" w:hAnsi="Montserrat;sans-serif"/>
          <w:b/>
          <w:color w:val="000000"/>
          <w:sz w:val="18"/>
        </w:rPr>
      </w:pPr>
      <w:bookmarkStart w:id="8" w:name="notes_to_unaudited_condensed_consolidate"/>
      <w:bookmarkEnd w:id="8"/>
      <w:r>
        <w:rPr>
          <w:rFonts w:ascii="Montserrat;sans-serif" w:hAnsi="Montserrat;sans-serif"/>
          <w:b/>
          <w:color w:val="000000"/>
          <w:sz w:val="18"/>
        </w:rPr>
        <w:t>Notes to Unaudited Condensed Consolidated Financial Statements</w:t>
      </w:r>
    </w:p>
    <w:p>
      <w:pPr>
        <w:pStyle w:val="TextBody"/>
        <w:bidi w:val="0"/>
        <w:spacing w:before="240" w:after="283"/>
        <w:jc w:val="left"/>
        <w:rPr>
          <w:rFonts w:ascii="Times New Roman" w:hAnsi="Times New Roman"/>
          <w:sz w:val="20"/>
        </w:rPr>
      </w:pPr>
      <w:bookmarkStart w:id="9" w:name="note1_thecompany"/>
      <w:bookmarkEnd w:id="9"/>
      <w:r>
        <w:rPr>
          <w:rFonts w:ascii="Montserrat;sans-serif" w:hAnsi="Montserrat;sans-serif"/>
          <w:b/>
          <w:color w:val="000000"/>
          <w:sz w:val="18"/>
        </w:rPr>
        <w:t>1. The</w:t>
      </w:r>
      <w:r>
        <w:rPr>
          <w:rFonts w:ascii="Times New Roman" w:hAnsi="Times New Roman"/>
          <w:color w:val="000000"/>
          <w:sz w:val="20"/>
        </w:rPr>
        <w:t xml:space="preserve"> </w:t>
      </w:r>
      <w:r>
        <w:rPr>
          <w:rFonts w:ascii="Montserrat;sans-serif" w:hAnsi="Montserrat;sans-serif"/>
          <w:b/>
          <w:color w:val="000000"/>
          <w:sz w:val="18"/>
        </w:rPr>
        <w:t>Company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Sciences Inc. (the “Company”) is a precommercial retina focused biotechnology company committed to researching, developing and commercializing transformative therapeutics.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Liquidity</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March 31, 2026, the Company had cash and cash equivalents of $169.5</w:t>
      </w:r>
      <w:r>
        <w:rPr>
          <w:rFonts w:ascii="Times New Roman" w:hAnsi="Times New Roman"/>
          <w:color w:val="000000"/>
          <w:sz w:val="20"/>
        </w:rPr>
        <w:t xml:space="preserve"> </w:t>
      </w:r>
      <w:r>
        <w:rPr>
          <w:rFonts w:ascii="Montserrat;sans-serif" w:hAnsi="Montserrat;sans-serif"/>
          <w:color w:val="000000"/>
          <w:sz w:val="18"/>
        </w:rPr>
        <w:t>million. The Company has incurred net losses and negative cash flows from operations since inception. The Company incurred net losses of $58.2</w:t>
      </w:r>
      <w:r>
        <w:rPr>
          <w:rFonts w:ascii="Times New Roman" w:hAnsi="Times New Roman"/>
          <w:color w:val="000000"/>
          <w:sz w:val="20"/>
        </w:rPr>
        <w:t xml:space="preserve"> </w:t>
      </w:r>
      <w:r>
        <w:rPr>
          <w:rFonts w:ascii="Montserrat;sans-serif" w:hAnsi="Montserrat;sans-serif"/>
          <w:color w:val="000000"/>
          <w:sz w:val="18"/>
        </w:rPr>
        <w:t>million and $57.5</w:t>
      </w:r>
      <w:r>
        <w:rPr>
          <w:rFonts w:ascii="Times New Roman" w:hAnsi="Times New Roman"/>
          <w:color w:val="000000"/>
          <w:sz w:val="20"/>
        </w:rPr>
        <w:t xml:space="preserve"> </w:t>
      </w:r>
      <w:r>
        <w:rPr>
          <w:rFonts w:ascii="Montserrat;sans-serif" w:hAnsi="Montserrat;sans-serif"/>
          <w:color w:val="000000"/>
          <w:sz w:val="18"/>
        </w:rPr>
        <w:t>million for the three months ended March 31, 2026 and 2025, respectively. Net cash used in operating activities was $40.0</w:t>
      </w:r>
      <w:r>
        <w:rPr>
          <w:rFonts w:ascii="Times New Roman" w:hAnsi="Times New Roman"/>
          <w:color w:val="000000"/>
          <w:sz w:val="20"/>
        </w:rPr>
        <w:t xml:space="preserve"> </w:t>
      </w:r>
      <w:r>
        <w:rPr>
          <w:rFonts w:ascii="Montserrat;sans-serif" w:hAnsi="Montserrat;sans-serif"/>
          <w:color w:val="000000"/>
          <w:sz w:val="18"/>
        </w:rPr>
        <w:t>million and $29.1</w:t>
      </w:r>
      <w:r>
        <w:rPr>
          <w:rFonts w:ascii="Times New Roman" w:hAnsi="Times New Roman"/>
          <w:color w:val="000000"/>
          <w:sz w:val="20"/>
        </w:rPr>
        <w:t xml:space="preserve"> </w:t>
      </w:r>
      <w:r>
        <w:rPr>
          <w:rFonts w:ascii="Montserrat;sans-serif" w:hAnsi="Montserrat;sans-serif"/>
          <w:color w:val="000000"/>
          <w:sz w:val="18"/>
        </w:rPr>
        <w:t>million for the three months ended March 31, 2026 and 2025, respectively.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in the future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believes that the existing cash and cash equivalents may not be sufficient to meet the anticipated operating and capital expenditure requirements for the 12 months following the date of this Quarterly Report on Form 10-Q.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240" w:after="283"/>
        <w:jc w:val="left"/>
        <w:rPr>
          <w:rFonts w:ascii="Times New Roman" w:hAnsi="Times New Roman"/>
          <w:sz w:val="20"/>
        </w:rPr>
      </w:pPr>
      <w:bookmarkStart w:id="10" w:name="fn2_sosap"/>
      <w:bookmarkEnd w:id="10"/>
      <w:r>
        <w:rPr>
          <w:rFonts w:ascii="Montserrat;sans-serif" w:hAnsi="Montserrat;sans-serif"/>
          <w:b/>
          <w:color w:val="000000"/>
          <w:sz w:val="18"/>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Basis of Presentation and Principles of Consolidation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condensed consolidated financial statements have been prepared in accordance with accounting principles generally accepted in the United States of America (“GAAP”) and the applicable rules and regulations of the Securities and Exchange Commission (the “SEC”)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2025.</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condensed consolidated financial statements include the accounts of Kodiak Sciences Inc. and its wholly owned subsidiaries. All intercompany balances and transactions have been eliminated in consolidation. The condensed consolidated financial statements reflect all normal recurring adjustments that are necessary to present fairly the results for the interim periods presented. Interim results are not necessarily indicative of the results for the full year ending December 31, 2026.</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Use of Estimates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and stock-based compensation.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Risks and Uncertainties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Global economic and business activities continue to face widespread macroeconomic uncertainties, including health epidemics, labor shortages, bank failures, inflation and monetary supply shifts, tariffs, recession risks and potential disruptions from the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Summary of Significant Accounting Policies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significant accounting policies used in preparation of these condensed consolidated financial statements are consistent with those discussed in Note 2 to the consolidated financial statements in the Company’s Annual Report on Form 10-K for the year ended December 31, 2025, except as noted below within the “Recent Accounting Pronouncements” section.</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 xml:space="preserve">Recent </w:t>
      </w:r>
      <w:r>
        <w:rPr>
          <w:rFonts w:ascii="Montserrat;sans-serif" w:hAnsi="Montserrat;sans-serif"/>
          <w:b/>
          <w:i/>
          <w:caps/>
          <w:color w:val="000000"/>
          <w:sz w:val="18"/>
        </w:rPr>
        <w:t>a</w:t>
      </w:r>
      <w:r>
        <w:rPr>
          <w:rFonts w:ascii="Montserrat;sans-serif" w:hAnsi="Montserrat;sans-serif"/>
          <w:b/>
          <w:i/>
          <w:color w:val="000000"/>
          <w:sz w:val="18"/>
        </w:rPr>
        <w:t xml:space="preserve">ccounting </w:t>
      </w:r>
      <w:r>
        <w:rPr>
          <w:rFonts w:ascii="Montserrat;sans-serif" w:hAnsi="Montserrat;sans-serif"/>
          <w:b/>
          <w:i/>
          <w:caps/>
          <w:color w:val="000000"/>
          <w:sz w:val="18"/>
        </w:rPr>
        <w:t>p</w:t>
      </w:r>
      <w:r>
        <w:rPr>
          <w:rFonts w:ascii="Montserrat;sans-serif" w:hAnsi="Montserrat;sans-serif"/>
          <w:b/>
          <w:i/>
          <w:color w:val="000000"/>
          <w:sz w:val="18"/>
        </w:rPr>
        <w:t>ronouncements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From time to time, new accounting pronouncements are issued by the Financial Accounting Standards Board (“FASB”), and adopted by the Company as of the specified effective date.</w:t>
      </w:r>
    </w:p>
    <w:p>
      <w:pPr>
        <w:pStyle w:val="TextBody"/>
        <w:bidi w:val="0"/>
        <w:spacing w:before="240" w:after="283"/>
        <w:jc w:val="left"/>
        <w:rPr>
          <w:rFonts w:ascii="Times New Roman" w:hAnsi="Times New Roman"/>
          <w:sz w:val="20"/>
        </w:rPr>
      </w:pPr>
      <w:r>
        <w:rPr>
          <w:rFonts w:ascii="Montserrat;sans-serif" w:hAnsi="Montserrat;sans-serif"/>
          <w:i/>
          <w:color w:val="000000"/>
          <w:sz w:val="18"/>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 xml:space="preserve">In November 2024, the FASB issued ASU 2024-03, </w:t>
      </w:r>
      <w:r>
        <w:rPr>
          <w:rFonts w:ascii="Montserrat;sans-serif" w:hAnsi="Montserrat;sans-serif"/>
          <w:i/>
          <w:color w:val="000000"/>
          <w:sz w:val="18"/>
        </w:rPr>
        <w:t>Disaggregation of Income Statement Expenses</w:t>
      </w:r>
      <w:r>
        <w:rPr>
          <w:rFonts w:ascii="Montserrat;sans-serif" w:hAnsi="Montserrat;sans-serif"/>
          <w:color w:val="000000"/>
          <w:sz w:val="18"/>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is assessing the impact of this standard on its consolidated financial statements and related disclosures.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Times New Roman" w:hAnsi="Times New Roman"/>
          <w:sz w:val="20"/>
        </w:rPr>
      </w:pPr>
      <w:bookmarkStart w:id="11" w:name="fn3_accruedotherliab"/>
      <w:bookmarkEnd w:id="11"/>
      <w:r>
        <w:rPr>
          <w:rFonts w:ascii="Montserrat;sans-serif" w:hAnsi="Montserrat;sans-serif"/>
          <w:b/>
          <w:color w:val="000000"/>
          <w:sz w:val="18"/>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Accrued and other current liabilities consist of the following (in thousands):</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5491"/>
        <w:gridCol w:w="146"/>
        <w:gridCol w:w="253"/>
        <w:gridCol w:w="857"/>
        <w:gridCol w:w="146"/>
        <w:gridCol w:w="146"/>
        <w:gridCol w:w="344"/>
        <w:gridCol w:w="1171"/>
        <w:gridCol w:w="29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manufacturing and research &amp;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7,770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clinical trial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legal fees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26,569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20,607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12" w:name="fn4_fairvalue"/>
      <w:bookmarkEnd w:id="12"/>
      <w:r>
        <w:rPr>
          <w:rFonts w:ascii="Montserrat;sans-serif" w:hAnsi="Montserrat;sans-serif"/>
          <w:b/>
          <w:color w:val="000000"/>
          <w:sz w:val="18"/>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following tables present the Company’s fair value hierarchy for assets measured at fair value on a recurring basis (in thousands):</w:t>
      </w:r>
      <w:r>
        <w:rPr>
          <w:rFonts w:ascii="Times New Roman" w:hAnsi="Times New Roman"/>
          <w:color w:val="000000"/>
          <w:sz w:val="20"/>
        </w:rPr>
        <w:t xml:space="preserve"> </w:t>
      </w:r>
    </w:p>
    <w:p>
      <w:pPr>
        <w:pStyle w:val="TextBody"/>
        <w:bidi w:val="0"/>
        <w:jc w:val="left"/>
        <w:rPr/>
      </w:pPr>
      <w:r>
        <w:rPr/>
        <w:t> </w:t>
      </w:r>
    </w:p>
    <w:tbl>
      <w:tblPr>
        <w:tblW w:w="8541" w:type="dxa"/>
        <w:jc w:val="left"/>
        <w:tblInd w:w="0" w:type="dxa"/>
        <w:tblLayout w:type="fixed"/>
        <w:tblCellMar>
          <w:top w:w="28" w:type="dxa"/>
          <w:left w:w="28" w:type="dxa"/>
          <w:bottom w:w="28" w:type="dxa"/>
          <w:right w:w="28" w:type="dxa"/>
        </w:tblCellMar>
      </w:tblPr>
      <w:tblGrid>
        <w:gridCol w:w="3116"/>
        <w:gridCol w:w="146"/>
        <w:gridCol w:w="243"/>
        <w:gridCol w:w="955"/>
        <w:gridCol w:w="157"/>
        <w:gridCol w:w="157"/>
        <w:gridCol w:w="326"/>
        <w:gridCol w:w="499"/>
        <w:gridCol w:w="157"/>
        <w:gridCol w:w="157"/>
        <w:gridCol w:w="326"/>
        <w:gridCol w:w="499"/>
        <w:gridCol w:w="157"/>
        <w:gridCol w:w="157"/>
        <w:gridCol w:w="243"/>
        <w:gridCol w:w="95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Fair Value Measurements at March 31,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165,669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165,669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165,669</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165,669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3,861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169,530</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169,530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Fair Value Measurements at 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Level 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207,585</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2,277</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As of March 31, 2026,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120" w:after="160"/>
        <w:jc w:val="left"/>
        <w:rPr>
          <w:rFonts w:ascii="Montserrat;sans-serif" w:hAnsi="Montserrat;sans-serif"/>
          <w:color w:val="000000"/>
          <w:sz w:val="18"/>
        </w:rPr>
      </w:pPr>
      <w:r>
        <w:rPr>
          <w:rFonts w:ascii="Montserrat;sans-serif" w:hAnsi="Montserrat;sans-serif"/>
          <w:color w:val="000000"/>
          <w:sz w:val="18"/>
        </w:rPr>
        <w:t>As discussed in Note 5, the Company entered into a sublease agreement during the first quarter of 2025, which led to an impairment of the related right-of-use asset. Estimated fair value of the right-of-use asset was based on expected sublease rental income, considering current sublease market conditions, discounted at a market rate of return on similar assets. The estimates and assumptions used are considered Level 3 inputs.</w:t>
      </w:r>
    </w:p>
    <w:p>
      <w:pPr>
        <w:pStyle w:val="TextBody"/>
        <w:bidi w:val="0"/>
        <w:spacing w:before="80" w:after="283"/>
        <w:jc w:val="left"/>
        <w:rPr>
          <w:rFonts w:ascii="Montserrat;sans-serif" w:hAnsi="Montserrat;sans-serif"/>
          <w:b/>
          <w:color w:val="000000"/>
          <w:sz w:val="18"/>
        </w:rPr>
      </w:pPr>
      <w:bookmarkStart w:id="13" w:name="fn5_commitmentscontingencies"/>
      <w:bookmarkEnd w:id="13"/>
      <w:r>
        <w:rPr>
          <w:rFonts w:ascii="Montserrat;sans-serif" w:hAnsi="Montserrat;sans-serif"/>
          <w:b/>
          <w:color w:val="000000"/>
          <w:sz w:val="18"/>
        </w:rPr>
        <w:t>5. Commitments and Contingencies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Leases</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Palo Alto, California Leases</w:t>
      </w:r>
    </w:p>
    <w:p>
      <w:pPr>
        <w:pStyle w:val="TextBody"/>
        <w:bidi w:val="0"/>
        <w:spacing w:before="120" w:after="283"/>
        <w:jc w:val="left"/>
        <w:rPr>
          <w:rFonts w:ascii="Times New Roman" w:hAnsi="Times New Roman"/>
          <w:sz w:val="20"/>
        </w:rPr>
      </w:pPr>
      <w:r>
        <w:rPr>
          <w:rFonts w:ascii="Montserrat;sans-serif" w:hAnsi="Montserrat;sans-serif"/>
          <w:color w:val="000000"/>
          <w:sz w:val="18"/>
        </w:rPr>
        <w:t>In June 2020, the Company entered into lease agreements for two</w:t>
      </w:r>
      <w:r>
        <w:rPr>
          <w:rFonts w:ascii="Times New Roman" w:hAnsi="Times New Roman"/>
          <w:color w:val="000000"/>
          <w:sz w:val="20"/>
        </w:rPr>
        <w:t xml:space="preserve"> </w:t>
      </w:r>
      <w:r>
        <w:rPr>
          <w:rFonts w:ascii="Montserrat;sans-serif" w:hAnsi="Montserrat;sans-serif"/>
          <w:color w:val="000000"/>
          <w:sz w:val="18"/>
        </w:rPr>
        <w:t>buildings at 1200 and 1250 Page Mill Road in Palo Alto, California, which serve as the Company’s U.S. corporate offices and research and development facilities. The buildings are approximately 73,000</w:t>
      </w:r>
      <w:r>
        <w:rPr>
          <w:rFonts w:ascii="Times New Roman" w:hAnsi="Times New Roman"/>
          <w:color w:val="000000"/>
          <w:sz w:val="20"/>
        </w:rPr>
        <w:t xml:space="preserve"> </w:t>
      </w:r>
      <w:r>
        <w:rPr>
          <w:rFonts w:ascii="Montserrat;sans-serif" w:hAnsi="Montserrat;sans-serif"/>
          <w:color w:val="000000"/>
          <w:sz w:val="18"/>
        </w:rPr>
        <w:t>square feet and 83,000</w:t>
      </w:r>
      <w:r>
        <w:rPr>
          <w:rFonts w:ascii="Times New Roman" w:hAnsi="Times New Roman"/>
          <w:color w:val="000000"/>
          <w:sz w:val="20"/>
        </w:rPr>
        <w:t xml:space="preserve"> </w:t>
      </w:r>
      <w:r>
        <w:rPr>
          <w:rFonts w:ascii="Montserrat;sans-serif" w:hAnsi="Montserrat;sans-serif"/>
          <w:color w:val="000000"/>
          <w:sz w:val="18"/>
        </w:rPr>
        <w:t>square feet, respectively, and include office and laboratory space.</w:t>
      </w:r>
    </w:p>
    <w:p>
      <w:pPr>
        <w:pStyle w:val="TextBody"/>
        <w:bidi w:val="0"/>
        <w:spacing w:before="120" w:after="283"/>
        <w:jc w:val="left"/>
        <w:rPr>
          <w:rFonts w:ascii="Times New Roman" w:hAnsi="Times New Roman"/>
          <w:sz w:val="20"/>
        </w:rPr>
      </w:pPr>
      <w:r>
        <w:rPr>
          <w:rFonts w:ascii="Montserrat;sans-serif" w:hAnsi="Montserrat;sans-serif"/>
          <w:color w:val="000000"/>
          <w:sz w:val="18"/>
        </w:rPr>
        <w:t>The lease term for 1250 Page Mill Road is 13</w:t>
      </w:r>
      <w:r>
        <w:rPr>
          <w:rFonts w:ascii="Times New Roman" w:hAnsi="Times New Roman"/>
          <w:color w:val="000000"/>
          <w:sz w:val="20"/>
        </w:rPr>
        <w:t xml:space="preserve"> </w:t>
      </w:r>
      <w:r>
        <w:rPr>
          <w:rFonts w:ascii="Montserrat;sans-serif" w:hAnsi="Montserrat;sans-serif"/>
          <w:color w:val="000000"/>
          <w:sz w:val="18"/>
        </w:rPr>
        <w:t>years and commenced in July 2020. The lease includes two</w:t>
      </w:r>
      <w:r>
        <w:rPr>
          <w:rFonts w:ascii="Times New Roman" w:hAnsi="Times New Roman"/>
          <w:color w:val="000000"/>
          <w:sz w:val="20"/>
        </w:rPr>
        <w:t xml:space="preserve"> </w:t>
      </w:r>
      <w:r>
        <w:rPr>
          <w:rFonts w:ascii="Montserrat;sans-serif" w:hAnsi="Montserrat;sans-serif"/>
          <w:color w:val="000000"/>
          <w:sz w:val="18"/>
        </w:rPr>
        <w:t>options to extend for a term of five</w:t>
      </w:r>
      <w:r>
        <w:rPr>
          <w:rFonts w:ascii="Times New Roman" w:hAnsi="Times New Roman"/>
          <w:color w:val="000000"/>
          <w:sz w:val="20"/>
        </w:rPr>
        <w:t xml:space="preserve"> </w:t>
      </w:r>
      <w:r>
        <w:rPr>
          <w:rFonts w:ascii="Montserrat;sans-serif" w:hAnsi="Montserrat;sans-serif"/>
          <w:color w:val="000000"/>
          <w:sz w:val="18"/>
        </w:rPr>
        <w:t>years each. The lease term for 1200 Page Mill Road is 6.5</w:t>
      </w:r>
      <w:r>
        <w:rPr>
          <w:rFonts w:ascii="Times New Roman" w:hAnsi="Times New Roman"/>
          <w:color w:val="000000"/>
          <w:sz w:val="20"/>
        </w:rPr>
        <w:t xml:space="preserve"> </w:t>
      </w:r>
      <w:r>
        <w:rPr>
          <w:rFonts w:ascii="Montserrat;sans-serif" w:hAnsi="Montserrat;sans-serif"/>
          <w:color w:val="000000"/>
          <w:sz w:val="18"/>
        </w:rPr>
        <w:t>years and commenced in September 2020. The lease includes an option to extend for another 6.5</w:t>
      </w:r>
      <w:r>
        <w:rPr>
          <w:rFonts w:ascii="Times New Roman" w:hAnsi="Times New Roman"/>
          <w:color w:val="000000"/>
          <w:sz w:val="20"/>
        </w:rPr>
        <w:t xml:space="preserve"> </w:t>
      </w:r>
      <w:r>
        <w:rPr>
          <w:rFonts w:ascii="Montserrat;sans-serif" w:hAnsi="Montserrat;sans-serif"/>
          <w:color w:val="000000"/>
          <w:sz w:val="18"/>
        </w:rPr>
        <w:t>years. In both cases, the Company determined the extension options were not reasonably certain to be exercised at lease inception. In addition to fixed monthly rent, the Company pays for variable operating expenses, such as property taxes, insurance costs, and maintenance costs.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In March 2025, the Company subleased 1200 Page Mill Road. The term of the sublease is from March 2025 to February</w:t>
      </w:r>
      <w:r>
        <w:rPr>
          <w:rFonts w:ascii="Times New Roman" w:hAnsi="Times New Roman"/>
          <w:color w:val="000000"/>
          <w:sz w:val="20"/>
        </w:rPr>
        <w:t xml:space="preserve"> </w:t>
      </w:r>
      <w:r>
        <w:rPr>
          <w:rFonts w:ascii="Montserrat;sans-serif" w:hAnsi="Montserrat;sans-serif"/>
          <w:color w:val="000000"/>
          <w:sz w:val="18"/>
        </w:rPr>
        <w:t>2027, with no option to extend. Future minimum lease payments to be received under the sublease are $4.7</w:t>
      </w:r>
      <w:r>
        <w:rPr>
          <w:rFonts w:ascii="Times New Roman" w:hAnsi="Times New Roman"/>
          <w:color w:val="000000"/>
          <w:sz w:val="20"/>
        </w:rPr>
        <w:t xml:space="preserve"> </w:t>
      </w:r>
      <w:r>
        <w:rPr>
          <w:rFonts w:ascii="Montserrat;sans-serif" w:hAnsi="Montserrat;sans-serif"/>
          <w:color w:val="000000"/>
          <w:sz w:val="18"/>
        </w:rPr>
        <w:t>million for the remainder of 2026 and $0.5</w:t>
      </w:r>
      <w:r>
        <w:rPr>
          <w:rFonts w:ascii="Times New Roman" w:hAnsi="Times New Roman"/>
          <w:color w:val="000000"/>
          <w:sz w:val="20"/>
        </w:rPr>
        <w:t xml:space="preserve"> </w:t>
      </w:r>
      <w:r>
        <w:rPr>
          <w:rFonts w:ascii="Montserrat;sans-serif" w:hAnsi="Montserrat;sans-serif"/>
          <w:color w:val="000000"/>
          <w:sz w:val="18"/>
        </w:rPr>
        <w:t>million for the year ended December 31, 2027. In addition to fixed monthly rent, the sublessee also pays for variable operating expenses. During the three months ended March 31, 2026</w:t>
      </w:r>
      <w:r>
        <w:rPr>
          <w:rFonts w:ascii="Times New Roman" w:hAnsi="Times New Roman"/>
          <w:color w:val="000000"/>
          <w:sz w:val="20"/>
        </w:rPr>
        <w:t xml:space="preserve"> </w:t>
      </w:r>
      <w:r>
        <w:rPr>
          <w:rFonts w:ascii="Montserrat;sans-serif" w:hAnsi="Montserrat;sans-serif"/>
          <w:color w:val="000000"/>
          <w:sz w:val="18"/>
        </w:rPr>
        <w:t>and 2025, the Company recognized $1.9</w:t>
      </w:r>
      <w:r>
        <w:rPr>
          <w:rFonts w:ascii="Times New Roman" w:hAnsi="Times New Roman"/>
          <w:color w:val="000000"/>
          <w:sz w:val="20"/>
        </w:rPr>
        <w:t xml:space="preserve"> </w:t>
      </w:r>
      <w:r>
        <w:rPr>
          <w:rFonts w:ascii="Montserrat;sans-serif" w:hAnsi="Montserrat;sans-serif"/>
          <w:color w:val="000000"/>
          <w:sz w:val="18"/>
        </w:rPr>
        <w:t>million (of which $0.5</w:t>
      </w:r>
      <w:r>
        <w:rPr>
          <w:rFonts w:ascii="Times New Roman" w:hAnsi="Times New Roman"/>
          <w:color w:val="000000"/>
          <w:sz w:val="20"/>
        </w:rPr>
        <w:t xml:space="preserve"> </w:t>
      </w:r>
      <w:r>
        <w:rPr>
          <w:rFonts w:ascii="Montserrat;sans-serif" w:hAnsi="Montserrat;sans-serif"/>
          <w:color w:val="000000"/>
          <w:sz w:val="18"/>
        </w:rPr>
        <w:t>million was variable sublease income) and $0.5</w:t>
      </w:r>
      <w:r>
        <w:rPr>
          <w:rFonts w:ascii="Times New Roman" w:hAnsi="Times New Roman"/>
          <w:color w:val="000000"/>
          <w:sz w:val="20"/>
        </w:rPr>
        <w:t xml:space="preserve"> </w:t>
      </w:r>
      <w:r>
        <w:rPr>
          <w:rFonts w:ascii="Montserrat;sans-serif" w:hAnsi="Montserrat;sans-serif"/>
          <w:color w:val="000000"/>
          <w:sz w:val="18"/>
        </w:rPr>
        <w:t>million of sublease income, respectively. Sublease income is recorded as a reduction to rent expense and included within general and administrative expense. Upon entering the sublease, the Company recognized a non-cash lease impairment expense of $1.9</w:t>
      </w:r>
      <w:r>
        <w:rPr>
          <w:rFonts w:ascii="Times New Roman" w:hAnsi="Times New Roman"/>
          <w:color w:val="000000"/>
          <w:sz w:val="20"/>
        </w:rPr>
        <w:t xml:space="preserve"> </w:t>
      </w:r>
      <w:r>
        <w:rPr>
          <w:rFonts w:ascii="Montserrat;sans-serif" w:hAnsi="Montserrat;sans-serif"/>
          <w:color w:val="000000"/>
          <w:sz w:val="18"/>
        </w:rPr>
        <w:t>million in the first quarter of 2025 (included within general and administrative expense) because the remaining lease cost to be recognized by the Company exceeded anticipated sublease income. See Note 4 for discussion of inputs used in determining the impairment.</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Switzerland Lease</w:t>
      </w:r>
    </w:p>
    <w:p>
      <w:pPr>
        <w:pStyle w:val="TextBody"/>
        <w:bidi w:val="0"/>
        <w:spacing w:before="120" w:after="283"/>
        <w:jc w:val="left"/>
        <w:rPr>
          <w:rFonts w:ascii="Times New Roman" w:hAnsi="Times New Roman"/>
          <w:sz w:val="20"/>
        </w:rPr>
      </w:pPr>
      <w:r>
        <w:rPr>
          <w:rFonts w:ascii="Montserrat;sans-serif" w:hAnsi="Montserrat;sans-serif"/>
          <w:color w:val="000000"/>
          <w:sz w:val="18"/>
        </w:rPr>
        <w:t>In April 2020, the Company entered into a lease agreement for approximately 1,000</w:t>
      </w:r>
      <w:r>
        <w:rPr>
          <w:rFonts w:ascii="Times New Roman" w:hAnsi="Times New Roman"/>
          <w:color w:val="000000"/>
          <w:sz w:val="20"/>
        </w:rPr>
        <w:t xml:space="preserve"> </w:t>
      </w:r>
      <w:r>
        <w:rPr>
          <w:rFonts w:ascii="Montserrat;sans-serif" w:hAnsi="Montserrat;sans-serif"/>
          <w:color w:val="000000"/>
          <w:sz w:val="18"/>
        </w:rPr>
        <w:t>square meters of office and laboratory space in Visp, Switzerland. The initial lease term is 5</w:t>
      </w:r>
      <w:r>
        <w:rPr>
          <w:rFonts w:ascii="Times New Roman" w:hAnsi="Times New Roman"/>
          <w:color w:val="000000"/>
          <w:sz w:val="20"/>
        </w:rPr>
        <w:t xml:space="preserve"> </w:t>
      </w:r>
      <w:r>
        <w:rPr>
          <w:rFonts w:ascii="Montserrat;sans-serif" w:hAnsi="Montserrat;sans-serif"/>
          <w:color w:val="000000"/>
          <w:sz w:val="18"/>
        </w:rPr>
        <w:t>years, with automatic renewals every 5</w:t>
      </w:r>
      <w:r>
        <w:rPr>
          <w:rFonts w:ascii="Times New Roman" w:hAnsi="Times New Roman"/>
          <w:color w:val="000000"/>
          <w:sz w:val="20"/>
        </w:rPr>
        <w:t xml:space="preserve"> </w:t>
      </w:r>
      <w:r>
        <w:rPr>
          <w:rFonts w:ascii="Montserrat;sans-serif" w:hAnsi="Montserrat;sans-serif"/>
          <w:color w:val="000000"/>
          <w:sz w:val="18"/>
        </w:rPr>
        <w:t>years for a maximum lease term of 15</w:t>
      </w:r>
      <w:r>
        <w:rPr>
          <w:rFonts w:ascii="Times New Roman" w:hAnsi="Times New Roman"/>
          <w:color w:val="000000"/>
          <w:sz w:val="20"/>
        </w:rPr>
        <w:t xml:space="preserve"> </w:t>
      </w:r>
      <w:r>
        <w:rPr>
          <w:rFonts w:ascii="Montserrat;sans-serif" w:hAnsi="Montserrat;sans-serif"/>
          <w:color w:val="000000"/>
          <w:sz w:val="18"/>
        </w:rPr>
        <w:t>years. In addition to fixed monthly rent, the Company pays certain operating expenses and taxes.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Ursus Facility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suite.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Manufacturing Agreements</w:t>
      </w:r>
    </w:p>
    <w:p>
      <w:pPr>
        <w:pStyle w:val="TextBody"/>
        <w:bidi w:val="0"/>
        <w:spacing w:before="120" w:after="283"/>
        <w:jc w:val="left"/>
        <w:rPr>
          <w:rFonts w:ascii="Times New Roman" w:hAnsi="Times New Roman"/>
          <w:sz w:val="20"/>
        </w:rPr>
      </w:pPr>
      <w:r>
        <w:rPr>
          <w:rFonts w:ascii="Montserrat;sans-serif" w:hAnsi="Montserrat;sans-serif"/>
          <w:color w:val="000000"/>
          <w:sz w:val="18"/>
        </w:rPr>
        <w:t>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Legal Proceedings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the Company may be subject to various legal proceedings and claims that arise in the ordinary course of its business activities. Management is currently not aware of any matters that could have a material adverse effect on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Times New Roman" w:hAnsi="Times New Roman"/>
          <w:sz w:val="20"/>
        </w:rPr>
      </w:pPr>
      <w:bookmarkStart w:id="14" w:name="fn6_sbc"/>
      <w:bookmarkEnd w:id="14"/>
      <w:r>
        <w:rPr>
          <w:rFonts w:ascii="Montserrat;sans-serif" w:hAnsi="Montserrat;sans-serif"/>
          <w:b/>
          <w:color w:val="000000"/>
          <w:sz w:val="18"/>
        </w:rPr>
        <w:t>6. 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Montserrat;sans-serif" w:hAnsi="Montserrat;sans-serif"/>
          <w:color w:val="000000"/>
          <w:sz w:val="18"/>
        </w:rPr>
        <w:t>Shares of common stock available for issuance under the Company's equity incentive plans at March 31, 2026, were as follows:</w:t>
      </w:r>
      <w:r>
        <w:rPr>
          <w:rFonts w:ascii="Times New Roman" w:hAnsi="Times New Roman"/>
          <w:color w:val="000000"/>
          <w:sz w:val="20"/>
        </w:rPr>
        <w:t xml:space="preserve"> </w:t>
      </w:r>
    </w:p>
    <w:tbl>
      <w:tblPr>
        <w:tblW w:w="5348" w:type="dxa"/>
        <w:jc w:val="left"/>
        <w:tblInd w:w="0" w:type="dxa"/>
        <w:tblLayout w:type="fixed"/>
        <w:tblCellMar>
          <w:top w:w="28" w:type="dxa"/>
          <w:left w:w="28" w:type="dxa"/>
          <w:bottom w:w="28" w:type="dxa"/>
          <w:right w:w="28" w:type="dxa"/>
        </w:tblCellMar>
      </w:tblPr>
      <w:tblGrid>
        <w:gridCol w:w="3361"/>
        <w:gridCol w:w="146"/>
        <w:gridCol w:w="180"/>
        <w:gridCol w:w="1470"/>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22,154,958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2,913,875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Reserved for future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264,858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25,333,691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Montserrat;sans-serif" w:hAnsi="Montserrat;sans-serif"/>
          <w:b/>
          <w:i/>
          <w:color w:val="000000"/>
          <w:sz w:val="18"/>
        </w:rPr>
        <w:t>Stock Options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Stock option activity, including stock options and performance-based stock options under the 2021 Long-Term Performance Incentive Plan (“LTPIP”), 2018 Plan and 2015 Plan is summarized as follows:</w:t>
      </w:r>
    </w:p>
    <w:p>
      <w:pPr>
        <w:pStyle w:val="TextBody"/>
        <w:bidi w:val="0"/>
        <w:jc w:val="left"/>
        <w:rPr/>
      </w:pPr>
      <w:r>
        <w:rPr/>
        <w:t> </w:t>
      </w:r>
    </w:p>
    <w:tbl>
      <w:tblPr>
        <w:tblW w:w="9948" w:type="dxa"/>
        <w:jc w:val="left"/>
        <w:tblInd w:w="0" w:type="dxa"/>
        <w:tblLayout w:type="fixed"/>
        <w:tblCellMar>
          <w:top w:w="28" w:type="dxa"/>
          <w:left w:w="28" w:type="dxa"/>
          <w:bottom w:w="28" w:type="dxa"/>
          <w:right w:w="28" w:type="dxa"/>
        </w:tblCellMar>
      </w:tblPr>
      <w:tblGrid>
        <w:gridCol w:w="3376"/>
        <w:gridCol w:w="146"/>
        <w:gridCol w:w="146"/>
        <w:gridCol w:w="1186"/>
        <w:gridCol w:w="181"/>
        <w:gridCol w:w="146"/>
        <w:gridCol w:w="284"/>
        <w:gridCol w:w="812"/>
        <w:gridCol w:w="146"/>
        <w:gridCol w:w="146"/>
        <w:gridCol w:w="283"/>
        <w:gridCol w:w="1023"/>
        <w:gridCol w:w="146"/>
        <w:gridCol w:w="146"/>
        <w:gridCol w:w="323"/>
        <w:gridCol w:w="1267"/>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w:t>
              <w:br/>
              <w:t>of</w:t>
              <w:br/>
              <w:t>Options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22,223,236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328,282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229,500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(392,362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(43,867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22,016,507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464,413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Restricted Shares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Restricted stock units activity under the 2018 Plan is summarized as follows:</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3106"/>
        <w:gridCol w:w="146"/>
        <w:gridCol w:w="167"/>
        <w:gridCol w:w="1018"/>
        <w:gridCol w:w="181"/>
        <w:gridCol w:w="146"/>
        <w:gridCol w:w="318"/>
        <w:gridCol w:w="912"/>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 of</w:t>
              <w:br/>
              <w:t>Restricted</w:t>
              <w:b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120,820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23,700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(4,869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(1,200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138,451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Stock-Based Compensation Expense</w:t>
      </w:r>
    </w:p>
    <w:p>
      <w:pPr>
        <w:pStyle w:val="TextBody"/>
        <w:bidi w:val="0"/>
        <w:spacing w:before="120" w:after="283"/>
        <w:jc w:val="left"/>
        <w:rPr>
          <w:rFonts w:ascii="Times New Roman" w:hAnsi="Times New Roman"/>
          <w:sz w:val="20"/>
        </w:rPr>
      </w:pPr>
      <w:r>
        <w:rPr>
          <w:rFonts w:ascii="Montserrat;sans-serif" w:hAnsi="Montserrat;sans-serif"/>
          <w:color w:val="000000"/>
          <w:sz w:val="18"/>
        </w:rPr>
        <w:t>Stock-based compensation is classified in the condensed consolidated statements of operations and comprehensive loss as follows (in thousands):</w:t>
      </w:r>
      <w:r>
        <w:rPr>
          <w:rFonts w:ascii="Times New Roman" w:hAnsi="Times New Roman"/>
          <w:color w:val="000000"/>
          <w:sz w:val="20"/>
        </w:rPr>
        <w:t xml:space="preserve"> </w:t>
      </w:r>
    </w:p>
    <w:p>
      <w:pPr>
        <w:pStyle w:val="TextBody"/>
        <w:bidi w:val="0"/>
        <w:jc w:val="left"/>
        <w:rPr/>
      </w:pPr>
      <w:r>
        <w:rPr/>
        <w:t> </w:t>
      </w:r>
    </w:p>
    <w:tbl>
      <w:tblPr>
        <w:tblW w:w="6650" w:type="dxa"/>
        <w:jc w:val="left"/>
        <w:tblInd w:w="0" w:type="dxa"/>
        <w:tblLayout w:type="fixed"/>
        <w:tblCellMar>
          <w:top w:w="28" w:type="dxa"/>
          <w:left w:w="28" w:type="dxa"/>
          <w:bottom w:w="28" w:type="dxa"/>
          <w:right w:w="28" w:type="dxa"/>
        </w:tblCellMar>
      </w:tblPr>
      <w:tblGrid>
        <w:gridCol w:w="3031"/>
        <w:gridCol w:w="146"/>
        <w:gridCol w:w="326"/>
        <w:gridCol w:w="1105"/>
        <w:gridCol w:w="210"/>
        <w:gridCol w:w="210"/>
        <w:gridCol w:w="326"/>
        <w:gridCol w:w="1105"/>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6,189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5,966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8,033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12,155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15,891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Montserrat;sans-serif" w:hAnsi="Montserrat;sans-serif"/>
          <w:b/>
          <w:color w:val="000000"/>
          <w:sz w:val="18"/>
        </w:rPr>
        <w:t>Kodiak Sciences Inc.</w:t>
      </w:r>
      <w:r>
        <w:rPr>
          <w:rFonts w:ascii="Times New Roman" w:hAnsi="Times New Roman"/>
          <w:color w:val="000000"/>
          <w:sz w:val="20"/>
        </w:rPr>
        <w:t xml:space="preserve"> </w:t>
      </w:r>
    </w:p>
    <w:p>
      <w:pPr>
        <w:pStyle w:val="TextBody"/>
        <w:bidi w:val="0"/>
        <w:jc w:val="center"/>
        <w:rPr>
          <w:rFonts w:ascii="Montserrat;sans-serif" w:hAnsi="Montserrat;sans-serif"/>
          <w:b/>
          <w:color w:val="000000"/>
          <w:sz w:val="18"/>
        </w:rPr>
      </w:pPr>
      <w:r>
        <w:rPr>
          <w:rFonts w:ascii="Montserrat;sans-serif" w:hAnsi="Montserrat;sans-serif"/>
          <w:b/>
          <w:color w:val="000000"/>
          <w:sz w:val="18"/>
        </w:rPr>
        <w:t>Notes to Unaudited Condensed Consolidated Financial Statements (Continued)</w:t>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color w:val="000000"/>
          <w:sz w:val="18"/>
        </w:rPr>
        <w:t>The following is a summary of stock-based compensation expense by award type (in thousands):</w:t>
        <w:br/>
      </w:r>
      <w:r>
        <w:rPr>
          <w:rFonts w:ascii="Times New Roman" w:hAnsi="Times New Roman"/>
          <w:color w:val="000000"/>
          <w:sz w:val="20"/>
        </w:rPr>
        <w:t> </w:t>
      </w:r>
    </w:p>
    <w:tbl>
      <w:tblPr>
        <w:tblW w:w="6650" w:type="dxa"/>
        <w:jc w:val="left"/>
        <w:tblInd w:w="0" w:type="dxa"/>
        <w:tblLayout w:type="fixed"/>
        <w:tblCellMar>
          <w:top w:w="28" w:type="dxa"/>
          <w:left w:w="28" w:type="dxa"/>
          <w:bottom w:w="28" w:type="dxa"/>
          <w:right w:w="28" w:type="dxa"/>
        </w:tblCellMar>
      </w:tblPr>
      <w:tblGrid>
        <w:gridCol w:w="3031"/>
        <w:gridCol w:w="146"/>
        <w:gridCol w:w="326"/>
        <w:gridCol w:w="1105"/>
        <w:gridCol w:w="210"/>
        <w:gridCol w:w="210"/>
        <w:gridCol w:w="326"/>
        <w:gridCol w:w="1105"/>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LTPIP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9,457</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2,540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Performance-based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12,155</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15,891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Montserrat;sans-serif" w:hAnsi="Montserrat;sans-serif"/>
          <w:b/>
          <w:color w:val="000000"/>
          <w:sz w:val="18"/>
        </w:rPr>
      </w:pPr>
      <w:bookmarkStart w:id="15" w:name="fn7_segments"/>
      <w:bookmarkEnd w:id="15"/>
      <w:r>
        <w:rPr>
          <w:rFonts w:ascii="Montserrat;sans-serif" w:hAnsi="Montserrat;sans-serif"/>
          <w:b/>
          <w:color w:val="000000"/>
          <w:sz w:val="18"/>
        </w:rPr>
        <w:t>7. Segment Information</w:t>
      </w:r>
    </w:p>
    <w:p>
      <w:pPr>
        <w:pStyle w:val="TextBody"/>
        <w:bidi w:val="0"/>
        <w:spacing w:before="120" w:after="283"/>
        <w:jc w:val="left"/>
        <w:rPr>
          <w:rFonts w:ascii="Times New Roman" w:hAnsi="Times New Roman"/>
          <w:sz w:val="20"/>
        </w:rPr>
      </w:pPr>
      <w:r>
        <w:rPr>
          <w:rFonts w:ascii="Montserrat;sans-serif" w:hAnsi="Montserrat;sans-serif"/>
          <w:color w:val="000000"/>
          <w:sz w:val="18"/>
        </w:rPr>
        <w:t>The Company operates and manages its business as one</w:t>
      </w:r>
      <w:r>
        <w:rPr>
          <w:rFonts w:ascii="Times New Roman" w:hAnsi="Times New Roman"/>
          <w:color w:val="000000"/>
          <w:sz w:val="20"/>
        </w:rPr>
        <w:t xml:space="preserve"> </w:t>
      </w:r>
      <w:r>
        <w:rPr>
          <w:rFonts w:ascii="Montserrat;sans-serif" w:hAnsi="Montserrat;sans-serif"/>
          <w:color w:val="000000"/>
          <w:sz w:val="18"/>
        </w:rPr>
        <w:t>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w:t>
      </w:r>
      <w:r>
        <w:rPr>
          <w:rFonts w:ascii="Times New Roman" w:hAnsi="Times New Roman"/>
          <w:color w:val="000000"/>
          <w:sz w:val="20"/>
        </w:rPr>
        <w:t xml:space="preserve"> </w:t>
      </w:r>
      <w:r>
        <w:rPr>
          <w:rFonts w:ascii="Montserrat;sans-serif" w:hAnsi="Montserrat;sans-serif"/>
          <w:color w:val="000000"/>
          <w:sz w:val="18"/>
        </w:rPr>
        <w:t>The assets are managed on a consolidated basis as reported on the condensed consolidated balance sheets.</w:t>
      </w:r>
      <w:r>
        <w:rPr>
          <w:rFonts w:ascii="Times New Roman" w:hAnsi="Times New Roman"/>
          <w:color w:val="000000"/>
          <w:sz w:val="20"/>
        </w:rPr>
        <w:t xml:space="preserve"> </w:t>
      </w:r>
    </w:p>
    <w:p>
      <w:pPr>
        <w:pStyle w:val="TextBody"/>
        <w:bidi w:val="0"/>
        <w:spacing w:before="120" w:after="240"/>
        <w:jc w:val="left"/>
        <w:rPr>
          <w:rFonts w:ascii="Montserrat;sans-serif" w:hAnsi="Montserrat;sans-serif"/>
          <w:color w:val="000000"/>
          <w:sz w:val="18"/>
        </w:rPr>
      </w:pPr>
      <w:r>
        <w:rPr>
          <w:rFonts w:ascii="Montserrat;sans-serif" w:hAnsi="Montserrat;sans-serif"/>
          <w:color w:val="000000"/>
          <w:sz w:val="18"/>
        </w:rPr>
        <w:t>The significant expense categories within net loss are presented on the condensed consolidated statements of operations. Research and development expenses have been disaggregated as follows (in thousands):</w:t>
      </w:r>
    </w:p>
    <w:tbl>
      <w:tblPr>
        <w:tblW w:w="8840" w:type="dxa"/>
        <w:jc w:val="left"/>
        <w:tblInd w:w="0" w:type="dxa"/>
        <w:tblLayout w:type="fixed"/>
        <w:tblCellMar>
          <w:top w:w="28" w:type="dxa"/>
          <w:left w:w="28" w:type="dxa"/>
          <w:bottom w:w="28" w:type="dxa"/>
          <w:right w:w="28" w:type="dxa"/>
        </w:tblCellMar>
      </w:tblPr>
      <w:tblGrid>
        <w:gridCol w:w="5221"/>
        <w:gridCol w:w="146"/>
        <w:gridCol w:w="326"/>
        <w:gridCol w:w="1105"/>
        <w:gridCol w:w="210"/>
        <w:gridCol w:w="210"/>
        <w:gridCol w:w="326"/>
        <w:gridCol w:w="1105"/>
        <w:gridCol w:w="19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9,945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KSI-501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9,857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KSI-101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7,000</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ABC Platform and other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3,766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14,179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3,800</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48,547</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43,644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Montserrat;sans-serif" w:hAnsi="Montserrat;sans-serif"/>
          <w:color w:val="000000"/>
          <w:sz w:val="18"/>
        </w:rPr>
      </w:pPr>
      <w:r>
        <w:rPr>
          <w:rFonts w:ascii="Montserrat;sans-serif" w:hAnsi="Montserrat;sans-serif"/>
          <w:color w:val="000000"/>
          <w:sz w:val="18"/>
        </w:rPr>
        <w:t>Beginning in 2026, KSI-501 and KSI-101 program expenses are presented as separate line items given increased clinical activities within both programs. Previously, the two programs were presented as a single line item.</w:t>
      </w:r>
    </w:p>
    <w:p>
      <w:pPr>
        <w:pStyle w:val="TextBody"/>
        <w:bidi w:val="0"/>
        <w:jc w:val="left"/>
        <w:rPr/>
      </w:pPr>
      <w:r>
        <w:rPr/>
        <w:t> </w:t>
      </w:r>
    </w:p>
    <w:p>
      <w:pPr>
        <w:pStyle w:val="TextBody"/>
        <w:bidi w:val="0"/>
        <w:jc w:val="left"/>
        <w:rPr>
          <w:rFonts w:ascii="Montserrat;sans-serif" w:hAnsi="Montserrat;sans-serif"/>
          <w:b/>
          <w:color w:val="000000"/>
          <w:sz w:val="18"/>
        </w:rPr>
      </w:pPr>
      <w:bookmarkStart w:id="16" w:name="fn8_nlps"/>
      <w:bookmarkEnd w:id="16"/>
      <w:r>
        <w:rPr>
          <w:rFonts w:ascii="Montserrat;sans-serif" w:hAnsi="Montserrat;sans-serif"/>
          <w:b/>
          <w:color w:val="000000"/>
          <w:sz w:val="18"/>
        </w:rPr>
        <w:t>8. Net Loss per Common Share</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following common share equivalents were excluded from the computation of diluted net loss per common share for the periods presented because their inclusion would have been antidilutive:</w:t>
      </w:r>
      <w:r>
        <w:rPr>
          <w:rFonts w:ascii="Times New Roman" w:hAnsi="Times New Roman"/>
          <w:color w:val="000000"/>
          <w:sz w:val="20"/>
        </w:rPr>
        <w:t xml:space="preserve"> </w:t>
      </w:r>
    </w:p>
    <w:p>
      <w:pPr>
        <w:pStyle w:val="TextBody"/>
        <w:bidi w:val="0"/>
        <w:jc w:val="left"/>
        <w:rPr/>
      </w:pPr>
      <w:r>
        <w:rPr/>
        <w:t> </w:t>
      </w:r>
    </w:p>
    <w:tbl>
      <w:tblPr>
        <w:tblW w:w="6172" w:type="dxa"/>
        <w:jc w:val="left"/>
        <w:tblInd w:w="0" w:type="dxa"/>
        <w:tblLayout w:type="fixed"/>
        <w:tblCellMar>
          <w:top w:w="28" w:type="dxa"/>
          <w:left w:w="28" w:type="dxa"/>
          <w:bottom w:w="28" w:type="dxa"/>
          <w:right w:w="28" w:type="dxa"/>
        </w:tblCellMar>
      </w:tblPr>
      <w:tblGrid>
        <w:gridCol w:w="2551"/>
        <w:gridCol w:w="146"/>
        <w:gridCol w:w="162"/>
        <w:gridCol w:w="1318"/>
        <w:gridCol w:w="162"/>
        <w:gridCol w:w="162"/>
        <w:gridCol w:w="162"/>
        <w:gridCol w:w="1318"/>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22,016,507</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19,710,420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138,451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133,253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38,203</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50,248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22,193,161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19,893,921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7" w:name="i_item2"/>
      <w:bookmarkEnd w:id="17"/>
      <w:r>
        <w:rPr>
          <w:rFonts w:ascii="Montserrat;sans-serif" w:hAnsi="Montserrat;sans-serif"/>
          <w:b/>
          <w:color w:val="000000"/>
          <w:sz w:val="18"/>
        </w:rPr>
        <w:t xml:space="preserve">Item 2. Management’s Discussion and Analysis of </w:t>
      </w:r>
      <w:bookmarkStart w:id="18" w:name="item_2_managements_discussion_analysis_f"/>
      <w:bookmarkEnd w:id="18"/>
      <w:r>
        <w:rPr>
          <w:rFonts w:ascii="Montserrat;sans-serif" w:hAnsi="Montserrat;sans-serif"/>
          <w:b/>
          <w:color w:val="000000"/>
          <w:sz w:val="18"/>
        </w:rPr>
        <w:t>Financial Condition and Results of Operations.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You should read the following discussion and analysis of our financial condition and results of operations together with our unaudited condensed consolidated financial statements and the related notes included elsewhere in this Quarterly Report and with our audited financial statements and related notes thereto and management’s discussion and analysis of financial condition and results of operations for the year ended December 31, 2025, included in our Annual Report on Form 10-K filed with the Securities and Exchange Commission, or the SEC, on March 31, 2026. This discussion and analysis and other parts of this Quarterly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“Part II, Item 1A — Risk Factors” and elsewhere in this Quarterly Report.</w:t>
      </w:r>
    </w:p>
    <w:p>
      <w:pPr>
        <w:pStyle w:val="TextBody"/>
        <w:bidi w:val="0"/>
        <w:jc w:val="left"/>
        <w:rPr>
          <w:rFonts w:ascii="Montserrat;sans-serif" w:hAnsi="Montserrat;sans-serif"/>
          <w:b/>
          <w:color w:val="000000"/>
          <w:sz w:val="18"/>
        </w:rPr>
      </w:pPr>
      <w:r>
        <w:rPr>
          <w:rFonts w:ascii="Montserrat;sans-serif" w:hAnsi="Montserrat;sans-serif"/>
          <w:b/>
          <w:color w:val="000000"/>
          <w:sz w:val="18"/>
        </w:rPr>
        <w:t>Overview</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Sciences (“we”, the “Company” or “Kodiak”) is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Antibody Biopolymer Conjugate ("ABC") Platform uses molecular engineering to merge the fields of protein-based and chemistry-based therapies and has been at the core of our discovery engine. We are developing a portfolio of three late-stage clinical programs, two of which are derived from our ABC platform and one which is platform-independent.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lead investigational medicine, Zenkuda (tarcocimab), is an anti-VEGF antibody biopolymer conjugate under development for the treatment of high prevalence retinal vascular diseases.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 Zenkuda has completed four successful Phase 3 pivotal studies: the Phase 3 GLOW1 and GLOW2 studies in diabetic retinopathy (DR), the Phase 3 BEACON study in retinal vein occlusion (RVO) and the Phase 3 DAYLIGHT study in wet AMD. Zenkuda is currently being studied in one Phase 3 clinical trial, DAYBREAK in patients with wet AMD. DAYBREAK has completed enrollment. We intend to file a Biologics License Application (“BLA”) in DR, RVO and wet AMD in 2026.</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our second investigational medicine, is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has completed enrollment.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our third investigational medicine, is a high strength (100 mg/mL) antibody-based therapy with a bispecific mechanism of action targeting both interleukin-6 (IL-6) and VEGF. We are developing KSI-101 for patients with macular edema (retinal fluid) secondary to inflammation (“MESI”). Data from our dose-finding Phase 1b APEX study demonstrated robust anatomical and visual responses across MESI patients. More than half of patients achieved ≥15-letter gains in best corrected visual acuity ("BCVA"), with additional benefit at higher dose levels. Rapid vision improvements and anatomical response was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The PEAK and PINNACLE studies are actively enrolling.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With regards to our pipeline programs, dual cytokine-targeting bispecific antibody programs KSI-102 (anti-TNFa/IL-6) and KSI-103 (anti-IL-1/IL-6) continue to progress through pre-IND activities, targeting diseases of ocular inflammation. Retina duet programs in glaucoma and geographic atrophy built with ABC platform continue to progress.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VETi (Visual Engagement Technology and imager) program has achieved significant advancements in hardware, software and algorithms development. VETi is our AI- and machine-learning-enabled wearable headset with applications in retina care alongside broader opportunities in identity security and cognitive sciences.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a dedicated commercial-scale drug substance manufacturing facility that was custom-designed and built in collaboration with Lonza. We believe these manufacturing capabilities could position us for potential market share capture if tarcocimab and KSI-501 are approved.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Recent Updates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Zenkuda (tarcocimab) Clinical Program Update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Zenkuda is an investigational anti-VEGF therapy built on our proprietary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Topline results for the DAYBREAK one-year primary endpoint are expected in 3Q 2026.</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GLOW1 and GLOW2</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GLOW1 and GLOW2 were prospective, randomized, double-masked, sham-controlled, multicenter Phase 3 studies evaluating Zenkuda 5mg in participants with diabetic retinopathy. Both studies employed extended-interval dosing regimens with an ultimate treatment interval of every six months. The primary endpoint was the proportion of eyes improving by ≥2 steps on the Diabetic Retinopathy Severity Scale ("DRSS") from baseline to Week 48. Additional outcome measures include the proportion of eyes developing a sight-threatening complication of diabetic retinopathy and the proportion of eyes improving ≥3 steps on DRSS from baseline to Week 48.</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the GLOW1 study, patients were randomized 1:1 to receive either sham injections or Zenkuda via intravitreal injection at baseline, Week 8, Week 20 and Week 44, for a planned four injections in year one. The Phase 3 GLOW1 study demonstrated that, with extended 6-month dosing in every patient, Zenkuda can achieve strong efficacy both in treating existing disease (primary endpoint) and preventing vision threatening complications and disease progression (key secondary endpoint). In GLOW1, Zenkuda met its primary endpoint of the proportion of patients with at least a 2-step improvement on the DRSS score with 41.1% of Zenkuda-treated patients demonstrating at least a 2-step improvement versus 1.4% of patients in the sham group, a 29-fold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89% decreased risk (2.3% with Zenkuda versus 21.0% with sham, p-value &lt; 0.0001).</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Phase 3 GLOW2 study was designed as a confirmatory study to the Phase 3 GLOW1 study. Patients were randomized 1:1 to receive either sham injections or Zenkuda via intravitreal injection at baseline, Week 4, Week 8, Week 20 and Week 44, for a planned five injections in year one. The Phase 3 GLOW2 study confirmed findings from GLOW1 that, with extended 6-month dosing in all Zenkuda-treated patients, Zenkuda can achieve strong efficacy both in treating existing disease (primary endpoint) and preventing vision threatening complications and disease progression (key secondary endpoint). In GLOW2, Zenkuda met its primary endpoint of the proportion of patients with at least a 2-step improvement on the DRSS, with 62.5% of Zenkuda-treated patients demonstrating at least a 2-step improvement versus 3.3% of patients in the sham group, a 19-fold increased response rate ratio (p-value &lt; 0.0001). Zenkuda also met all key secondary endpoints, including greater reductions in the proportion of patients developing sight-threatening complications (such as diabetic macular edema and proliferative diabetic retinopathy), versus sham, demonstrating an 85% decreased risk (2.4% with Zenkuda versus 15.8% with sham, p-value ≤ 0.0001). Zenkuda also demonstrated strong efficacy independent of concomitant GLP-1 receptor agonist use. In Zenkuda-treated patients, the proportion achieving a ≥2-step improvement in DRSS was 60.0% among those using GLP-1 medications versus 64.3% among those not using GLP-1 medications, supporting Zenkuda’s efficacy profile in a real-world diabetic population. Zenkuda was well-tolerated with low rates of common ocular adverse events. No cases of intraocular inflammation were reported in the study, and no cases of retinal vasculitis or occlusive retinal vasculitis were observed. The incidence of cataract in the study eye was low (2.3% with Zenkuda versus 1.6% with sham) and in line with expected background rates in patients with DR.</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DAYBREAK (and Zenkuda)</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("CST") and vision loss. The objectives for Zenkuda in DAYBREAK are to assess its durability potential,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3Q 2026.</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Zenkuda and BLA Planning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plan to submit a BLA for Zenkuda supported by the confirmatory GLOW1 and GLOW2 studies in diabetic retinopathy, the BEACON Study in retinal vein occlusion, and the DAYLIGHT Study in wet AMD and intends to work with the FDA on timing of the submission in order to include the ongoing Phase 3 DAYBREAK wet AMD study, if successful, in the BLA.</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KSI-501 Clinical Program Update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advanced KSI-501 into the Phase 3 study DAYBREAK to evaluate its efficacy and safety in wet AMD. DAYBREAK has completed enrollment. DAYBREAK uses KSI-501's enhanced 50 mg/mL formulation containing both conjugated and unconjugated antibody that is intended to balance immediacy and durability.</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DAYBREAK (and KSI-501)</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3Q 2026.</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KSI-101 Clinical Program Update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is a high strength (100 mg/mL) bispecific protein targeting IL-6 and VEGF. We are developing KSI-101 for patients with MESI. MESI is a heterogeneous group of diseases that clinically present with macular edema and visual impairment which are caused by a common pathophysiology–inflammation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completed dose-finding Phase 1b study APEX evaluated KSI-101 in two cohorts, Cohort 1 in patients with DME and Cohort 2 in patients with MESI. APEX demonstrated that KSI-101 provides meaningful visual and anatomical gains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Based on APEX, the top two dose levels tested were selected to advance into the Phase 3 program. The PEAK and PINNACLE Phase 3 studies are actively enrolling MESI subjects at the 5 mg and 10 mg dose levels versus sham.</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About PEAK and PINNACLE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PEAK and PINNACLE are expected in 4Q 2026 and 2Q 2027, respectively.</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Pipeline Programs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advancing our platform technology to embed small molecules and other active pharmaceutical ingredients (“API”) into our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or ABCD Platform, because we are extending our platform capabilities to include the conjugation of small molecule drugs whereas historically we primarily conjugated biologics such as antibodies.</w:t>
      </w:r>
    </w:p>
    <w:p>
      <w:pPr>
        <w:pStyle w:val="TextBody"/>
        <w:bidi w:val="0"/>
        <w:spacing w:before="120" w:after="283"/>
        <w:jc w:val="left"/>
        <w:rPr>
          <w:rFonts w:ascii="Times New Roman" w:hAnsi="Times New Roman"/>
          <w:sz w:val="20"/>
        </w:rPr>
      </w:pPr>
      <w:r>
        <w:rPr>
          <w:rFonts w:ascii="Montserrat;sans-serif" w:hAnsi="Montserrat;sans-serif"/>
          <w:color w:val="000000"/>
          <w:sz w:val="18"/>
        </w:rPr>
        <w:t>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second program is for the treatment of geographic atrophy (“GA”). There are two approved therapies, both complement inhibitors, and they require monthly or every other month intravitreal injections and neither sufficiently halts disease progression. This program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retina duet programs in glaucoma and GA built with our ABC platform continue to progress towards IND.</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Digital Health Platform Development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made tremendous progress with our digital health and artificial intelligence capabilities through the VETi (Visual Engagement Technology and Imager) platform. Progress across hardware, software and machine learning is enabling the development of an AI-powered wearable headset with applications in retina care, alongside broader opportunities in identity security and cognitive science. This progress is reflective of our long term planning and execution towards an enhanced identity as a vision sciences company, integrating proprietary therapeutics and next-generation vision technologies.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i/>
          <w:color w:val="000000"/>
          <w:sz w:val="18"/>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i/>
          <w:color w:val="000000"/>
          <w:sz w:val="18"/>
        </w:rPr>
        <w:t>General and Administrative Expenses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Montserrat;sans-serif" w:hAnsi="Montserrat;sans-serif"/>
          <w:i/>
          <w:color w:val="000000"/>
          <w:sz w:val="18"/>
        </w:rPr>
        <w:t>Interest Income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Montserrat;sans-serif" w:hAnsi="Montserrat;sans-serif"/>
          <w:i/>
          <w:color w:val="000000"/>
          <w:sz w:val="18"/>
        </w:rPr>
        <w:t>Other Income (Expense), Net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Other income (expense), net consists primarily of tax expense.</w:t>
      </w:r>
    </w:p>
    <w:p>
      <w:pPr>
        <w:pStyle w:val="TextBody"/>
        <w:bidi w:val="0"/>
        <w:spacing w:before="240" w:after="283"/>
        <w:jc w:val="left"/>
        <w:rPr>
          <w:rFonts w:ascii="Times New Roman" w:hAnsi="Times New Roman"/>
          <w:sz w:val="20"/>
        </w:rPr>
      </w:pPr>
      <w:r>
        <w:rPr>
          <w:rFonts w:ascii="Montserrat;sans-serif" w:hAnsi="Montserrat;sans-serif"/>
          <w:b/>
          <w:color w:val="000000"/>
          <w:sz w:val="18"/>
        </w:rPr>
        <w:t>Results of Operations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following table summarizes the results of our operations for the periods indicated, in thousands:</w:t>
      </w:r>
    </w:p>
    <w:p>
      <w:pPr>
        <w:pStyle w:val="TextBody"/>
        <w:bidi w:val="0"/>
        <w:jc w:val="left"/>
        <w:rPr/>
      </w:pPr>
      <w:r>
        <w:rPr/>
        <w:t> </w:t>
      </w:r>
    </w:p>
    <w:tbl>
      <w:tblPr>
        <w:tblW w:w="7038" w:type="dxa"/>
        <w:jc w:val="left"/>
        <w:tblInd w:w="0" w:type="dxa"/>
        <w:tblLayout w:type="fixed"/>
        <w:tblCellMar>
          <w:top w:w="28" w:type="dxa"/>
          <w:left w:w="28" w:type="dxa"/>
          <w:bottom w:w="28" w:type="dxa"/>
          <w:right w:w="28" w:type="dxa"/>
        </w:tblCellMar>
      </w:tblPr>
      <w:tblGrid>
        <w:gridCol w:w="2831"/>
        <w:gridCol w:w="146"/>
        <w:gridCol w:w="226"/>
        <w:gridCol w:w="841"/>
        <w:gridCol w:w="181"/>
        <w:gridCol w:w="146"/>
        <w:gridCol w:w="226"/>
        <w:gridCol w:w="841"/>
        <w:gridCol w:w="181"/>
        <w:gridCol w:w="146"/>
        <w:gridCol w:w="226"/>
        <w:gridCol w:w="721"/>
        <w:gridCol w:w="326"/>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 xml:space="preserve">Three Months Ended </w:t>
              <w:br/>
              <w:t>  March 31,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48,547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43,644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4,903</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11,230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15,429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(4,199</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(59,777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(59,073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(704</w:t>
            </w:r>
          </w:p>
        </w:tc>
        <w:tc>
          <w:tcPr>
            <w:tcW w:w="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1,641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1,602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39</w:t>
            </w:r>
          </w:p>
        </w:tc>
        <w:tc>
          <w:tcPr>
            <w:tcW w:w="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(32</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(58,158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(57,461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(697</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i/>
          <w:color w:val="000000"/>
          <w:sz w:val="18"/>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The following table summarizes our research and development expenses for the periods indicated, in thousands:</w:t>
      </w:r>
    </w:p>
    <w:p>
      <w:pPr>
        <w:pStyle w:val="TextBody"/>
        <w:bidi w:val="0"/>
        <w:jc w:val="left"/>
        <w:rPr/>
      </w:pPr>
      <w:r>
        <w:rPr/>
        <w:t> </w:t>
      </w:r>
    </w:p>
    <w:tbl>
      <w:tblPr>
        <w:tblW w:w="9110" w:type="dxa"/>
        <w:jc w:val="left"/>
        <w:tblInd w:w="0" w:type="dxa"/>
        <w:tblLayout w:type="fixed"/>
        <w:tblCellMar>
          <w:top w:w="28" w:type="dxa"/>
          <w:left w:w="28" w:type="dxa"/>
          <w:bottom w:w="28" w:type="dxa"/>
          <w:right w:w="28" w:type="dxa"/>
        </w:tblCellMar>
      </w:tblPr>
      <w:tblGrid>
        <w:gridCol w:w="5221"/>
        <w:gridCol w:w="146"/>
        <w:gridCol w:w="226"/>
        <w:gridCol w:w="767"/>
        <w:gridCol w:w="146"/>
        <w:gridCol w:w="146"/>
        <w:gridCol w:w="226"/>
        <w:gridCol w:w="767"/>
        <w:gridCol w:w="146"/>
        <w:gridCol w:w="146"/>
        <w:gridCol w:w="226"/>
        <w:gridCol w:w="721"/>
        <w:gridCol w:w="226"/>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 xml:space="preserve">Three Months Ended </w:t>
              <w:br/>
              <w:t>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Change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KSI-501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KSI-101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ABC Platform and other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Payroll and personnel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3,800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(1,436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Montserrat;sans-serif" w:hAnsi="Montserrat;sans-serif"/>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48,547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43,644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4,903</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Montserrat;sans-serif" w:hAnsi="Montserrat;sans-serif"/>
          <w:color w:val="000000"/>
          <w:sz w:val="18"/>
        </w:rPr>
      </w:pPr>
      <w:r>
        <w:rPr>
          <w:rFonts w:ascii="Montserrat;sans-serif" w:hAnsi="Montserrat;sans-serif"/>
          <w:color w:val="000000"/>
          <w:sz w:val="18"/>
        </w:rPr>
        <w:t>Beginning in 2026, KSI-501 and KSI-101 program expenses are presented as separate line items given increased clinical activities within both programs. Previously, the two programs were presented as a single line item.</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Tarcocimab program expenses decreased $4.3 million during the three months ended March 31, 2026, as compared to the same period in 2025, driven by reduced manufacturing expenses. Increased costs related to the DAYBREAK clinical trial (a study for both tarcocimab and KSI-501) were offset by lower costs from the GLOW2 clinical trial that completed during the first quarter of 2026.</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KSI-501 program expenses increased $6.6 million during the three months ended March 31, 2026, as compared to the same period in 2025, due to increased costs related to the DAYBREAK clinical trial (a study for both KSI-501 and tarcocimab), as well as increased manufacturing expenses as we ramp up KSI-501 production activities.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KSI-101 program expenses increased $6.1 million during the three months ended March 31, 2026, as compared to the same period in 2025, due to increased costs related to the PEAK/PINNACLE clinical trials.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ABC Platform and other program expenses decreased $1.9 million during the three months ended March 31, 2026, as compared to the same period in 2025, due to decreased biopolymer manufacturing activities in the current year.</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Payroll and personnel expenses remained relatively flat during the three months ended March 31, 2026, as compared to the same period in 2025.</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Facilities and other research and development expenses decreased $1.4 million during the three months ended March 31, 2026, as compared to the same period in 2025, primarily due to a reduction in the amount of rent expense allocated to R&amp;D following the sublease of one of our corporate office buildings in early 2025.</w:t>
      </w:r>
    </w:p>
    <w:p>
      <w:pPr>
        <w:pStyle w:val="TextBody"/>
        <w:bidi w:val="0"/>
        <w:spacing w:before="240" w:after="283"/>
        <w:jc w:val="left"/>
        <w:rPr>
          <w:rFonts w:ascii="Montserrat;sans-serif" w:hAnsi="Montserrat;sans-serif"/>
          <w:i/>
          <w:color w:val="000000"/>
          <w:sz w:val="18"/>
        </w:rPr>
      </w:pPr>
      <w:r>
        <w:rPr>
          <w:rFonts w:ascii="Montserrat;sans-serif" w:hAnsi="Montserrat;sans-serif"/>
          <w:i/>
          <w:color w:val="000000"/>
          <w:sz w:val="18"/>
        </w:rPr>
        <w:t>General and Administrative Expenses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and administrative expenses decreased $4.2 million during the three months ended March 31, 2026, as compared to the same period in 2025, due to lower stock compensation expense as we are no longer recognizing expense associated with older, higher-value stock awards that fully vested; a reduction in facilities costs driven by lower net rent expense after subleasing one of our Palo Alto buildings; and a non-recurring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Montserrat;sans-serif" w:hAnsi="Montserrat;sans-serif"/>
          <w:b/>
          <w:color w:val="000000"/>
          <w:sz w:val="18"/>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Sources of Liquidity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funded our operations primarily through the issuance of common stock and the sale of future royalties. As of March 31, 2026, we had cash and cash equivalents of $169.5 million. We believe that our current cash and cash equivalents will be sufficient to support our current and planned operations into 2027.</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Future Funding Requirements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incurred net losses and negative cash flows from operations since inception. As of March 31, 2026, we had an accumulated deficit of $1,617 million.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sz w:val="20"/>
        </w:rPr>
      </w:pPr>
      <w:r>
        <w:rPr>
          <w:rFonts w:ascii="Montserrat;sans-serif" w:hAnsi="Montserrat;sans-serif"/>
          <w:color w:val="000000"/>
          <w:sz w:val="18"/>
        </w:rPr>
        <w:t>We plan to raise additional capital to maintain current operations and to continue research and development activities. If we raise additional funds by issuing equity securities, our stockholders will experience dilution. Any future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debt financing into which we 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scope and costs of manufacturing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 and timing associated with commercializing our product candidates, if they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costs associated with being a public company.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While we and our key clinical and manufacturing partners have been able to continue to advance our operations,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Summary Statement of Cash Flows</w:t>
      </w:r>
      <w:r>
        <w:rPr>
          <w:rFonts w:ascii="Times New Roman" w:hAnsi="Times New Roman"/>
          <w:color w:val="000000"/>
          <w:sz w:val="20"/>
        </w:rPr>
        <w:t xml:space="preserve"> </w:t>
      </w:r>
    </w:p>
    <w:p>
      <w:pPr>
        <w:pStyle w:val="TextBody"/>
        <w:bidi w:val="0"/>
        <w:spacing w:before="120" w:after="120"/>
        <w:jc w:val="left"/>
        <w:rPr>
          <w:rFonts w:ascii="Montserrat;sans-serif" w:hAnsi="Montserrat;sans-serif"/>
          <w:color w:val="000000"/>
          <w:sz w:val="18"/>
        </w:rPr>
      </w:pPr>
      <w:r>
        <w:rPr>
          <w:rFonts w:ascii="Montserrat;sans-serif" w:hAnsi="Montserrat;sans-serif"/>
          <w:color w:val="000000"/>
          <w:sz w:val="18"/>
        </w:rPr>
        <w:t>The following table sets forth the primary sources and uses of cash for each of the periods presented below, in thousands:</w:t>
      </w:r>
    </w:p>
    <w:tbl>
      <w:tblPr>
        <w:tblW w:w="9479" w:type="dxa"/>
        <w:jc w:val="left"/>
        <w:tblInd w:w="0" w:type="dxa"/>
        <w:tblLayout w:type="fixed"/>
        <w:tblCellMar>
          <w:top w:w="28" w:type="dxa"/>
          <w:left w:w="28" w:type="dxa"/>
          <w:bottom w:w="28" w:type="dxa"/>
          <w:right w:w="28" w:type="dxa"/>
        </w:tblCellMar>
      </w:tblPr>
      <w:tblGrid>
        <w:gridCol w:w="5661"/>
        <w:gridCol w:w="146"/>
        <w:gridCol w:w="301"/>
        <w:gridCol w:w="1122"/>
        <w:gridCol w:w="241"/>
        <w:gridCol w:w="194"/>
        <w:gridCol w:w="301"/>
        <w:gridCol w:w="1122"/>
        <w:gridCol w:w="391"/>
      </w:tblGrid>
      <w:tr>
        <w:trPr/>
        <w:tc>
          <w:tcPr>
            <w:tcW w:w="5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(29,077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(942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w:t>
            </w:r>
          </w:p>
        </w:tc>
      </w:tr>
      <w:tr>
        <w:trPr/>
        <w:tc>
          <w:tcPr>
            <w:tcW w:w="5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Montserrat;sans-serif" w:hAnsi="Montserrat;sans-serif"/>
                <w:color w:val="000000"/>
                <w:sz w:val="18"/>
              </w:rPr>
            </w:pPr>
            <w:r>
              <w:rPr>
                <w:rFonts w:ascii="Montserrat;sans-serif" w:hAnsi="Montserrat;sans-serif"/>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(40,332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(29,223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bl>
    <w:p>
      <w:pPr>
        <w:pStyle w:val="TextBody"/>
        <w:bidi w:val="0"/>
        <w:spacing w:before="160" w:after="283"/>
        <w:jc w:val="left"/>
        <w:rPr>
          <w:rFonts w:ascii="Times New Roman" w:hAnsi="Times New Roman"/>
          <w:sz w:val="20"/>
        </w:rPr>
      </w:pPr>
      <w:r>
        <w:rPr>
          <w:rFonts w:ascii="Montserrat;sans-serif" w:hAnsi="Montserrat;sans-serif"/>
          <w:i/>
          <w:color w:val="000000"/>
          <w:sz w:val="18"/>
        </w:rPr>
        <w:t>Cash Flows from Operating Activities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Net cash used in operating activities was $40.0 million for the three months ended March 31, 2026, based on operational spend of $39.7 million and changes in operating assets and liabilities of $0.3 million.</w:t>
      </w:r>
    </w:p>
    <w:p>
      <w:pPr>
        <w:pStyle w:val="TextBody"/>
        <w:bidi w:val="0"/>
        <w:spacing w:before="240" w:after="283"/>
        <w:jc w:val="left"/>
        <w:rPr>
          <w:rFonts w:ascii="Times New Roman" w:hAnsi="Times New Roman"/>
          <w:sz w:val="20"/>
        </w:rPr>
      </w:pPr>
      <w:r>
        <w:rPr>
          <w:rFonts w:ascii="Montserrat;sans-serif" w:hAnsi="Montserrat;sans-serif"/>
          <w:b/>
          <w:color w:val="000000"/>
          <w:sz w:val="18"/>
        </w:rPr>
        <w:t>Contractual Obligations and Commitments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2025, which was filed with the SEC on March 31, 2026. There have been no material changes in our contractual obligations and commitments since December 31, 2025, except as otherwise described in Note 5 to our condensed consolidated financial statements included in this report.</w:t>
      </w:r>
    </w:p>
    <w:p>
      <w:pPr>
        <w:pStyle w:val="TextBody"/>
        <w:bidi w:val="0"/>
        <w:spacing w:before="240" w:after="283"/>
        <w:jc w:val="left"/>
        <w:rPr>
          <w:rFonts w:ascii="Times New Roman" w:hAnsi="Times New Roman"/>
          <w:sz w:val="20"/>
        </w:rPr>
      </w:pPr>
      <w:r>
        <w:rPr>
          <w:rFonts w:ascii="Montserrat;sans-serif" w:hAnsi="Montserrat;sans-serif"/>
          <w:b/>
          <w:color w:val="000000"/>
          <w:sz w:val="18"/>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condensed consolidated financial statements have been prepared in accordance with U.S. generally accepted accounting principles, or GAAP. The preparation of these condensed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During the three months ended March 31, 2026, there were no material changes to our critical accounting policies as reported in our Annual Report on Form 10-K for the year ended December 31, 2025, which was filed with the SEC on March 31, 2026, except as otherwise described in Note 2 to our condensed consolidated financial statements included in this report.</w:t>
      </w:r>
    </w:p>
    <w:p>
      <w:pPr>
        <w:pStyle w:val="TextBody"/>
        <w:bidi w:val="0"/>
        <w:spacing w:before="240" w:after="283"/>
        <w:jc w:val="left"/>
        <w:rPr>
          <w:rFonts w:ascii="Times New Roman" w:hAnsi="Times New Roman"/>
          <w:sz w:val="20"/>
        </w:rPr>
      </w:pPr>
      <w:r>
        <w:rPr>
          <w:rFonts w:ascii="Montserrat;sans-serif" w:hAnsi="Montserrat;sans-serif"/>
          <w:b/>
          <w:color w:val="000000"/>
          <w:sz w:val="18"/>
        </w:rPr>
        <w:t>Recent Accounting Pronouncements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 description of recently issued accounting pronouncements that may potentially impact our financial position and results of operations is discussed under Note 2 to our condensed consolidated financial statements included in this report.</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_item3"/>
      <w:bookmarkEnd w:id="19"/>
      <w:r>
        <w:rPr>
          <w:rFonts w:ascii="Montserrat;sans-serif" w:hAnsi="Montserrat;sans-serif"/>
          <w:b/>
          <w:color w:val="000000"/>
          <w:sz w:val="18"/>
        </w:rPr>
        <w:t>Item 3. Quantitative and Qualitati</w:t>
      </w:r>
      <w:bookmarkStart w:id="20" w:name="item_3_quantitative_qualitative_disclosu"/>
      <w:bookmarkEnd w:id="20"/>
      <w:r>
        <w:rPr>
          <w:rFonts w:ascii="Montserrat;sans-serif" w:hAnsi="Montserrat;sans-serif"/>
          <w:b/>
          <w:color w:val="000000"/>
          <w:sz w:val="18"/>
        </w:rPr>
        <w:t>ve Disclosures About Market Risk.</w:t>
      </w:r>
    </w:p>
    <w:p>
      <w:pPr>
        <w:pStyle w:val="TextBody"/>
        <w:bidi w:val="0"/>
        <w:spacing w:before="120" w:after="283"/>
        <w:jc w:val="left"/>
        <w:rPr>
          <w:rFonts w:ascii="Montserrat;sans-serif" w:hAnsi="Montserrat;sans-serif"/>
          <w:color w:val="000000"/>
          <w:sz w:val="18"/>
        </w:rPr>
      </w:pPr>
      <w:bookmarkStart w:id="21" w:name="s161692780"/>
      <w:bookmarkEnd w:id="21"/>
      <w:r>
        <w:rPr>
          <w:rFonts w:ascii="Montserrat;sans-serif" w:hAnsi="Montserrat;sans-serif"/>
          <w:color w:val="000000"/>
          <w:sz w:val="18"/>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sz w:val="20"/>
        </w:rPr>
      </w:pPr>
      <w:bookmarkStart w:id="22" w:name="item_4_controls_procedures"/>
      <w:bookmarkEnd w:id="22"/>
      <w:r>
        <w:rPr>
          <w:rFonts w:ascii="Montserrat;sans-serif" w:hAnsi="Montserrat;sans-serif"/>
          <w:b/>
          <w:color w:val="000000"/>
          <w:sz w:val="18"/>
        </w:rPr>
        <w:t>Item 4. Controls</w:t>
      </w:r>
      <w:r>
        <w:rPr>
          <w:rFonts w:ascii="Times New Roman" w:hAnsi="Times New Roman"/>
          <w:color w:val="000000"/>
          <w:sz w:val="20"/>
        </w:rPr>
        <w:t xml:space="preserve"> </w:t>
      </w:r>
      <w:r>
        <w:rPr>
          <w:rFonts w:ascii="Montserrat;sans-serif" w:hAnsi="Montserrat;sans-serif"/>
          <w:b/>
          <w:color w:val="000000"/>
          <w:sz w:val="18"/>
        </w:rPr>
        <w:t>and Procedures.</w:t>
      </w:r>
    </w:p>
    <w:p>
      <w:pPr>
        <w:pStyle w:val="TextBody"/>
        <w:bidi w:val="0"/>
        <w:spacing w:before="120" w:after="283"/>
        <w:jc w:val="left"/>
        <w:rPr>
          <w:rFonts w:ascii="Montserrat;sans-serif" w:hAnsi="Montserrat;sans-serif"/>
          <w:i/>
          <w:color w:val="000000"/>
          <w:sz w:val="18"/>
        </w:rPr>
      </w:pPr>
      <w:r>
        <w:rPr>
          <w:rFonts w:ascii="Montserrat;sans-serif" w:hAnsi="Montserrat;sans-serif"/>
          <w:i/>
          <w:color w:val="000000"/>
          <w:sz w:val="18"/>
        </w:rPr>
        <w:t>Management’s Evaluation of our Disclosure Controls and Procedures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March 31, 2026. Based upon such evaluation, our principal executive officer and principal financial officer concluded that the design and operation of our disclosure controls and procedures were effective at a reasonable assurance level as of March 31, 2026.</w:t>
      </w:r>
    </w:p>
    <w:p>
      <w:pPr>
        <w:pStyle w:val="TextBody"/>
        <w:bidi w:val="0"/>
        <w:spacing w:before="240" w:after="283"/>
        <w:jc w:val="left"/>
        <w:rPr>
          <w:rFonts w:ascii="Montserrat;sans-serif" w:hAnsi="Montserrat;sans-serif"/>
          <w:i/>
          <w:color w:val="000000"/>
          <w:sz w:val="18"/>
        </w:rPr>
      </w:pPr>
      <w:r>
        <w:rPr>
          <w:rFonts w:ascii="Montserrat;sans-serif" w:hAnsi="Montserrat;sans-serif"/>
          <w:i/>
          <w:color w:val="000000"/>
          <w:sz w:val="18"/>
        </w:rPr>
        <w:t>Changes in Internal Control over Financial Reporting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There has been no change in our internal control over financial reporting during the quarter ended March 31, 2026, that has materially affected, or is reasonably likely to materially affect, our internal control over financial reporting.</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i_item4t"/>
      <w:bookmarkEnd w:id="23"/>
      <w:r>
        <w:rPr>
          <w:rFonts w:ascii="Montserrat;sans-serif" w:hAnsi="Montserrat;sans-serif"/>
          <w:b/>
          <w:color w:val="000000"/>
          <w:sz w:val="18"/>
        </w:rPr>
        <w:t>PART II — OTHER</w:t>
      </w:r>
      <w:bookmarkStart w:id="24" w:name="part_iior_information"/>
      <w:bookmarkEnd w:id="24"/>
      <w:r>
        <w:rPr>
          <w:rFonts w:ascii="Times New Roman" w:hAnsi="Times New Roman"/>
          <w:color w:val="000000"/>
          <w:sz w:val="20"/>
        </w:rPr>
        <w:t xml:space="preserve"> </w:t>
      </w:r>
      <w:r>
        <w:rPr>
          <w:rFonts w:ascii="Montserrat;sans-serif" w:hAnsi="Montserrat;sans-serif"/>
          <w:b/>
          <w:color w:val="000000"/>
          <w:sz w:val="18"/>
        </w:rPr>
        <w:t>INFORMATION</w:t>
      </w:r>
    </w:p>
    <w:p>
      <w:pPr>
        <w:pStyle w:val="TextBody"/>
        <w:bidi w:val="0"/>
        <w:spacing w:before="240" w:after="283"/>
        <w:jc w:val="left"/>
        <w:rPr>
          <w:rFonts w:ascii="Montserrat;sans-serif" w:hAnsi="Montserrat;sans-serif"/>
          <w:b/>
          <w:color w:val="000000"/>
          <w:sz w:val="18"/>
        </w:rPr>
      </w:pPr>
      <w:bookmarkStart w:id="25" w:name="item_1_legal_proceedings"/>
      <w:bookmarkEnd w:id="25"/>
      <w:r>
        <w:rPr>
          <w:rFonts w:ascii="Montserrat;sans-serif" w:hAnsi="Montserrat;sans-serif"/>
          <w:b/>
          <w:color w:val="000000"/>
          <w:sz w:val="18"/>
        </w:rPr>
        <w:t>Item 1. Legal Proceedings.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color w:val="000000"/>
          <w:sz w:val="18"/>
        </w:rPr>
      </w:pPr>
      <w:bookmarkStart w:id="26" w:name="item_1a_risk_factors"/>
      <w:bookmarkEnd w:id="26"/>
      <w:r>
        <w:rPr>
          <w:rFonts w:ascii="Montserrat;sans-serif" w:hAnsi="Montserrat;sans-serif"/>
          <w:b/>
          <w:color w:val="000000"/>
          <w:sz w:val="18"/>
        </w:rPr>
        <w:t>Item 1A. Risk Factors.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consolidated financial statements and notes thereto. The occurrence of any events described in the following risk factors and the risks described elsewhere in this report could harm our business, operating results, financial condition or growth prospects or cause our actual results to differ materially from those contained in forward-looking statements that we have made in this report and that we may make from time to time. You should consider all of the risk factors described when evaluating our business. The risks described below are not intended to be exhaustive and are not the only risks that we face. New risk factors can emerge from time to time, and it is not possible to predict the impact that any factor or combination of factors may have on our business, operating results, financial condition, and/or growth prospects.</w:t>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b/>
          <w:color w:val="000000"/>
          <w:sz w:val="18"/>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We are in the clinical stage of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DAYBREAK clinical trial of tarcocimab and KSI-501 in patients with wet AMD. We are continuing enrollment for the on-going Phase 3 PEAK and PINNACLE clinical trials of KSI-101 in patients with MESI.</w:t>
      </w:r>
    </w:p>
    <w:p>
      <w:pPr>
        <w:pStyle w:val="TextBody"/>
        <w:bidi w:val="0"/>
        <w:spacing w:before="120" w:after="283"/>
        <w:jc w:val="left"/>
        <w:rPr>
          <w:rFonts w:ascii="Times New Roman" w:hAnsi="Times New Roman"/>
          <w:sz w:val="20"/>
        </w:rPr>
      </w:pPr>
      <w:r>
        <w:rPr>
          <w:rFonts w:ascii="Montserrat;sans-serif" w:hAnsi="Montserrat;sans-serif"/>
          <w:color w:val="000000"/>
          <w:sz w:val="18"/>
        </w:rPr>
        <w:t>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Our prospects are heavily dependent on our ability to successfully develop, obtain regulatory approval for and successfully commercialize tarcocimab, KSI-501 and KSI-101, our product candidates, which are currently in clinical development for multiple indications.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prospects are heavily dependent on our ability to successfully develop, obtain regulatory approval for and successfully commercialize tarcocimab, KSI-501 and KSI-101, our product candidates. We cannot be certain that our product candidates will be successful in any of the planned or pending clinical trials.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previous clinical trial results are not necessarily predictive of the results of our on-going or future discovery programs or any future preclinical or clinical studies. Our ability to demonstrate efficacy, safety and/or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We have never submitted a BLA, and even if GLOW1, GLOW2, BEACON, DAYLIGHT or DAYBREAK clinical data support submission of a tarcocimab BLA to the FDA in 2026, we may need to delay submission which would delay review and potential approval. If approved, clinical study designs and data are not necessarily predictive of the final marketed product label. FDA may not approve a label for a particular dosing frequency, even if we believe the data demonstrate support for that dosing. For example, our DAYBREAK trial uses an AI-based tool to measure retinal fluid and individualize dosing, and this dosing may not be incorporated into labeling or may require separate FDA review of the AI-based tool.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The failure of pivotal studies to meet their primary efficacy endpoints may lead us to pause, change or discontinue development of product candidates based on our ABC Platform.</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of patients with DR. Although we resumed the development of tarcocimab in November 2023, we may again determine to discontinue development of tarcocimab or our ABC Platform or other product candidates, including KSI-501, based on future information such as in process or completed clinical trial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plans for the development of tarcocimab, KSI-501 or KSI-101 may be unsuccessful.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resumed further development of tarcocimab in November 2023 following the outcomes of Year 1 data from the Phase 3 BEACON study in patients with RVO and the Phase 3 GLOW1 study of patients with DR.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 and, as a result, further development of tarcocimab and KSI-501 may ultimately not be successful.</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Preliminary, interim and ongoing data from our preclinical studies and clinical trials is subject to a number of risks and uncertainties and may change as more patient data become available.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from time to time have access to certain data from our preclinical studies and clinical trials on a preliminary, interim or ongoing basis. Such data is typically incomplete and is subject to a number of risks and uncertainties. In particular, any analysis of preliminary, interim or ongoing data typically involves only a preliminary analysis of then-available data. The results and related findings and conclusions based on such preliminary analysis may change following a more comprehensive review, evaluation, audit and verification of the data. Further, such preliminary, interim or ongoing data are subject to the risk that one or more of the clinical outcomes may materially change as patient enrollment continues and more patient data become available or as patients from our clinical trials continue other treatments. We may also make assumptions, estimations, calculations and conclusions as part of any analyses of these data, without the opportunity to fully and carefully evaluate complete data. As a result, the preliminary, interim or ongoing data from any of our preclinical studies or clinical trials, as well as any analysis of such data and any related findings and conclusions, may differ from, and may not be indicative of, future data, findings and conclusions for the same preclinical studies or clinical trials, and different conclusions or considerations may qualify such results once additional data have been received and fully evaluated or subsequently made subject to audit and verification procedures. We may from time to time make business decisions, prioritize certain product candidates, or otherwise allocate resources based on such preliminary, interim or ongoing data, and any such actions are subject to similar risks and uncertainties.</w:t>
      </w:r>
    </w:p>
    <w:p>
      <w:pPr>
        <w:pStyle w:val="TextBody"/>
        <w:bidi w:val="0"/>
        <w:spacing w:before="120" w:after="283"/>
        <w:jc w:val="left"/>
        <w:rPr>
          <w:rFonts w:ascii="Times New Roman" w:hAnsi="Times New Roman"/>
          <w:sz w:val="20"/>
        </w:rPr>
      </w:pPr>
      <w:r>
        <w:rPr>
          <w:rFonts w:ascii="Montserrat;sans-serif" w:hAnsi="Montserrat;sans-serif"/>
          <w:color w:val="000000"/>
          <w:sz w:val="18"/>
        </w:rPr>
        <w:t>From time to time, we may also disclose any such preliminary, interim or ongoing data from our preclinical studies and clinical trials. Any such preliminary, interim or ongoing data are subject to the risks and uncertainties described above, and accordingly investors should not place undue reliance on any such data, or any related findings and conclusions, that we may disclose from time to time. Further, others, including regulatory agencies, may not accept or agree with our assumptions, estimates, calculations, conclusions or analyses based on any such preliminary, interim or ongoing data, or may interpret or weigh the importance of such data differently, which could impact the value of the particular program, the approvability or commercialization of tarcocimab, KSI-501 or KSI-101 and our company in general. In addition, any preliminary, interim or ongoing data we may choose to publicly disclose from time to time regarding a particular preclinical study or clinical trial would be based on what is typically extensive information, but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may not reflect all of the data we have received. It is possible that investors and others may not agree with what we determine is material or otherwise appropriate information to include in our disclosure. If any preliminary, interim or ongoing data, or any related findings or conclusion, that we choose to publicly disclose differ from final results, findings and conclusions for the same preclinical study or clinical trial, or if others, including regulatory authorities, disagree with the conclusions reached, our ability to obtain approval for, and commercialize, tarcocimab, KSI-501 or KSI-101 may be harmed, which could harm our business, operating results, prospects or financial condition. Conversely, any preliminary or interim information we determine not to publicly disclose, including because it has yet to be fully and carefully evaluated, may in the future be deemed significant with respect to decisions, conclusions, views, activities or otherwise regarding a particular product candidate or our business.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Research and development of biopharmaceutical products is inherently risky. We cannot give any assurance that any of our product candidates will receive regulatory, including marketing, approval, which is necessary before they can be commercialized.</w:t>
      </w:r>
    </w:p>
    <w:p>
      <w:pPr>
        <w:pStyle w:val="TextBody"/>
        <w:bidi w:val="0"/>
        <w:spacing w:before="120" w:after="283"/>
        <w:jc w:val="left"/>
        <w:rPr>
          <w:rFonts w:ascii="Times New Roman" w:hAnsi="Times New Roman"/>
          <w:sz w:val="20"/>
        </w:rPr>
      </w:pPr>
      <w:r>
        <w:rPr>
          <w:rFonts w:ascii="Montserrat;sans-serif" w:hAnsi="Montserrat;sans-serif"/>
          <w:color w:val="000000"/>
          <w:sz w:val="18"/>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product candidates and the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market for a product candidate may change so that the continued development of that product candidate is no longer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not be capable of being produced in commercial quantities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 in any jurisdiction even if such product candidate successfully completes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Montserrat;sans-serif" w:hAnsi="Montserrat;sans-serif"/>
          <w:color w:val="000000"/>
          <w:sz w:val="18"/>
        </w:rPr>
        <w:t xml:space="preserve">inability to generate sufficient preclinical, toxicology, or other </w:t>
      </w:r>
      <w:r>
        <w:rPr>
          <w:rFonts w:ascii="Montserrat;sans-serif" w:hAnsi="Montserrat;sans-serif"/>
          <w:i/>
          <w:color w:val="000000"/>
          <w:sz w:val="18"/>
        </w:rPr>
        <w:t>in vivo</w:t>
      </w:r>
      <w:r>
        <w:rPr>
          <w:color w:val="000000"/>
        </w:rPr>
        <w:t xml:space="preserve"> </w:t>
      </w:r>
      <w:r>
        <w:rPr>
          <w:rFonts w:ascii="Montserrat;sans-serif" w:hAnsi="Montserrat;sans-serif"/>
          <w:color w:val="000000"/>
          <w:sz w:val="18"/>
        </w:rPr>
        <w:t xml:space="preserve">or </w:t>
      </w:r>
      <w:r>
        <w:rPr>
          <w:rFonts w:ascii="Montserrat;sans-serif" w:hAnsi="Montserrat;sans-serif"/>
          <w:i/>
          <w:color w:val="000000"/>
          <w:sz w:val="18"/>
        </w:rPr>
        <w:t>in vitro</w:t>
      </w:r>
      <w:r>
        <w:rPr>
          <w:color w:val="000000"/>
        </w:rPr>
        <w:t xml:space="preserve"> </w:t>
      </w:r>
      <w:r>
        <w:rPr>
          <w:rFonts w:ascii="Montserrat;sans-serif" w:hAnsi="Montserrat;sans-serif"/>
          <w:color w:val="000000"/>
          <w:sz w:val="18"/>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product candidates may cause undesirable side effects or have other properties that could halt their clinical development, prevent their regulatory approval, limit their commercial potential or result in other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w:t>
      </w:r>
    </w:p>
    <w:p>
      <w:pPr>
        <w:pStyle w:val="TextBody"/>
        <w:bidi w:val="0"/>
        <w:spacing w:before="120" w:after="283"/>
        <w:jc w:val="left"/>
        <w:rPr>
          <w:rFonts w:ascii="Times New Roman" w:hAnsi="Times New Roman"/>
          <w:sz w:val="20"/>
        </w:rPr>
      </w:pPr>
      <w:r>
        <w:rPr>
          <w:rFonts w:ascii="Montserrat;sans-serif" w:hAnsi="Montserrat;sans-serif"/>
          <w:color w:val="000000"/>
          <w:sz w:val="18"/>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reputation may suffer.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of these events could prevent us from achieving or maintaining market acceptance of the particular product candidate, if approved, and could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design of the trial;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risk that patients enrolled in clinical trials will not complete such trials, for any reason.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In addition, multiple biosimilars referencing established anti-VEGF therapies have been approved in the United States and are entering the market, which may increase pricing and competitive pressures.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any products we may develop may also face competition from other types of therapies, such as gene-editing therapies and drug delivery devices.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and received FDA approval for RVO in November 2025.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employ multiple steps to attempt to control our manufacturing process to assure that the process works, and the product candidate is made strictly and consistently in compliance with the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have limited experience manufacturing any of our product candidates on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Montserrat;sans-serif" w:hAnsi="Montserrat;sans-serif"/>
          <w:color w:val="000000"/>
          <w:sz w:val="18"/>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Changes in methods of manufacturing or formulation of product candidates may result in additional costs or delay.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The development program and timeline of tarcocimab may impact our ability to use the Ursus Facility as intended, which could be costly.</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Factors that may inhibit our efforts to commercialize any approved product on our own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unforeseen costs and expenses associated with creating an independent commercialization organization.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ability to offer appropriate patient access programs, such as appropriate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prevalence and severity of any side effects.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product candidates we develop do not achieve an adequate level of acceptance, we may not generate significant product revenue, and we may not become profitable.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Drug pricing and access policies in the United States and internationally may change and negatively impact the commercial viability of our product candidates. Proposed policy changes, including the Medicare Drug Price Negotiation Program,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impairment of our business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 decline in our share price.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The regulatory approval processes of the FDA, European Medicines Agency, or EMA, and comparable foreign regulatory authorities are lengthy, time consuming, expensive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Applications for our product candidates could fail to receive regulatory approval for many reasons, including but not limited to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sz w:val="20"/>
        </w:rPr>
      </w:pPr>
      <w:r>
        <w:rPr>
          <w:rFonts w:ascii="Montserrat;sans-serif" w:hAnsi="Montserrat;sans-serif"/>
          <w:color w:val="000000"/>
          <w:sz w:val="18"/>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aspects of our business plan and which may result in our product candidates not receiving approval or clearance for commercialization in the applicable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a product recall.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the policies of the FDA and of other regulatory authorities may change and additional government regulations may be enacted that could prevent, limit or delay regulatory approval of our product candidates. For example, the U.S. Supreme Court’s June 2024 decision in</w:t>
      </w:r>
      <w:r>
        <w:rPr>
          <w:rFonts w:ascii="Times New Roman" w:hAnsi="Times New Roman"/>
          <w:color w:val="000000"/>
          <w:sz w:val="20"/>
        </w:rPr>
        <w:t xml:space="preserve"> </w:t>
      </w:r>
      <w:r>
        <w:rPr>
          <w:rFonts w:ascii="Montserrat;sans-serif" w:hAnsi="Montserrat;sans-serif"/>
          <w:i/>
          <w:color w:val="000000"/>
          <w:sz w:val="18"/>
        </w:rPr>
        <w:t>Loper Bright Enterprises v. Raimondo</w:t>
      </w:r>
      <w:r>
        <w:rPr>
          <w:rFonts w:ascii="Times New Roman" w:hAnsi="Times New Roman"/>
          <w:color w:val="000000"/>
          <w:sz w:val="20"/>
        </w:rPr>
        <w:t xml:space="preserve"> </w:t>
      </w:r>
      <w:r>
        <w:rPr>
          <w:rFonts w:ascii="Montserrat;sans-serif" w:hAnsi="Montserrat;sans-serif"/>
          <w:color w:val="000000"/>
          <w:sz w:val="18"/>
        </w:rPr>
        <w:t xml:space="preserve">overturned the longstanding Chevron doctrine, under which courts were required to give deference to regulatory agencies’ reasonable interpretations of ambiguous federal statutes. The </w:t>
      </w:r>
      <w:r>
        <w:rPr>
          <w:rFonts w:ascii="Montserrat;sans-serif" w:hAnsi="Montserrat;sans-serif"/>
          <w:i/>
          <w:color w:val="000000"/>
          <w:sz w:val="18"/>
        </w:rPr>
        <w:t>Loper</w:t>
      </w:r>
      <w:r>
        <w:rPr>
          <w:rFonts w:ascii="Times New Roman" w:hAnsi="Times New Roman"/>
          <w:color w:val="000000"/>
          <w:sz w:val="20"/>
        </w:rPr>
        <w:t xml:space="preserve"> </w:t>
      </w:r>
      <w:r>
        <w:rPr>
          <w:rFonts w:ascii="Montserrat;sans-serif" w:hAnsi="Montserrat;sans-serif"/>
          <w:color w:val="000000"/>
          <w:sz w:val="18"/>
        </w:rPr>
        <w:t xml:space="preserve">decision could result in additional legal challenges to regulations and decisions issued by federal agencies, including the FDA, on which we rely. Any such legal challenges, if successful, could have a material impact on our business. Additionally, the </w:t>
      </w:r>
      <w:r>
        <w:rPr>
          <w:rFonts w:ascii="Montserrat;sans-serif" w:hAnsi="Montserrat;sans-serif"/>
          <w:i/>
          <w:color w:val="000000"/>
          <w:sz w:val="18"/>
        </w:rPr>
        <w:t>Loper</w:t>
      </w:r>
      <w:r>
        <w:rPr>
          <w:rFonts w:ascii="Times New Roman" w:hAnsi="Times New Roman"/>
          <w:color w:val="000000"/>
          <w:sz w:val="20"/>
        </w:rPr>
        <w:t xml:space="preserve"> </w:t>
      </w:r>
      <w:r>
        <w:rPr>
          <w:rFonts w:ascii="Montserrat;sans-serif" w:hAnsi="Montserrat;sans-serif"/>
          <w:color w:val="000000"/>
          <w:sz w:val="18"/>
        </w:rPr>
        <w:t>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Disruptions at the FDA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recent government shutdown that began on October 1, 2025 and ended on November 12, 2025, and previously from December 22, 2018 to January 25, 2019,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significantly impact the ability of the FDA to timely review and process our regulatory submissions, which could have a material adverse effect on our business.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substantially changed the way healthcare is financed by both governmental and private insurers.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Since the ACA’s enactment, there have been numerous challenges and amendments to the ACA. For example, on July 4, 2025, the One Big Beautiful Bill Act, or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other legislative changes have been proposed and adopted in the United States since the ACA was enacted. These changes include, for example, aggregate reductions to Medicare payments to providers of 2% per fiscal year, which began in 2013 and will remain in effect until 2032 unless additional Congressional action is taken.</w:t>
      </w:r>
    </w:p>
    <w:p>
      <w:pPr>
        <w:pStyle w:val="TextBody"/>
        <w:bidi w:val="0"/>
        <w:spacing w:before="120" w:after="283"/>
        <w:jc w:val="left"/>
        <w:rPr>
          <w:rFonts w:ascii="Times New Roman" w:hAnsi="Times New Roman"/>
          <w:sz w:val="20"/>
        </w:rPr>
      </w:pPr>
      <w:r>
        <w:rPr>
          <w:rFonts w:ascii="Montserrat;sans-serif" w:hAnsi="Montserrat;sans-serif"/>
          <w:color w:val="000000"/>
          <w:sz w:val="18"/>
        </w:rPr>
        <w:t>There have been, and likely will continue to be, legislative and regulatory proposals at the foreign, federal and state levels directed at containing or lowering the cost of healthcare. For example, the current administration is pursuing policies to reduce regulations and expenditures across government agencies including at HHS, the FDA, the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cannot predict the initiatives that may be adopted in the future or their impact on our business. The continuing efforts of the government, insurance companies, managed care organizations and other payors of healthcare services to contain or reduce costs of healthcare and/or impose price controls may adversely affect,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availability of capital.</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HIPAA, which created new federal criminal statutes that, among other things,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HIPAA, as amended by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and local laws that require certain regulatory licenses to manufacture or distribute our products commercially and/or the registration of pharmaceutical sales representatives;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laws and regulations, as well as guidance, industry standards, external and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120" w:after="283"/>
        <w:jc w:val="left"/>
        <w:rPr>
          <w:rFonts w:ascii="Times New Roman" w:hAnsi="Times New Roman"/>
          <w:sz w:val="20"/>
        </w:rPr>
      </w:pPr>
      <w:r>
        <w:rPr>
          <w:rFonts w:ascii="Montserrat;sans-serif" w:hAnsi="Montserrat;sans-serif"/>
          <w:color w:val="000000"/>
          <w:sz w:val="18"/>
        </w:rPr>
        <w:t>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applies to personal data of consumers, business representatives, and employees who are California residents, and requires businesses subject to the law to provide specific disclosures in privacy notices and respond to requests of such individuals to exercise certain privacy rights. The CCPA provides for civil penalties and a private right of action for certain data breaches (which could lead to the recovery of significant statutory damages). Although these laws may exempt some data processed in the context of clinical trials, these laws increase compliance efforts, legal risks and compliance costs for us and the third parties with whom we work. Similar laws are being considered in other states as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well as at the federal and local levels. We expect more legislatures to pass additional privacy or security laws in the future.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Outside the United States, an increasing number of laws, regulations, and industry standards apply to data privacy and security. For example, the EU GDPR and the United Kingdom’s GDPR, or UK GDPR (collectively, GDPR), impose strict requirements for processing personal data. Violators of these laws face potential significant penalties. For example, under the GDPR, companies may face temporary or definitive bans on data processing and other corrective actions; fines of up to 20 million Euros (under the EU GDPR) or 17.5 million pounds sterling (under the UK GDPR), or 4% of annual global revenue, whichever is greater. Further, the EU and UK GDPR also provide for private litigation related to the processing of personal data that can be brought by classes of data subjects or consumer protection organizations authorized at law to represent the data subjects’ interests.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personnel and others with whom we work use generative artificial intelligence, or AI and/or automated decision-making technologies to perform their work, and the disclosure and use of personal data in AI technologies is subject to various privacy laws and other privacy obligations. Governments have passed and are likely to pass additional laws and regulations regulating AI and/or automated decision-making technologies. Our use of this technology could result in additional compliance costs, regulatory investigations and actions, and lawsuits. If we are unable to use AI and/or automated decision-making technologies, it could make our business less efficient and result in competitive disadvantages.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we may be unable to transfer personal data from Europe and other jurisdictions to the United States or other countries due to, for example, data localization requirements or limitations on cross-border data transfers.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there were no lawful manner for us to transfer personal data from the EEA, the UK or other jurisdictions to the United States or other jurisdictions, or if the requirements for a legally-compliant transfer are too onerous, we may face increased exposure to regulatory actions, substantial fines, and injunctions against processing or transferring personal data from Europe and other foreign jurisdictions. The inability to transfer personal data to the United States or other jurisdictions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out of the EEA and UK to other jurisdictions, particularly to the United States, are subject to increased regulator, individual litigant,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operate in the clinical trial space and impacts the ability to transfer data in connection with certain transactions or agreements.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privacy and security. Regulators are increasingly scrutinizing these statements, and if these statements are found to be deficient, lacking in transparency, deceptive, unfair, misleading or misrepresentative of our practices, we may be subject to, among other things, investigations, enforcement actions and other adverse consequences.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or stoppages in our development process and business operations (including, as relevant, our clinical trial activities); and damage to our reputation. In particular, plaintiffs have become increasingly more active in bringing privacy-related claims against companies, including class claims and mass arbitration demands. Some of these claims allow for the recovery of statutory damages on a per violation basis which could result in significant damages. Any of these events could have a material adverse effect on our business, financial condition, results of operations and/or growth prospects.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or any contract manufacturers and suppliers we engage fail to comply with environmental, health and safety laws,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on a third-party manufacturer, Lonza, for the manufacture of our materials for preclinical studies and clinical trials and expect to continue to do so for preclinical studies, clinical trials and for commercial supply of any product candidates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unable to establish any further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inability to produce required volume in a timely manner and to quality standards. </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medicines that we may develop may compete with other product candidates and products for access to manufacturing facilities. There are a limited number of manufacturers that operate under cGMP regulations and that might be capable of manufacturing for us.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Collaborations involving our product candidates we may develop, pose the following risks to us: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decide not to pursue development and commercialization of any product candidates we develop or may elect not to continue or renew development or commercialization programs based on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Montserrat;sans-serif" w:hAnsi="Montserrat;sans-serif"/>
          <w:color w:val="000000"/>
          <w:sz w:val="18"/>
        </w:rPr>
        <w:t>clinical trial results, changes in the collaborator’s strategic focus or available funding or external factors such as an acquisition that diverts resources or creates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described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published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to make the inventions claimed in any of our patents or pending patent applications, or that we were the first to file for patent protection of such inventions.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Accordingly, a third party may attempt to use the USPTO procedures to invalidate our patent claims that would not otherwise have been invalidated if first challenged by the third party as a defendant in a district court action.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procedures including </w:t>
      </w:r>
      <w:r>
        <w:rPr>
          <w:rFonts w:ascii="Montserrat;sans-serif" w:hAnsi="Montserrat;sans-serif"/>
          <w:i/>
          <w:color w:val="000000"/>
          <w:sz w:val="18"/>
        </w:rPr>
        <w:t>inter partes</w:t>
      </w:r>
      <w:r>
        <w:rPr>
          <w:rFonts w:ascii="Times New Roman" w:hAnsi="Times New Roman"/>
          <w:color w:val="000000"/>
          <w:sz w:val="20"/>
        </w:rPr>
        <w:t xml:space="preserve"> </w:t>
      </w:r>
      <w:r>
        <w:rPr>
          <w:rFonts w:ascii="Montserrat;sans-serif" w:hAnsi="Montserrat;sans-serif"/>
          <w:color w:val="000000"/>
          <w:sz w:val="18"/>
        </w:rPr>
        <w:t>review and post-grant review adds uncertainty to the possibility of challenge to our patents.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be alleged to be infringing.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KSI-501, or KSI-101. If this were to occur, we may be required to challenge the validity of the claims, obtain a license, modify tarcocimab, KSI-501, or KSI-101,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120" w:after="283"/>
        <w:jc w:val="left"/>
        <w:rPr>
          <w:rFonts w:ascii="Times New Roman" w:hAnsi="Times New Roman"/>
          <w:sz w:val="20"/>
        </w:rPr>
      </w:pPr>
      <w:r>
        <w:rPr>
          <w:rFonts w:ascii="Montserrat;sans-serif" w:hAnsi="Montserrat;sans-serif"/>
          <w:color w:val="000000"/>
          <w:sz w:val="18"/>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rely on trademarks, service marks, trade 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sz w:val="20"/>
        </w:rPr>
      </w:pPr>
      <w:r>
        <w:rPr>
          <w:rFonts w:ascii="Montserrat;sans-serif" w:hAnsi="Montserrat;sans-serif"/>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b/>
          <w:i/>
          <w:color w:val="000000"/>
          <w:sz w:val="18"/>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will need to grow the size and capabilities of our organization, and we may experience difficulties in managing this growth.</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March 31, 2026, we had 130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managing increasing operational and managerial complexity.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future financial performance and our ability to continue to develop and, if approved, commercialize our product candidates will depend, in part, on our ability to effectively manage any future growth. Our management may</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also have to divert a disproportionate amount of its attention away from day-to-day activities in order to manage these growth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our information technology systems, or those of third parties with whom we work, or our data, were compromised, we could experience adverse consequences resulting from such compromise, including regulatory investigations or actions, significant fines or other liability, interruptions of our development programs, harm to our reputation,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Cyberattacks, malicious internet-based activity, online and offline fraud, and other similar activities threaten the confidentiality, integrity, and availability of our sensitive information and information technology systems, and those of our research collaborators, contractors, consultants, and other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are vulnerable to a heightened risk of attacks, including retaliatory cyber-attacks that could materially disrupt our systems and operations and supply chain.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remote work increases risks to our information technology systems and data, as our personnel utilize network connections, computers and devices outside of our premises or corporate networks,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sz w:val="20"/>
        </w:rPr>
      </w:pPr>
      <w:r>
        <w:rPr>
          <w:rFonts w:ascii="Montserrat;sans-serif" w:hAnsi="Montserrat;sans-serif"/>
          <w:color w:val="000000"/>
          <w:sz w:val="18"/>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While we have implemented security measures designed to protect against security incidents, there can be no assurance these measures will be effective.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in the past (and may in the future) experienced delays in developing and deploying remedial measures designed to address identified vulnerabilities.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Certain of the previously identified or similar threats have in the past and may in the future cause a security incident or other interruption that has in the past and may in the future result in unauthorized, unlawful, or accidental acquisition, modification, destruction, loss, alteration, encryption, disclosure of, access to our sensitive information or information technology systems, or those of the third parties with whom we work.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(for example, the loss of clinical trial data from completed, on-going or future clinical trials).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 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Business disruptions could seriously harm our future revenue and financial condition and increase our costs and expenses.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sz w:val="20"/>
        </w:rPr>
      </w:pPr>
      <w:r>
        <w:rPr>
          <w:rFonts w:ascii="Montserrat;sans-serif" w:hAnsi="Montserrat;sans-serif"/>
          <w:color w:val="000000"/>
          <w:sz w:val="18"/>
        </w:rPr>
        <w:t>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business is subject to risks associated with conducting business internationally. Some of our suppliers and collaborative relationships are located outside the United States. Accordingly, our future results could be harmed by a variety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business interruptions resulting from geo-political actions, including war and terrorism or natural disasters.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sz w:val="20"/>
        </w:rPr>
      </w:pPr>
      <w:r>
        <w:rPr>
          <w:rFonts w:ascii="Montserrat;sans-serif" w:hAnsi="Montserrat;sans-serif"/>
          <w:color w:val="000000"/>
          <w:sz w:val="18"/>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2025.</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incurred net losses in each reporting period since our inception, including net losses of $58.2 million for the three months ended March 31, 2026. As of March 31, 2026, we had an accumulated deficit of $1,617 million.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expect to continue to incur significant and increasingly higher expenses and operating losses for the foreseeable future. We anticipate that our expenses will increase substantially if and as we: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defend against any product liability claims or other lawsuits related to our products.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ability to generate revenue and achieve profitability depends significantly on many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attracting, hiring and retaining qualified personnel. </w:t>
      </w:r>
    </w:p>
    <w:p>
      <w:pPr>
        <w:pStyle w:val="TextBody"/>
        <w:bidi w:val="0"/>
        <w:spacing w:before="120" w:after="283"/>
        <w:jc w:val="left"/>
        <w:rPr>
          <w:rFonts w:ascii="Times New Roman" w:hAnsi="Times New Roman"/>
          <w:sz w:val="20"/>
        </w:rPr>
      </w:pPr>
      <w:r>
        <w:rPr>
          <w:rFonts w:ascii="Montserrat;sans-serif" w:hAnsi="Montserrat;sans-serif"/>
          <w:color w:val="000000"/>
          <w:sz w:val="18"/>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Our financial condition raises substantial doubt about our ability to continue as a going concern.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As of March 31, 2026, we had cash and cash equivalents of $169.5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sz w:val="20"/>
        </w:rPr>
      </w:pPr>
      <w:r>
        <w:rPr>
          <w:rFonts w:ascii="Montserrat;sans-serif" w:hAnsi="Montserrat;sans-serif"/>
          <w:color w:val="000000"/>
          <w:sz w:val="18"/>
        </w:rPr>
        <w:t>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From time to time, we may prioritize development of certain product candidates or otherwise allocate resources based on assumptions, estimations, calculations and conclusions that we make on the basis of preliminary or interim data which we may not have had the opportunity to fully and carefully evaluate, or which may ultimately differ from final or other future results of the same studies. If we make incorrect determinations regarding the viability or market potential of any of our product candidates, unfavorably allocate resources,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Unfavorable U.S. and global economic conditions could adversely affect our business, financial condition or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As of December 31, 2025, the Company had $224.3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Foreign currency exchange rate risk may impact our financial position and results.</w:t>
      </w:r>
    </w:p>
    <w:p>
      <w:pPr>
        <w:pStyle w:val="TextBody"/>
        <w:bidi w:val="0"/>
        <w:spacing w:before="120" w:after="283"/>
        <w:jc w:val="left"/>
        <w:rPr>
          <w:rFonts w:ascii="Times New Roman" w:hAnsi="Times New Roman"/>
          <w:sz w:val="20"/>
        </w:rPr>
      </w:pPr>
      <w:r>
        <w:rPr>
          <w:rFonts w:ascii="Montserrat;sans-serif" w:hAnsi="Montserrat;sans-serif"/>
          <w:color w:val="000000"/>
          <w:sz w:val="18"/>
        </w:rPr>
        <w:t>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w:t>
      </w:r>
      <w:r>
        <w:rPr>
          <w:rFonts w:ascii="Times New Roman" w:hAnsi="Times New Roman"/>
          <w:color w:val="000000"/>
          <w:sz w:val="20"/>
        </w:rPr>
        <w:t xml:space="preserve"> </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sz w:val="20"/>
        </w:rPr>
      </w:pPr>
      <w:r>
        <w:rPr>
          <w:rFonts w:ascii="Montserrat;sans-serif" w:hAnsi="Montserrat;sans-serif"/>
          <w:color w:val="000000"/>
          <w:sz w:val="18"/>
        </w:rPr>
        <w:t>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Montserrat;sans-serif" w:hAnsi="Montserrat;sans-serif"/>
          <w:color w:val="000000"/>
          <w:sz w:val="18"/>
        </w:rPr>
        <w:t>combination of deficiencies, in internal control over financial reporting such that there is a reasonable possibility that a material misstatement of annual or interim consolidated financial statements will not be prevented or detected on a timely basis. Any failure to maintain effective internal controls could also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color w:val="000000"/>
          <w:sz w:val="18"/>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i/>
          <w:color w:val="000000"/>
          <w:sz w:val="18"/>
        </w:rPr>
      </w:pPr>
      <w:r>
        <w:rPr>
          <w:rFonts w:ascii="Montserrat;sans-serif" w:hAnsi="Montserrat;sans-serif"/>
          <w:b/>
          <w:i/>
          <w:color w:val="000000"/>
          <w:sz w:val="18"/>
        </w:rPr>
        <w:t>The market price of our common stock may be volatile, which could result in substantial losses for investors purchasing shares.</w:t>
      </w:r>
    </w:p>
    <w:p>
      <w:pPr>
        <w:pStyle w:val="TextBody"/>
        <w:bidi w:val="0"/>
        <w:spacing w:before="120" w:after="283"/>
        <w:jc w:val="left"/>
        <w:rPr>
          <w:rFonts w:ascii="Times New Roman" w:hAnsi="Times New Roman"/>
          <w:sz w:val="20"/>
        </w:rPr>
      </w:pPr>
      <w:r>
        <w:rPr>
          <w:rFonts w:ascii="Montserrat;sans-serif" w:hAnsi="Montserrat;sans-serif"/>
          <w:color w:val="000000"/>
          <w:sz w:val="18"/>
        </w:rPr>
        <w:t>The market price of our common stock may be volatile. For example, the closing price of our common stock from January 1, 2026 to April 30, 2026, ranged from a low of $21.01 to a high of $46.44. As a result, shareholders may not be able to sell their common stock at or above the price that they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the other factors described in this “Risk Factors” section. </w:t>
      </w:r>
    </w:p>
    <w:p>
      <w:pPr>
        <w:pStyle w:val="TextBody"/>
        <w:bidi w:val="0"/>
        <w:spacing w:before="120" w:after="283"/>
        <w:jc w:val="left"/>
        <w:rPr>
          <w:rFonts w:ascii="Times New Roman" w:hAnsi="Times New Roman"/>
          <w:sz w:val="20"/>
        </w:rPr>
      </w:pPr>
      <w:r>
        <w:rPr>
          <w:rFonts w:ascii="Montserrat;sans-serif" w:hAnsi="Montserrat;sans-serif"/>
          <w:color w:val="000000"/>
          <w:sz w:val="18"/>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w:t>
      </w:r>
      <w:r>
        <w:rPr>
          <w:rFonts w:ascii="Times New Roman" w:hAnsi="Times New Roman"/>
          <w:color w:val="000000"/>
          <w:sz w:val="20"/>
        </w:rPr>
        <w:t xml:space="preserve">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stock price, we may become the target of securities litigation in the future. Securities litigation could result in substantial costs and divert management’s attention and resources from our business.</w:t>
      </w:r>
    </w:p>
    <w:p>
      <w:pPr>
        <w:pStyle w:val="TextBody"/>
        <w:bidi w:val="0"/>
        <w:spacing w:before="240" w:after="283"/>
        <w:jc w:val="left"/>
        <w:rPr>
          <w:rFonts w:ascii="Montserrat;sans-serif" w:hAnsi="Montserrat;sans-serif"/>
          <w:b/>
          <w:i/>
          <w:color w:val="000000"/>
          <w:sz w:val="18"/>
        </w:rPr>
      </w:pPr>
      <w:r>
        <w:rPr>
          <w:rFonts w:ascii="Montserrat;sans-serif" w:hAnsi="Montserrat;sans-serif"/>
          <w:b/>
          <w:i/>
          <w:color w:val="000000"/>
          <w:sz w:val="18"/>
        </w:rPr>
        <w:t>Future sales of our common stock in the public market could cause our share price to decline, even if our business is doing well.</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provide that vacancies on our board of directors may be filled only by a majority of directors then in office, even though less than a quorum;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sz w:val="20"/>
        </w:rPr>
      </w:pPr>
      <w:r>
        <w:rPr>
          <w:rFonts w:ascii="Montserrat;sans-serif" w:hAnsi="Montserrat;sans-serif"/>
          <w:color w:val="000000"/>
          <w:sz w:val="18"/>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Montserrat;sans-serif" w:hAnsi="Montserrat;sans-serif"/>
          <w:b/>
          <w:i/>
          <w:color w:val="000000"/>
          <w:sz w:val="18"/>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bylaws provide that the Court of Chancery of the State of Delaware will be the exclusive forum for:</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 xml:space="preserve">any action asserting a claim against us that is governed by the internal-affairs doctrine. </w:t>
      </w:r>
    </w:p>
    <w:p>
      <w:pPr>
        <w:pStyle w:val="TextBody"/>
        <w:bidi w:val="0"/>
        <w:spacing w:before="120" w:after="283"/>
        <w:jc w:val="left"/>
        <w:rPr>
          <w:rFonts w:ascii="Times New Roman" w:hAnsi="Times New Roman"/>
          <w:sz w:val="20"/>
        </w:rPr>
      </w:pPr>
      <w:r>
        <w:rPr>
          <w:rFonts w:ascii="Montserrat;sans-serif" w:hAnsi="Montserrat;sans-serif"/>
          <w:color w:val="000000"/>
          <w:sz w:val="18"/>
        </w:rPr>
        <w:t>Our bylaws further provide that the U.S. federal district courts will be the exclusive forum for resolving any complaint asserting a cause of action arising under the Securities Act.</w:t>
      </w:r>
      <w:r>
        <w:rPr>
          <w:rFonts w:ascii="Times New Roman" w:hAnsi="Times New Roman"/>
          <w:color w:val="000000"/>
          <w:sz w:val="20"/>
        </w:rPr>
        <w:t xml:space="preserve"> </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7" w:name="ii_item2"/>
      <w:bookmarkEnd w:id="27"/>
      <w:r>
        <w:rPr>
          <w:rFonts w:ascii="Montserrat;sans-serif" w:hAnsi="Montserrat;sans-serif"/>
          <w:b/>
          <w:color w:val="000000"/>
          <w:sz w:val="18"/>
        </w:rPr>
        <w:t xml:space="preserve">Item 2. </w:t>
      </w:r>
      <w:bookmarkStart w:id="28" w:name="item_2_unregistered_sales_equity_securit"/>
      <w:bookmarkEnd w:id="28"/>
      <w:r>
        <w:rPr>
          <w:rFonts w:ascii="Montserrat;sans-serif" w:hAnsi="Montserrat;sans-serif"/>
          <w:b/>
          <w:color w:val="000000"/>
          <w:sz w:val="18"/>
        </w:rPr>
        <w:t>Unregistered Sales of Equity Securities and Use of Proceeds.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29" w:name="item_3_defaults_upon_senior_securities"/>
      <w:bookmarkEnd w:id="29"/>
      <w:r>
        <w:rPr>
          <w:rFonts w:ascii="Montserrat;sans-serif" w:hAnsi="Montserrat;sans-serif"/>
          <w:b/>
          <w:color w:val="000000"/>
          <w:sz w:val="18"/>
        </w:rPr>
        <w:t>Item 3. Defaults Upon Senior Securities.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30" w:name="item_4_mine_safety_disclosures"/>
      <w:bookmarkEnd w:id="30"/>
      <w:r>
        <w:rPr>
          <w:rFonts w:ascii="Montserrat;sans-serif" w:hAnsi="Montserrat;sans-serif"/>
          <w:b/>
          <w:color w:val="000000"/>
          <w:sz w:val="18"/>
        </w:rPr>
        <w:t>Item 4. Mine Safety Disclosures.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None.</w:t>
      </w:r>
    </w:p>
    <w:p>
      <w:pPr>
        <w:pStyle w:val="TextBody"/>
        <w:bidi w:val="0"/>
        <w:spacing w:before="240" w:after="283"/>
        <w:jc w:val="left"/>
        <w:rPr>
          <w:rFonts w:ascii="Montserrat;sans-serif" w:hAnsi="Montserrat;sans-serif"/>
          <w:b/>
          <w:color w:val="000000"/>
          <w:sz w:val="18"/>
        </w:rPr>
      </w:pPr>
      <w:bookmarkStart w:id="31" w:name="item_5_or_information"/>
      <w:bookmarkEnd w:id="31"/>
      <w:r>
        <w:rPr>
          <w:rFonts w:ascii="Montserrat;sans-serif" w:hAnsi="Montserrat;sans-serif"/>
          <w:b/>
          <w:color w:val="000000"/>
          <w:sz w:val="18"/>
        </w:rPr>
        <w:t>Item 5. Other Information.</w:t>
      </w:r>
    </w:p>
    <w:p>
      <w:pPr>
        <w:pStyle w:val="TextBody"/>
        <w:bidi w:val="0"/>
        <w:spacing w:before="120" w:after="240"/>
        <w:jc w:val="left"/>
        <w:rPr>
          <w:rFonts w:ascii="Montserrat;sans-serif" w:hAnsi="Montserrat;sans-serif"/>
          <w:color w:val="000000"/>
          <w:sz w:val="18"/>
        </w:rPr>
      </w:pPr>
      <w:r>
        <w:rPr>
          <w:rFonts w:ascii="Montserrat;sans-serif" w:hAnsi="Montserrat;sans-serif"/>
          <w:color w:val="000000"/>
          <w:sz w:val="18"/>
        </w:rPr>
        <w:t>None.</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2" w:name="ii_item6"/>
      <w:bookmarkEnd w:id="32"/>
      <w:r>
        <w:rPr>
          <w:rFonts w:ascii="Montserrat;sans-serif" w:hAnsi="Montserrat;sans-serif"/>
          <w:b/>
          <w:color w:val="000000"/>
          <w:sz w:val="18"/>
        </w:rPr>
        <w:t>Item 6. E</w:t>
      </w:r>
      <w:bookmarkStart w:id="33" w:name="item_6_exhibits"/>
      <w:bookmarkEnd w:id="33"/>
      <w:r>
        <w:rPr>
          <w:rFonts w:ascii="Montserrat;sans-serif" w:hAnsi="Montserrat;sans-serif"/>
          <w:b/>
          <w:color w:val="000000"/>
          <w:sz w:val="18"/>
        </w:rPr>
        <w:t>xhibits.</w:t>
      </w:r>
    </w:p>
    <w:p>
      <w:pPr>
        <w:pStyle w:val="TextBody"/>
        <w:bidi w:val="0"/>
        <w:spacing w:before="120" w:after="60"/>
        <w:jc w:val="left"/>
        <w:rPr>
          <w:rFonts w:ascii="Montserrat" w:hAnsi="Montserrat"/>
          <w:i/>
          <w:color w:val="000000"/>
          <w:sz w:val="18"/>
        </w:rPr>
      </w:pPr>
      <w:r>
        <w:rPr>
          <w:rFonts w:ascii="Montserrat" w:hAnsi="Montserrat"/>
          <w:i/>
          <w:color w:val="000000"/>
          <w:sz w:val="18"/>
        </w:rPr>
        <w:t>(a)</w:t>
      </w:r>
    </w:p>
    <w:p>
      <w:pPr>
        <w:pStyle w:val="TextBody"/>
        <w:bidi w:val="0"/>
        <w:spacing w:before="120" w:after="60"/>
        <w:jc w:val="left"/>
        <w:rPr>
          <w:rFonts w:ascii="Montserrat;sans-serif" w:hAnsi="Montserrat;sans-serif"/>
          <w:i/>
          <w:color w:val="000000"/>
          <w:sz w:val="18"/>
        </w:rPr>
      </w:pPr>
      <w:r>
        <w:rPr>
          <w:rFonts w:ascii="Montserrat;sans-serif" w:hAnsi="Montserrat;sans-serif"/>
          <w:i/>
          <w:color w:val="000000"/>
          <w:sz w:val="18"/>
        </w:rPr>
        <w:t>Exhibits.</w:t>
      </w:r>
    </w:p>
    <w:tbl>
      <w:tblPr>
        <w:tblW w:w="10205" w:type="dxa"/>
        <w:jc w:val="left"/>
        <w:tblInd w:w="0" w:type="dxa"/>
        <w:tblLayout w:type="fixed"/>
        <w:tblCellMar>
          <w:top w:w="28" w:type="dxa"/>
          <w:left w:w="28" w:type="dxa"/>
          <w:bottom w:w="28" w:type="dxa"/>
          <w:right w:w="28" w:type="dxa"/>
        </w:tblCellMar>
      </w:tblPr>
      <w:tblGrid>
        <w:gridCol w:w="946"/>
        <w:gridCol w:w="146"/>
        <w:gridCol w:w="5452"/>
        <w:gridCol w:w="146"/>
        <w:gridCol w:w="586"/>
        <w:gridCol w:w="146"/>
        <w:gridCol w:w="916"/>
        <w:gridCol w:w="146"/>
        <w:gridCol w:w="766"/>
        <w:gridCol w:w="146"/>
        <w:gridCol w:w="809"/>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Incorporated by Reference</w:t>
            </w:r>
          </w:p>
        </w:tc>
      </w:tr>
      <w:tr>
        <w:trPr/>
        <w:tc>
          <w:tcPr>
            <w:tcW w:w="9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Montserrat;sans-serif" w:hAnsi="Montserrat;sans-serif"/>
                <w:b/>
                <w:color w:val="000000"/>
                <w:sz w:val="18"/>
              </w:rPr>
            </w:pPr>
            <w:r>
              <w:rPr>
                <w:rFonts w:ascii="Montserrat;sans-serif" w:hAnsi="Montserrat;sans-serif"/>
                <w:b/>
                <w:color w:val="000000"/>
                <w:sz w:val="18"/>
              </w:rPr>
              <w:t>Exhibit</w:t>
            </w:r>
          </w:p>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6"/>
              </w:rPr>
            </w:pPr>
            <w:r>
              <w:rPr>
                <w:rFonts w:ascii="Montserrat;sans-serif" w:hAnsi="Montserrat;sans-serif"/>
                <w:b/>
                <w:color w:val="000000"/>
                <w:sz w:val="16"/>
              </w:rPr>
              <w:t>Filing Date</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Montserrat;sans-serif" w:hAnsi="Montserrat;sans-serif"/>
                  <w:color w:val="0000FF"/>
                  <w:sz w:val="18"/>
                  <w:u w:val="single"/>
                </w:rPr>
                <w:t>Amended and Restated Certificate of Incorporation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11/16/2018</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Montserrat;sans-serif" w:hAnsi="Montserrat;sans-serif"/>
                  <w:color w:val="0000FF"/>
                  <w:sz w:val="18"/>
                  <w:u w:val="single"/>
                </w:rPr>
                <w:t>Amended and Restated Bylaws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11/16/2018</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Montserrat;sans-serif" w:hAnsi="Montserrat;sans-serif"/>
                  <w:color w:val="0000FF"/>
                  <w:sz w:val="18"/>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9/24/2018</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Montserrat;sans-serif" w:hAnsi="Montserrat;sans-serif"/>
                  <w:color w:val="0000FF"/>
                  <w:sz w:val="18"/>
                  <w:u w:val="single"/>
                </w:rPr>
                <w:t>Registration Rights Agreement, dated March 1, 2021, by and among the registrant and the investors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3/1/2021</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Montserrat;sans-serif" w:hAnsi="Montserrat;sans-serif"/>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Montserrat;sans-serif" w:hAnsi="Montserrat;sans-serif"/>
                  <w:color w:val="0000FF"/>
                  <w:sz w:val="18"/>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Montserrat;sans-serif" w:hAnsi="Montserrat;sans-serif"/>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Montserrat;sans-serif" w:hAnsi="Montserrat;sans-serif"/>
                  <w:color w:val="0000FF"/>
                  <w:sz w:val="18"/>
                  <w:u w:val="single"/>
                </w:rPr>
                <w:t>Certification of Principal Accounting and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Montserrat;sans-serif" w:hAnsi="Montserrat;sans-serif"/>
          <w:color w:val="000000"/>
          <w:sz w:val="16"/>
        </w:rPr>
      </w:pPr>
      <w:r>
        <w:rPr>
          <w:rFonts w:ascii="Montserrat;sans-serif" w:hAnsi="Montserrat;sans-serif"/>
          <w:color w:val="000000"/>
          <w:sz w:val="16"/>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signatures"/>
      <w:bookmarkEnd w:id="34"/>
      <w:r>
        <w:rPr>
          <w:rFonts w:ascii="Montserrat;sans-serif" w:hAnsi="Montserrat;sans-serif"/>
          <w:b/>
          <w:color w:val="000000"/>
          <w:sz w:val="18"/>
        </w:rPr>
        <w:t>SIGNAT</w:t>
      </w:r>
      <w:bookmarkStart w:id="35" w:name="signature"/>
      <w:bookmarkEnd w:id="35"/>
      <w:r>
        <w:rPr>
          <w:rFonts w:ascii="Montserrat;sans-serif" w:hAnsi="Montserrat;sans-serif"/>
          <w:b/>
          <w:color w:val="000000"/>
          <w:sz w:val="18"/>
        </w:rPr>
        <w:t>URES</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1801"/>
        <w:gridCol w:w="109"/>
        <w:gridCol w:w="391"/>
        <w:gridCol w:w="408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KODIAK SCIENCES INC.</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18"/>
              </w:rPr>
            </w:pPr>
            <w:r>
              <w:rPr>
                <w:rFonts w:ascii="Montserrat;sans-serif" w:hAnsi="Montserrat;sans-serif"/>
                <w:color w:val="000000"/>
                <w:sz w:val="18"/>
              </w:rPr>
              <w:t>Chief Financial Officer</w:t>
            </w:r>
            <w:r>
              <w:rPr>
                <w:rFonts w:ascii="Times New Roman" w:hAnsi="Times New Roman"/>
                <w:color w:val="000000"/>
                <w:sz w:val="18"/>
              </w:rPr>
              <w:t xml:space="preserve"> </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spacing w:before="120" w:after="283"/>
        <w:jc w:val="center"/>
        <w:rPr>
          <w:rFonts w:ascii="Montserrat;sans-serif" w:hAnsi="Montserrat;sans-serif"/>
          <w:color w:val="000000"/>
          <w:sz w:val="18"/>
        </w:rPr>
      </w:pPr>
      <w:r>
        <w:rPr>
          <w:rFonts w:ascii="Montserrat;sans-serif" w:hAnsi="Montserrat;sans-serif"/>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bookmarkStart w:id="36" w:name="kod-ex31_1.htm"/>
      <w:bookmarkStart w:id="37" w:name="kskodex31_1"/>
      <w:bookmarkEnd w:id="36"/>
      <w:bookmarkEnd w:id="37"/>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31.1</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RULES 13a-14(a) AND 15d-14(a) UNDER THE SECURITIES EXCHANGE ACT OF 1934,</w:t>
      </w:r>
    </w:p>
    <w:p>
      <w:pPr>
        <w:pStyle w:val="TextBody"/>
        <w:bidi w:val="0"/>
        <w:jc w:val="center"/>
        <w:rPr>
          <w:rFonts w:ascii="Montserrat;sans-serif" w:hAnsi="Montserrat;sans-serif"/>
          <w:b/>
          <w:color w:val="000000"/>
          <w:sz w:val="18"/>
        </w:rPr>
      </w:pPr>
      <w:r>
        <w:rPr>
          <w:rFonts w:ascii="Montserrat;sans-serif" w:hAnsi="Montserrat;sans-serif"/>
          <w:b/>
          <w:color w:val="000000"/>
          <w:sz w:val="18"/>
        </w:rPr>
        <w:t>AS ADOPTED PURSUANT TO SECTION 302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Victor Perlroth, M.D., certify that:</w:t>
      </w:r>
    </w:p>
    <w:p>
      <w:pPr>
        <w:pStyle w:val="TextBody"/>
        <w:bidi w:val="0"/>
        <w:spacing w:before="240" w:after="283"/>
        <w:jc w:val="left"/>
        <w:rPr>
          <w:rFonts w:ascii="Montserrat" w:hAnsi="Montserrat"/>
          <w:color w:val="000000"/>
          <w:sz w:val="18"/>
        </w:rPr>
      </w:pPr>
      <w:r>
        <w:rPr>
          <w:rFonts w:ascii="Montserrat" w:hAnsi="Montserrat"/>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have reviewed this Quarterly Report on Form 10-Q of Kodiak Sciences Inc.;</w:t>
      </w:r>
    </w:p>
    <w:p>
      <w:pPr>
        <w:pStyle w:val="TextBody"/>
        <w:bidi w:val="0"/>
        <w:spacing w:before="240" w:after="283"/>
        <w:jc w:val="left"/>
        <w:rPr>
          <w:rFonts w:ascii="Montserrat" w:hAnsi="Montserrat"/>
          <w:color w:val="000000"/>
          <w:sz w:val="18"/>
        </w:rPr>
      </w:pPr>
      <w:r>
        <w:rPr>
          <w:rFonts w:ascii="Montserrat" w:hAnsi="Montserrat"/>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Montserrat" w:hAnsi="Montserrat"/>
          <w:color w:val="000000"/>
          <w:sz w:val="18"/>
        </w:rPr>
      </w:pPr>
      <w:r>
        <w:rPr>
          <w:rFonts w:ascii="Montserrat" w:hAnsi="Montserrat"/>
          <w:color w:val="000000"/>
          <w:sz w:val="18"/>
        </w:rPr>
        <w:t>3.</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Montserrat" w:hAnsi="Montserrat"/>
          <w:color w:val="000000"/>
          <w:sz w:val="18"/>
        </w:rPr>
      </w:pPr>
      <w:r>
        <w:rPr>
          <w:rFonts w:ascii="Montserrat" w:hAnsi="Montserrat"/>
          <w:color w:val="000000"/>
          <w:sz w:val="18"/>
        </w:rPr>
        <w:t>4.</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Montserrat" w:hAnsi="Montserrat"/>
          <w:color w:val="000000"/>
          <w:sz w:val="18"/>
        </w:rPr>
      </w:pPr>
      <w:r>
        <w:rPr>
          <w:rFonts w:ascii="Montserrat" w:hAnsi="Montserrat"/>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Montserrat" w:hAnsi="Montserrat"/>
          <w:color w:val="000000"/>
          <w:sz w:val="18"/>
        </w:rPr>
      </w:pPr>
      <w:r>
        <w:rPr>
          <w:rFonts w:ascii="Montserrat" w:hAnsi="Montserrat"/>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Montserrat" w:hAnsi="Montserrat"/>
          <w:color w:val="000000"/>
          <w:sz w:val="18"/>
        </w:rPr>
      </w:pPr>
      <w:r>
        <w:rPr>
          <w:rFonts w:ascii="Montserrat" w:hAnsi="Montserrat"/>
          <w:color w:val="000000"/>
          <w:sz w:val="18"/>
        </w:rPr>
        <w:t>(c)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Montserrat" w:hAnsi="Montserrat"/>
          <w:color w:val="000000"/>
          <w:sz w:val="18"/>
        </w:rPr>
      </w:pPr>
      <w:r>
        <w:rPr>
          <w:rFonts w:ascii="Montserrat" w:hAnsi="Montserrat"/>
          <w:color w:val="000000"/>
          <w:sz w:val="18"/>
        </w:rPr>
        <w:t>(d)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Montserrat" w:hAnsi="Montserrat"/>
          <w:color w:val="000000"/>
          <w:sz w:val="18"/>
        </w:rPr>
      </w:pPr>
      <w:r>
        <w:rPr>
          <w:rFonts w:ascii="Montserrat" w:hAnsi="Montserrat"/>
          <w:color w:val="000000"/>
          <w:sz w:val="18"/>
        </w:rPr>
        <w:t>5.</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Montserrat" w:hAnsi="Montserrat"/>
          <w:color w:val="000000"/>
          <w:sz w:val="18"/>
        </w:rPr>
      </w:pPr>
      <w:r>
        <w:rPr>
          <w:rFonts w:ascii="Montserrat" w:hAnsi="Montserrat"/>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Montserrat" w:hAnsi="Montserrat"/>
          <w:color w:val="000000"/>
          <w:sz w:val="18"/>
        </w:rPr>
      </w:pPr>
      <w:r>
        <w:rPr>
          <w:rFonts w:ascii="Montserrat" w:hAnsi="Montserrat"/>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1801"/>
        <w:gridCol w:w="109"/>
        <w:gridCol w:w="391"/>
        <w:gridCol w:w="354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3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kod-ex31_2.htm"/>
      <w:bookmarkStart w:id="39" w:name="kskodex31_2"/>
      <w:bookmarkEnd w:id="38"/>
      <w:bookmarkEnd w:id="39"/>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31.2</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RULES 13a-14(a) AND 15d-14(a) UNDER THE SECURITIES EXCHANGE ACT OF 1934,</w:t>
      </w:r>
    </w:p>
    <w:p>
      <w:pPr>
        <w:pStyle w:val="TextBody"/>
        <w:bidi w:val="0"/>
        <w:jc w:val="center"/>
        <w:rPr>
          <w:rFonts w:ascii="Montserrat;sans-serif" w:hAnsi="Montserrat;sans-serif"/>
          <w:b/>
          <w:color w:val="000000"/>
          <w:sz w:val="18"/>
        </w:rPr>
      </w:pPr>
      <w:r>
        <w:rPr>
          <w:rFonts w:ascii="Montserrat;sans-serif" w:hAnsi="Montserrat;sans-serif"/>
          <w:b/>
          <w:color w:val="000000"/>
          <w:sz w:val="18"/>
        </w:rPr>
        <w:t>AS ADOPTED PURSUANT TO SECTION 302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John Borgeson, certify that:</w:t>
      </w:r>
    </w:p>
    <w:p>
      <w:pPr>
        <w:pStyle w:val="TextBody"/>
        <w:bidi w:val="0"/>
        <w:spacing w:before="240" w:after="283"/>
        <w:jc w:val="left"/>
        <w:rPr>
          <w:rFonts w:ascii="Montserrat" w:hAnsi="Montserrat"/>
          <w:color w:val="000000"/>
          <w:sz w:val="18"/>
        </w:rPr>
      </w:pPr>
      <w:r>
        <w:rPr>
          <w:rFonts w:ascii="Montserrat" w:hAnsi="Montserrat"/>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 have reviewed this Quarterly Report on Form 10-Q of Kodiak Sciences Inc.;</w:t>
      </w:r>
    </w:p>
    <w:p>
      <w:pPr>
        <w:pStyle w:val="TextBody"/>
        <w:bidi w:val="0"/>
        <w:spacing w:before="240" w:after="283"/>
        <w:jc w:val="left"/>
        <w:rPr>
          <w:rFonts w:ascii="Montserrat" w:hAnsi="Montserrat"/>
          <w:color w:val="000000"/>
          <w:sz w:val="18"/>
        </w:rPr>
      </w:pPr>
      <w:r>
        <w:rPr>
          <w:rFonts w:ascii="Montserrat" w:hAnsi="Montserrat"/>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Montserrat" w:hAnsi="Montserrat"/>
          <w:color w:val="000000"/>
          <w:sz w:val="18"/>
        </w:rPr>
      </w:pPr>
      <w:r>
        <w:rPr>
          <w:rFonts w:ascii="Montserrat" w:hAnsi="Montserrat"/>
          <w:color w:val="000000"/>
          <w:sz w:val="18"/>
        </w:rPr>
        <w:t>3.</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Montserrat" w:hAnsi="Montserrat"/>
          <w:color w:val="000000"/>
          <w:sz w:val="18"/>
        </w:rPr>
      </w:pPr>
      <w:r>
        <w:rPr>
          <w:rFonts w:ascii="Montserrat" w:hAnsi="Montserrat"/>
          <w:color w:val="000000"/>
          <w:sz w:val="18"/>
        </w:rPr>
        <w:t>4.</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Montserrat" w:hAnsi="Montserrat"/>
          <w:color w:val="000000"/>
          <w:sz w:val="18"/>
        </w:rPr>
      </w:pPr>
      <w:r>
        <w:rPr>
          <w:rFonts w:ascii="Montserrat" w:hAnsi="Montserrat"/>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Montserrat" w:hAnsi="Montserrat"/>
          <w:color w:val="000000"/>
          <w:sz w:val="18"/>
        </w:rPr>
      </w:pPr>
      <w:r>
        <w:rPr>
          <w:rFonts w:ascii="Montserrat" w:hAnsi="Montserrat"/>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Montserrat" w:hAnsi="Montserrat"/>
          <w:color w:val="000000"/>
          <w:sz w:val="18"/>
        </w:rPr>
      </w:pPr>
      <w:r>
        <w:rPr>
          <w:rFonts w:ascii="Montserrat" w:hAnsi="Montserrat"/>
          <w:color w:val="000000"/>
          <w:sz w:val="18"/>
        </w:rPr>
        <w:t>(c)</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Montserrat" w:hAnsi="Montserrat"/>
          <w:color w:val="000000"/>
          <w:sz w:val="18"/>
        </w:rPr>
      </w:pPr>
      <w:r>
        <w:rPr>
          <w:rFonts w:ascii="Montserrat" w:hAnsi="Montserrat"/>
          <w:color w:val="000000"/>
          <w:sz w:val="18"/>
        </w:rPr>
        <w:t>(d)</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Montserrat" w:hAnsi="Montserrat"/>
          <w:color w:val="000000"/>
          <w:sz w:val="18"/>
        </w:rPr>
      </w:pPr>
      <w:r>
        <w:rPr>
          <w:rFonts w:ascii="Montserrat" w:hAnsi="Montserrat"/>
          <w:color w:val="000000"/>
          <w:sz w:val="18"/>
        </w:rPr>
        <w:t>5.</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Montserrat" w:hAnsi="Montserrat"/>
          <w:color w:val="000000"/>
          <w:sz w:val="18"/>
        </w:rPr>
      </w:pPr>
      <w:r>
        <w:rPr>
          <w:rFonts w:ascii="Montserrat" w:hAnsi="Montserrat"/>
          <w:color w:val="000000"/>
          <w:sz w:val="18"/>
        </w:rPr>
        <w:t>(a)</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Montserrat" w:hAnsi="Montserrat"/>
          <w:color w:val="000000"/>
          <w:sz w:val="18"/>
        </w:rPr>
      </w:pPr>
      <w:r>
        <w:rPr>
          <w:rFonts w:ascii="Montserrat" w:hAnsi="Montserrat"/>
          <w:color w:val="000000"/>
          <w:sz w:val="18"/>
        </w:rPr>
        <w:t>(b)</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1801"/>
        <w:gridCol w:w="109"/>
        <w:gridCol w:w="391"/>
        <w:gridCol w:w="408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Chief Financial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0" w:name="kod-ex32_1.htm"/>
      <w:bookmarkStart w:id="41" w:name="kskodex32_1"/>
      <w:bookmarkEnd w:id="40"/>
      <w:bookmarkEnd w:id="41"/>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32.1</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18 U.S.C. SECTION 1350, AS ADOPTED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SECTION 906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In connection with the Quarterly Report of Kodiak Sciences Inc. (the “Company”) on Form 10-Q for the period ended March 31,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Montserrat" w:hAnsi="Montserrat"/>
          <w:color w:val="000000"/>
          <w:sz w:val="18"/>
        </w:rPr>
      </w:pPr>
      <w:r>
        <w:rPr>
          <w:rFonts w:ascii="Montserrat" w:hAnsi="Montserrat"/>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Report fully complies with the requirements of section 13(a) or 15(d) of the Securities Exchange Act of 1934; and</w:t>
      </w:r>
    </w:p>
    <w:p>
      <w:pPr>
        <w:pStyle w:val="TextBody"/>
        <w:bidi w:val="0"/>
        <w:spacing w:before="240" w:after="283"/>
        <w:jc w:val="left"/>
        <w:rPr>
          <w:rFonts w:ascii="Montserrat" w:hAnsi="Montserrat"/>
          <w:color w:val="000000"/>
          <w:sz w:val="18"/>
        </w:rPr>
      </w:pPr>
      <w:r>
        <w:rPr>
          <w:rFonts w:ascii="Montserrat" w:hAnsi="Montserrat"/>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1801"/>
        <w:gridCol w:w="109"/>
        <w:gridCol w:w="391"/>
        <w:gridCol w:w="354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3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Victor Perlroth</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Victor Perlroth, M.D.</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Chairman and Chief Executive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Executive Officer)</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kod-ex32_2.htm"/>
      <w:bookmarkStart w:id="43" w:name="kskodex32_2"/>
      <w:bookmarkEnd w:id="42"/>
      <w:bookmarkEnd w:id="43"/>
      <w:r>
        <w:rPr/>
        <w:t> </w:t>
      </w:r>
      <w:r>
        <w:br w:type="page"/>
      </w:r>
    </w:p>
    <w:p>
      <w:pPr>
        <w:pStyle w:val="TextBody"/>
        <w:bidi w:val="0"/>
        <w:jc w:val="right"/>
        <w:rPr>
          <w:rFonts w:ascii="Montserrat;sans-serif" w:hAnsi="Montserrat;sans-serif"/>
          <w:b/>
          <w:color w:val="000000"/>
          <w:sz w:val="18"/>
        </w:rPr>
      </w:pPr>
      <w:r>
        <w:rPr>
          <w:rFonts w:ascii="Montserrat;sans-serif" w:hAnsi="Montserrat;sans-serif"/>
          <w:b/>
          <w:color w:val="000000"/>
          <w:sz w:val="18"/>
        </w:rPr>
        <w:t>Exhibit 32.2</w:t>
      </w:r>
    </w:p>
    <w:p>
      <w:pPr>
        <w:pStyle w:val="TextBody"/>
        <w:bidi w:val="0"/>
        <w:spacing w:before="240" w:after="283"/>
        <w:jc w:val="center"/>
        <w:rPr>
          <w:rFonts w:ascii="Montserrat;sans-serif" w:hAnsi="Montserrat;sans-serif"/>
          <w:b/>
          <w:color w:val="000000"/>
          <w:sz w:val="18"/>
        </w:rPr>
      </w:pPr>
      <w:r>
        <w:rPr>
          <w:rFonts w:ascii="Montserrat;sans-serif" w:hAnsi="Montserrat;sans-serif"/>
          <w:b/>
          <w:color w:val="000000"/>
          <w:sz w:val="18"/>
        </w:rPr>
        <w:t>CERTIFICATION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18 U.S.C. SECTION 1350, AS ADOPTED PURSUANT TO</w:t>
      </w:r>
    </w:p>
    <w:p>
      <w:pPr>
        <w:pStyle w:val="TextBody"/>
        <w:bidi w:val="0"/>
        <w:jc w:val="center"/>
        <w:rPr>
          <w:rFonts w:ascii="Montserrat;sans-serif" w:hAnsi="Montserrat;sans-serif"/>
          <w:b/>
          <w:color w:val="000000"/>
          <w:sz w:val="18"/>
        </w:rPr>
      </w:pPr>
      <w:r>
        <w:rPr>
          <w:rFonts w:ascii="Montserrat;sans-serif" w:hAnsi="Montserrat;sans-serif"/>
          <w:b/>
          <w:color w:val="000000"/>
          <w:sz w:val="18"/>
        </w:rPr>
        <w:t>SECTION 906 OF THE SARBANES-OXLEY ACT OF 2002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In connection with the Quarterly Report of Kodiak Sciences Inc. (the “Company”) on Form 10-Q for the period ended March 31, 2026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Montserrat" w:hAnsi="Montserrat"/>
          <w:color w:val="000000"/>
          <w:sz w:val="18"/>
        </w:rPr>
      </w:pPr>
      <w:r>
        <w:rPr>
          <w:rFonts w:ascii="Montserrat" w:hAnsi="Montserrat"/>
          <w:color w:val="000000"/>
          <w:sz w:val="18"/>
        </w:rPr>
        <w:t>(1)</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Report fully complies with the requirements of section 13(a) or 15(d) of the Securities Exchange Act of 1934; and</w:t>
      </w:r>
    </w:p>
    <w:p>
      <w:pPr>
        <w:pStyle w:val="TextBody"/>
        <w:bidi w:val="0"/>
        <w:spacing w:before="240" w:after="283"/>
        <w:jc w:val="left"/>
        <w:rPr>
          <w:rFonts w:ascii="Montserrat" w:hAnsi="Montserrat"/>
          <w:color w:val="000000"/>
          <w:sz w:val="18"/>
        </w:rPr>
      </w:pPr>
      <w:r>
        <w:rPr>
          <w:rFonts w:ascii="Montserrat" w:hAnsi="Montserrat"/>
          <w:color w:val="000000"/>
          <w:sz w:val="18"/>
        </w:rPr>
        <w:t>(2)</w:t>
      </w:r>
    </w:p>
    <w:p>
      <w:pPr>
        <w:pStyle w:val="TextBody"/>
        <w:bidi w:val="0"/>
        <w:spacing w:before="240" w:after="283"/>
        <w:jc w:val="left"/>
        <w:rPr>
          <w:rFonts w:ascii="Montserrat;sans-serif" w:hAnsi="Montserrat;sans-serif"/>
          <w:color w:val="000000"/>
          <w:sz w:val="18"/>
        </w:rPr>
      </w:pPr>
      <w:r>
        <w:rPr>
          <w:rFonts w:ascii="Montserrat;sans-serif" w:hAnsi="Montserrat;sans-serif"/>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382" w:type="dxa"/>
        <w:jc w:val="left"/>
        <w:tblInd w:w="0" w:type="dxa"/>
        <w:tblLayout w:type="fixed"/>
        <w:tblCellMar>
          <w:top w:w="28" w:type="dxa"/>
          <w:left w:w="28" w:type="dxa"/>
          <w:bottom w:w="28" w:type="dxa"/>
          <w:right w:w="28" w:type="dxa"/>
        </w:tblCellMar>
      </w:tblPr>
      <w:tblGrid>
        <w:gridCol w:w="1801"/>
        <w:gridCol w:w="109"/>
        <w:gridCol w:w="391"/>
        <w:gridCol w:w="4081"/>
      </w:tblGrid>
      <w:tr>
        <w:trPr/>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By:</w:t>
            </w:r>
          </w:p>
        </w:tc>
        <w:tc>
          <w:tcPr>
            <w:tcW w:w="40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/s/ 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John Borgeson</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1" w:type="dxa"/>
            <w:tcBorders/>
            <w:shd w:fill="FFFFFF" w:val="clear"/>
            <w:tcMar>
              <w:top w:w="0" w:type="dxa"/>
              <w:left w:w="0" w:type="dxa"/>
              <w:bottom w:w="0" w:type="dxa"/>
              <w:right w:w="0" w:type="dxa"/>
            </w:tcMar>
            <w:vAlign w:val="center"/>
          </w:tcPr>
          <w:p>
            <w:pPr>
              <w:pStyle w:val="TableContents"/>
              <w:bidi w:val="0"/>
              <w:jc w:val="center"/>
              <w:rPr>
                <w:rFonts w:ascii="Montserrat;sans-serif" w:hAnsi="Montserrat;sans-serif"/>
                <w:color w:val="000000"/>
                <w:sz w:val="18"/>
              </w:rPr>
            </w:pPr>
            <w:r>
              <w:rPr>
                <w:rFonts w:ascii="Montserrat;sans-serif" w:hAnsi="Montserrat;sans-serif"/>
                <w:color w:val="000000"/>
                <w:sz w:val="18"/>
              </w:rPr>
              <w:t>Chief Financial Officer</w:t>
            </w:r>
          </w:p>
          <w:p>
            <w:pPr>
              <w:pStyle w:val="TableContents"/>
              <w:bidi w:val="0"/>
              <w:spacing w:before="0" w:after="283"/>
              <w:jc w:val="center"/>
              <w:rPr>
                <w:rFonts w:ascii="Montserrat;sans-serif" w:hAnsi="Montserrat;sans-serif"/>
                <w:color w:val="000000"/>
                <w:sz w:val="18"/>
              </w:rPr>
            </w:pPr>
            <w:r>
              <w:rPr>
                <w:rFonts w:ascii="Montserrat;sans-serif" w:hAnsi="Montserrat;sans-serif"/>
                <w:color w:val="000000"/>
                <w:sz w:val="18"/>
              </w:rPr>
              <w:t>(Principal Accounting and Financial Officer)</w:t>
            </w:r>
          </w:p>
        </w:tc>
      </w:tr>
    </w:tbl>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Times New Roman">
    <w:charset w:val="01"/>
    <w:family w:val="auto"/>
    <w:pitch w:val="default"/>
  </w:font>
  <w:font w:name="Montserra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8748/000156459018029743/kod-ex31_303.htm" TargetMode="External"/><Relationship Id="rId4" Type="http://schemas.openxmlformats.org/officeDocument/2006/relationships/hyperlink" Target="https://www.sec.gov/Archives/edgar/data/1468748/000156459018029743/kod-ex32_302.htm" TargetMode="External"/><Relationship Id="rId5" Type="http://schemas.openxmlformats.org/officeDocument/2006/relationships/hyperlink" Target="https://www.sec.gov/Archives/edgar/data/1468748/000119312518280419/d516071dex41.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51580</Words>
  <Characters>292728</Characters>
  <CharactersWithSpaces>344247</CharactersWithSpaces>
  <Paragraphs>3685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