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kod-20250930.htm"/>
      <w:bookmarkStart w:id="1" w:name="kskod20250930"/>
      <w:bookmarkEnd w:id="0"/>
      <w:bookmarkEnd w:id="1"/>
      <w:r>
        <w:rPr/>
        <w:t> </w:t>
      </w:r>
    </w:p>
    <w:p>
      <w:pPr>
        <w:pStyle w:val="TextBody"/>
        <w:bidi w:val="0"/>
        <w:spacing w:before="40" w:after="283"/>
        <w:jc w:val="center"/>
        <w:rPr>
          <w:rFonts w:ascii="Times New Roman" w:hAnsi="Times New Roman"/>
          <w:b/>
          <w:color w:val="000000"/>
          <w:sz w:val="38"/>
        </w:rPr>
      </w:pPr>
      <w:r>
        <w:rPr>
          <w:rFonts w:ascii="Times New Roman" w:hAnsi="Times New Roman"/>
          <w:b/>
          <w:color w:val="000000"/>
          <w:sz w:val="38"/>
        </w:rPr>
        <w:t>UNITED STATES</w:t>
      </w:r>
    </w:p>
    <w:p>
      <w:pPr>
        <w:pStyle w:val="TextBody"/>
        <w:bidi w:val="0"/>
        <w:jc w:val="center"/>
        <w:rPr>
          <w:rFonts w:ascii="Times New Roman" w:hAnsi="Times New Roman"/>
          <w:b/>
          <w:color w:val="000000"/>
          <w:sz w:val="38"/>
        </w:rPr>
      </w:pPr>
      <w:r>
        <w:rPr>
          <w:rFonts w:ascii="Times New Roman" w:hAnsi="Times New Roman"/>
          <w:b/>
          <w:color w:val="000000"/>
          <w:sz w:val="38"/>
        </w:rPr>
        <w:t>SECURITIES AND EXCHANGE COMMISSION</w:t>
      </w:r>
    </w:p>
    <w:p>
      <w:pPr>
        <w:pStyle w:val="TextBody"/>
        <w:bidi w:val="0"/>
        <w:jc w:val="center"/>
        <w:rPr>
          <w:rFonts w:ascii="Times New Roman" w:hAnsi="Times New Roman"/>
          <w:b/>
          <w:color w:val="000000"/>
          <w:sz w:val="26"/>
        </w:rPr>
      </w:pPr>
      <w:r>
        <w:rPr>
          <w:rFonts w:ascii="Times New Roman" w:hAnsi="Times New Roman"/>
          <w:b/>
          <w:color w:val="000000"/>
          <w:sz w:val="26"/>
        </w:rPr>
        <w:t>WASHINGTON, DC 20549</w:t>
      </w:r>
    </w:p>
    <w:p>
      <w:pPr>
        <w:pStyle w:val="TextBody"/>
        <w:pBdr>
          <w:bottom w:val="single" w:sz="4" w:space="1" w:color="000000"/>
        </w:pBdr>
        <w:bidi w:val="0"/>
        <w:jc w:val="center"/>
        <w:rPr/>
      </w:pPr>
      <w:r>
        <w:rPr/>
        <w:t> </w:t>
      </w:r>
    </w:p>
    <w:p>
      <w:pPr>
        <w:pStyle w:val="TextBody"/>
        <w:bidi w:val="0"/>
        <w:spacing w:before="120" w:after="283"/>
        <w:jc w:val="center"/>
        <w:rPr>
          <w:rFonts w:ascii="Times New Roman" w:hAnsi="Times New Roman"/>
          <w:b/>
          <w:color w:val="000000"/>
          <w:sz w:val="40"/>
        </w:rPr>
      </w:pPr>
      <w:r>
        <w:rPr>
          <w:rFonts w:ascii="Times New Roman" w:hAnsi="Times New Roman"/>
          <w:b/>
          <w:color w:val="000000"/>
          <w:sz w:val="40"/>
        </w:rPr>
        <w:t>FORM 10-Q</w:t>
      </w:r>
    </w:p>
    <w:p>
      <w:pPr>
        <w:pStyle w:val="TextBody"/>
        <w:pBdr>
          <w:bottom w:val="single" w:sz="4" w:space="1" w:color="000000"/>
        </w:pBdr>
        <w:bidi w:val="0"/>
        <w:jc w:val="center"/>
        <w:rPr/>
      </w:pPr>
      <w:r>
        <w:rPr/>
        <w:t> </w:t>
      </w:r>
    </w:p>
    <w:p>
      <w:pPr>
        <w:pStyle w:val="TextBody"/>
        <w:bidi w:val="0"/>
        <w:jc w:val="left"/>
        <w:rPr>
          <w:rFonts w:ascii="Times New Roman" w:hAnsi="Times New Roman"/>
          <w:b/>
          <w:color w:val="000000"/>
          <w:sz w:val="16"/>
        </w:rPr>
      </w:pPr>
      <w:r>
        <w:rPr>
          <w:rFonts w:ascii="Times New Roman" w:hAnsi="Times New Roman"/>
          <w:b/>
          <w:color w:val="000000"/>
          <w:sz w:val="16"/>
        </w:rPr>
        <w:t>(Mark One)</w:t>
      </w:r>
    </w:p>
    <w:p>
      <w:pPr>
        <w:pStyle w:val="TextBody"/>
        <w:bidi w:val="0"/>
        <w:jc w:val="left"/>
        <w:rPr/>
      </w:pPr>
      <w:r>
        <w:rPr>
          <w:color w:val="000000"/>
        </w:rPr>
        <w:t xml:space="preserve">☒ </w:t>
      </w:r>
      <w:r>
        <w:rPr>
          <w:rFonts w:ascii="Times New Roman" w:hAnsi="Times New Roman"/>
          <w:b/>
          <w:color w:val="000000"/>
          <w:sz w:val="20"/>
        </w:rPr>
        <w:t>QUARTERLY REPORT PURSUANT TO SECTION 13 OR 15(d) OF THE SECURITIES EXCHANGE ACT OF 1934</w:t>
      </w:r>
    </w:p>
    <w:p>
      <w:pPr>
        <w:pStyle w:val="TextBody"/>
        <w:bidi w:val="0"/>
        <w:spacing w:before="120" w:after="283"/>
        <w:jc w:val="center"/>
        <w:rPr>
          <w:rFonts w:ascii="Times New Roman" w:hAnsi="Times New Roman"/>
          <w:b/>
          <w:color w:val="000000"/>
          <w:sz w:val="21"/>
        </w:rPr>
      </w:pPr>
      <w:r>
        <w:rPr>
          <w:rFonts w:ascii="Times New Roman" w:hAnsi="Times New Roman"/>
          <w:b/>
          <w:color w:val="000000"/>
          <w:sz w:val="21"/>
        </w:rPr>
        <w:t>For the quarterly period ended September 30, 2025</w:t>
      </w:r>
    </w:p>
    <w:p>
      <w:pPr>
        <w:pStyle w:val="TextBody"/>
        <w:bidi w:val="0"/>
        <w:spacing w:before="120" w:after="283"/>
        <w:jc w:val="center"/>
        <w:rPr>
          <w:rFonts w:ascii="Times New Roman" w:hAnsi="Times New Roman"/>
          <w:b/>
          <w:color w:val="000000"/>
          <w:sz w:val="21"/>
        </w:rPr>
      </w:pPr>
      <w:r>
        <w:rPr>
          <w:rFonts w:ascii="Times New Roman" w:hAnsi="Times New Roman"/>
          <w:b/>
          <w:color w:val="000000"/>
          <w:sz w:val="21"/>
        </w:rPr>
        <w:t>OR</w:t>
      </w:r>
    </w:p>
    <w:p>
      <w:pPr>
        <w:pStyle w:val="TextBody"/>
        <w:bidi w:val="0"/>
        <w:spacing w:before="120" w:after="283"/>
        <w:jc w:val="left"/>
        <w:rPr/>
      </w:pPr>
      <w:r>
        <w:rPr>
          <w:color w:val="000000"/>
        </w:rPr>
        <w:t xml:space="preserve">☐ </w:t>
      </w:r>
      <w:r>
        <w:rPr>
          <w:rFonts w:ascii="Times New Roman" w:hAnsi="Times New Roman"/>
          <w:b/>
          <w:color w:val="000000"/>
          <w:sz w:val="20"/>
        </w:rPr>
        <w:t>TRANSITION REPORT PURSUANT TO SECTION 13 OR 15(d) OF THE SECURITIES EXCHANGE ACT OF 1934</w:t>
      </w:r>
    </w:p>
    <w:p>
      <w:pPr>
        <w:pStyle w:val="TextBody"/>
        <w:bidi w:val="0"/>
        <w:spacing w:before="120" w:after="283"/>
        <w:jc w:val="center"/>
        <w:rPr>
          <w:rFonts w:ascii="Times New Roman" w:hAnsi="Times New Roman"/>
          <w:b/>
          <w:color w:val="000000"/>
          <w:sz w:val="21"/>
        </w:rPr>
      </w:pPr>
      <w:r>
        <w:rPr>
          <w:rFonts w:ascii="Times New Roman" w:hAnsi="Times New Roman"/>
          <w:b/>
          <w:color w:val="000000"/>
          <w:sz w:val="21"/>
        </w:rPr>
        <w:t>For the transition period from __________ to _________</w:t>
      </w:r>
    </w:p>
    <w:p>
      <w:pPr>
        <w:pStyle w:val="TextBody"/>
        <w:bidi w:val="0"/>
        <w:spacing w:before="120" w:after="283"/>
        <w:jc w:val="center"/>
        <w:rPr>
          <w:rFonts w:ascii="Times New Roman" w:hAnsi="Times New Roman"/>
          <w:b/>
          <w:color w:val="000000"/>
          <w:sz w:val="21"/>
        </w:rPr>
      </w:pPr>
      <w:r>
        <w:rPr>
          <w:rFonts w:ascii="Times New Roman" w:hAnsi="Times New Roman"/>
          <w:b/>
          <w:color w:val="000000"/>
          <w:sz w:val="21"/>
        </w:rPr>
        <w:t>Commission File Number: 001-38682</w:t>
      </w:r>
    </w:p>
    <w:p>
      <w:pPr>
        <w:pStyle w:val="TextBody"/>
        <w:pBdr>
          <w:bottom w:val="single" w:sz="4" w:space="1" w:color="000000"/>
        </w:pBdr>
        <w:bidi w:val="0"/>
        <w:jc w:val="center"/>
        <w:rPr/>
      </w:pPr>
      <w:r>
        <w:rPr/>
        <w:t> </w:t>
      </w:r>
    </w:p>
    <w:p>
      <w:pPr>
        <w:pStyle w:val="TextBody"/>
        <w:bidi w:val="0"/>
        <w:jc w:val="center"/>
        <w:rPr>
          <w:rFonts w:ascii="Times New Roman" w:hAnsi="Times New Roman"/>
          <w:b/>
          <w:color w:val="000000"/>
          <w:sz w:val="56"/>
        </w:rPr>
      </w:pPr>
      <w:r>
        <w:rPr>
          <w:rFonts w:ascii="Times New Roman" w:hAnsi="Times New Roman"/>
          <w:b/>
          <w:color w:val="000000"/>
          <w:sz w:val="56"/>
        </w:rPr>
        <w:t>KODIAK SCIENCES INC.</w:t>
      </w:r>
    </w:p>
    <w:p>
      <w:pPr>
        <w:pStyle w:val="TextBody"/>
        <w:bidi w:val="0"/>
        <w:jc w:val="center"/>
        <w:rPr>
          <w:rFonts w:ascii="Times New Roman" w:hAnsi="Times New Roman"/>
          <w:b/>
          <w:color w:val="000000"/>
          <w:sz w:val="21"/>
        </w:rPr>
      </w:pPr>
      <w:r>
        <w:rPr>
          <w:rFonts w:ascii="Times New Roman" w:hAnsi="Times New Roman"/>
          <w:b/>
          <w:color w:val="000000"/>
          <w:sz w:val="21"/>
        </w:rPr>
        <w:t>(Exact Name of Registrant as Specified in its Charter)</w:t>
      </w:r>
    </w:p>
    <w:p>
      <w:pPr>
        <w:pStyle w:val="TextBody"/>
        <w:pBdr>
          <w:bottom w:val="single" w:sz="4" w:space="1" w:color="000000"/>
        </w:pBdr>
        <w:bidi w:val="0"/>
        <w:jc w:val="center"/>
        <w:rPr/>
      </w:pPr>
      <w:r>
        <w:rPr/>
        <w:t> </w:t>
      </w:r>
    </w:p>
    <w:p>
      <w:pPr>
        <w:pStyle w:val="TextBody"/>
        <w:bidi w:val="0"/>
        <w:jc w:val="left"/>
        <w:rPr/>
      </w:pPr>
      <w:r>
        <w:rPr/>
        <w:t> </w:t>
      </w:r>
    </w:p>
    <w:tbl>
      <w:tblPr>
        <w:tblW w:w="4412" w:type="dxa"/>
        <w:jc w:val="left"/>
        <w:tblInd w:w="0" w:type="dxa"/>
        <w:tblLayout w:type="fixed"/>
        <w:tblCellMar>
          <w:top w:w="28" w:type="dxa"/>
          <w:left w:w="28" w:type="dxa"/>
          <w:bottom w:w="28" w:type="dxa"/>
          <w:right w:w="28" w:type="dxa"/>
        </w:tblCellMar>
      </w:tblPr>
      <w:tblGrid>
        <w:gridCol w:w="2926"/>
        <w:gridCol w:w="1486"/>
      </w:tblGrid>
      <w:tr>
        <w:trPr/>
        <w:tc>
          <w:tcPr>
            <w:tcW w:w="2926"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Delaware</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27-0476525</w:t>
            </w:r>
          </w:p>
        </w:tc>
      </w:tr>
      <w:tr>
        <w:trPr/>
        <w:tc>
          <w:tcPr>
            <w:tcW w:w="292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7"/>
              </w:rPr>
            </w:pPr>
            <w:r>
              <w:rPr>
                <w:rFonts w:ascii="Times New Roman" w:hAnsi="Times New Roman"/>
                <w:b/>
                <w:color w:val="000000"/>
                <w:sz w:val="17"/>
              </w:rPr>
              <w:t>(State or other jurisdiction of</w:t>
            </w:r>
          </w:p>
          <w:p>
            <w:pPr>
              <w:pStyle w:val="TableContents"/>
              <w:bidi w:val="0"/>
              <w:spacing w:before="0" w:after="15"/>
              <w:jc w:val="center"/>
              <w:rPr>
                <w:rFonts w:ascii="Times New Roman" w:hAnsi="Times New Roman"/>
                <w:b/>
                <w:color w:val="000000"/>
                <w:sz w:val="17"/>
              </w:rPr>
            </w:pPr>
            <w:r>
              <w:rPr>
                <w:rFonts w:ascii="Times New Roman" w:hAnsi="Times New Roman"/>
                <w:b/>
                <w:color w:val="000000"/>
                <w:sz w:val="17"/>
              </w:rPr>
              <w:t>incorporation or organization)</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7"/>
              </w:rPr>
            </w:pPr>
            <w:r>
              <w:rPr>
                <w:rFonts w:ascii="Times New Roman" w:hAnsi="Times New Roman"/>
                <w:b/>
                <w:color w:val="000000"/>
                <w:sz w:val="17"/>
              </w:rPr>
              <w:t>(I.R.S. Employer</w:t>
            </w:r>
          </w:p>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Identification No.)</w:t>
            </w:r>
          </w:p>
        </w:tc>
      </w:tr>
      <w:tr>
        <w:trPr/>
        <w:tc>
          <w:tcPr>
            <w:tcW w:w="2926" w:type="dxa"/>
            <w:tcBorders/>
            <w:tcMar>
              <w:top w:w="0" w:type="dxa"/>
              <w:left w:w="0" w:type="dxa"/>
              <w:bottom w:w="0" w:type="dxa"/>
              <w:right w:w="0" w:type="dxa"/>
            </w:tcMar>
            <w:vAlign w:val="center"/>
          </w:tcPr>
          <w:p>
            <w:pPr>
              <w:pStyle w:val="TableContents"/>
              <w:bidi w:val="0"/>
              <w:spacing w:before="40" w:after="283"/>
              <w:jc w:val="center"/>
              <w:rPr>
                <w:rFonts w:ascii="Times New Roman" w:hAnsi="Times New Roman"/>
                <w:b/>
                <w:color w:val="000000"/>
                <w:sz w:val="21"/>
              </w:rPr>
            </w:pPr>
            <w:r>
              <w:rPr>
                <w:rFonts w:ascii="Times New Roman" w:hAnsi="Times New Roman"/>
                <w:b/>
                <w:color w:val="000000"/>
                <w:sz w:val="21"/>
              </w:rPr>
              <w:t>1250 Page Mill Road</w:t>
            </w:r>
          </w:p>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Palo Alto, CA</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1"/>
              </w:rPr>
            </w:pPr>
            <w:r>
              <w:rPr>
                <w:rFonts w:ascii="Times New Roman" w:hAnsi="Times New Roman"/>
                <w:b/>
                <w:color w:val="000000"/>
                <w:sz w:val="21"/>
              </w:rPr>
              <w:t>94304</w:t>
            </w:r>
          </w:p>
        </w:tc>
      </w:tr>
      <w:tr>
        <w:trPr/>
        <w:tc>
          <w:tcPr>
            <w:tcW w:w="29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(Address of principal executive offices)</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7"/>
              </w:rPr>
            </w:pPr>
            <w:r>
              <w:rPr>
                <w:rFonts w:ascii="Times New Roman" w:hAnsi="Times New Roman"/>
                <w:b/>
                <w:color w:val="000000"/>
                <w:sz w:val="17"/>
              </w:rPr>
              <w:t>(Zip Code)</w:t>
            </w:r>
          </w:p>
        </w:tc>
      </w:tr>
    </w:tbl>
    <w:p>
      <w:pPr>
        <w:pStyle w:val="TextBody"/>
        <w:bidi w:val="0"/>
        <w:jc w:val="left"/>
        <w:rPr/>
      </w:pPr>
      <w:r>
        <w:rPr/>
        <w:t> </w:t>
      </w:r>
    </w:p>
    <w:p>
      <w:pPr>
        <w:pStyle w:val="TextBody"/>
        <w:bidi w:val="0"/>
        <w:jc w:val="center"/>
        <w:rPr>
          <w:rFonts w:ascii="Times New Roman" w:hAnsi="Times New Roman"/>
          <w:b/>
          <w:color w:val="000000"/>
          <w:sz w:val="21"/>
        </w:rPr>
      </w:pPr>
      <w:r>
        <w:rPr>
          <w:rFonts w:ascii="Times New Roman" w:hAnsi="Times New Roman"/>
          <w:b/>
          <w:color w:val="000000"/>
          <w:sz w:val="21"/>
        </w:rPr>
        <w:t>Registrant’s telephone number, including area code: (650) 281-0850</w:t>
      </w:r>
    </w:p>
    <w:p>
      <w:pPr>
        <w:pStyle w:val="TextBody"/>
        <w:pBdr>
          <w:bottom w:val="single" w:sz="4" w:space="1" w:color="000000"/>
        </w:pBdr>
        <w:bidi w:val="0"/>
        <w:jc w:val="center"/>
        <w:rPr/>
      </w:pPr>
      <w:r>
        <w:rPr/>
        <w:t> </w:t>
      </w:r>
    </w:p>
    <w:p>
      <w:pPr>
        <w:pStyle w:val="TextBody"/>
        <w:bidi w:val="0"/>
        <w:spacing w:before="60" w:after="283"/>
        <w:jc w:val="left"/>
        <w:rPr>
          <w:rFonts w:ascii="Times New Roman" w:hAnsi="Times New Roman"/>
          <w:b/>
          <w:color w:val="000000"/>
          <w:sz w:val="19"/>
        </w:rPr>
      </w:pPr>
      <w:r>
        <w:rPr>
          <w:rFonts w:ascii="Times New Roman" w:hAnsi="Times New Roman"/>
          <w:b/>
          <w:color w:val="000000"/>
          <w:sz w:val="19"/>
        </w:rPr>
        <w:t>Securities registered pursuant to Section 12(b) of the Act:</w:t>
      </w:r>
    </w:p>
    <w:p>
      <w:pPr>
        <w:pStyle w:val="TextBody"/>
        <w:bidi w:val="0"/>
        <w:jc w:val="left"/>
        <w:rPr/>
      </w:pPr>
      <w:r>
        <w:rPr/>
        <w:t> </w:t>
      </w:r>
    </w:p>
    <w:tbl>
      <w:tblPr>
        <w:tblW w:w="8433" w:type="dxa"/>
        <w:jc w:val="left"/>
        <w:tblInd w:w="0" w:type="dxa"/>
        <w:tblLayout w:type="fixed"/>
        <w:tblCellMar>
          <w:top w:w="28" w:type="dxa"/>
          <w:left w:w="28" w:type="dxa"/>
          <w:bottom w:w="28" w:type="dxa"/>
          <w:right w:w="28" w:type="dxa"/>
        </w:tblCellMar>
      </w:tblPr>
      <w:tblGrid>
        <w:gridCol w:w="2911"/>
        <w:gridCol w:w="1696"/>
        <w:gridCol w:w="3826"/>
      </w:tblGrid>
      <w:tr>
        <w:trPr/>
        <w:tc>
          <w:tcPr>
            <w:tcW w:w="2911"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11" w:type="dxa"/>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120" w:after="283"/>
              <w:jc w:val="center"/>
              <w:rPr>
                <w:rFonts w:ascii="Times New Roman" w:hAnsi="Times New Roman"/>
                <w:b/>
                <w:color w:val="000000"/>
                <w:sz w:val="19"/>
              </w:rPr>
            </w:pPr>
            <w:r>
              <w:rPr>
                <w:rFonts w:ascii="Times New Roman" w:hAnsi="Times New Roman"/>
                <w:b/>
                <w:color w:val="000000"/>
                <w:sz w:val="19"/>
              </w:rPr>
              <w:t>Title of each class</w:t>
            </w:r>
          </w:p>
        </w:tc>
        <w:tc>
          <w:tcPr>
            <w:tcW w:w="169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center"/>
              <w:rPr>
                <w:rFonts w:ascii="Times New Roman" w:hAnsi="Times New Roman"/>
                <w:b/>
                <w:color w:val="000000"/>
                <w:sz w:val="19"/>
              </w:rPr>
            </w:pPr>
            <w:r>
              <w:rPr>
                <w:rFonts w:ascii="Times New Roman" w:hAnsi="Times New Roman"/>
                <w:b/>
                <w:color w:val="000000"/>
                <w:sz w:val="19"/>
              </w:rPr>
              <w:t>Trading Symbol(s)</w:t>
            </w:r>
          </w:p>
        </w:tc>
        <w:tc>
          <w:tcPr>
            <w:tcW w:w="3826" w:type="dxa"/>
            <w:tcBorders>
              <w:top w:val="single" w:sz="4" w:space="0" w:color="000000"/>
              <w:bottom w:val="single" w:sz="4" w:space="0" w:color="000000"/>
              <w:right w:val="single" w:sz="4" w:space="0" w:color="000000"/>
            </w:tcBorders>
            <w:tcMar>
              <w:left w:w="0" w:type="dxa"/>
            </w:tcMar>
            <w:vAlign w:val="center"/>
          </w:tcPr>
          <w:p>
            <w:pPr>
              <w:pStyle w:val="TableContents"/>
              <w:bidi w:val="0"/>
              <w:spacing w:before="120" w:after="283"/>
              <w:jc w:val="center"/>
              <w:rPr>
                <w:rFonts w:ascii="Times New Roman" w:hAnsi="Times New Roman"/>
                <w:b/>
                <w:color w:val="000000"/>
                <w:sz w:val="19"/>
              </w:rPr>
            </w:pPr>
            <w:r>
              <w:rPr>
                <w:rFonts w:ascii="Times New Roman" w:hAnsi="Times New Roman"/>
                <w:b/>
                <w:color w:val="000000"/>
                <w:sz w:val="19"/>
              </w:rPr>
              <w:t>Name of each exchange on which registered</w:t>
            </w:r>
          </w:p>
        </w:tc>
      </w:tr>
      <w:tr>
        <w:trPr/>
        <w:tc>
          <w:tcPr>
            <w:tcW w:w="2911" w:type="dxa"/>
            <w:tcBorders>
              <w:left w:val="single" w:sz="4" w:space="0" w:color="000000"/>
              <w:bottom w:val="single" w:sz="4" w:space="0" w:color="000000"/>
              <w:right w:val="single" w:sz="4" w:space="0" w:color="000000"/>
            </w:tcBorders>
            <w:tcMar>
              <w:top w:w="0" w:type="dxa"/>
            </w:tcMar>
            <w:vAlign w:val="center"/>
          </w:tcPr>
          <w:p>
            <w:pPr>
              <w:pStyle w:val="TableContents"/>
              <w:bidi w:val="0"/>
              <w:spacing w:before="120" w:after="283"/>
              <w:jc w:val="center"/>
              <w:rPr>
                <w:rFonts w:ascii="Times New Roman" w:hAnsi="Times New Roman"/>
                <w:color w:val="000000"/>
                <w:sz w:val="19"/>
              </w:rPr>
            </w:pPr>
            <w:r>
              <w:rPr>
                <w:rFonts w:ascii="Times New Roman" w:hAnsi="Times New Roman"/>
                <w:color w:val="000000"/>
                <w:sz w:val="19"/>
              </w:rPr>
              <w:t>Common stock, par value $0.0001</w:t>
            </w:r>
          </w:p>
        </w:tc>
        <w:tc>
          <w:tcPr>
            <w:tcW w:w="169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19"/>
              </w:rPr>
            </w:pPr>
            <w:r>
              <w:rPr>
                <w:rFonts w:ascii="Times New Roman" w:hAnsi="Times New Roman"/>
                <w:color w:val="000000"/>
                <w:sz w:val="19"/>
              </w:rPr>
              <w:t>KOD</w:t>
            </w:r>
          </w:p>
        </w:tc>
        <w:tc>
          <w:tcPr>
            <w:tcW w:w="3826" w:type="dxa"/>
            <w:tcBorders>
              <w:bottom w:val="single" w:sz="4" w:space="0" w:color="000000"/>
              <w:right w:val="single" w:sz="4" w:space="0" w:color="000000"/>
            </w:tcBorders>
            <w:tcMar>
              <w:top w:w="0" w:type="dxa"/>
              <w:left w:w="0" w:type="dxa"/>
            </w:tcMar>
            <w:vAlign w:val="center"/>
          </w:tcPr>
          <w:p>
            <w:pPr>
              <w:pStyle w:val="TableContents"/>
              <w:bidi w:val="0"/>
              <w:spacing w:before="120" w:after="283"/>
              <w:jc w:val="center"/>
              <w:rPr>
                <w:rFonts w:ascii="Times New Roman" w:hAnsi="Times New Roman"/>
                <w:color w:val="000000"/>
                <w:sz w:val="19"/>
              </w:rPr>
            </w:pPr>
            <w:r>
              <w:rPr>
                <w:rFonts w:ascii="Times New Roman" w:hAnsi="Times New Roman"/>
                <w:color w:val="000000"/>
                <w:sz w:val="19"/>
              </w:rPr>
              <w:t>The Nasdaq Stock Market LLC</w:t>
            </w:r>
          </w:p>
        </w:tc>
      </w:tr>
    </w:tbl>
    <w:p>
      <w:pPr>
        <w:pStyle w:val="TextBody"/>
        <w:bidi w:val="0"/>
        <w:jc w:val="center"/>
        <w:rPr/>
      </w:pPr>
      <w:r>
        <w:rPr/>
        <w:t> </w:t>
      </w:r>
    </w:p>
    <w:p>
      <w:pPr>
        <w:pStyle w:val="TextBody"/>
        <w:bidi w:val="0"/>
        <w:jc w:val="left"/>
        <w:rPr>
          <w:rFonts w:ascii="Times New Roman" w:hAnsi="Times New Roman"/>
          <w:sz w:val="20"/>
        </w:rPr>
      </w:pPr>
      <w:r>
        <w:rPr>
          <w:rFonts w:ascii="Times New Roman" w:hAnsi="Times New Roman"/>
          <w:color w:val="000000"/>
          <w:sz w:val="17"/>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w:t>
      </w:r>
      <w:r>
        <w:rPr>
          <w:rFonts w:ascii="Times New Roman" w:hAnsi="Times New Roman"/>
          <w:color w:val="000000"/>
          <w:sz w:val="20"/>
        </w:rPr>
        <w:t xml:space="preserve"> ☒ </w:t>
      </w:r>
      <w:r>
        <w:rPr>
          <w:rFonts w:ascii="Times New Roman" w:hAnsi="Times New Roman"/>
          <w:color w:val="000000"/>
          <w:sz w:val="17"/>
        </w:rPr>
        <w:t xml:space="preserve">No </w:t>
      </w:r>
      <w:r>
        <w:rPr>
          <w:rFonts w:ascii="Times New Roman" w:hAnsi="Times New Roman"/>
          <w:color w:val="000000"/>
          <w:sz w:val="20"/>
        </w:rPr>
        <w:t>☐</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w:t>
      </w:r>
      <w:r>
        <w:rPr>
          <w:rFonts w:ascii="Times New Roman" w:hAnsi="Times New Roman"/>
          <w:color w:val="000000"/>
          <w:sz w:val="20"/>
        </w:rPr>
        <w:t xml:space="preserve"> ☒ </w:t>
      </w:r>
      <w:r>
        <w:rPr>
          <w:rFonts w:ascii="Times New Roman" w:hAnsi="Times New Roman"/>
          <w:color w:val="000000"/>
          <w:sz w:val="17"/>
        </w:rPr>
        <w:t>No ☐</w:t>
      </w:r>
    </w:p>
    <w:p>
      <w:pPr>
        <w:pStyle w:val="TextBody"/>
        <w:bidi w:val="0"/>
        <w:jc w:val="left"/>
        <w:rPr/>
      </w:pPr>
      <w:r>
        <w:rPr/>
        <w:t> </w:t>
      </w:r>
    </w:p>
    <w:p>
      <w:pPr>
        <w:pStyle w:val="TextBody"/>
        <w:bidi w:val="0"/>
        <w:jc w:val="both"/>
        <w:rPr>
          <w:rFonts w:ascii="Times New Roman" w:hAnsi="Times New Roman"/>
          <w:color w:val="000000"/>
          <w:sz w:val="17"/>
        </w:rPr>
      </w:pPr>
      <w:r>
        <w:rPr>
          <w:rFonts w:ascii="Times New Roman" w:hAnsi="Times New Roman"/>
          <w:color w:val="000000"/>
          <w:sz w:val="17"/>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jc w:val="left"/>
        <w:rPr/>
      </w:pPr>
      <w:r>
        <w:rPr/>
        <w:t> </w:t>
      </w:r>
    </w:p>
    <w:tbl>
      <w:tblPr>
        <w:tblW w:w="4369" w:type="dxa"/>
        <w:jc w:val="left"/>
        <w:tblInd w:w="0" w:type="dxa"/>
        <w:tblLayout w:type="fixed"/>
        <w:tblCellMar>
          <w:top w:w="28" w:type="dxa"/>
          <w:left w:w="28" w:type="dxa"/>
          <w:bottom w:w="28" w:type="dxa"/>
          <w:right w:w="28" w:type="dxa"/>
        </w:tblCellMar>
      </w:tblPr>
      <w:tblGrid>
        <w:gridCol w:w="1666"/>
        <w:gridCol w:w="316"/>
        <w:gridCol w:w="2026"/>
        <w:gridCol w:w="361"/>
      </w:tblGrid>
      <w:tr>
        <w:trPr/>
        <w:tc>
          <w:tcPr>
            <w:tcW w:w="166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Large 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Accelerated filer</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Non-accelerated filer</w:t>
            </w:r>
          </w:p>
        </w:tc>
        <w:tc>
          <w:tcPr>
            <w:tcW w:w="316"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Smaller reporting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r>
        <w:trPr/>
        <w:tc>
          <w:tcPr>
            <w:tcW w:w="166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Emerging growth company</w:t>
            </w:r>
          </w:p>
        </w:tc>
        <w:tc>
          <w:tcPr>
            <w:tcW w:w="36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r>
    </w:tbl>
    <w:p>
      <w:pPr>
        <w:pStyle w:val="TextBody"/>
        <w:bidi w:val="0"/>
        <w:jc w:val="left"/>
        <w:rPr/>
      </w:pPr>
      <w:r>
        <w:rPr/>
        <w:t> </w:t>
      </w:r>
    </w:p>
    <w:p>
      <w:pPr>
        <w:pStyle w:val="TextBody"/>
        <w:bidi w:val="0"/>
        <w:jc w:val="left"/>
        <w:rPr>
          <w:rFonts w:ascii="Times New Roman" w:hAnsi="Times New Roman"/>
          <w:color w:val="000000"/>
          <w:sz w:val="17"/>
        </w:rPr>
      </w:pPr>
      <w:r>
        <w:rPr>
          <w:rFonts w:ascii="Times New Roman" w:hAnsi="Times New Roman"/>
          <w:color w:val="000000"/>
          <w:sz w:val="17"/>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17"/>
        </w:rPr>
        <w:t xml:space="preserve">Indicate by check mark whether the registrant is a shell company (as defined in Rule 12b-2 of the Exchange Act). Yes ☐ No </w:t>
      </w:r>
      <w:r>
        <w:rPr>
          <w:rFonts w:ascii="Times New Roman" w:hAnsi="Times New Roman"/>
          <w:color w:val="000000"/>
          <w:sz w:val="20"/>
        </w:rPr>
        <w:t>☒</w:t>
      </w:r>
    </w:p>
    <w:p>
      <w:pPr>
        <w:pStyle w:val="TextBody"/>
        <w:bidi w:val="0"/>
        <w:spacing w:before="120" w:after="283"/>
        <w:jc w:val="left"/>
        <w:rPr>
          <w:rFonts w:ascii="Times New Roman" w:hAnsi="Times New Roman"/>
          <w:sz w:val="20"/>
        </w:rPr>
      </w:pPr>
      <w:r>
        <w:rPr>
          <w:rFonts w:ascii="Times New Roman" w:hAnsi="Times New Roman"/>
          <w:color w:val="000000"/>
          <w:sz w:val="17"/>
        </w:rPr>
        <w:t>As of November 6, 2025, the registrant had 53,048,428</w:t>
      </w:r>
      <w:r>
        <w:rPr>
          <w:rFonts w:ascii="Times New Roman" w:hAnsi="Times New Roman"/>
          <w:color w:val="000000"/>
          <w:sz w:val="20"/>
        </w:rPr>
        <w:t xml:space="preserve"> </w:t>
      </w:r>
      <w:r>
        <w:rPr>
          <w:rFonts w:ascii="Times New Roman" w:hAnsi="Times New Roman"/>
          <w:color w:val="000000"/>
          <w:sz w:val="17"/>
        </w:rPr>
        <w:t>shares of common stock outstanding.</w:t>
      </w:r>
    </w:p>
    <w:p>
      <w:pPr>
        <w:pStyle w:val="TextBody"/>
        <w:pBdr>
          <w:bottom w:val="double" w:sz="4" w:space="1" w:color="000000"/>
        </w:pBdr>
        <w:bidi w:val="0"/>
        <w:jc w:val="left"/>
        <w:rPr/>
      </w:pPr>
      <w:r>
        <w:rPr/>
        <w:t> </w:t>
      </w:r>
    </w:p>
    <w:p>
      <w:pPr>
        <w:pStyle w:val="TextBody"/>
        <w:bidi w:val="0"/>
        <w:jc w:val="left"/>
        <w:rPr/>
      </w:pPr>
      <w:r>
        <w:rPr/>
        <w:t> </w:t>
      </w:r>
    </w:p>
    <w:p>
      <w:pPr>
        <w:pStyle w:val="TextBody"/>
        <w:bidi w:val="0"/>
        <w:spacing w:before="120" w:after="283"/>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SPECIAL NOTE REGARDING FORWARD-LOOKING STATEMENTS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This Quarterly Report on Form 10-Q contains “forward-looking statements” within the meaning of Section 21E of the Securities Exchange Act of 1934, as amended, or Exchange Act. We have based these forward-looking statements largely on our current expectations and projections about future events and financial trends affecting the financial condition of our business. Forward-looking statements should not be read as a guarantee of future performance or results and will not necessarily be accurate indications of the times at, or by, which such performance or results will be achieved. Forward-looking statements are based on information available at the time those statements are made and/or management’s good faith beliefs as of that time with respect to future events, and are subject to risks and uncertainties that could cause actual performance or results to differ materially from those expressed in or suggested by the forward-looking statements.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Forward-looking statements include all statements that are not historical facts. In some cases, you can identify forward-looking statements by terms such as “may,” “might,” “will,” “objective,” “intend,” “should,” “could,” “can,” “would,” “expect,” “believe,” “anticipate,” “project,” “target,” “design,” “estimate,” “predict,” “potential,” “plan”, “hope” or the negative of these terms, or similar expressions and comparable terminology intended to identify forward-looking statements. These statements reflect our current views with respect to future events and are based on assumptions and subject to risks and uncertainties, including those set forth under the section of this Quarterly Report on Form 10-Q titled “Part II, Item 1A — Risk Factors” and elsewhere in this Quarterly Report. Forward-looking statements include, but are not limited to, statements about: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cost and timing of our development activities, preclinical studies, clinical trials and regulatory filings;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funding for our operations, including funding necessary to develop, manufacture and commercialize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translation of our preclinical results and data and early clinical trial results in particular relating to safety, efficacy and durability into future clinical trials in humans;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continued durability, efficacy and safety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progress each of our product candidates, including tarcocimab, KSI-501 and KSI-101, into later stages of development and towards a Biologics License Application, or BLA;</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progress, results and costs of developing any product candidates we have or may develop, and conducting preclinical studies and clinical trials;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size and design of clinical trials that regulatory authorities may require to obtain marketing approval, including the order and number of clinical studies required to support a BLA in retinal vein occlusion, or RVO, diabetic retinopathy, or DR, and wet age-related macular degeneration, or wet AMD, or any of our current or future product candidates, including the sufficiency of a single additional pivotal study of tarcocimab tedromer and a single BLA for wet AMD, RVO and DR together;</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and Lonza’s ability to successfully execute on our manufacturing development plan;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chemistry manufacturing and controls, or CMC, requirements of the United States Food and Drug Administration, or FDA, and other regulatory bodies to support any BLA submission and potential commercial launch;</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enhancements and benefits of new formulations of tarcocimab, KSI-501, KSI-101 or other ABC Platform derived molecules;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or likelihood of regulatory filings and approvals, including the potential to achieve FDA approval of any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obtain and maintain regulatory approval of our product candidates, and any related restrictions, limitations and/or warnings in the label of any approved product candidate;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rate and degree of market acceptance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size and growth potential of the markets for our product candidates, if approved for commercial use, and our ability to serve those markets;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pricing and reimbursement of our product candidates, if approved;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success of competing products or platform technologies that are or may become available;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plans and ability to establish sales, marketing and distribution infrastructure to commercialize any product candidates for which we obtain approval;</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 as to the concentration of retinal specialists in the United States and its impact on our sales and marketing plans;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expectations regarding our ability to enter into manufacturing-related commitments, and the timing thereof;</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future agreements with third parties in connection with the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contract with third-party suppliers and manufacturers and their ability to perform adequately;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expected potential benefits of strategic collaboration agreements and our ability to attract collaborators with development, regulatory and commercialization expertise;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of protection we are able to establish and maintain for intellectual property rights covering our product candidates and technology;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potential claims relating to our intellectual property and third-party intellectual property;</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existing regulations and regulatory developments in the United States and foreign countries;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impact of the unfavorable U.S. and global economic conditions on our business and operations, the business and operations of our collaborators, and on the global economy;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accuracy of our estimates regarding the sufficiency of our cash resources, expenses, future revenue, capital requirements and needs for additional financing, as well as, our ability to continue as a going concern;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financial performance;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aspirational goals and objectives related to our human capital resources and workforce objectives;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attract and retain key managerial, scientific and medical personnel.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All forward-looking statements are based on information available to us on the date of this Quarterly Report on Form 10-Q and we will not update any of the forward-looking statements after the date of this Quarterly Report on Form 10-Q, except as required by law. Our actual results could differ materially from those discussed in this Quarterly Report on Form 10-Q. The forward-looking statements contained in this Quarterly Report on Form 10-Q, and other written and oral forward-looking statements made by us from time to time, are subject to certain risks and uncertainties that could cause actual results to differ materially from those anticipated in the forward-looking statements, and you should not regard these statements as a representation or warranty by us or any other person that we will achieve our objectives and plans in any specified time frame, or at all. Factors that might cause such a difference include, but are not limited to, those discussed in the following discussion and within the section of this Quarterly Report on Form 10-Q titled “Part II, Item 1A — Risk Factors”.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statements that “we believe” and similar statements reflect our beliefs and opinions on the relevant subject. These statements are based upon information available to us as of the date of this Quarterly Report on Form 10-Q,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 These statements are inherently uncertain and investors are cautioned not to unduly rely upon these statements.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All brand names or trademarks appearing in this Quarterly Report are the property of their respective holders. Unless the context requires otherwise, references in this Quarterly Report to “Kodiak” the “Company,” “we,” “us,” and “our” refer to Kodiak Sciences Inc. and its subsidiaries.</w:t>
      </w:r>
    </w:p>
    <w:p>
      <w:pPr>
        <w:pStyle w:val="TextBody"/>
        <w:bidi w:val="0"/>
        <w:spacing w:before="120" w:after="283"/>
        <w:jc w:val="left"/>
        <w:rPr>
          <w:rFonts w:ascii="Times New Roman" w:hAnsi="Times New Roman"/>
          <w:sz w:val="20"/>
        </w:rPr>
      </w:pPr>
      <w:r>
        <w:rPr>
          <w:rFonts w:ascii="Times New Roman" w:hAnsi="Times New Roman"/>
          <w:i/>
          <w:color w:val="000000"/>
          <w:sz w:val="20"/>
        </w:rPr>
        <w:t>Kodiak</w:t>
      </w:r>
      <w:r>
        <w:rPr>
          <w:rFonts w:ascii="Times New Roman" w:hAnsi="Times New Roman"/>
          <w:i/>
          <w:color w:val="000000"/>
          <w:sz w:val="13"/>
        </w:rPr>
        <w:t>®</w:t>
      </w:r>
      <w:r>
        <w:rPr>
          <w:rFonts w:ascii="Times New Roman" w:hAnsi="Times New Roman"/>
          <w:i/>
          <w:color w:val="000000"/>
          <w:sz w:val="20"/>
        </w:rPr>
        <w:t>, Kodiak Sciences</w:t>
      </w:r>
      <w:r>
        <w:rPr>
          <w:rFonts w:ascii="Times New Roman" w:hAnsi="Times New Roman"/>
          <w:i/>
          <w:color w:val="000000"/>
          <w:sz w:val="13"/>
        </w:rPr>
        <w:t>®</w:t>
      </w:r>
      <w:r>
        <w:rPr>
          <w:rFonts w:ascii="Times New Roman" w:hAnsi="Times New Roman"/>
          <w:i/>
          <w:color w:val="000000"/>
          <w:sz w:val="20"/>
        </w:rPr>
        <w:t>, ABC</w:t>
      </w:r>
      <w:r>
        <w:rPr>
          <w:rFonts w:ascii="Times New Roman" w:hAnsi="Times New Roman"/>
          <w:i/>
          <w:color w:val="000000"/>
          <w:sz w:val="13"/>
        </w:rPr>
        <w:t>®</w:t>
      </w:r>
      <w:r>
        <w:rPr>
          <w:rFonts w:ascii="Times New Roman" w:hAnsi="Times New Roman"/>
          <w:i/>
          <w:color w:val="000000"/>
          <w:sz w:val="20"/>
        </w:rPr>
        <w:t>, ABC Platform</w:t>
      </w:r>
      <w:r>
        <w:rPr>
          <w:rFonts w:ascii="Times New Roman" w:hAnsi="Times New Roman"/>
          <w:i/>
          <w:color w:val="000000"/>
          <w:sz w:val="13"/>
        </w:rPr>
        <w:t>®</w:t>
      </w:r>
      <w:r>
        <w:rPr>
          <w:rFonts w:ascii="Times New Roman" w:hAnsi="Times New Roman"/>
          <w:i/>
          <w:color w:val="000000"/>
          <w:sz w:val="20"/>
        </w:rPr>
        <w:t>, ABCD</w:t>
      </w:r>
      <w:r>
        <w:rPr>
          <w:rFonts w:ascii="Times New Roman" w:hAnsi="Times New Roman"/>
          <w:i/>
          <w:color w:val="000000"/>
          <w:sz w:val="13"/>
        </w:rPr>
        <w:t></w:t>
      </w:r>
      <w:r>
        <w:rPr>
          <w:rFonts w:ascii="Times New Roman" w:hAnsi="Times New Roman"/>
          <w:color w:val="000000"/>
          <w:sz w:val="20"/>
        </w:rPr>
        <w:t xml:space="preserve"> </w:t>
      </w:r>
      <w:r>
        <w:rPr>
          <w:rFonts w:ascii="Times New Roman" w:hAnsi="Times New Roman"/>
          <w:i/>
          <w:color w:val="000000"/>
          <w:sz w:val="20"/>
        </w:rPr>
        <w:t>and the Kodiak logo are registered trademarks or trademarks of Kodiak Sciences Inc. in various global jurisdictions.</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SELECTED RISKS AFFECTING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Investing in our common stock involves numerous risks, including the risks described in “Part II—Other Information, Item 1A. Risk Factors” of this Quarterly Report on Form 10-Q, any one of which could materially adversely affect our business, financial condition, results of operations, and prospects. These risks include, among others, the following: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in the clinical stage of drug development and have a very limited operating history and no products approved for commercial sale, which may make it difficult to evaluate our current business and predict our future success and viability.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significant net losses in each period since our inception and anticipate that we will continue to incur significant and increasing net losses for the foreseeable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financial condition raises substantial doubt about our ability to continue as a going concern.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fail to obtain additional financing, we may be unable to complete the development and, if approved, commercialization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 development is a highly uncertain undertaking and involves a substantial degree of risk. We have never generated any revenue from product sales, and we may never generate revenue or be profitable.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prospects are heavily dependent on our tarcocimab, KSI-501 and KSI-101 product candidates, which are currently in clinical development for multiple indications.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failure of pivotal studies of tarcocimab to meet their primary efficacy endpoints may lead us to pause, change or discontinue development of other product candidates based on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plan for the development of tarcocimab, KSI-501 or KSI-101 may be unsuccessful.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Research and development of biopharmaceutical products is inherently risky. We cannot give any assurance that any of our product candidates will receive regulatory, including marketing, approval, which is necessary before they can be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encounter substantial delays in our clinical trials, or may not be able to conduct or complete our clinical trials on the timelines we expect, if at all.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clinical trials may fail to demonstrate substantial evidence of the durability, efficacy and safety of our product candidates, which would prevent, delay or limit the scope of regulatory approval and commercialization.</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highly dependent on our key personnel, and if we are not successful in attracting, motivating and retaining highly qualified personnel, we may not be able to successfully implement our business strategy.</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iii</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FORM 10-Q</w:t>
      </w:r>
    </w:p>
    <w:p>
      <w:pPr>
        <w:pStyle w:val="TextBody"/>
        <w:bidi w:val="0"/>
        <w:jc w:val="center"/>
        <w:rPr>
          <w:rFonts w:ascii="Times New Roman" w:hAnsi="Times New Roman"/>
          <w:b/>
          <w:color w:val="000000"/>
          <w:sz w:val="20"/>
        </w:rPr>
      </w:pPr>
      <w:r>
        <w:rPr>
          <w:rFonts w:ascii="Times New Roman" w:hAnsi="Times New Roman"/>
          <w:b/>
          <w:color w:val="000000"/>
          <w:sz w:val="20"/>
        </w:rPr>
        <w:t>For the Quarterly Period Ended September 30, 2025</w:t>
      </w:r>
    </w:p>
    <w:p>
      <w:pPr>
        <w:pStyle w:val="TextBody"/>
        <w:bidi w:val="0"/>
        <w:jc w:val="center"/>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TABLE OF CONTENTS</w:t>
      </w:r>
    </w:p>
    <w:p>
      <w:pPr>
        <w:pStyle w:val="TextBody"/>
        <w:bidi w:val="0"/>
        <w:jc w:val="left"/>
        <w:rPr/>
      </w:pPr>
      <w:r>
        <w:rPr/>
        <w:t> </w:t>
      </w:r>
    </w:p>
    <w:tbl>
      <w:tblPr>
        <w:tblW w:w="8758" w:type="dxa"/>
        <w:jc w:val="left"/>
        <w:tblInd w:w="0" w:type="dxa"/>
        <w:tblLayout w:type="fixed"/>
        <w:tblCellMar>
          <w:top w:w="28" w:type="dxa"/>
          <w:left w:w="28" w:type="dxa"/>
          <w:bottom w:w="28" w:type="dxa"/>
          <w:right w:w="28" w:type="dxa"/>
        </w:tblCellMar>
      </w:tblPr>
      <w:tblGrid>
        <w:gridCol w:w="881"/>
        <w:gridCol w:w="7366"/>
        <w:gridCol w:w="511"/>
      </w:tblGrid>
      <w:tr>
        <w:trPr/>
        <w:tc>
          <w:tcPr>
            <w:tcW w:w="881" w:type="dxa"/>
            <w:tcBorders/>
            <w:vAlign w:val="center"/>
          </w:tcPr>
          <w:p>
            <w:pPr>
              <w:pStyle w:val="TableContents"/>
              <w:bidi w:val="0"/>
              <w:spacing w:before="0" w:after="283"/>
              <w:jc w:val="left"/>
              <w:rPr>
                <w:sz w:val="4"/>
                <w:szCs w:val="4"/>
              </w:rPr>
            </w:pPr>
            <w:r>
              <w:rPr>
                <w:sz w:val="4"/>
                <w:szCs w:val="4"/>
              </w:rPr>
            </w:r>
          </w:p>
        </w:tc>
        <w:tc>
          <w:tcPr>
            <w:tcW w:w="736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ind w:left="0" w:right="0" w:firstLine="137"/>
              <w:jc w:val="left"/>
              <w:rPr>
                <w:sz w:val="4"/>
                <w:szCs w:val="4"/>
              </w:rPr>
            </w:pPr>
            <w:r>
              <w:rPr>
                <w:sz w:val="4"/>
                <w:szCs w:val="4"/>
              </w:rPr>
            </w:r>
          </w:p>
        </w:tc>
      </w:tr>
      <w:tr>
        <w:trPr/>
        <w:tc>
          <w:tcPr>
            <w:tcW w:w="881" w:type="dxa"/>
            <w:tcBorders/>
            <w:shd w:fill="FFFFFF" w:val="clear"/>
            <w:tcMar>
              <w:top w:w="0" w:type="dxa"/>
              <w:left w:w="0" w:type="dxa"/>
              <w:bottom w:w="0" w:type="dxa"/>
              <w:right w:w="0" w:type="dxa"/>
            </w:tcMar>
            <w:vAlign w:val="center"/>
          </w:tcPr>
          <w:p>
            <w:pPr>
              <w:pStyle w:val="TableContents"/>
              <w:bidi w:val="0"/>
              <w:spacing w:before="0" w:after="283"/>
              <w:ind w:left="0" w:right="0" w:firstLine="137"/>
              <w:jc w:val="left"/>
              <w:rPr>
                <w:sz w:val="4"/>
                <w:szCs w:val="4"/>
              </w:rPr>
            </w:pPr>
            <w:r>
              <w:rPr>
                <w:sz w:val="4"/>
                <w:szCs w:val="4"/>
              </w:rPr>
            </w:r>
          </w:p>
        </w:tc>
        <w:tc>
          <w:tcPr>
            <w:tcW w:w="7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Page</w:t>
            </w:r>
          </w:p>
        </w:tc>
      </w:tr>
      <w:tr>
        <w:trPr/>
        <w:tc>
          <w:tcPr>
            <w:tcW w:w="8758" w:type="dxa"/>
            <w:gridSpan w:val="3"/>
            <w:tcBorders/>
            <w:shd w:fill="CFF0FC" w:val="clear"/>
            <w:tcMar>
              <w:top w:w="0" w:type="dxa"/>
              <w:left w:w="0" w:type="dxa"/>
              <w:bottom w:w="0" w:type="dxa"/>
              <w:right w:w="0" w:type="dxa"/>
            </w:tcMar>
            <w:vAlign w:val="center"/>
          </w:tcPr>
          <w:p>
            <w:pPr>
              <w:pStyle w:val="TableContents"/>
              <w:bidi w:val="0"/>
              <w:spacing w:before="0" w:after="283"/>
              <w:jc w:val="center"/>
              <w:rPr/>
            </w:pPr>
            <w:hyperlink w:anchor="part_ifinancial_information">
              <w:r>
                <w:rPr>
                  <w:rStyle w:val="InternetLink"/>
                  <w:rFonts w:ascii="Times New Roman" w:hAnsi="Times New Roman"/>
                  <w:color w:val="0000FF"/>
                  <w:sz w:val="20"/>
                  <w:u w:val="single"/>
                </w:rPr>
                <w:t>PART I — FINANCIAL INFORMATION</w:t>
              </w:r>
            </w:hyperlink>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financial_statements">
              <w:r>
                <w:rPr>
                  <w:rStyle w:val="InternetLink"/>
                  <w:rFonts w:ascii="Times New Roman" w:hAnsi="Times New Roman"/>
                  <w:color w:val="0000FF"/>
                  <w:sz w:val="20"/>
                  <w:u w:val="single"/>
                </w:rPr>
                <w:t>Financial Statements (Unaudited)</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1</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36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balance_sheets">
              <w:r>
                <w:rPr>
                  <w:rStyle w:val="InternetLink"/>
                  <w:rFonts w:ascii="Times New Roman" w:hAnsi="Times New Roman"/>
                  <w:color w:val="0000FF"/>
                  <w:sz w:val="20"/>
                  <w:u w:val="single"/>
                </w:rPr>
                <w:t>Condensed Consolidated Balance Sheets</w:t>
              </w:r>
            </w:hyperlink>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1</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operat">
              <w:r>
                <w:rPr>
                  <w:rStyle w:val="InternetLink"/>
                  <w:rFonts w:ascii="Times New Roman" w:hAnsi="Times New Roman"/>
                  <w:color w:val="0000FF"/>
                  <w:sz w:val="20"/>
                  <w:u w:val="single"/>
                </w:rPr>
                <w:t>Condensed Consolidated Statements of Operations and Comprehensive Loss</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2</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stockh">
              <w:r>
                <w:rPr>
                  <w:rStyle w:val="InternetLink"/>
                  <w:rFonts w:ascii="Times New Roman" w:hAnsi="Times New Roman"/>
                  <w:color w:val="0000FF"/>
                  <w:sz w:val="20"/>
                  <w:u w:val="single"/>
                </w:rPr>
                <w:t>Condensed Consolidated Statements of Stockholders’ Equity</w:t>
              </w:r>
            </w:hyperlink>
          </w:p>
        </w:tc>
        <w:tc>
          <w:tcPr>
            <w:tcW w:w="511" w:type="dxa"/>
            <w:tcBorders/>
            <w:shd w:fill="CFF0FC" w:val="clear"/>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3</w:t>
            </w:r>
          </w:p>
        </w:tc>
      </w:tr>
      <w:tr>
        <w:trPr/>
        <w:tc>
          <w:tcPr>
            <w:tcW w:w="881" w:type="dxa"/>
            <w:tcBorders/>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366" w:type="dxa"/>
            <w:tcBorders/>
            <w:tcMar>
              <w:top w:w="0" w:type="dxa"/>
              <w:left w:w="0" w:type="dxa"/>
              <w:bottom w:w="0" w:type="dxa"/>
              <w:right w:w="0" w:type="dxa"/>
            </w:tcMar>
            <w:vAlign w:val="center"/>
          </w:tcPr>
          <w:p>
            <w:pPr>
              <w:pStyle w:val="TableContents"/>
              <w:bidi w:val="0"/>
              <w:spacing w:before="0" w:after="283"/>
              <w:ind w:left="0" w:right="0" w:firstLine="720"/>
              <w:jc w:val="left"/>
              <w:rPr/>
            </w:pPr>
            <w:hyperlink w:anchor="condensed_consolidated_statements_cash_f">
              <w:r>
                <w:rPr>
                  <w:rStyle w:val="InternetLink"/>
                  <w:rFonts w:ascii="Times New Roman" w:hAnsi="Times New Roman"/>
                  <w:color w:val="0000FF"/>
                  <w:sz w:val="20"/>
                  <w:u w:val="single"/>
                </w:rPr>
                <w:t>Condensed Consolidated Statements of Cash Flows</w:t>
              </w:r>
            </w:hyperlink>
          </w:p>
        </w:tc>
        <w:tc>
          <w:tcPr>
            <w:tcW w:w="511" w:type="dxa"/>
            <w:tcBorders/>
            <w:tcMar>
              <w:top w:w="0" w:type="dxa"/>
              <w:left w:w="0" w:type="dxa"/>
              <w:bottom w:w="0" w:type="dxa"/>
              <w:right w:w="0" w:type="dxa"/>
            </w:tcMar>
            <w:vAlign w:val="center"/>
          </w:tcPr>
          <w:p>
            <w:pPr>
              <w:pStyle w:val="TableContents"/>
              <w:bidi w:val="0"/>
              <w:spacing w:before="0" w:after="283"/>
              <w:ind w:left="0" w:right="0" w:firstLine="137"/>
              <w:jc w:val="center"/>
              <w:rPr>
                <w:rFonts w:ascii="Times New Roman" w:hAnsi="Times New Roman"/>
                <w:color w:val="000000"/>
                <w:sz w:val="20"/>
              </w:rPr>
            </w:pPr>
            <w:r>
              <w:rPr>
                <w:rFonts w:ascii="Times New Roman" w:hAnsi="Times New Roman"/>
                <w:color w:val="000000"/>
                <w:sz w:val="20"/>
              </w:rPr>
              <w:t>4</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sz w:val="4"/>
                <w:szCs w:val="4"/>
              </w:rPr>
            </w:pPr>
            <w:r>
              <w:rPr>
                <w:sz w:val="4"/>
                <w:szCs w:val="4"/>
              </w:rPr>
            </w:r>
          </w:p>
        </w:tc>
        <w:tc>
          <w:tcPr>
            <w:tcW w:w="7366" w:type="dxa"/>
            <w:tcBorders/>
            <w:shd w:fill="CFF0FC" w:val="clear"/>
            <w:tcMar>
              <w:top w:w="0" w:type="dxa"/>
              <w:left w:w="0" w:type="dxa"/>
              <w:bottom w:w="0" w:type="dxa"/>
              <w:right w:w="0" w:type="dxa"/>
            </w:tcMar>
            <w:vAlign w:val="center"/>
          </w:tcPr>
          <w:p>
            <w:pPr>
              <w:pStyle w:val="TableContents"/>
              <w:bidi w:val="0"/>
              <w:spacing w:before="0" w:after="283"/>
              <w:ind w:left="0" w:right="0" w:firstLine="720"/>
              <w:jc w:val="left"/>
              <w:rPr/>
            </w:pPr>
            <w:hyperlink w:anchor="notes_to_unaudited_condensed_consolidate">
              <w:r>
                <w:rPr>
                  <w:rStyle w:val="InternetLink"/>
                  <w:rFonts w:ascii="Times New Roman" w:hAnsi="Times New Roman"/>
                  <w:color w:val="0000FF"/>
                  <w:sz w:val="20"/>
                  <w:u w:val="single"/>
                </w:rPr>
                <w:t>Notes to Unaudited Condensed Consolidated Financial Statements</w:t>
              </w:r>
            </w:hyperlink>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5</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managements_discussion_analysis_f">
              <w:r>
                <w:rPr>
                  <w:rStyle w:val="InternetLink"/>
                  <w:rFonts w:ascii="Times New Roman" w:hAnsi="Times New Roman"/>
                  <w:color w:val="0000FF"/>
                  <w:sz w:val="20"/>
                  <w:u w:val="single"/>
                </w:rPr>
                <w:t>Management’s Discussion and Analysis of Financial Condition and Results of Operations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11</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3_quantitative_qualitative_disclosu">
              <w:r>
                <w:rPr>
                  <w:rStyle w:val="InternetLink"/>
                  <w:rFonts w:ascii="Times New Roman" w:hAnsi="Times New Roman"/>
                  <w:color w:val="0000FF"/>
                  <w:sz w:val="20"/>
                  <w:u w:val="single"/>
                </w:rPr>
                <w:t>Quantitative and Qualitative Disclosures About Market Risk</w:t>
              </w:r>
            </w:hyperlink>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controls_procedures">
              <w:r>
                <w:rPr>
                  <w:rStyle w:val="InternetLink"/>
                  <w:rFonts w:ascii="Times New Roman" w:hAnsi="Times New Roman"/>
                  <w:color w:val="0000FF"/>
                  <w:sz w:val="20"/>
                  <w:u w:val="single"/>
                </w:rPr>
                <w:t>Controls and Procedures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19</w:t>
            </w:r>
          </w:p>
        </w:tc>
      </w:tr>
      <w:tr>
        <w:trPr/>
        <w:tc>
          <w:tcPr>
            <w:tcW w:w="8758" w:type="dxa"/>
            <w:gridSpan w:val="3"/>
            <w:tcBorders/>
            <w:shd w:fill="CFF0FC" w:val="clear"/>
            <w:tcMar>
              <w:top w:w="0" w:type="dxa"/>
              <w:left w:w="0" w:type="dxa"/>
              <w:bottom w:w="0" w:type="dxa"/>
              <w:right w:w="0" w:type="dxa"/>
            </w:tcMar>
            <w:vAlign w:val="center"/>
          </w:tcPr>
          <w:p>
            <w:pPr>
              <w:pStyle w:val="TableContents"/>
              <w:bidi w:val="0"/>
              <w:spacing w:before="0" w:after="283"/>
              <w:jc w:val="center"/>
              <w:rPr/>
            </w:pPr>
            <w:hyperlink w:anchor="part_iior_information">
              <w:r>
                <w:rPr>
                  <w:rStyle w:val="InternetLink"/>
                  <w:rFonts w:ascii="Times New Roman" w:hAnsi="Times New Roman"/>
                  <w:color w:val="0000FF"/>
                  <w:sz w:val="20"/>
                  <w:u w:val="single"/>
                </w:rPr>
                <w:t>PART II — OTHER INFORMATION</w:t>
              </w:r>
            </w:hyperlink>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1_legal_proceedings">
              <w:r>
                <w:rPr>
                  <w:rStyle w:val="InternetLink"/>
                  <w:rFonts w:ascii="Times New Roman" w:hAnsi="Times New Roman"/>
                  <w:color w:val="0000FF"/>
                  <w:sz w:val="20"/>
                  <w:u w:val="single"/>
                </w:rPr>
                <w:t>Legal Proceedings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1A.</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1a_risk_factors">
              <w:r>
                <w:rPr>
                  <w:rStyle w:val="InternetLink"/>
                  <w:rFonts w:ascii="Times New Roman" w:hAnsi="Times New Roman"/>
                  <w:color w:val="0000FF"/>
                  <w:sz w:val="20"/>
                  <w:u w:val="single"/>
                </w:rPr>
                <w:t>Risk Factors</w:t>
              </w:r>
            </w:hyperlink>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20</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2.</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2_unregistered_sales_equity_securit">
              <w:r>
                <w:rPr>
                  <w:rStyle w:val="InternetLink"/>
                  <w:rFonts w:ascii="Times New Roman" w:hAnsi="Times New Roman"/>
                  <w:color w:val="0000FF"/>
                  <w:sz w:val="20"/>
                  <w:u w:val="single"/>
                </w:rPr>
                <w:t>Unregistered Sales of Equity Securities and Use of Proceeds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3.</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3_defaults_upon_senior_securities">
              <w:r>
                <w:rPr>
                  <w:rStyle w:val="InternetLink"/>
                  <w:rFonts w:ascii="Times New Roman" w:hAnsi="Times New Roman"/>
                  <w:color w:val="0000FF"/>
                  <w:sz w:val="20"/>
                  <w:u w:val="single"/>
                </w:rPr>
                <w:t>Defaults Upon Senior Securities</w:t>
              </w:r>
            </w:hyperlink>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4.</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4_mine_safety_disclosures">
              <w:r>
                <w:rPr>
                  <w:rStyle w:val="InternetLink"/>
                  <w:rFonts w:ascii="Times New Roman" w:hAnsi="Times New Roman"/>
                  <w:color w:val="0000FF"/>
                  <w:sz w:val="20"/>
                  <w:u w:val="single"/>
                </w:rPr>
                <w:t>Mine Safety Disclosures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5.</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item_5_or_information">
              <w:r>
                <w:rPr>
                  <w:rStyle w:val="InternetLink"/>
                  <w:rFonts w:ascii="Times New Roman" w:hAnsi="Times New Roman"/>
                  <w:color w:val="0000FF"/>
                  <w:sz w:val="20"/>
                  <w:u w:val="single"/>
                </w:rPr>
                <w:t>Other Information</w:t>
              </w:r>
            </w:hyperlink>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62</w:t>
            </w:r>
          </w:p>
        </w:tc>
      </w:tr>
      <w:tr>
        <w:trPr/>
        <w:tc>
          <w:tcPr>
            <w:tcW w:w="8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Item 6.</w:t>
            </w:r>
          </w:p>
        </w:tc>
        <w:tc>
          <w:tcPr>
            <w:tcW w:w="7366" w:type="dxa"/>
            <w:tcBorders/>
            <w:tcMar>
              <w:top w:w="0" w:type="dxa"/>
              <w:left w:w="0" w:type="dxa"/>
              <w:bottom w:w="0" w:type="dxa"/>
              <w:right w:w="0" w:type="dxa"/>
            </w:tcMar>
            <w:vAlign w:val="center"/>
          </w:tcPr>
          <w:p>
            <w:pPr>
              <w:pStyle w:val="TableContents"/>
              <w:bidi w:val="0"/>
              <w:spacing w:before="0" w:after="283"/>
              <w:jc w:val="left"/>
              <w:rPr/>
            </w:pPr>
            <w:hyperlink w:anchor="item_6_exhibits">
              <w:r>
                <w:rPr>
                  <w:rStyle w:val="InternetLink"/>
                  <w:rFonts w:ascii="Times New Roman" w:hAnsi="Times New Roman"/>
                  <w:color w:val="0000FF"/>
                  <w:sz w:val="20"/>
                  <w:u w:val="single"/>
                </w:rPr>
                <w:t>Exhibits</w:t>
              </w:r>
            </w:hyperlink>
          </w:p>
        </w:tc>
        <w:tc>
          <w:tcPr>
            <w:tcW w:w="5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63</w:t>
            </w:r>
          </w:p>
        </w:tc>
      </w:tr>
      <w:tr>
        <w:trPr/>
        <w:tc>
          <w:tcPr>
            <w:tcW w:w="8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6" w:type="dxa"/>
            <w:tcBorders/>
            <w:shd w:fill="CFF0FC" w:val="clear"/>
            <w:tcMar>
              <w:top w:w="0" w:type="dxa"/>
              <w:left w:w="0" w:type="dxa"/>
              <w:bottom w:w="0" w:type="dxa"/>
              <w:right w:w="0" w:type="dxa"/>
            </w:tcMar>
            <w:vAlign w:val="center"/>
          </w:tcPr>
          <w:p>
            <w:pPr>
              <w:pStyle w:val="TableContents"/>
              <w:bidi w:val="0"/>
              <w:spacing w:before="0" w:after="283"/>
              <w:jc w:val="left"/>
              <w:rPr/>
            </w:pPr>
            <w:hyperlink w:anchor="signatures">
              <w:r>
                <w:rPr>
                  <w:rStyle w:val="InternetLink"/>
                  <w:rFonts w:ascii="Times New Roman" w:hAnsi="Times New Roman"/>
                  <w:color w:val="0000FF"/>
                  <w:sz w:val="20"/>
                  <w:u w:val="single"/>
                </w:rPr>
                <w:t>Signatures</w:t>
              </w:r>
            </w:hyperlink>
          </w:p>
        </w:tc>
        <w:tc>
          <w:tcPr>
            <w:tcW w:w="51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64</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iv</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bookmarkStart w:id="2" w:name="part_ifinancial_information"/>
      <w:bookmarkEnd w:id="2"/>
      <w:r>
        <w:rPr>
          <w:rFonts w:ascii="Times New Roman" w:hAnsi="Times New Roman"/>
          <w:b/>
          <w:color w:val="000000"/>
          <w:sz w:val="20"/>
        </w:rPr>
        <w:t>PART I—FINANCIAL INFORMATION</w:t>
      </w:r>
    </w:p>
    <w:p>
      <w:pPr>
        <w:pStyle w:val="TextBody"/>
        <w:bidi w:val="0"/>
        <w:spacing w:before="240" w:after="283"/>
        <w:jc w:val="left"/>
        <w:rPr>
          <w:rFonts w:ascii="Times New Roman" w:hAnsi="Times New Roman"/>
          <w:b/>
          <w:color w:val="000000"/>
          <w:sz w:val="20"/>
        </w:rPr>
      </w:pPr>
      <w:bookmarkStart w:id="3" w:name="item_1_financial_statements"/>
      <w:bookmarkEnd w:id="3"/>
      <w:r>
        <w:rPr>
          <w:rFonts w:ascii="Times New Roman" w:hAnsi="Times New Roman"/>
          <w:b/>
          <w:color w:val="000000"/>
          <w:sz w:val="20"/>
        </w:rPr>
        <w:t>Item 1. Financial Statements (Unaudited).</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4" w:name="condensed_consolidated_balance_sheets"/>
      <w:bookmarkEnd w:id="4"/>
      <w:r>
        <w:rPr>
          <w:rFonts w:ascii="Times New Roman" w:hAnsi="Times New Roman"/>
          <w:b/>
          <w:color w:val="000000"/>
          <w:sz w:val="20"/>
        </w:rPr>
        <w:t>Condensed Consolidated Balance Sheets (unaudited)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90"/>
        <w:gridCol w:w="146"/>
        <w:gridCol w:w="226"/>
        <w:gridCol w:w="1065"/>
        <w:gridCol w:w="166"/>
        <w:gridCol w:w="146"/>
        <w:gridCol w:w="219"/>
        <w:gridCol w:w="1033"/>
        <w:gridCol w:w="614"/>
      </w:tblGrid>
      <w:tr>
        <w:trPr/>
        <w:tc>
          <w:tcPr>
            <w:tcW w:w="659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14" w:type="dxa"/>
            <w:tcBorders/>
            <w:vAlign w:val="center"/>
          </w:tcPr>
          <w:p>
            <w:pPr>
              <w:pStyle w:val="TableContents"/>
              <w:bidi w:val="0"/>
              <w:spacing w:before="0" w:after="283"/>
              <w:jc w:val="left"/>
              <w:rPr>
                <w:sz w:val="4"/>
                <w:szCs w:val="4"/>
              </w:rPr>
            </w:pPr>
            <w:r>
              <w:rPr>
                <w:sz w:val="4"/>
                <w:szCs w:val="4"/>
              </w:rPr>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2024</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168,074</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3,690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3,862</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75,728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171,936</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Property and equipment,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88,905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102,222</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38,577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46,508</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8,675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335,578</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10,371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3,915</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11,030</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11,753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10,628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42,429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25,573</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operating lease liability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50,448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59,717</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Liability related to sale of future royalties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100,000</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Long-term deposit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65"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194,377</w:t>
            </w:r>
          </w:p>
        </w:tc>
        <w:tc>
          <w:tcPr>
            <w:tcW w:w="166"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33"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185,290</w:t>
            </w:r>
          </w:p>
        </w:tc>
        <w:tc>
          <w:tcPr>
            <w:tcW w:w="6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Commitments and contingencies (Note 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Preferred stock, $0.0001 par value – 10,000,000 shares authorized; none issued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6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 xml:space="preserve">Common stock, $0.0001 par value – 490,000,000 shares authorized; 52,998,561 and </w:t>
              <w:br/>
              <w:t>   52,726,916 shares issued and outstanding,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w:t>
            </w:r>
          </w:p>
        </w:tc>
        <w:tc>
          <w:tcPr>
            <w:tcW w:w="6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Additional paid-in capital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6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1,525,656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1,479,021</w:t>
            </w:r>
          </w:p>
        </w:tc>
        <w:tc>
          <w:tcPr>
            <w:tcW w:w="6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(1,501,969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(1,328,738</w:t>
            </w:r>
          </w:p>
        </w:tc>
        <w:tc>
          <w:tcPr>
            <w:tcW w:w="6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90"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6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23,692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150,288</w:t>
            </w:r>
          </w:p>
        </w:tc>
        <w:tc>
          <w:tcPr>
            <w:tcW w:w="6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6590"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6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218,069</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335,578</w:t>
            </w:r>
          </w:p>
        </w:tc>
        <w:tc>
          <w:tcPr>
            <w:tcW w:w="61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5" w:name="condensed_consolidated_statements_operat"/>
      <w:bookmarkEnd w:id="5"/>
      <w:r>
        <w:rPr>
          <w:rFonts w:ascii="Times New Roman" w:hAnsi="Times New Roman"/>
          <w:b/>
          <w:color w:val="000000"/>
          <w:sz w:val="20"/>
        </w:rPr>
        <w:t>Condensed Consolidated Statements of Operations and Comprehensive Loss (unaudited)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and per share amounts)</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544"/>
        <w:gridCol w:w="146"/>
        <w:gridCol w:w="211"/>
        <w:gridCol w:w="1036"/>
        <w:gridCol w:w="166"/>
        <w:gridCol w:w="146"/>
        <w:gridCol w:w="211"/>
        <w:gridCol w:w="1036"/>
        <w:gridCol w:w="166"/>
        <w:gridCol w:w="146"/>
        <w:gridCol w:w="211"/>
        <w:gridCol w:w="1036"/>
        <w:gridCol w:w="166"/>
        <w:gridCol w:w="146"/>
        <w:gridCol w:w="211"/>
        <w:gridCol w:w="1036"/>
        <w:gridCol w:w="591"/>
      </w:tblGrid>
      <w:tr>
        <w:trPr/>
        <w:tc>
          <w:tcPr>
            <w:tcW w:w="354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  September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46,347</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140,670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(140,670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(61,457</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(43,946</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(173,231</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(132,102</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(0.84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54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52,859,308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52,616,183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52,795,343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52,560,489</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6" w:name="condensed_consolidated_statements_stockh"/>
      <w:bookmarkEnd w:id="6"/>
      <w:r>
        <w:rPr>
          <w:rFonts w:ascii="Times New Roman" w:hAnsi="Times New Roman"/>
          <w:b/>
          <w:color w:val="000000"/>
          <w:sz w:val="20"/>
        </w:rPr>
        <w:t>Condensed Consolidated Statements of Stockholders’ Equity (unaudited)</w:t>
      </w:r>
    </w:p>
    <w:p>
      <w:pPr>
        <w:pStyle w:val="TextBody"/>
        <w:bidi w:val="0"/>
        <w:jc w:val="center"/>
        <w:rPr>
          <w:rFonts w:ascii="Times New Roman" w:hAnsi="Times New Roman"/>
          <w:color w:val="000000"/>
          <w:sz w:val="20"/>
        </w:rPr>
      </w:pPr>
      <w:r>
        <w:rPr>
          <w:rFonts w:ascii="Times New Roman" w:hAnsi="Times New Roman"/>
          <w:color w:val="000000"/>
          <w:sz w:val="20"/>
        </w:rPr>
        <w:t>(in thousands, except share amounts)</w:t>
      </w:r>
    </w:p>
    <w:tbl>
      <w:tblPr>
        <w:tblW w:w="9242" w:type="dxa"/>
        <w:jc w:val="left"/>
        <w:tblInd w:w="0" w:type="dxa"/>
        <w:tblLayout w:type="fixed"/>
        <w:tblCellMar>
          <w:top w:w="28" w:type="dxa"/>
          <w:left w:w="28" w:type="dxa"/>
          <w:bottom w:w="28" w:type="dxa"/>
          <w:right w:w="28" w:type="dxa"/>
        </w:tblCellMar>
      </w:tblPr>
      <w:tblGrid>
        <w:gridCol w:w="2386"/>
        <w:gridCol w:w="146"/>
        <w:gridCol w:w="146"/>
        <w:gridCol w:w="916"/>
        <w:gridCol w:w="146"/>
        <w:gridCol w:w="146"/>
        <w:gridCol w:w="271"/>
        <w:gridCol w:w="480"/>
        <w:gridCol w:w="146"/>
        <w:gridCol w:w="146"/>
        <w:gridCol w:w="196"/>
        <w:gridCol w:w="826"/>
        <w:gridCol w:w="146"/>
        <w:gridCol w:w="146"/>
        <w:gridCol w:w="203"/>
        <w:gridCol w:w="923"/>
        <w:gridCol w:w="166"/>
        <w:gridCol w:w="146"/>
        <w:gridCol w:w="258"/>
        <w:gridCol w:w="912"/>
        <w:gridCol w:w="391"/>
      </w:tblGrid>
      <w:tr>
        <w:trPr/>
        <w:tc>
          <w:tcPr>
            <w:tcW w:w="23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92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52,726,916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1,479,021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(1,328,738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150,288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21,427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stock units 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15,891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(57,461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(57,461</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52,751,875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1,495,036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(1,386,199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108,842</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15,320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stock units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26,061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28,433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15,641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(54,313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(54,313</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52,821,689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1,510,797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(1,440,512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70,290</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168,413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813</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stock units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8,459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14,046</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(61,457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(61,457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52,998,561</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1,525,656</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(1,501,969</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23,692</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05"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Additional</w:t>
              <w:br/>
              <w:t>Paid-In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Accumulated</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w:t>
              <w:br/>
              <w:t>Stockholders’</w:t>
            </w:r>
          </w:p>
        </w:tc>
        <w:tc>
          <w:tcPr>
            <w:tcW w:w="3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Shares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7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Amount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Capital</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Deficit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Equity</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December 31, 2023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52,508,602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1,418,307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(1,152,531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265,781</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8,333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stock units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18,409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(43,039</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March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52,523,447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1,436,754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(1,195,570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241,189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stock units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64,476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18,375</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(45,117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(45,117</w:t>
            </w:r>
          </w:p>
        </w:tc>
        <w:tc>
          <w:tcPr>
            <w:tcW w:w="3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June 30, 2024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52,614,729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1,455,188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(1,240,687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214,506</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Exercise of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stock units vested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8,358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0"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2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14,810</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38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(43,946</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23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Balances at September 30,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1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52,623,087</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48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1,469,998</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(1,284,633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9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185,370</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7" w:name="condensed_consolidated_statements_cash_f"/>
      <w:bookmarkEnd w:id="7"/>
      <w:r>
        <w:rPr>
          <w:rFonts w:ascii="Times New Roman" w:hAnsi="Times New Roman"/>
          <w:b/>
          <w:color w:val="000000"/>
          <w:sz w:val="20"/>
        </w:rPr>
        <w:t>Condensed Consolidated Statements of Cash Flows (unaudited)</w:t>
      </w:r>
    </w:p>
    <w:p>
      <w:pPr>
        <w:pStyle w:val="TextBody"/>
        <w:bidi w:val="0"/>
        <w:jc w:val="center"/>
        <w:rPr>
          <w:rFonts w:ascii="Times New Roman" w:hAnsi="Times New Roman"/>
          <w:color w:val="000000"/>
          <w:sz w:val="20"/>
        </w:rPr>
      </w:pPr>
      <w:r>
        <w:rPr>
          <w:rFonts w:ascii="Times New Roman" w:hAnsi="Times New Roman"/>
          <w:color w:val="000000"/>
          <w:sz w:val="20"/>
        </w:rPr>
        <w:t>(in thousands)</w:t>
      </w:r>
    </w:p>
    <w:p>
      <w:pPr>
        <w:pStyle w:val="TextBody"/>
        <w:bidi w:val="0"/>
        <w:jc w:val="center"/>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6503"/>
        <w:gridCol w:w="252"/>
        <w:gridCol w:w="1006"/>
        <w:gridCol w:w="198"/>
        <w:gridCol w:w="174"/>
        <w:gridCol w:w="252"/>
        <w:gridCol w:w="1006"/>
        <w:gridCol w:w="814"/>
      </w:tblGrid>
      <w:tr>
        <w:trPr/>
        <w:tc>
          <w:tcPr>
            <w:tcW w:w="6503"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5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operating activities</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(173,231</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(132,102</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Adjustments to reconcile net loss to net cash used in operating activities:</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Depreciation</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13,784</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14,084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Stock-based compensation</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51,594</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Loss on disposal of long-lived assets</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Non-cash lease impairment expense</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1,910</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Settlement of derivative contracts</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Amortization of operating lease right-of-use asset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6,021</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Changes in assets and liabilities:</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Prepaid expenses and other current assets</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(827</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assets</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Accounts payable</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(10,330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Accrued and other current liabilities</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9,275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(7,779</w:t>
            </w:r>
          </w:p>
        </w:tc>
        <w:tc>
          <w:tcPr>
            <w:tcW w:w="81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Operating lease liability</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(8,144</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(8,160</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Long-term deposit</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1,500</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600"/>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operating activities</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(96,630</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(87,249</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investing activities</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(251</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Deposits on property and equipment</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Settlement of derivative contracts</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9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(355</w:t>
            </w:r>
          </w:p>
        </w:tc>
        <w:tc>
          <w:tcPr>
            <w:tcW w:w="814"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used in investing activities</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Cash flows from financing activities</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stock option exercises</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975</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Proceeds from issuance of common stock pursuant to ESPP</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82</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w:t>
            </w:r>
          </w:p>
        </w:tc>
        <w:tc>
          <w:tcPr>
            <w:tcW w:w="814" w:type="dxa"/>
            <w:tcBorders/>
            <w:shd w:fill="CFF0FC" w:val="clear"/>
            <w:tcMar>
              <w:top w:w="0" w:type="dxa"/>
              <w:left w:w="0" w:type="dxa"/>
              <w:bottom w:w="0" w:type="dxa"/>
              <w:right w:w="0" w:type="dxa"/>
            </w:tcMar>
            <w:vAlign w:val="center"/>
          </w:tcPr>
          <w:p>
            <w:pPr>
              <w:pStyle w:val="TableContents"/>
              <w:bidi w:val="0"/>
              <w:spacing w:before="0" w:after="283"/>
              <w:ind w:left="0" w:right="0" w:firstLine="600"/>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ind w:left="0" w:right="0" w:firstLine="600"/>
              <w:jc w:val="left"/>
              <w:rPr>
                <w:rFonts w:ascii="Times New Roman" w:hAnsi="Times New Roman"/>
                <w:color w:val="000000"/>
                <w:sz w:val="20"/>
              </w:rPr>
            </w:pPr>
            <w:r>
              <w:rPr>
                <w:rFonts w:ascii="Times New Roman" w:hAnsi="Times New Roman"/>
                <w:color w:val="000000"/>
                <w:sz w:val="20"/>
              </w:rPr>
              <w:t>Net cash provided by financing activities</w:t>
            </w:r>
          </w:p>
        </w:tc>
        <w:tc>
          <w:tcPr>
            <w:tcW w:w="2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198"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left"/>
              <w:rPr/>
            </w:pPr>
            <w:r>
              <w:rPr/>
              <w:t> </w:t>
            </w:r>
          </w:p>
        </w:tc>
        <w:tc>
          <w:tcPr>
            <w:tcW w:w="1006" w:type="dxa"/>
            <w:tcBorders>
              <w:top w:val="single" w:sz="4" w:space="0" w:color="000000"/>
              <w:bottom w:val="single" w:sz="4" w:space="0" w:color="000000"/>
            </w:tcBorders>
            <w:shd w:fill="FFFFFF" w:val="clear"/>
            <w:tcMar>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814" w:type="dxa"/>
            <w:tcBorders>
              <w:top w:val="single" w:sz="4" w:space="0" w:color="000000"/>
            </w:tcBorders>
            <w:shd w:fill="FFFFFF" w:val="clear"/>
            <w:tcMar>
              <w:left w:w="0" w:type="dxa"/>
              <w:bottom w:w="0" w:type="dxa"/>
              <w:right w:w="0" w:type="dxa"/>
            </w:tcMar>
            <w:vAlign w:val="center"/>
          </w:tcPr>
          <w:p>
            <w:pPr>
              <w:pStyle w:val="TableContents"/>
              <w:bidi w:val="0"/>
              <w:spacing w:before="0" w:after="283"/>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(96,036</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(87,783</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beginning of period</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174,258</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291,831</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cash equivalents and restricted cash, at end of period</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78,222</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204,048</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Reconciliation of cash, cash equivalents and restricted cash to consolidated balance sheets</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and cash equivalents</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72,038</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197,864</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Restricted cash</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w:t>
            </w:r>
          </w:p>
        </w:tc>
        <w:tc>
          <w:tcPr>
            <w:tcW w:w="19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6,184</w:t>
            </w:r>
          </w:p>
        </w:tc>
        <w:tc>
          <w:tcPr>
            <w:tcW w:w="8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cash, cash equivalents and restricted cash in consolidated balance sheets</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78,222</w:t>
            </w:r>
          </w:p>
        </w:tc>
        <w:tc>
          <w:tcPr>
            <w:tcW w:w="19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204,048</w:t>
            </w:r>
          </w:p>
        </w:tc>
        <w:tc>
          <w:tcPr>
            <w:tcW w:w="81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Supplemental disclosures of non-cash investing and financing information:</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258"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650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lease right-of-use asset obtained in exchange for operating lease liability</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81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650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Purchase of property and equipment under accounts payable and accruals</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w:t>
            </w:r>
          </w:p>
        </w:tc>
        <w:tc>
          <w:tcPr>
            <w:tcW w:w="81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center"/>
        <w:rPr>
          <w:rFonts w:ascii="Times New Roman" w:hAnsi="Times New Roman"/>
          <w:color w:val="000000"/>
          <w:sz w:val="20"/>
        </w:rPr>
      </w:pPr>
      <w:r>
        <w:rPr>
          <w:rFonts w:ascii="Times New Roman" w:hAnsi="Times New Roman"/>
          <w:color w:val="000000"/>
          <w:sz w:val="20"/>
        </w:rPr>
        <w:t>See notes to unaudited condensed consolidated financial statements.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Kodiak Sciences Inc.</w:t>
      </w:r>
    </w:p>
    <w:p>
      <w:pPr>
        <w:pStyle w:val="TextBody"/>
        <w:bidi w:val="0"/>
        <w:jc w:val="center"/>
        <w:rPr>
          <w:rFonts w:ascii="Times New Roman" w:hAnsi="Times New Roman"/>
          <w:b/>
          <w:color w:val="000000"/>
          <w:sz w:val="20"/>
        </w:rPr>
      </w:pPr>
      <w:bookmarkStart w:id="8" w:name="notes_to_unaudited_condensed_consolidate"/>
      <w:bookmarkEnd w:id="8"/>
      <w:r>
        <w:rPr>
          <w:rFonts w:ascii="Times New Roman" w:hAnsi="Times New Roman"/>
          <w:b/>
          <w:color w:val="000000"/>
          <w:sz w:val="20"/>
        </w:rPr>
        <w:t>Notes to Unaudited Condensed Consolidated Financial Statements</w:t>
      </w:r>
    </w:p>
    <w:p>
      <w:pPr>
        <w:pStyle w:val="TextBody"/>
        <w:bidi w:val="0"/>
        <w:spacing w:before="240" w:after="283"/>
        <w:jc w:val="left"/>
        <w:rPr>
          <w:rFonts w:ascii="Times New Roman" w:hAnsi="Times New Roman"/>
          <w:sz w:val="20"/>
        </w:rPr>
      </w:pPr>
      <w:r>
        <w:rPr>
          <w:rFonts w:ascii="Times New Roman" w:hAnsi="Times New Roman"/>
          <w:b/>
          <w:color w:val="000000"/>
          <w:sz w:val="20"/>
        </w:rPr>
        <w:t>1. The Company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Sciences Inc. (the “Company”) is a clinical stage biopharmaceutical company committed to researching, developing and commercializing transformative therapeutics to treat a broad spectrum of retinal diseases. The Company devotes substantially all of its resources to the research and development of its platform and product candidates including activities to conduct clinical studies of its product candidates, manufacture product candidates and provide general and administrative support for these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Liquidity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the Company had cash and cash equivalents of $72.0 million. The Company has incurred net losses and negative cash flows from operations since inception. The Company incurred net losses of $173.2 million and $132.1 million for the nine months ended September 30, 2025 and 2024, respectively. Net cash used in operating activities was $96.6 million and $87.2 million for the nine months ended September 30, 2025 and 2024, respectively.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historically funded its operations primarily through the issuance of common stock and the sale of future royalties. The Company’s ability to achieve and sustain profitability will depend on the successful development, approval and commercialization of its product candidates and on the achievement of sufficient revenue to support its cost structure and, unless and until it does, the Company will need to raise additional capital to maintain current operations and to continue research and development activities. The Company continues to monitor and reduce certain expenditures and plans to raise additional capital through approaches that include equity or debt financings, collaborations or a combination of similar transactions. While the Company has been able to raise multiple rounds of financing, there can be no assurance that such financing will be available on terms which are favorable or at all. The Company could be required to pause, scale back or discontinue one or more of its development programs, which could adversely affect the Company’s business, financial condition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believes that its existing cash and cash equivalents may not be sufficient to meet the anticipated operating and capital expenditure requirements for the 12 months following the date of this Quarterly Report on Form 10-Q. As a result, there is substantial doubt regarding the Company's ability to continue as a going concern. The consolidated financial statements have been prepared assuming that the Company will continue to operate as a going concern, which contemplates the realization of assets and satisfaction of liabilities and commitments in the ordinary course of business.</w:t>
      </w:r>
    </w:p>
    <w:p>
      <w:pPr>
        <w:pStyle w:val="TextBody"/>
        <w:bidi w:val="0"/>
        <w:spacing w:before="240" w:after="283"/>
        <w:jc w:val="left"/>
        <w:rPr>
          <w:rFonts w:ascii="Times New Roman" w:hAnsi="Times New Roman"/>
          <w:sz w:val="20"/>
        </w:rPr>
      </w:pPr>
      <w:r>
        <w:rPr>
          <w:rFonts w:ascii="Times New Roman" w:hAnsi="Times New Roman"/>
          <w:b/>
          <w:color w:val="000000"/>
          <w:sz w:val="20"/>
        </w:rPr>
        <w:t>2. Summary of Significant Accounting Policies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Basis of Presentation and Principles of Consolidation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financial statements have been prepared in accordance with accounting principles generally accepted in the United States of America (“GAAP”) and the applicable rules and regulations of the Securities and Exchange Commission (the “SEC”) regarding interim reporting. Certain information and note disclosures normally included in the financial statements prepared in accordance with GAAP have been condensed or omitted pursuant to such rules and regulations. As such, the information included in this Quarterly Report on Form 10-Q should be read in conjunction with the consolidated financial statements and accompanying notes included in the Company’s Annual Report on Form 10-K for the fiscal year ended December 31,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condensed consolidated financial statements include the accounts of Kodiak Sciences Inc. and its wholly owned subsidiaries. All intercompany balances and transactions have been eliminated in consolidation. The condensed consolidated financial statements reflect all normal recurring adjustments that are necessary to present fairly the results for the interim periods presented. Interim results are not necessarily indicative of the results for the full year ending December 31, 2025.</w:t>
      </w:r>
    </w:p>
    <w:p>
      <w:pPr>
        <w:pStyle w:val="TextBody"/>
        <w:bidi w:val="0"/>
        <w:spacing w:before="240" w:after="283"/>
        <w:jc w:val="left"/>
        <w:rPr>
          <w:rFonts w:ascii="Times New Roman" w:hAnsi="Times New Roman"/>
          <w:sz w:val="20"/>
        </w:rPr>
      </w:pPr>
      <w:r>
        <w:rPr>
          <w:rFonts w:ascii="Times New Roman" w:hAnsi="Times New Roman"/>
          <w:b/>
          <w:i/>
          <w:color w:val="000000"/>
          <w:sz w:val="20"/>
        </w:rPr>
        <w:t>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preparation of consolidated financial statements in conformity with GAAP requires management to make estimates and assumptions that affect the reported amounts of assets and liabilities, disclosure of contingent assets and liabilities as of the date of the consolidated financial statements and expenses during the reporting period. Such estimates include, but are not limited to, accrued research and development, stock-based compensation and impairment of long-lived assets. Actual results could differ from those estimates.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Impairment of Long-Lived Assets</w:t>
      </w:r>
    </w:p>
    <w:p>
      <w:pPr>
        <w:pStyle w:val="TextBody"/>
        <w:bidi w:val="0"/>
        <w:spacing w:before="120" w:after="160"/>
        <w:jc w:val="left"/>
        <w:rPr>
          <w:rFonts w:ascii="Times New Roman" w:hAnsi="Times New Roman"/>
          <w:color w:val="000000"/>
          <w:sz w:val="20"/>
        </w:rPr>
      </w:pPr>
      <w:r>
        <w:rPr>
          <w:rFonts w:ascii="Times New Roman" w:hAnsi="Times New Roman"/>
          <w:color w:val="000000"/>
          <w:sz w:val="20"/>
        </w:rPr>
        <w:t xml:space="preserve">The Company reviews long-lived assets for impairment whenever events or changes in circumstances indicate that the carrying amounts of the assets may not be recoverable. Recoverability is measured by comparison of the carrying amount of the assets to the estimated undiscounted net cash flows which the assets are expected to generate. If such assets are deemed not recoverable, an impairment loss is recognized in the amount by which the carrying value of the assets exceeds the estimated fair value of the assets. </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During the first quarter of 2025, the Company subleased its building at 1200 Page Mill Road, Palo Alto, California, as further disclosed in Note 5. The Company performed a review of its asset group and determined that the right-of-use asset related to this building should be placed in a separate asset group because the sublease activities and cash flows are largely independent of the rest of the Company’s cash flows. The Company accounted for this change in asset group prospectively. Further, the Company concluded that the sublease of this building was a triggering event indicating that the asset group’s carrying amount may not be recoverable. The Company performed a recoverability analysis of the asset group and concluded that the net carrying value of the asset group exceeded undiscounted net cash flows, indicating an impairment loss. The Company estimated the fair value of the right-of-use asset and recorded non-cash lease impairment expense of $1.9 million during the first quarter of 2025. The impairment loss was recognized within general and administrative expense in the unaudited condensed consolidated statement of operations.</w:t>
      </w:r>
    </w:p>
    <w:p>
      <w:pPr>
        <w:pStyle w:val="TextBody"/>
        <w:bidi w:val="0"/>
        <w:spacing w:before="0" w:after="160"/>
        <w:jc w:val="left"/>
        <w:rPr>
          <w:rFonts w:ascii="Times New Roman" w:hAnsi="Times New Roman"/>
          <w:color w:val="000000"/>
          <w:sz w:val="20"/>
        </w:rPr>
      </w:pPr>
      <w:r>
        <w:rPr>
          <w:rFonts w:ascii="Times New Roman" w:hAnsi="Times New Roman"/>
          <w:color w:val="000000"/>
          <w:sz w:val="20"/>
        </w:rPr>
        <w:t xml:space="preserve">Fair value of the right-of-use asset was estimated using the discounted future cash flow method, which included the Company’s sublease rental income, which reflected current sublease market conditions, as well as a discount rate, which represented a rate that the Company estimated a market participant would require in assuming the risks associated with those cash flows. The estimates and assumptions used in the assessment of the right-of-use asset represent Level 3 measurements because they are based on unobservable inputs that reflect management's best estimate of what market participants would use. </w:t>
      </w:r>
    </w:p>
    <w:p>
      <w:pPr>
        <w:pStyle w:val="TextBody"/>
        <w:bidi w:val="0"/>
        <w:spacing w:before="80" w:after="283"/>
        <w:jc w:val="left"/>
        <w:rPr>
          <w:rFonts w:ascii="Times New Roman" w:hAnsi="Times New Roman"/>
          <w:b/>
          <w:i/>
          <w:color w:val="000000"/>
          <w:sz w:val="20"/>
        </w:rPr>
      </w:pPr>
      <w:r>
        <w:rPr>
          <w:rFonts w:ascii="Times New Roman" w:hAnsi="Times New Roman"/>
          <w:b/>
          <w:i/>
          <w:color w:val="000000"/>
          <w:sz w:val="20"/>
        </w:rPr>
        <w:t>Risks and Uncertainties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Global economic and business activities continue to face widespread macroeconomic uncertainties, including health epidemics, labor shortages, bank failures, inflation and monetary supply shifts, tariffs, recession risks and potential disruptions from geopolitical conflicts. The Company continues to actively monitor the impact of these macroeconomic factors on its financial condition, liquidity, operations, and workforce. The extent of the impact of these factors on the Company’s operational and financial performance, including its ability to execute its business strategies and initiatives in the expected timeframe, will depend on future developments, which are uncertain and cannot be predicted; however, any continued or renewed disruption resulting from these factors could negatively impact the Company’s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Company’s future results of operations involve a number of risks and uncertainties common to clinical stage companies in the biotechnology industry. The Company’s product candidates are in development and the Company operates in an environment of rapid change in technology and substantial competition from other pharmaceutical and biotechnology companies. Factors that could affect the Company’s future operating results and cause actual results to vary materially from expectations include, but are not limited to, uncertainty of results of clinical trials and reaching milestones, uncertainty of regulatory approval of the Company’s potential drug candidates, uncertainty of market acceptance of any of the Company’s product candidates that receive regulatory approval, competition from new technological innovations, substitute products and larger companies, securing and protecting proprietary technology, strategic relationships and dependence on key individuals and vendors.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Products developed by the Company require approvals from the U.S. Food and Drug Administration (“FDA”) or other international regulatory agencies prior to commercial sales. There can be no assurance that any of the Company’s product candidates will receive the necessary approvals. If the Company is denied approval, approval is delayed or the Company is unable to maintain approvals, it could have a materially adverse impact on the Company. Even if the Company’s product development efforts are successful, it is uncertain when, if ever, the Company will generate significant revenue from product sales.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expects to incur substantial operating losses for the next several years and will need to obtain additional financing in order to complete clinical trials, launch and commercialize any product candidates for which it receives regulatory approval. There can be no assurance that such financing will be available or will be on terms acceptable by the Company.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New Tax Laws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 July 4, 2025, bill H.R. 1, known as the One Big Beautiful Bill Act (the “OBBBA”), was signed into law. OBBBA revises U.S. corporate income tax laws by, among other things, restoring the option for immediate tax deductibility of domestic R&amp;D expenditures, making permanent a 100% bonus depreciation deduction for property acquired domestically and providing a new provision for immediate expensing of manufacturing facility costs. OBBBA did not have a material impact on the 2025 consolidated financial statements, however, the Company will continue to evaluate impacts to future periods.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Summary of Significant Accounting Policies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significant accounting policies used in preparation of these condensed consolidated financial statements are consistent with those discussed in Note 2 to the consolidated financial statements in the Company’s Annual Report on Form 10-K for the year ended December 31, 2024, except as noted below within the “Recent Accounting Pronouncements” section.</w:t>
      </w:r>
    </w:p>
    <w:p>
      <w:pPr>
        <w:pStyle w:val="TextBody"/>
        <w:bidi w:val="0"/>
        <w:spacing w:before="240" w:after="283"/>
        <w:jc w:val="left"/>
        <w:rPr>
          <w:rFonts w:ascii="Times New Roman" w:hAnsi="Times New Roman"/>
          <w:sz w:val="20"/>
        </w:rPr>
      </w:pPr>
      <w:r>
        <w:rPr>
          <w:rFonts w:ascii="Times New Roman" w:hAnsi="Times New Roman"/>
          <w:b/>
          <w:i/>
          <w:color w:val="000000"/>
          <w:sz w:val="20"/>
        </w:rPr>
        <w:t xml:space="preserve">Recent </w:t>
      </w:r>
      <w:r>
        <w:rPr>
          <w:rFonts w:ascii="Times New Roman" w:hAnsi="Times New Roman"/>
          <w:b/>
          <w:i/>
          <w:caps/>
          <w:color w:val="000000"/>
          <w:sz w:val="20"/>
        </w:rPr>
        <w:t>a</w:t>
      </w:r>
      <w:r>
        <w:rPr>
          <w:rFonts w:ascii="Times New Roman" w:hAnsi="Times New Roman"/>
          <w:b/>
          <w:i/>
          <w:color w:val="000000"/>
          <w:sz w:val="20"/>
        </w:rPr>
        <w:t xml:space="preserve">ccounting </w:t>
      </w:r>
      <w:r>
        <w:rPr>
          <w:rFonts w:ascii="Times New Roman" w:hAnsi="Times New Roman"/>
          <w:b/>
          <w:i/>
          <w:caps/>
          <w:color w:val="000000"/>
          <w:sz w:val="20"/>
        </w:rPr>
        <w:t>p</w:t>
      </w:r>
      <w:r>
        <w:rPr>
          <w:rFonts w:ascii="Times New Roman" w:hAnsi="Times New Roman"/>
          <w:b/>
          <w:i/>
          <w:color w:val="000000"/>
          <w:sz w:val="20"/>
        </w:rPr>
        <w:t>ronouncements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From time to time, new accounting pronouncements are issued by the Financial Accounting Standards Board (“FASB”), and adopted by the Company as of the specified effective date.</w:t>
      </w:r>
    </w:p>
    <w:p>
      <w:pPr>
        <w:pStyle w:val="TextBody"/>
        <w:bidi w:val="0"/>
        <w:spacing w:before="240" w:after="283"/>
        <w:jc w:val="left"/>
        <w:rPr>
          <w:rFonts w:ascii="Times New Roman" w:hAnsi="Times New Roman"/>
          <w:sz w:val="20"/>
        </w:rPr>
      </w:pPr>
      <w:r>
        <w:rPr>
          <w:rFonts w:ascii="Times New Roman" w:hAnsi="Times New Roman"/>
          <w:i/>
          <w:color w:val="000000"/>
          <w:sz w:val="20"/>
        </w:rPr>
        <w:t>Recently Issued Accounting Pronouncements Not Yet Adopted</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December 2023, the FASB issued ASU 2023-09, </w:t>
      </w:r>
      <w:r>
        <w:rPr>
          <w:rFonts w:ascii="Times New Roman" w:hAnsi="Times New Roman"/>
          <w:i/>
          <w:color w:val="000000"/>
          <w:sz w:val="20"/>
        </w:rPr>
        <w:t>Income Taxes (Topic 740): Improvements to Income Tax Disclosures</w:t>
      </w:r>
      <w:r>
        <w:rPr>
          <w:rFonts w:ascii="Times New Roman" w:hAnsi="Times New Roman"/>
          <w:color w:val="000000"/>
          <w:sz w:val="20"/>
        </w:rPr>
        <w:t>, which enhances the disclosures required for income taxes in annual consolidated financial statements. The ASU is effective for the Company's annual period ending December 31, 2025. The Company is assessing the impact of this amendment on its disclosures.</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November 2024, the FASB issued ASU 2024-03, </w:t>
      </w:r>
      <w:r>
        <w:rPr>
          <w:rFonts w:ascii="Times New Roman" w:hAnsi="Times New Roman"/>
          <w:i/>
          <w:color w:val="000000"/>
          <w:sz w:val="20"/>
        </w:rPr>
        <w:t>Disaggregation of Income Statement Expenses</w:t>
      </w:r>
      <w:r>
        <w:rPr>
          <w:rFonts w:ascii="Times New Roman" w:hAnsi="Times New Roman"/>
          <w:color w:val="000000"/>
          <w:sz w:val="20"/>
        </w:rPr>
        <w:t>, which requires additional disclosure of the nature of expenses included in the income statement. The ASU is effective for annual periods beginning after December 15, 2026 and interim periods within fiscal years beginning after December 15, 2027, and early adoption is permitted. The Company will adopt this amendment on a prospective basis. The Company is assessing the impact of this amendment on its consolidated financial statements and related disclosures.</w:t>
      </w:r>
    </w:p>
    <w:p>
      <w:pPr>
        <w:pStyle w:val="TextBody"/>
        <w:bidi w:val="0"/>
        <w:spacing w:before="240" w:after="283"/>
        <w:jc w:val="left"/>
        <w:rPr>
          <w:rFonts w:ascii="Times New Roman" w:hAnsi="Times New Roman"/>
          <w:sz w:val="20"/>
        </w:rPr>
      </w:pPr>
      <w:r>
        <w:rPr>
          <w:rFonts w:ascii="Times New Roman" w:hAnsi="Times New Roman"/>
          <w:b/>
          <w:color w:val="000000"/>
          <w:sz w:val="20"/>
        </w:rPr>
        <w:t>3. Accrued and Other Current Liabilities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Accrued and other current liabilities consist of the following (in thousands): </w:t>
      </w:r>
    </w:p>
    <w:p>
      <w:pPr>
        <w:pStyle w:val="TextBody"/>
        <w:bidi w:val="0"/>
        <w:jc w:val="left"/>
        <w:rPr/>
      </w:pPr>
      <w:r>
        <w:rPr/>
        <w:t> </w:t>
      </w:r>
    </w:p>
    <w:tbl>
      <w:tblPr>
        <w:tblW w:w="8125" w:type="dxa"/>
        <w:jc w:val="left"/>
        <w:tblInd w:w="0" w:type="dxa"/>
        <w:tblLayout w:type="fixed"/>
        <w:tblCellMar>
          <w:top w:w="28" w:type="dxa"/>
          <w:left w:w="28" w:type="dxa"/>
          <w:bottom w:w="28" w:type="dxa"/>
          <w:right w:w="28" w:type="dxa"/>
        </w:tblCellMar>
      </w:tblPr>
      <w:tblGrid>
        <w:gridCol w:w="4831"/>
        <w:gridCol w:w="146"/>
        <w:gridCol w:w="310"/>
        <w:gridCol w:w="995"/>
        <w:gridCol w:w="146"/>
        <w:gridCol w:w="146"/>
        <w:gridCol w:w="299"/>
        <w:gridCol w:w="961"/>
        <w:gridCol w:w="291"/>
      </w:tblGrid>
      <w:tr>
        <w:trPr/>
        <w:tc>
          <w:tcPr>
            <w:tcW w:w="48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0" w:type="dxa"/>
            <w:tcBorders/>
            <w:vAlign w:val="center"/>
          </w:tcPr>
          <w:p>
            <w:pPr>
              <w:pStyle w:val="TableContents"/>
              <w:bidi w:val="0"/>
              <w:spacing w:before="0" w:after="283"/>
              <w:jc w:val="left"/>
              <w:rPr>
                <w:sz w:val="4"/>
                <w:szCs w:val="4"/>
              </w:rPr>
            </w:pPr>
            <w:r>
              <w:rPr>
                <w:sz w:val="4"/>
                <w:szCs w:val="4"/>
              </w:rPr>
            </w:r>
          </w:p>
        </w:tc>
        <w:tc>
          <w:tcPr>
            <w:tcW w:w="99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9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w:t>
              <w:b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December 31,</w:t>
              <w:br/>
              <w:t>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manufacturing and research &amp; development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8,566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2,148</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salaries and benefits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5,431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5,266</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clinical trial and related costs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5,348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2,803</w:t>
            </w:r>
          </w:p>
        </w:tc>
        <w:tc>
          <w:tcPr>
            <w:tcW w:w="2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legal fees and professional fees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6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443</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8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Accrued other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9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6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370</w:t>
            </w:r>
          </w:p>
        </w:tc>
        <w:tc>
          <w:tcPr>
            <w:tcW w:w="2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483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accrued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9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20,305</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6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11,030</w:t>
            </w:r>
          </w:p>
        </w:tc>
        <w:tc>
          <w:tcPr>
            <w:tcW w:w="2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0"/>
        </w:rPr>
        <w:t>4. Fair Value Measurements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tables present the Company’s fair value hierarchy for assets measured at fair value on a recurring basis (in thousands): </w:t>
      </w:r>
    </w:p>
    <w:p>
      <w:pPr>
        <w:pStyle w:val="TextBody"/>
        <w:bidi w:val="0"/>
        <w:jc w:val="left"/>
        <w:rPr/>
      </w:pPr>
      <w:r>
        <w:rPr/>
        <w:t> </w:t>
      </w:r>
    </w:p>
    <w:tbl>
      <w:tblPr>
        <w:tblW w:w="7734" w:type="dxa"/>
        <w:jc w:val="left"/>
        <w:tblInd w:w="0" w:type="dxa"/>
        <w:tblLayout w:type="fixed"/>
        <w:tblCellMar>
          <w:top w:w="28" w:type="dxa"/>
          <w:left w:w="28" w:type="dxa"/>
          <w:bottom w:w="28" w:type="dxa"/>
          <w:right w:w="28" w:type="dxa"/>
        </w:tblCellMar>
      </w:tblPr>
      <w:tblGrid>
        <w:gridCol w:w="2801"/>
        <w:gridCol w:w="146"/>
        <w:gridCol w:w="223"/>
        <w:gridCol w:w="828"/>
        <w:gridCol w:w="154"/>
        <w:gridCol w:w="154"/>
        <w:gridCol w:w="278"/>
        <w:gridCol w:w="457"/>
        <w:gridCol w:w="154"/>
        <w:gridCol w:w="154"/>
        <w:gridCol w:w="278"/>
        <w:gridCol w:w="457"/>
        <w:gridCol w:w="154"/>
        <w:gridCol w:w="154"/>
        <w:gridCol w:w="223"/>
        <w:gridCol w:w="828"/>
        <w:gridCol w:w="291"/>
      </w:tblGrid>
      <w:tr>
        <w:trPr/>
        <w:tc>
          <w:tcPr>
            <w:tcW w:w="28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28"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September 30, 2025</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68,948</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2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68,948</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2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68,948</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3,090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72,038</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72,038</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6"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Fair Value Measurements at December 31, 2024</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1</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2</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Level 3</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Total</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Money market funds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166,464</w:t>
            </w:r>
          </w:p>
        </w:tc>
        <w:tc>
          <w:tcPr>
            <w:tcW w:w="2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2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166,464</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457"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color w:val="000000"/>
              </w:rPr>
            </w:pPr>
            <w:r>
              <w:rPr>
                <w:color w:val="000000"/>
              </w:rPr>
              <w:t>—</w:t>
            </w:r>
          </w:p>
        </w:tc>
        <w:tc>
          <w:tcPr>
            <w:tcW w:w="154"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c>
          <w:tcPr>
            <w:tcW w:w="828"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166,464</w:t>
            </w:r>
          </w:p>
        </w:tc>
        <w:tc>
          <w:tcPr>
            <w:tcW w:w="291" w:type="dxa"/>
            <w:tcBorders>
              <w:top w:val="single" w:sz="4" w:space="0" w:color="000000"/>
            </w:tcBorders>
            <w:shd w:fill="CFF0FC" w:val="clear"/>
            <w:tcMar>
              <w:left w:w="0" w:type="dxa"/>
              <w:bottom w:w="0" w:type="dxa"/>
              <w:right w:w="0" w:type="dxa"/>
            </w:tcMar>
            <w:vAlign w:val="center"/>
          </w:tcPr>
          <w:p>
            <w:pPr>
              <w:pStyle w:val="TableContents"/>
              <w:bidi w:val="0"/>
              <w:spacing w:before="0" w:after="283"/>
              <w:jc w:val="left"/>
              <w:rPr/>
            </w:pPr>
            <w:r>
              <w:rPr/>
              <w:t> </w:t>
            </w:r>
          </w:p>
        </w:tc>
      </w:tr>
      <w:tr>
        <w:trPr/>
        <w:tc>
          <w:tcPr>
            <w:tcW w:w="28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1,610</w:t>
            </w:r>
          </w:p>
        </w:tc>
        <w:tc>
          <w:tcPr>
            <w:tcW w:w="2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100"/>
              <w:jc w:val="left"/>
              <w:rPr/>
            </w:pPr>
            <w:r>
              <w:rPr/>
              <w:t> </w:t>
            </w:r>
          </w:p>
        </w:tc>
      </w:tr>
      <w:tr>
        <w:trPr/>
        <w:tc>
          <w:tcPr>
            <w:tcW w:w="280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Total 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168,074</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45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54"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2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168,074</w:t>
            </w:r>
          </w:p>
        </w:tc>
        <w:tc>
          <w:tcPr>
            <w:tcW w:w="2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the fair value of the liability related to sale of future royalties is based on the Company's current estimates of future royalties expected to be paid to Baker Bros. Advisors, LP (“BBA”), which are considered Level 3 inputs.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7</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discussed in Notes 2 and 5, the Company entered into an agreement in March 2025 to sublease its building at 1200 Page Mill Road, which triggered an evaluation of the carrying amount of the related right-of-use asset. The Company determined that the carrying amount was no longer recoverable and wrote it down to its estimated fair value, which resulted in a non-cash lease impairment expense of $1.9 million recorded during the first quarter of 2025. Estimated fair value was based on expected sublease rental income, which reflected current sublease market conditions, discounted at a market rate of return on similar assets. The estimates and assumptions used are considered Level 3 inputs. </w:t>
      </w:r>
    </w:p>
    <w:p>
      <w:pPr>
        <w:pStyle w:val="TextBody"/>
        <w:bidi w:val="0"/>
        <w:spacing w:before="240" w:after="283"/>
        <w:jc w:val="left"/>
        <w:rPr>
          <w:rFonts w:ascii="Times New Roman" w:hAnsi="Times New Roman"/>
          <w:b/>
          <w:color w:val="000000"/>
          <w:sz w:val="20"/>
        </w:rPr>
      </w:pPr>
      <w:r>
        <w:rPr>
          <w:rFonts w:ascii="Times New Roman" w:hAnsi="Times New Roman"/>
          <w:b/>
          <w:color w:val="000000"/>
          <w:sz w:val="20"/>
        </w:rPr>
        <w:t>5. Commitments and Contingencies</w:t>
      </w:r>
    </w:p>
    <w:p>
      <w:pPr>
        <w:pStyle w:val="TextBody"/>
        <w:bidi w:val="0"/>
        <w:spacing w:before="240" w:after="283"/>
        <w:jc w:val="left"/>
        <w:rPr>
          <w:rFonts w:ascii="Times New Roman" w:hAnsi="Times New Roman"/>
          <w:sz w:val="20"/>
        </w:rPr>
      </w:pPr>
      <w:r>
        <w:rPr>
          <w:rFonts w:ascii="Times New Roman" w:hAnsi="Times New Roman"/>
          <w:b/>
          <w:i/>
          <w:color w:val="000000"/>
          <w:sz w:val="20"/>
        </w:rPr>
        <w:t>Leases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Palo Alto, California Leases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June 2020, the Company entered into lease agreements for two buildings at 1200 and 1250 Page Mill Road in Palo Alto, California, which are now the Company’s U.S. corporate offices. Under ASC 842, the Company classified these leases as operating leases and recorded right-of-use assets and lease liabilities on the lease commencement date.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March 2025, the Company entered into an agreement to sublease its building at 1200 Page Mill Road. The term of the sublease is from March 2025 to February 2027, with no option to extend the lease. Sublease income is recorded as a reduction to rent expense and included within general and administrative expense. Future minimum lease payments to be received under the sublease are $5.0 million, $5.7 million and $0.5 million for the years ended December 31, 2025, 2026 and 2027, respectively. The remaining lease cost to be recognized by the Company exceeded the anticipated sublease income and, as a result, the Company recognized a non-cash lease impairment expense of $1.9 million during the first quarter of 2025. Refer to Note 2 for additional disclosure.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three and nine months ended September 30, 2025, the Company recognized $1.8 million and $4.2 million of sublease income, of which $0.4 million and $1.0 million was variable sublease income. Sublease income is recorded as a reduction to rent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Switzerland Lease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April 2020, the Company entered into a lease agreement for office and laboratory space at Rottenstrasse 5 in Visp, Switzerland. Under ASC 842, the Company classified this lease as an operating lease and recorded a right-of-use asset and lease liability on the lease commencement date.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Ursus Facility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the Company and its wholly owned subsidiary Kodiak Sciences GmbH entered into a manufacturing agreement with Lonza Ltd (“Lonza”) for the clinical and commercial supply of the Company’s antibody biopolymer conjugate drug substance which included a custom-built manufacturing facility. In April 2021, the agreement was amended to provide for greater manufacturing flexibility, to define a comprehensive mandate as an antibody biopolymer conjugates manufacturing facility to be used for the Company’s antibody biopolymer conjugates pipeline, at clinical as well as commercial scales, across a broad capacity range under the tight quality controls required for ophthalmology and retinal medicines, and to allow for future process and equipment changes as needed. The Company concluded that this agreement contained an embedded lease as the custom-built manufacturing suite would be dedicated for the Company’s use. Under ASC 842, the Company classified the lease portion as an operating lease and recorded a right-of-use asset and lease liability on the lease commencement date.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Manufacturing Agreements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has entered into service and equipment purchase agreements in the normal course of business with various providers, pursuant to which such providers agreed to perform activities in connection with the manufacturing process of certain materials. These agreements, and any related amendments, state that planned activities and purchases that are included in the signed work orders are, in some cases, binding and, hence, obligate the Company to pay the full price of the work order upon satisfactory delivery of products and services or obligate the Company to the binding amount regardless of whether such planned activities are in fact performed. Per the terms of the agreements, the Company has the option to cancel signed orders at any time upon written notice, which may or may not be subject to payment of a cancellation fee. The level of cancellation fees may be dependent on the timing of the written notice in relation to the commencement date of the work, with the maximum cancellation amount dependent on the agreement or the work order.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8</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Other Funding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normal course of business, the Company enters into agreements with third-parties for services to be provided to the Company. Generally, these agreements provide for termination upon notice, with specified amounts due upon termination based on the timing of termination and the terms of the agreement. The actual amounts and timing of payments under these agreements are uncertain and contingent upon the initiation and completion of services to be provided to the Company.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Company has also entered into various cancellable license agreements for certain technology. The Company may be obligated to make payments on future sales of specified products associated with such license agreements. Such payments are dependent on future product sales and are not estimable.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the Company may be subject to various legal proceedings and claims that arise in the ordinary course of its business activities. Management is currently not aware of any matters that could have a material adverse effect on its financial position, results of operations or cash flows. The Company records a legal liability when it believes that it is both probable that a liability may be imputed, and the amount of the liability can be reasonably estimated. Significant judgment by the Company is required to determine both probability and the estimated amount. </w:t>
      </w:r>
    </w:p>
    <w:p>
      <w:pPr>
        <w:pStyle w:val="TextBody"/>
        <w:bidi w:val="0"/>
        <w:spacing w:before="240" w:after="283"/>
        <w:jc w:val="left"/>
        <w:rPr>
          <w:rFonts w:ascii="Times New Roman" w:hAnsi="Times New Roman"/>
          <w:sz w:val="20"/>
        </w:rPr>
      </w:pPr>
      <w:r>
        <w:rPr>
          <w:rFonts w:ascii="Times New Roman" w:hAnsi="Times New Roman"/>
          <w:b/>
          <w:i/>
          <w:color w:val="000000"/>
          <w:sz w:val="20"/>
        </w:rPr>
        <w:t>Indemnification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the extent permitted under Delaware law, the Company has agreed to indemnify its directors and officers for certain events or occurrences while the director or officer is, or was serving, at the Company’s request in such capacity. The indemnification period covers all pertinent events and occurrences during the director’s or officer’s service. The maximum potential amount of future payments the Company could be required to make under these indemnification agreements is not specified in the agreements; however, the Company has director and officer insurance coverage that reduces its exposure and enables the Company to recover a portion of any future amounts paid. The Company believes the estimated fair value of these indemnification agreements in excess of applicable insurance coverage is minimal. </w:t>
      </w:r>
    </w:p>
    <w:p>
      <w:pPr>
        <w:pStyle w:val="TextBody"/>
        <w:bidi w:val="0"/>
        <w:spacing w:before="240" w:after="283"/>
        <w:jc w:val="left"/>
        <w:rPr>
          <w:rFonts w:ascii="Times New Roman" w:hAnsi="Times New Roman"/>
          <w:sz w:val="20"/>
        </w:rPr>
      </w:pPr>
      <w:r>
        <w:rPr>
          <w:rFonts w:ascii="Times New Roman" w:hAnsi="Times New Roman"/>
          <w:b/>
          <w:color w:val="000000"/>
          <w:sz w:val="20"/>
        </w:rPr>
        <w:t>6. Stock-Based Compensation</w:t>
      </w:r>
      <w:r>
        <w:rPr>
          <w:rFonts w:ascii="Times New Roman" w:hAnsi="Times New Roman"/>
          <w:color w:val="000000"/>
          <w:sz w:val="20"/>
        </w:rPr>
        <w:t xml:space="preserve"> </w:t>
      </w:r>
    </w:p>
    <w:p>
      <w:pPr>
        <w:pStyle w:val="TextBody"/>
        <w:bidi w:val="0"/>
        <w:spacing w:before="120" w:after="120"/>
        <w:jc w:val="left"/>
        <w:rPr>
          <w:rFonts w:ascii="Times New Roman" w:hAnsi="Times New Roman"/>
          <w:color w:val="000000"/>
          <w:sz w:val="20"/>
        </w:rPr>
      </w:pPr>
      <w:r>
        <w:rPr>
          <w:rFonts w:ascii="Times New Roman" w:hAnsi="Times New Roman"/>
          <w:color w:val="000000"/>
          <w:sz w:val="20"/>
        </w:rPr>
        <w:t xml:space="preserve">Shares of common stock available for issuance under the Company's equity incentive plans at September 30, 2025, were as follows: </w:t>
      </w:r>
    </w:p>
    <w:tbl>
      <w:tblPr>
        <w:tblW w:w="4838" w:type="dxa"/>
        <w:jc w:val="left"/>
        <w:tblInd w:w="0" w:type="dxa"/>
        <w:tblLayout w:type="fixed"/>
        <w:tblCellMar>
          <w:top w:w="28" w:type="dxa"/>
          <w:left w:w="28" w:type="dxa"/>
          <w:bottom w:w="28" w:type="dxa"/>
          <w:right w:w="28" w:type="dxa"/>
        </w:tblCellMar>
      </w:tblPr>
      <w:tblGrid>
        <w:gridCol w:w="2731"/>
        <w:gridCol w:w="146"/>
        <w:gridCol w:w="218"/>
        <w:gridCol w:w="1552"/>
        <w:gridCol w:w="191"/>
      </w:tblGrid>
      <w:tr>
        <w:trPr/>
        <w:tc>
          <w:tcPr>
            <w:tcW w:w="27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552"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7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September 30, 2025</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awards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23,035,817</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 for future award grants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52"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687,700</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Reserved for future 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5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296,960</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7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5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24,020,477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sz w:val="20"/>
        </w:rPr>
      </w:pPr>
      <w:r>
        <w:rPr>
          <w:rFonts w:ascii="Times New Roman" w:hAnsi="Times New Roman"/>
          <w:b/>
          <w:i/>
          <w:color w:val="000000"/>
          <w:sz w:val="20"/>
        </w:rPr>
        <w:t>Stock Options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Stock option activity, including stock options and performance-based stock options under the 2021 Long-Term Performance Incentive Plan (“2021 LTPIP”), 2018 Plan and 2015 Plan is summarized as follows:</w:t>
      </w:r>
    </w:p>
    <w:p>
      <w:pPr>
        <w:pStyle w:val="TextBody"/>
        <w:bidi w:val="0"/>
        <w:jc w:val="left"/>
        <w:rPr/>
      </w:pPr>
      <w:r>
        <w:rPr/>
        <w:t> </w:t>
      </w:r>
    </w:p>
    <w:tbl>
      <w:tblPr>
        <w:tblW w:w="8718" w:type="dxa"/>
        <w:jc w:val="left"/>
        <w:tblInd w:w="0" w:type="dxa"/>
        <w:tblLayout w:type="fixed"/>
        <w:tblCellMar>
          <w:top w:w="28" w:type="dxa"/>
          <w:left w:w="28" w:type="dxa"/>
          <w:bottom w:w="28" w:type="dxa"/>
          <w:right w:w="28" w:type="dxa"/>
        </w:tblCellMar>
      </w:tblPr>
      <w:tblGrid>
        <w:gridCol w:w="2986"/>
        <w:gridCol w:w="146"/>
        <w:gridCol w:w="146"/>
        <w:gridCol w:w="1036"/>
        <w:gridCol w:w="166"/>
        <w:gridCol w:w="146"/>
        <w:gridCol w:w="247"/>
        <w:gridCol w:w="669"/>
        <w:gridCol w:w="146"/>
        <w:gridCol w:w="146"/>
        <w:gridCol w:w="268"/>
        <w:gridCol w:w="858"/>
        <w:gridCol w:w="146"/>
        <w:gridCol w:w="146"/>
        <w:gridCol w:w="271"/>
        <w:gridCol w:w="1004"/>
        <w:gridCol w:w="191"/>
      </w:tblGrid>
      <w:tr>
        <w:trPr/>
        <w:tc>
          <w:tcPr>
            <w:tcW w:w="29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w:t>
              <w:br/>
              <w:t>of</w:t>
              <w:br/>
              <w:t>Options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Exercise</w:t>
              <w:br/>
              <w:t>Price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Remaining</w:t>
              <w:br/>
              <w:t>Contractual</w:t>
              <w:br/>
              <w:t xml:space="preserve">Term </w:t>
              <w:br/>
              <w:t>(in years)</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Aggregate</w:t>
              <w:br/>
              <w:t>Intrinsic</w:t>
              <w:br/>
              <w:t>Value</w:t>
              <w:br/>
              <w:t>(in thousands)</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19,873,073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36.06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51,018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3,710,474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Exercised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(205,160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Forfeited or 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(463,153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26"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7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9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22,915,234</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6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166,578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9</w:t>
      </w:r>
    </w:p>
    <w:p>
      <w:pPr>
        <w:pStyle w:val="HorizontalLine"/>
        <w:pBdr>
          <w:bottom w:val="double" w:sz="2" w:space="0" w:color="808080"/>
        </w:pBdr>
        <w:bidi w:val="0"/>
        <w:spacing w:before="0" w:after="283"/>
        <w:jc w:val="left"/>
        <w:rPr/>
      </w:pPr>
      <w:r>
        <w:rPr/>
      </w:r>
    </w:p>
    <w:p>
      <w:pPr>
        <w:pStyle w:val="TextBody"/>
        <w:bidi w:val="0"/>
        <w:jc w:val="center"/>
        <w:rPr>
          <w:rFonts w:ascii="Times New Roman" w:hAnsi="Times New Roman"/>
          <w:sz w:val="20"/>
        </w:rPr>
      </w:pPr>
      <w:r>
        <w:rPr>
          <w:rFonts w:ascii="Times New Roman" w:hAnsi="Times New Roman"/>
          <w:b/>
          <w:color w:val="000000"/>
          <w:sz w:val="20"/>
        </w:rPr>
        <w:t>Kodiak Sciences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Notes to Unaudited Condensed Consolidated Financial Statements (Continued)</w:t>
      </w:r>
      <w:r>
        <w:rPr>
          <w:rFonts w:ascii="Times New Roman" w:hAnsi="Times New Roman"/>
          <w:color w:val="000000"/>
          <w:sz w:val="20"/>
        </w:rPr>
        <w:t xml:space="preserve"> </w:t>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Restricted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Restricted stock units activity under the 2018 Plan is summarized as follows:</w:t>
      </w:r>
    </w:p>
    <w:p>
      <w:pPr>
        <w:pStyle w:val="TextBody"/>
        <w:bidi w:val="0"/>
        <w:jc w:val="left"/>
        <w:rPr/>
      </w:pPr>
      <w:r>
        <w:rPr/>
        <w:t> </w:t>
      </w:r>
    </w:p>
    <w:tbl>
      <w:tblPr>
        <w:tblW w:w="5450" w:type="dxa"/>
        <w:jc w:val="left"/>
        <w:tblInd w:w="0" w:type="dxa"/>
        <w:tblLayout w:type="fixed"/>
        <w:tblCellMar>
          <w:top w:w="28" w:type="dxa"/>
          <w:left w:w="28" w:type="dxa"/>
          <w:bottom w:w="28" w:type="dxa"/>
          <w:right w:w="28" w:type="dxa"/>
        </w:tblCellMar>
      </w:tblPr>
      <w:tblGrid>
        <w:gridCol w:w="2746"/>
        <w:gridCol w:w="146"/>
        <w:gridCol w:w="158"/>
        <w:gridCol w:w="847"/>
        <w:gridCol w:w="166"/>
        <w:gridCol w:w="146"/>
        <w:gridCol w:w="283"/>
        <w:gridCol w:w="767"/>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0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Number of</w:t>
              <w:br/>
              <w:t>Restricted</w:t>
              <w:br/>
              <w:t>Shares</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Weighted</w:t>
              <w:br/>
              <w:t>Average</w:t>
              <w:br/>
              <w:t>Grant Date</w:t>
              <w:br/>
              <w:t>Fair Value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December 31, 2024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121,660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16.08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Granted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Vested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(38,052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6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35.21</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Canceled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6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18.80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at September 30,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120,583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3"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6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5.79</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Stock-Based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Stock-based compensation is classified in the condensed consolidated statements of operations and comprehensive loss as follows (in thousands): </w:t>
      </w:r>
    </w:p>
    <w:p>
      <w:pPr>
        <w:pStyle w:val="TextBody"/>
        <w:bidi w:val="0"/>
        <w:jc w:val="left"/>
        <w:rPr/>
      </w:pPr>
      <w:r>
        <w:rPr/>
        <w:t> </w:t>
      </w:r>
    </w:p>
    <w:tbl>
      <w:tblPr>
        <w:tblW w:w="9491" w:type="dxa"/>
        <w:jc w:val="left"/>
        <w:tblInd w:w="0" w:type="dxa"/>
        <w:tblLayout w:type="fixed"/>
        <w:tblCellMar>
          <w:top w:w="28" w:type="dxa"/>
          <w:left w:w="28" w:type="dxa"/>
          <w:bottom w:w="28" w:type="dxa"/>
          <w:right w:w="28" w:type="dxa"/>
        </w:tblCellMar>
      </w:tblPr>
      <w:tblGrid>
        <w:gridCol w:w="2746"/>
        <w:gridCol w:w="146"/>
        <w:gridCol w:w="318"/>
        <w:gridCol w:w="1021"/>
        <w:gridCol w:w="220"/>
        <w:gridCol w:w="220"/>
        <w:gridCol w:w="318"/>
        <w:gridCol w:w="1021"/>
        <w:gridCol w:w="146"/>
        <w:gridCol w:w="146"/>
        <w:gridCol w:w="306"/>
        <w:gridCol w:w="981"/>
        <w:gridCol w:w="212"/>
        <w:gridCol w:w="212"/>
        <w:gridCol w:w="306"/>
        <w:gridCol w:w="981"/>
        <w:gridCol w:w="191"/>
      </w:tblGrid>
      <w:tr>
        <w:trPr/>
        <w:tc>
          <w:tcPr>
            <w:tcW w:w="27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9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7,165</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22,737</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23,936</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7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6,881</w:t>
            </w:r>
          </w:p>
        </w:tc>
        <w:tc>
          <w:tcPr>
            <w:tcW w:w="22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8,515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22,841</w:t>
            </w:r>
          </w:p>
        </w:tc>
        <w:tc>
          <w:tcPr>
            <w:tcW w:w="21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9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27,658</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74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stock-based compensation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14,046</w:t>
            </w:r>
          </w:p>
        </w:tc>
        <w:tc>
          <w:tcPr>
            <w:tcW w:w="220"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2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14,810</w:t>
            </w:r>
          </w:p>
        </w:tc>
        <w:tc>
          <w:tcPr>
            <w:tcW w:w="1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45,578</w:t>
            </w:r>
          </w:p>
        </w:tc>
        <w:tc>
          <w:tcPr>
            <w:tcW w:w="212"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0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51,594</w:t>
            </w:r>
          </w:p>
        </w:tc>
        <w:tc>
          <w:tcPr>
            <w:tcW w:w="1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b/>
          <w:color w:val="000000"/>
          <w:sz w:val="20"/>
        </w:rPr>
      </w:pPr>
      <w:r>
        <w:rPr>
          <w:rFonts w:ascii="Times New Roman" w:hAnsi="Times New Roman"/>
          <w:b/>
          <w:color w:val="000000"/>
          <w:sz w:val="20"/>
        </w:rPr>
        <w:t>7. Segment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Company operates and manages its business as one operating and reportable segment, which is the business of researching, developing and commercializing transformative therapeutics to treat a broad spectrum of retinal diseases. The chief operating decision maker (“CODM”) is the Chief Executive Officer. The CODM uses net loss to allocate resources and assess performance when making decisions on the timing and extent of the Company's development programs for its product candidates. The assets are managed on a consolidated basis as reported on the condensed consolidated balance sheets. </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The significant expense categories within net loss are presented on the condensed consolidated statements of operations. The research and development expenses have been disaggregated as follows (in thousands):</w:t>
      </w:r>
    </w:p>
    <w:tbl>
      <w:tblPr>
        <w:tblW w:w="10205" w:type="dxa"/>
        <w:jc w:val="left"/>
        <w:tblInd w:w="0" w:type="dxa"/>
        <w:tblLayout w:type="fixed"/>
        <w:tblCellMar>
          <w:top w:w="28" w:type="dxa"/>
          <w:left w:w="28" w:type="dxa"/>
          <w:bottom w:w="28" w:type="dxa"/>
          <w:right w:w="28" w:type="dxa"/>
        </w:tblCellMar>
      </w:tblPr>
      <w:tblGrid>
        <w:gridCol w:w="3871"/>
        <w:gridCol w:w="146"/>
        <w:gridCol w:w="294"/>
        <w:gridCol w:w="945"/>
        <w:gridCol w:w="203"/>
        <w:gridCol w:w="203"/>
        <w:gridCol w:w="294"/>
        <w:gridCol w:w="945"/>
        <w:gridCol w:w="146"/>
        <w:gridCol w:w="146"/>
        <w:gridCol w:w="273"/>
        <w:gridCol w:w="1013"/>
        <w:gridCol w:w="188"/>
        <w:gridCol w:w="188"/>
        <w:gridCol w:w="273"/>
        <w:gridCol w:w="877"/>
        <w:gridCol w:w="200"/>
      </w:tblGrid>
      <w:tr>
        <w:trPr/>
        <w:tc>
          <w:tcPr>
            <w:tcW w:w="38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13"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8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Months Ended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1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0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39"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8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8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150"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200"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Tarcocimab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15,570</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24,487</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KSI-501 and KSI-101 program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18,495</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5,586</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ABC Platform and other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19,562</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8,784</w:t>
            </w:r>
          </w:p>
        </w:tc>
        <w:tc>
          <w:tcPr>
            <w:tcW w:w="20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13,609</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5"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41,988</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40,414</w:t>
            </w:r>
          </w:p>
        </w:tc>
        <w:tc>
          <w:tcPr>
            <w:tcW w:w="20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8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Facilities and other research and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w:t>
            </w:r>
          </w:p>
        </w:tc>
        <w:tc>
          <w:tcPr>
            <w:tcW w:w="20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0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94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01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15,103</w:t>
            </w:r>
          </w:p>
        </w:tc>
        <w:tc>
          <w:tcPr>
            <w:tcW w:w="18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7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15,052</w:t>
            </w:r>
          </w:p>
        </w:tc>
        <w:tc>
          <w:tcPr>
            <w:tcW w:w="200"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38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research and development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50,476</w:t>
            </w:r>
          </w:p>
        </w:tc>
        <w:tc>
          <w:tcPr>
            <w:tcW w:w="20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9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1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136,880</w:t>
            </w:r>
          </w:p>
        </w:tc>
        <w:tc>
          <w:tcPr>
            <w:tcW w:w="18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7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94,323</w:t>
            </w:r>
          </w:p>
        </w:tc>
        <w:tc>
          <w:tcPr>
            <w:tcW w:w="200"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Times New Roman" w:hAnsi="Times New Roman"/>
          <w:b/>
          <w:color w:val="000000"/>
          <w:sz w:val="20"/>
        </w:rPr>
      </w:pPr>
      <w:r>
        <w:rPr>
          <w:rFonts w:ascii="Times New Roman" w:hAnsi="Times New Roman"/>
          <w:b/>
          <w:color w:val="000000"/>
          <w:sz w:val="20"/>
        </w:rPr>
        <w:t>8. Net Loss per Common Share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common share equivalents were excluded from the computation of diluted net loss per common share for the periods presented because their inclusion would have been antidilutive: </w:t>
      </w:r>
    </w:p>
    <w:p>
      <w:pPr>
        <w:pStyle w:val="TextBody"/>
        <w:bidi w:val="0"/>
        <w:jc w:val="left"/>
        <w:rPr/>
      </w:pPr>
      <w:r>
        <w:rPr/>
        <w:t> </w:t>
      </w:r>
    </w:p>
    <w:tbl>
      <w:tblPr>
        <w:tblW w:w="6517" w:type="dxa"/>
        <w:jc w:val="left"/>
        <w:tblInd w:w="0" w:type="dxa"/>
        <w:tblLayout w:type="fixed"/>
        <w:tblCellMar>
          <w:top w:w="28" w:type="dxa"/>
          <w:left w:w="28" w:type="dxa"/>
          <w:bottom w:w="28" w:type="dxa"/>
          <w:right w:w="28" w:type="dxa"/>
        </w:tblCellMar>
      </w:tblPr>
      <w:tblGrid>
        <w:gridCol w:w="2266"/>
        <w:gridCol w:w="146"/>
        <w:gridCol w:w="215"/>
        <w:gridCol w:w="1527"/>
        <w:gridCol w:w="215"/>
        <w:gridCol w:w="215"/>
        <w:gridCol w:w="215"/>
        <w:gridCol w:w="1527"/>
        <w:gridCol w:w="191"/>
      </w:tblGrid>
      <w:tr>
        <w:trPr/>
        <w:tc>
          <w:tcPr>
            <w:tcW w:w="22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1527"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914"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Three and Nine Months Ended September 30,</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1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7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Outstanding stock options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22,915,234</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20,660,523</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Unvested restricted shares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120,583</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2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122,349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ESPP</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76,799</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21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52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25,712</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2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23,112,616</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5"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52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20,808,584</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9" w:name="i_item2"/>
      <w:bookmarkEnd w:id="9"/>
      <w:r>
        <w:rPr>
          <w:rFonts w:ascii="Times New Roman" w:hAnsi="Times New Roman"/>
          <w:b/>
          <w:color w:val="000000"/>
          <w:sz w:val="20"/>
        </w:rPr>
        <w:t xml:space="preserve">Item 2. Management’s Discussion and Analysis of </w:t>
      </w:r>
      <w:bookmarkStart w:id="10" w:name="item_2_managements_discussion_analysis_f"/>
      <w:bookmarkEnd w:id="10"/>
      <w:r>
        <w:rPr>
          <w:rFonts w:ascii="Times New Roman" w:hAnsi="Times New Roman"/>
          <w:b/>
          <w:color w:val="000000"/>
          <w:sz w:val="20"/>
        </w:rPr>
        <w:t>Financial Condition and Results of Operations.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You should read the following discussion and analysis of our financial condition and results of operations together with our unaudited condensed consolidated financial statements and the related notes included elsewhere in this report and with our audited financial statements and related notes thereto and management’s discussion and analysis of financial condition and results of operations for the year ended December 31, 2024, included in our Annual Report on Form 10-K filed with the Securities and Exchange Commission, or the SEC, on March 27, 2025. This discussion and analysis and other parts of this report contain forward-looking statements based upon current beliefs, plans and expectations related to future events and our future financial performance that involve risks, uncertainties and assumptions, such as statements regarding our intentions, plans, objectives, expectations, forecasts and projections. Our actual results and the timing of selected events could differ materially from those anticipated in these forward-looking statements as a result of several factors, including those set forth under the section of this report titled “Part II, Item 1A — Risk Factors” and elsewhere in this report.</w:t>
      </w:r>
    </w:p>
    <w:p>
      <w:pPr>
        <w:pStyle w:val="TextBody"/>
        <w:bidi w:val="0"/>
        <w:jc w:val="left"/>
        <w:rPr>
          <w:rFonts w:ascii="Times New Roman" w:hAnsi="Times New Roman"/>
          <w:b/>
          <w:color w:val="000000"/>
          <w:sz w:val="20"/>
        </w:rPr>
      </w:pPr>
      <w:r>
        <w:rPr>
          <w:rFonts w:ascii="Times New Roman" w:hAnsi="Times New Roman"/>
          <w:b/>
          <w:color w:val="000000"/>
          <w:sz w:val="20"/>
        </w:rPr>
        <w:t>Overview</w:t>
      </w:r>
    </w:p>
    <w:p>
      <w:pPr>
        <w:pStyle w:val="TextBody"/>
        <w:bidi w:val="0"/>
        <w:spacing w:before="120" w:after="283"/>
        <w:jc w:val="left"/>
        <w:rPr>
          <w:rFonts w:ascii="Times New Roman" w:hAnsi="Times New Roman"/>
          <w:sz w:val="20"/>
        </w:rPr>
      </w:pPr>
      <w:r>
        <w:rPr>
          <w:rFonts w:ascii="Times New Roman" w:hAnsi="Times New Roman"/>
          <w:color w:val="000000"/>
          <w:sz w:val="20"/>
        </w:rPr>
        <w:t>Kodiak Sciences (“we”, the “Company” or “Kodiak”) is a precommercial retina focused biotechnology company committed to researching, developing and commercializing transformative therapeutics. We are focused on bringing new science to the design and manufacture of next generation retinal medicines to prevent and treat the leading causes of blindness globally. Our ABC</w:t>
      </w:r>
      <w:r>
        <w:rPr>
          <w:rFonts w:ascii="Montserrat;sans-serif" w:hAnsi="Montserrat;sans-serif"/>
          <w:color w:val="000000"/>
          <w:sz w:val="13"/>
        </w:rPr>
        <w:t>®</w:t>
      </w:r>
      <w:r>
        <w:rPr>
          <w:rFonts w:ascii="Times New Roman" w:hAnsi="Times New Roman"/>
          <w:color w:val="000000"/>
          <w:sz w:val="20"/>
        </w:rPr>
        <w:t xml:space="preserve"> Platform uses molecular engineering to merge the fields of protein-based and chemistry-based therapies and has been at the core of Kodiak's discovery engine. We are developing a portfolio of three late-stage clinical programs, two of which are derived from our ABC</w:t>
      </w:r>
      <w:r>
        <w:rPr>
          <w:rFonts w:ascii="Montserrat;sans-serif" w:hAnsi="Montserrat;sans-serif"/>
          <w:color w:val="000000"/>
          <w:sz w:val="13"/>
        </w:rPr>
        <w:t>®</w:t>
      </w:r>
      <w:r>
        <w:rPr>
          <w:rFonts w:ascii="Times New Roman" w:hAnsi="Times New Roman"/>
          <w:color w:val="000000"/>
          <w:sz w:val="20"/>
        </w:rPr>
        <w:t xml:space="preserve"> Platform and one which is platform-independent.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Kodiak's lead investigational medicine, tarcocimab, is a novel anti-VEGF antibody biopolymer conjugate under development for the treatment of high prevalence retinal vascular diseases. Tarcocimab is being developed as a mainstay intravitreal biologic that provides high immediacy/efficacy and high durability. Tarcocimab is currently being studied in two Phase 3 clinical trials, GLOW2 in patients with diabetic retinopathy (“DR”) and DAYBREAK in patients with neovascular age-related macular degeneration (“wet AMD”). Both studies have completed enrollment. We intend to file a single Biologics License Application (“BLA”) in wet AMD, DR and retinal vein occlusion (“RVO”) in 2026.</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KSI-501, our second investigational medicine, is a first-in-class anti-IL-6, VEGF-trap bispecific therapy built on our ABC platform and is being developed for high prevalence retinal vascular diseases to address the leading unmet needs of extended durability and targeting disease biology beyond VEGF for differentiated efficacy. KSI-501 is designed to provide high immediacy/efficacy and high durability. KSI-501 is currently being studied in the Phase 3 DAYBREAK study in patients with wet AMD. DAYBREAK has completed enrollment.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KSI-101, our third investigational medicine, is a novel, potent and high strength (100 mg/mL) antibody-based therapy with a bispecific mechanism of action targeting both interleukin-6 (IL-6) and VEGF. We are developing KSI-101 for patients with macular edema (retinal fluid) secondary to inflammation (“MESI”). Data from our dose-finding Phase 1b APEX study showed meaningful vision gains are rapidly achieved as early as week 4 and showed continued improvement in best corrected visual acuity (BCVA) through week 20, with more than half of patients achieving improvement of 3-lines or more on the eye chart (≥15 letter gain). ≥90% of patients in the top two dose levels achieved and sustained real dryness of the retina. KSI-101 also continued to be well tolerated with a favorable safety profile. The top two dose levels in APEX have been advanced into the Phase 3 pivotal studies, PEAK and PINNACLE. The PEAK and PINNACLE studies are actively enrolling.</w:t>
      </w:r>
    </w:p>
    <w:p>
      <w:pPr>
        <w:pStyle w:val="TextBody"/>
        <w:bidi w:val="0"/>
        <w:spacing w:before="120" w:after="283"/>
        <w:jc w:val="left"/>
        <w:rPr>
          <w:rFonts w:ascii="Times New Roman" w:hAnsi="Times New Roman"/>
          <w:sz w:val="20"/>
        </w:rPr>
      </w:pPr>
      <w:r>
        <w:rPr>
          <w:rFonts w:ascii="Times New Roman" w:hAnsi="Times New Roman"/>
          <w:color w:val="000000"/>
          <w:sz w:val="20"/>
        </w:rPr>
        <w:t>With regards to our pipeline programs, dual cytokine-targeting bispecific antibody programs KSI-102 (anti-TNFa/IL-6) and KSI-103 (anti-IL-1/IL-6) continue to progress through pre-IND activities, targeting diseases of ocular inflammation. Retina duet programs in glaucoma and geographic atrophy built with ABC</w:t>
      </w:r>
      <w:r>
        <w:rPr>
          <w:rFonts w:ascii="Montserrat;sans-serif" w:hAnsi="Montserrat;sans-serif"/>
          <w:color w:val="000000"/>
          <w:sz w:val="13"/>
        </w:rPr>
        <w:t>®</w:t>
      </w:r>
      <w:r>
        <w:rPr>
          <w:rFonts w:ascii="Times New Roman" w:hAnsi="Times New Roman"/>
          <w:color w:val="000000"/>
          <w:sz w:val="20"/>
        </w:rPr>
        <w:t xml:space="preserve"> platform continue to progress.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VETi (Visual Engagement Technology and imager) program has achieved significant advancements in hardware, software and algorithms development. VETi is our AI- and machine-learning-enabled wearable headset with the potential to be used in a variety of ways to bolster our commercial retina franchise. Broader application of these advancements in the fields of identity security and cognitive science have been explored with promising and rapid development of functioning prototype devices. Kodiak's leadership at the intersection of retinal biology, optics and artificial intelligence continues to advance.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a dedicated commercial-scale drug substance manufacturing facility that was custom-designed and built in collaboration with Lonza. We believe these manufacturing capabilities could position us well for potential market share capture if tarcocimab and KSI-501 are approved.</w:t>
      </w:r>
    </w:p>
    <w:p>
      <w:pPr>
        <w:pStyle w:val="TextBody"/>
        <w:bidi w:val="0"/>
        <w:jc w:val="left"/>
        <w:rPr>
          <w:rFonts w:ascii="Times New Roman" w:hAnsi="Times New Roman"/>
          <w:b/>
          <w:color w:val="000000"/>
          <w:sz w:val="20"/>
        </w:rPr>
      </w:pPr>
      <w:r>
        <w:rPr>
          <w:rFonts w:ascii="Times New Roman" w:hAnsi="Times New Roman"/>
          <w:b/>
          <w:color w:val="000000"/>
          <w:sz w:val="20"/>
        </w:rPr>
        <w:t>Recent Updates</w:t>
      </w:r>
    </w:p>
    <w:p>
      <w:pPr>
        <w:pStyle w:val="TextBody"/>
        <w:bidi w:val="0"/>
        <w:spacing w:before="240" w:after="283"/>
        <w:jc w:val="left"/>
        <w:rPr>
          <w:rFonts w:ascii="Times New Roman" w:hAnsi="Times New Roman"/>
          <w:sz w:val="20"/>
        </w:rPr>
      </w:pPr>
      <w:r>
        <w:rPr>
          <w:rFonts w:ascii="Times New Roman" w:hAnsi="Times New Roman"/>
          <w:b/>
          <w:i/>
          <w:color w:val="000000"/>
          <w:sz w:val="20"/>
        </w:rPr>
        <w:t>Tarcocimab Clinical Program Update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Tarcocimab is an investigational anti-VEGF therapy built on Kodiak's proprietary Antibody Biopolymer Conjugate (“ABC”) Platform and is designed to maintain potent and effective drug levels in ocular tissues for longer than existing available agents.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color w:val="000000"/>
          <w:sz w:val="20"/>
        </w:rPr>
        <w:t>Tarcocimab is being developed as a mainstay intravitreal biologic monotherapy that provides high immediacy, driven by the enhanced formulation, and high durability, driven by the ABC</w:t>
      </w:r>
      <w:r>
        <w:rPr>
          <w:rFonts w:ascii="Montserrat;sans-serif" w:hAnsi="Montserrat;sans-serif"/>
          <w:color w:val="000000"/>
          <w:sz w:val="13"/>
        </w:rPr>
        <w:t>®</w:t>
      </w:r>
      <w:r>
        <w:rPr>
          <w:rFonts w:ascii="Times New Roman" w:hAnsi="Times New Roman"/>
          <w:color w:val="000000"/>
          <w:sz w:val="20"/>
        </w:rPr>
        <w:t xml:space="preserve"> platform and our science of durability, with the ultimate objective of providing, once approved, a flexible 1-month through 6-month label for all patients with retinal vascular disease (treatment-naïve, treatment-experienced, mild patients, severe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tarcocimab has completed three successful Phase 3 pivotal clinical studies: the Phase 3 GLOW1 study in DR, the Phase 3 BEACON study in RVO and the Phase 3 DAYLIGHT study in wet AMD. In the GLOW1 study, tarcocimab successfully treated DR patients and prevented disease progression with 100% of patients on extended 6-month dosing. In the BEACON study, in the first 6 months tarcocimab-treated patients were dosed on every 8-week interval (as opposed to every 4-week interval for aflibercept) and in the second 6 months nearly half of tarcocimab patients did not require any treatment while achieving similar vision and anatomical outcomes as the aflibercept group at one year. In the DAYLIGHT study, tarcocimab demonstrated non-inferior efficacy results and compelling safety and tolerability on a once monthly dosing interval.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Tarcocimab is currently being studied in two Phase 3 clinical trials, the GLOW2 study in DR and the DAYBREAK study in wet AMD. Both studies have completed enrollment. The GLOW2 study design mirrors that of our successful GLOW1 study in DR, with the advantage of a third monthly loading dose (baseline, Week 4, Week 8) to provide dosing flexibility to providers. All patients randomized to investigational therapy will receive tarcocimab on extended, 6-month dosing.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Both GLOW2 and DAYBREAK use tarcocimab's enhanced 50 mg/mL formulation containing both conjugated and unconjugated antibody that is intended to balance immediacy and durability.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anticipates to be in a position to announce topline data for the primary endpoint for GLOW2 in 1Q 2026 and for the primary endpoint for DAYBREAK in 3Q 2026. Kodiak plans to wait for DAYBREAK topline data expected 3Q 2026 in order to file a single BLA for tarcocimab in wet AMD, DR and RVO.</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About GLOW1 (complete) and GLOW2 (ongoing)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3 GLOW1 study demonstrated that with extended 6-month dosing in every patient, tarcocimab can achieve strong efficacy both in treating existing disease (primary endpoint) and preventing vision threatening complications and disease progression (key secondary endpoint). In GLOW1, tarcocimab met its primary endpoint of the proportion of patients with at least a 2-step improvement on the Diabetic Retinopathy Severity Scale (“DRSS”) score with 41.1% of tarcocimab-treated patients demonstrating at least a 2-step improvement vs. 1.4% of patients in the sham group, a 29-fold increased response rate ratio (p-value less than 0.0001). Tarcocimab also met all key secondary endpoints, including greater reductions in the proportion of patients developing sight-threatening complications (such as diabetic macular edema and proliferative diabetic retinopathy), versus sham, demonstrating an 89% decreased risk, achieving 21.0% versus 2.3% (p-value less than 0.0001). Tarcocimab also showed a 95% risk reduction in the development of DME, versus sham, from 13.7% on sham versus 0.7% on tarcocimab.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3 GLOW2 study is a prospective, randomized, double-masked, multi-center pivotal superiority study designed to evaluate the efficacy and safety of tarcocimab tedromer in treatment-naïve patients with DR. Patients are randomized 1:1 and receive either sham injections or tarcocimab via intravitreal injection at baseline, Week 4, Week 8, Week 20 and Week 44. The primary endpoint is the proportion of eyes improving ≥2 steps on DRSS from baseline at Week 48. Additional outcome measures include the proportion of eyes developing a sight threatening complication of diabetic retinopathy and the proportion of eyes improving ≥3 steps on DRSS from baseline at Week 48.</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March 10, 2025, Kodiak announced that GLOW2 completed enrollment, randomizing more than 250 patients. Kodiak expects to be in a position to announce topline data in 1Q 2026. </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About DAYBREAK and tarcocimab</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Phase 3 DAYBREAK study is a non-inferiority study evaluating parallel investigational arms of tarcocimab and KSI-501 against active comparator aflibercept. The DAYBREAK study incorporates learnings from prior pivotal trials of tarcocimab and was designed to maximize the probability of meeting the primary endpoint of non-inferiority in visual acuity gains. Patients randomized to tarcocimab will receive individualized dosing every 4 to 24 weeks on an as needed basis following four monthly loading doses. Patients randomized to aflibercept will be dosed per label. The individualized dosing of tarcocimab is determined by a treat-to-dryness proactive approach using presence of retinal fluid as a disease activity marker, which resembles retina specialists' practice and optimizes each patient's treatment instead of a combination of central subfield thickness and vision loss. The objectives for tarcocimab in DAYBREAK are to assess its durability potential, strengthen its competitive position in wet AMD and bolster the possible regulatory application package for the program. DAYBREAK was designed to showcase the potential for tarcocimab to be a mainstay biologic for VEGF-driven retinal vascular diseases with both a strong efficacy/immediacy (driven by its enhanced formulation) and a strong durability (driven by its ABC design and science of durability).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DAYBREAK has completed enrollment, and Kodiak anticipates to be in a position to announce topline data for the primary endpoint in 3Q 2026.</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KSI-501 Clinical Program Update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KSI-501 is an investigational anti-IL-6, VEGF-trap bispecific therapy built on the ABC</w:t>
      </w:r>
      <w:r>
        <w:rPr>
          <w:rFonts w:ascii="Montserrat;sans-serif" w:hAnsi="Montserrat;sans-serif"/>
          <w:color w:val="000000"/>
          <w:sz w:val="13"/>
        </w:rPr>
        <w:t>®</w:t>
      </w:r>
      <w:r>
        <w:rPr>
          <w:rFonts w:ascii="Times New Roman" w:hAnsi="Times New Roman"/>
          <w:color w:val="000000"/>
          <w:sz w:val="20"/>
        </w:rPr>
        <w:t xml:space="preserve"> platform and is being developed for high prevalence retinal vascular diseases to address the leading unmet needs of extended durability and targeting disease biology beyond VEGF for differentiated efficacy. KSI-501 is designed to provide high immediacy/efficacy, driven by the enhanced formulation, and high durability, driven by the ABC</w:t>
      </w:r>
      <w:r>
        <w:rPr>
          <w:rFonts w:ascii="Montserrat;sans-serif" w:hAnsi="Montserrat;sans-serif"/>
          <w:color w:val="000000"/>
          <w:sz w:val="13"/>
        </w:rPr>
        <w:t>®</w:t>
      </w:r>
      <w:r>
        <w:rPr>
          <w:rFonts w:ascii="Times New Roman" w:hAnsi="Times New Roman"/>
          <w:color w:val="000000"/>
          <w:sz w:val="20"/>
        </w:rPr>
        <w:t xml:space="preserve"> platform and our science of durability.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preclinical models, KSI-501 was shown to be a potent inhibitor of VEGF and IL-6 and, further, was shown to normalize the blood retinal barrier, opening up the possibility that KSI-501 may be a disease-modifying therapy for retinal vascular diseases. Furthermore, higher intraocular levels of IL-6 correlated with poorer BCVA outcomes over time in wet AMD patients treated with anti-VEGF monotherapy, which suggests that IL-6 inhibition in combination with anti-VEGF therapy could lead to improved outcomes.</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A completed Phase 1 multiple ascending dose study demonstrated that repeated monthly dosing of KSI-501 was well tolerated and achieved clinically meaningful and sustained improvement in visual acuity and fluid reduction in patients with diabetic macular edema. Kodiak has advanced KSI-501 into a Phase 3 study DAYBREAK to evaluate its efficacy and safety in wet AMD. DAYBREAK has completed enrollment. DAYBREAK uses KSI-501's enhanced 50 mg/mL formulation containing both conjugated and unconjugated antibody that is intended to balance immediacy and durability.</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About DAYBREAK and KSI-501</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DAYBREAK study is a non-inferiority study evaluating parallel investigational arms of KSI-501 and tarcocimab against active comparator aflibercept. Patients randomized to KSI-501 will receive fixed every 8-week dosing with additional individualized dosing (up to monthly dosing) on an as needed basis after 4 monthly loading doses. Patients randomized to aflibercept will be dosed per label. Using the same treat-to-dryness approach as tarcocimab, coupled with fixed intensive proactive dosing, our goal is to maximize both the probability of meeting the primary endpoint as well as the probability of demonstrating additional efficacy benefits. The primary endpoint is non-inferiority in change in visual acuity from baseline to the average of Week 40, 44 and 48. The objective for KSI-501 in DAYBREAK is to explore the efficacy potential of bispecific IL-6 and VEGF inhibition in a broad treatment-naïve wet AMD population.</w:t>
      </w:r>
    </w:p>
    <w:p>
      <w:pPr>
        <w:pStyle w:val="TextBody"/>
        <w:bidi w:val="0"/>
        <w:spacing w:before="80" w:after="283"/>
        <w:jc w:val="left"/>
        <w:rPr>
          <w:rFonts w:ascii="Times New Roman" w:hAnsi="Times New Roman"/>
          <w:color w:val="000000"/>
          <w:sz w:val="20"/>
        </w:rPr>
      </w:pPr>
      <w:r>
        <w:rPr>
          <w:rFonts w:ascii="Times New Roman" w:hAnsi="Times New Roman"/>
          <w:color w:val="000000"/>
          <w:sz w:val="20"/>
        </w:rPr>
        <w:t>DAYBREAK has completed enrollment, and Kodiak anticipates to be in a position to announce topline data for the primary endpoint in 3Q 2026.</w:t>
      </w:r>
    </w:p>
    <w:p>
      <w:pPr>
        <w:pStyle w:val="TextBody"/>
        <w:bidi w:val="0"/>
        <w:spacing w:before="120" w:after="283"/>
        <w:jc w:val="left"/>
        <w:rPr>
          <w:rFonts w:ascii="Times New Roman" w:hAnsi="Times New Roman"/>
          <w:sz w:val="20"/>
        </w:rPr>
      </w:pPr>
      <w:r>
        <w:rPr>
          <w:rFonts w:ascii="Times New Roman" w:hAnsi="Times New Roman"/>
          <w:b/>
          <w:i/>
          <w:color w:val="000000"/>
          <w:sz w:val="20"/>
        </w:rPr>
        <w:t>KSI-101 Clinical Program Update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KSI-101 is a novel, potent and high strength (100 mg/mL) bispecific protein targeting IL-6 and VEGF. We are developing KSI-101 for patients with macular edema (retinal fluid) secondary to inflammation (MESI). MESI is a heterogenous group of diseases that clinically present with macular edema and visual impairment which are caused by a common pathophysiology of inflammation and blood retinal barrier disruption. The clinical presentation of retinal fluid and visual impairment is a mainstay in these patients, irrespective of the location of the inflammation inside of the eye (anterior, intermediate, posterior or all intraocular compartments) or the specific etiology (defined autoimmune associated, idiopathic, post-procedural, or inflammatory choroidal neovascularization).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Currently there are no available intravitreal biologic therapies addressing the spectrum of MESI diseases. We believe that MESI represents a new market segment separate from the established anti-VEGF market.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completed enrollment in our dose-finding Phase 1b study APEX. The APEX study evaluates KSI-101 in two cohorts, Cohort 1 in patients with DME and Cohort 2 in patients with MESI. APEX demonstrated that KSI-101 provides meaningful visual and anatomical gains in both DME and MESI and that KSI-101 is well tolerated. Meaningful treatment responses were seen in the MESI population, irrespective of the location of inflammation and specific MESI etiology, opening up the potential for KSI-101 to become a unifying treatment for this patient population.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Based on APEX, the top two dose levels tested were selected to advance into the Phase 3 program. The PEAK and PINNACLE Phase 3 studies are actively enrolling MESI subjects at the 5 mg and 10 mg dose levels versus sham.</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About PEAK and PINNACLE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PEAK and PINNACLE studies are superiority studies evaluating two dose levels of KSI-101 (5 mg and 10 mg) compared to sham treatment in patients with MESI. PEAK and PINNACLE are identical in study design with key differences in patient population. PEAK includes patients with more severe disease (moderate to severe macular edema and vision impairment) and PINNACLE includes patients with milder disease (mild macular edema and any vision impairment), as well as patients with moderate to severe macular edema with good vision. Together, PEAK and PINNACLE are designed to enroll complementary patient populations and to cover a wide spectrum of MESI patients.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Patients randomized to the KSI-101 treatment arms will receive fixed monthly dosing for 6 doses (from Day 1 to Week 20), with subsequent individualized dosing (up to monthly dosing) for 6 additional visits (Week 24 to Week 44). Patients in the sham arm will receive monthly sham dosing for 6 doses followed by sham PRN. The primary and key secondary endpoints will be evaluated at Week 24. PEAK and PINNACLE are now actively enrolling patients.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Topline data readouts for PEAK and PINNACLE are expected in 4Q 2026 and 1Q 2027, respectively.</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Pipeline Programs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 regards to our pipeline programs, dual cytokine-targeting bispecific antibody programs KSI-102 (anti-TNFa/IL-6) and KSI-103 (anti-IL-1/IL-6) continue to progress through pre-IND activities, targeting diseases of ocular inflammation and following on our development activities with KSI-101 for the treatment of macular edema secondary to inflammation.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Kodiak is advancing its platform technology to embed small molecules and other active pharmaceutical ingredients (“API”) into Kodiak's proprietary biopolymer backbone to enable high drug-antibody-ratio (“DAR”) medicines. The diverse APIs are designed to be released over time to achieve targeted, multi-specific and tailored modulation of biological pathways. The unique combination of high DAR and tailored therapeutic benefit offers potential for broad application to multifactorial systemic and ocular diseases and builds directly from our Antibody Biopolymer Conjugate technology and its 15 years of design, development and manufacturing experience. We call this platform extension our Antibody Biopolymer Conjugate Drug (“ABCD”) Platform because we are extending our platform capabilities to include the conjugation of small molecule drugs whereas historically we primarily conjugated biologics such as antibodies.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One program is for the treatment of glaucoma, embedding in the biopolymer backbone (i) an NLRP3 small molecule inhibitor, and (ii) a second small molecule that lowers intraocular pressure (“IOP”). The NLRP3 inflammasome is an intracellular complex that drives inflammation and cell death and is known to play a key role in glaucoma progression. The goal of this duet program is to create an intravitreally injected therapy that delivers two mechanisms of action (“MOA”) in a sustained release fashion, to fulfill the unmet needs in the glaucoma field for a long-durability therapy that delivers MOAs beyond IOP lowering and has the potential for quarterly dosing.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second program is for the treatment of geographic atrophy (“GA”). There are two approved therapies, both complement inhibitors, and they require monthly or every other month intravitreal injections and neither sufficiently halts disease progression. This program at Kodiak explores the potential to embed in the biopolymer backbone (i) a macrocyclic peptide inhibitor of the complement pathway, and (ii) an NLRP3 small molecule inhibitor. The NLRP3 inflammasome is known to play a key role in AMD disease biology. The objective of this duet program is to create an intravitreally injected ABCD platform-enabled therapy with a dual mechanism of action to achieve better efficacy and extended durability, for quarterly dosing, as compared to currently approved therapies for GA, which are based on a single mechanism of action and are dosed monthly or every other month.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retina duet programs in glaucoma and geographic atrophy built with ABC platform continue to progress towards IND.</w:t>
      </w:r>
    </w:p>
    <w:p>
      <w:pPr>
        <w:pStyle w:val="TextBody"/>
        <w:bidi w:val="0"/>
        <w:spacing w:before="120" w:after="283"/>
        <w:jc w:val="left"/>
        <w:rPr>
          <w:rFonts w:ascii="Times New Roman" w:hAnsi="Times New Roman"/>
          <w:sz w:val="20"/>
        </w:rPr>
      </w:pPr>
      <w:r>
        <w:rPr>
          <w:rFonts w:ascii="Times New Roman" w:hAnsi="Times New Roman"/>
          <w:b/>
          <w:i/>
          <w:color w:val="000000"/>
          <w:sz w:val="20"/>
        </w:rPr>
        <w:t>Digital Health Platform Development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Kodiak also continues to advance its VETi (Visual Engagement Technology and imager) program. VETi is built on Kodiak’s suite of proprietary LiDAR (Light Detection and Ranging) sensor technologies. VETi is an autonomous AI- and machine-learning-enabled wearable headset that engages directly into the eye with the potential to be used in a variety of ways to bolster our commercial retina franchise.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VETi program has achieved significant advancements in hardware, software and algorithms development. Broader application of these advancements in the fields of identity security and cognitive science have been explored with promising and rapid development of functioning prototype devices. Kodiak's leadership at the intersection of retinal biology, optics and artificial intelligence continues to advance.</w:t>
      </w:r>
    </w:p>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0"/>
        </w:rPr>
        <w:t>Components of Operating Results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Substantially all of our research and development expenses consist of expenses incurred in connection with the development of our product candidates and ABC Platform. These expenses include certain payroll and personnel expenses, including stock-based compensation, for our research and product development employees; laboratory supplies and facility costs; consulting costs; fees paid to third-party vendors to conduct certain research and development activities on our behalf; and allocated overhead, including rent, depreciation and utilities. We expense both internal and external research and development expenses as they are incurred. Costs of certain activities, such as manufacturing and preclinical and clinical studies, are generally recognized based on an evaluation of the progress to completion of specific tasks. Payments made prior to the receipt of goods or services that will be used or rendered for future research and development activities are deferred and capitalized. The capitalized amounts are recognized as expense as the goods are delivered or the related services are performed.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focusing substantially all of our resources and development efforts on the development of our product candidates. Predicting the timing or the final cost to complete our clinical program or validation of our commercial manufacturing and supply processes is difficult and delays may occur because of many factors, including factors outside of our control. For example, if the FDA or other regulatory authorities were to require us to conduct clinical trials beyond those that we currently anticipate, or if we experience significant delays in enrollment in any of our clinical trials, we could be required to expend significant additional financial resources and time on the completion of clinical development. Furthermore, we are unable to predict when or if our drug candidates will receive regulatory approval with any certainty. </w:t>
      </w:r>
    </w:p>
    <w:p>
      <w:pPr>
        <w:pStyle w:val="TextBody"/>
        <w:bidi w:val="0"/>
        <w:spacing w:before="240" w:after="283"/>
        <w:jc w:val="left"/>
        <w:rPr>
          <w:rFonts w:ascii="Times New Roman" w:hAnsi="Times New Roman"/>
          <w:sz w:val="20"/>
        </w:rPr>
      </w:pPr>
      <w:r>
        <w:rPr>
          <w:rFonts w:ascii="Times New Roman" w:hAnsi="Times New Roman"/>
          <w:i/>
          <w:color w:val="000000"/>
          <w:sz w:val="20"/>
        </w:rPr>
        <w:t>General and Administrative Expenses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consist principally of payroll and personnel expenses, including stock-based compensation; professional fees for legal, consulting, accounting and tax services; compliance costs associated with being a public company; allocated overhead, including rent, depreciation and utilities; and other general operating expenses not otherwise classified as research and development expenses.</w:t>
      </w:r>
    </w:p>
    <w:p>
      <w:pPr>
        <w:pStyle w:val="TextBody"/>
        <w:bidi w:val="0"/>
        <w:spacing w:before="240" w:after="283"/>
        <w:jc w:val="left"/>
        <w:rPr>
          <w:rFonts w:ascii="Times New Roman" w:hAnsi="Times New Roman"/>
          <w:sz w:val="20"/>
        </w:rPr>
      </w:pPr>
      <w:r>
        <w:rPr>
          <w:rFonts w:ascii="Times New Roman" w:hAnsi="Times New Roman"/>
          <w:i/>
          <w:color w:val="000000"/>
          <w:sz w:val="20"/>
        </w:rPr>
        <w:t>Interest Income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Interest income consists primarily of interest income earned on our cash and cash equivalents.</w:t>
      </w:r>
    </w:p>
    <w:p>
      <w:pPr>
        <w:pStyle w:val="TextBody"/>
        <w:bidi w:val="0"/>
        <w:spacing w:before="240" w:after="283"/>
        <w:jc w:val="left"/>
        <w:rPr>
          <w:rFonts w:ascii="Times New Roman" w:hAnsi="Times New Roman"/>
          <w:sz w:val="20"/>
        </w:rPr>
      </w:pPr>
      <w:r>
        <w:rPr>
          <w:rFonts w:ascii="Times New Roman" w:hAnsi="Times New Roman"/>
          <w:i/>
          <w:color w:val="000000"/>
          <w:sz w:val="20"/>
        </w:rPr>
        <w:t>Other Expense, Net</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expense, net consists primarily of tax expense and, in prior year periods, the change in fair value and settlement of derivative contracts.</w:t>
      </w:r>
    </w:p>
    <w:p>
      <w:pPr>
        <w:pStyle w:val="TextBody"/>
        <w:bidi w:val="0"/>
        <w:spacing w:before="240" w:after="283"/>
        <w:jc w:val="left"/>
        <w:rPr>
          <w:rFonts w:ascii="Times New Roman" w:hAnsi="Times New Roman"/>
          <w:sz w:val="20"/>
        </w:rPr>
      </w:pPr>
      <w:r>
        <w:rPr>
          <w:rFonts w:ascii="Times New Roman" w:hAnsi="Times New Roman"/>
          <w:b/>
          <w:color w:val="000000"/>
          <w:sz w:val="20"/>
        </w:rPr>
        <w:t>Results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following table summarizes the results of our operations for the periods indicated, in thousands: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296"/>
        <w:gridCol w:w="146"/>
        <w:gridCol w:w="211"/>
        <w:gridCol w:w="736"/>
        <w:gridCol w:w="166"/>
        <w:gridCol w:w="146"/>
        <w:gridCol w:w="211"/>
        <w:gridCol w:w="736"/>
        <w:gridCol w:w="166"/>
        <w:gridCol w:w="146"/>
        <w:gridCol w:w="211"/>
        <w:gridCol w:w="736"/>
        <w:gridCol w:w="166"/>
        <w:gridCol w:w="146"/>
        <w:gridCol w:w="211"/>
        <w:gridCol w:w="841"/>
        <w:gridCol w:w="166"/>
        <w:gridCol w:w="146"/>
        <w:gridCol w:w="211"/>
        <w:gridCol w:w="841"/>
        <w:gridCol w:w="166"/>
        <w:gridCol w:w="146"/>
        <w:gridCol w:w="211"/>
        <w:gridCol w:w="736"/>
        <w:gridCol w:w="311"/>
      </w:tblGrid>
      <w:tr>
        <w:trPr/>
        <w:tc>
          <w:tcPr>
            <w:tcW w:w="22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0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  September 30,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42,557</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11,876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(2,878</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40,055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46,347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(6,292</w:t>
            </w:r>
          </w:p>
        </w:tc>
        <w:tc>
          <w:tcPr>
            <w:tcW w:w="3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(62,352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(46,632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(15,720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(176,935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(140,670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(36,265</w:t>
            </w:r>
          </w:p>
        </w:tc>
        <w:tc>
          <w:tcPr>
            <w:tcW w:w="31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(1,794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(5,258</w:t>
            </w:r>
          </w:p>
        </w:tc>
        <w:tc>
          <w:tcPr>
            <w:tcW w:w="31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2296"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Other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394</w:t>
            </w:r>
          </w:p>
        </w:tc>
        <w:tc>
          <w:tcPr>
            <w:tcW w:w="3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2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(61,457</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(43,946</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(17,511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(173,231</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(132,102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(41,129</w:t>
            </w:r>
          </w:p>
        </w:tc>
        <w:tc>
          <w:tcPr>
            <w:tcW w:w="3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i/>
          <w:color w:val="000000"/>
          <w:sz w:val="20"/>
        </w:rPr>
        <w:t>Research and Development Expenses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The following table summarizes our research and development expenses for the periods indicated, in thousands:</w:t>
      </w:r>
    </w:p>
    <w:p>
      <w:pPr>
        <w:pStyle w:val="TextBody"/>
        <w:bidi w:val="0"/>
        <w:jc w:val="left"/>
        <w:rPr/>
      </w:pPr>
      <w:r>
        <w:rPr/>
        <w:t> </w:t>
      </w:r>
    </w:p>
    <w:tbl>
      <w:tblPr>
        <w:tblW w:w="10185" w:type="dxa"/>
        <w:jc w:val="left"/>
        <w:tblInd w:w="0" w:type="dxa"/>
        <w:tblLayout w:type="fixed"/>
        <w:tblCellMar>
          <w:top w:w="28" w:type="dxa"/>
          <w:left w:w="28" w:type="dxa"/>
          <w:bottom w:w="28" w:type="dxa"/>
          <w:right w:w="28" w:type="dxa"/>
        </w:tblCellMar>
      </w:tblPr>
      <w:tblGrid>
        <w:gridCol w:w="2941"/>
        <w:gridCol w:w="146"/>
        <w:gridCol w:w="211"/>
        <w:gridCol w:w="676"/>
        <w:gridCol w:w="146"/>
        <w:gridCol w:w="146"/>
        <w:gridCol w:w="211"/>
        <w:gridCol w:w="676"/>
        <w:gridCol w:w="146"/>
        <w:gridCol w:w="146"/>
        <w:gridCol w:w="211"/>
        <w:gridCol w:w="676"/>
        <w:gridCol w:w="166"/>
        <w:gridCol w:w="146"/>
        <w:gridCol w:w="211"/>
        <w:gridCol w:w="781"/>
        <w:gridCol w:w="146"/>
        <w:gridCol w:w="146"/>
        <w:gridCol w:w="211"/>
        <w:gridCol w:w="676"/>
        <w:gridCol w:w="146"/>
        <w:gridCol w:w="146"/>
        <w:gridCol w:w="211"/>
        <w:gridCol w:w="676"/>
        <w:gridCol w:w="191"/>
      </w:tblGrid>
      <w:tr>
        <w:trPr/>
        <w:tc>
          <w:tcPr>
            <w:tcW w:w="2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06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Three Months Ended </w:t>
              <w:br/>
              <w:t>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7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xml:space="preserve">Nine Months Ended </w:t>
              <w:br/>
              <w:t>  September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87"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8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Change</w:t>
            </w:r>
          </w:p>
        </w:tc>
        <w:tc>
          <w:tcPr>
            <w:tcW w:w="1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Tarcocimab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15,570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9,361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6,209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41,732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24,487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17,245</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KSI-501 and KSI-101 program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8,969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6,684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18,495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12,909</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ABC Platform and other </w:t>
              <w:br/>
              <w:t>   program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7,496</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19,562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8,784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10,778</w:t>
            </w:r>
          </w:p>
        </w:tc>
        <w:tc>
          <w:tcPr>
            <w:tcW w:w="1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Payroll and personnel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13,609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11,563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2,046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41,988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40,414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7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1,574</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Facilities and other research and </w:t>
              <w:br/>
              <w:t>   development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5,586</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15,103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15,052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w:t>
            </w:r>
          </w:p>
        </w:tc>
        <w:tc>
          <w:tcPr>
            <w:tcW w:w="1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294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 xml:space="preserve">Total research and development </w:t>
              <w:br/>
              <w:t>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50,476</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31,878</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18,598</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136,880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94,323</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7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42,557</w:t>
            </w:r>
          </w:p>
        </w:tc>
        <w:tc>
          <w:tcPr>
            <w:tcW w:w="1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Tarcocimab program expenses increased $6.2 million and $17.2 million during the three and nine months ended September 30, 2025, as compared to the same periods in 2024, primarily driven by increased expenses related to the ongoing DAYBREAK pivotal phase 3 clinical trial and increased tarcocimab manufacturing activities in preparation for a BLA filing.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KSI-501 and KSI-101 program expenses increased $6.7 million and $12.9 million during the three and nine months ended September 30, 2025, as compared to the same periods in 2024, due to expanding clinical activities for the DAYBREAK, PEAK/PINNACLE, and APEX studies, partially offset by reduced manufacturing expenses due to timing of production runs.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ABC Platform and other program expenses increased $4.4 million and $10.8 million during the three and nine months ended September 30, 2025, as compared to the same periods in 2024, primarily due to increased biopolymer manufacturing activities in the current year.</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Payroll and personnel expenses increased $2.0 million and $1.6 million during the three and nine months ended September 30, 2025, as compared to the same periods in 2024, primarily due to increased headcount, partially offset by lower stock compensation expense.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Facilities and other research and development expenses decreased $0.8 million during the three months ended September 30, 2025, as compared to the same period in 2024, due to a reduction in the amount of rent expense allocated to R&amp;D following the sublease of one of our corporate office buildings. Facilities and other research and development expenses were relatively flat during the nine months ended September 30, 2025, as compared to the same period in 2024, due to the aforementioned reduction in rent expense offset by currency fluctuations in the revaluation of our lease obligations.</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General and Administrative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and administrative expenses decreased $2.9 million during the three months ended September 30, 2025, as compared to the same period in 2024, due to lower stock compensation expense and lower net rent expense after subleasing one of our corporate office buildings. The decrease in general and administrative expenses of $6.3 million during the nine months ended September 30, 2025, as compared to the same period in 2024, was driven by the same factors partially offset by a non-cash $1.9 million lease impairment expense recorded in the first quarter of 2025 also related to the sublease.</w:t>
      </w:r>
    </w:p>
    <w:p>
      <w:pPr>
        <w:pStyle w:val="TextBody"/>
        <w:bidi w:val="0"/>
        <w:spacing w:before="240" w:after="283"/>
        <w:jc w:val="left"/>
        <w:rPr>
          <w:rFonts w:ascii="Times New Roman" w:hAnsi="Times New Roman"/>
          <w:sz w:val="20"/>
        </w:rPr>
      </w:pPr>
      <w:r>
        <w:rPr>
          <w:rFonts w:ascii="Times New Roman" w:hAnsi="Times New Roman"/>
          <w:b/>
          <w:color w:val="000000"/>
          <w:sz w:val="20"/>
        </w:rPr>
        <w:t>Liquidity and Capital Resources; Plan of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Sources of Liquidity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funded our operations primarily through the issuance of common stock and the sale of future royalties. As of September 30, 2025, we had cash and cash equivalents of $72.0 million. We believe that our current cash and cash equivalents will be sufficient to support our current and planned operations into 2026.</w:t>
      </w:r>
    </w:p>
    <w:p>
      <w:pPr>
        <w:pStyle w:val="TextBody"/>
        <w:bidi w:val="0"/>
        <w:spacing w:before="240" w:after="283"/>
        <w:jc w:val="left"/>
        <w:rPr>
          <w:rFonts w:ascii="Times New Roman" w:hAnsi="Times New Roman"/>
          <w:sz w:val="20"/>
        </w:rPr>
      </w:pPr>
      <w:r>
        <w:rPr>
          <w:rFonts w:ascii="Times New Roman" w:hAnsi="Times New Roman"/>
          <w:b/>
          <w:i/>
          <w:color w:val="000000"/>
          <w:sz w:val="20"/>
        </w:rPr>
        <w:t>Future Funding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incurred net losses and negative cash flows from operations since inception. As of September 30, 2025, we had an accumulated deficit of $1,502 million. We expect to continue to incur operating losses and negative operating cash flows for the foreseeable future and as a result, there is substantial doubt regarding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plan to raise additional capital to maintain current operations and to continue research and development activities. If we raise additional funds by issuing equity securities, our stockholders may experience dilution. Any future debt financing into which we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enter may impose upon us covenants that restrict our operations, including limitations on our ability to incur liens or debt, pay dividends, repurchase our common stock, make certain investments and engage in certain merger, consolidation or asset sale transactions. Any debt financing or additional equity that we raise may contain terms that are not favorable to us or our stockholders. If we are unable to raise additional funds when needed, we may be required to pause, scale back or discontinue one or more of our development programs. We may also be required to sell or license rights to our product candidates or indications in certain territories to others that we would prefer to develop and commercialize ourselves. Adequate additional funding may not be available to us on acceptable terms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failure to raise capital as and when needed could have a negative impact on our financial condition and our ability to pursue our business strategies. Refer to the section of this report titled “Part I, Item 1A — Risk Factors” for additional risks associated with our substantial capital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To date, we have not generated any product revenue. We do not expect to generate any product revenue unless and until we obtain regulatory approval of and commercialize any of our product candidates or enter into collaborative agreements with third parties, and we do not know when, or if, either will occur. We expect to continue to incur significant losses for the foreseeable future, and we expect our losses to increase as we continue the development of, and seek regulatory approvals for, our product candidates, and begin to commercialize any approved products. We are subject to all of the risks typically related to the development of new product candidates, and we may encounter unforeseen expenses, difficulties, complications, delays and other unknown factors that may adversely affect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timing and amount of our operating expenditures and capital requirements will depend on many factors, including:</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scope, timing, rate of progress and costs of our drug discovery, preclinical development activities, laboratory testing and clinical trials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number and scope of clinical programs we decide to pursue;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scope and costs of manufacturing development and commercial manufacturing activities;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timing and outcome of regulatory review of our product candidates;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 and timing associated with commercializing our product candidates, if they receive marketing approval;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of preparing, filing and prosecuting patent applications, maintaining and enforcing our intellectual property rights and defending intellectual property-related claims;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we acquire or in-license other product candidates and technologies;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ability to establish and maintain collaborations on favorable terms, if at all;</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efforts to enhance operational systems and our ability to attract, hire and retain qualified personnel, including personnel to support the development of our product candidates;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costs associated with being a public company.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change in the outcome of any of these or other variables with respect to the development of any of our product candidates could significantly change the costs and timing associated with the development of that product candidate. Furthermore, our operating plans may change in the future, and we will continue to require additional capital to meet operational needs and capital requirements associated with such operating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Also, the significant uncertainties caused by any public health crises, on-going geopolitical conflicts, inflation, tariffs, rising interest rates, bank failures, on-going supply chain disruptions and volatile equity capital markets may also negatively impact our operations and capital resources. We and our key clinical and manufacturing partners have been able to continue to advance our operations, and we continue to monitor the impact of the aforementioned events on our ability to continue the development of, and seek regulatory approvals for, our product candidates, and begin to commercialize any approved products. One or more of these events may ultimately have a material adverse effect on our liquidity and operating plans.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based our estimates on assumptions that may prove to be wrong, and we could deplete our available capital resources sooner than we expect. Because of the risks and uncertainties associated with research, development and commercialization of product candidates, we are unable to estimate the exact amount of our working capital requirements. Our future funding requirements will depend on and could increase significantly as a result of many factors.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Summary Statement of Cash Flows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following table sets forth the primary sources and uses of cash for each of the periods presented below, in thousands: </w:t>
      </w:r>
    </w:p>
    <w:p>
      <w:pPr>
        <w:pStyle w:val="TextBody"/>
        <w:bidi w:val="0"/>
        <w:jc w:val="left"/>
        <w:rPr/>
      </w:pPr>
      <w:r>
        <w:rPr/>
        <w:t> </w:t>
      </w:r>
    </w:p>
    <w:tbl>
      <w:tblPr>
        <w:tblW w:w="8477" w:type="dxa"/>
        <w:jc w:val="left"/>
        <w:tblInd w:w="0" w:type="dxa"/>
        <w:tblLayout w:type="fixed"/>
        <w:tblCellMar>
          <w:top w:w="28" w:type="dxa"/>
          <w:left w:w="28" w:type="dxa"/>
          <w:bottom w:w="28" w:type="dxa"/>
          <w:right w:w="28" w:type="dxa"/>
        </w:tblCellMar>
      </w:tblPr>
      <w:tblGrid>
        <w:gridCol w:w="4941"/>
        <w:gridCol w:w="146"/>
        <w:gridCol w:w="287"/>
        <w:gridCol w:w="1001"/>
        <w:gridCol w:w="225"/>
        <w:gridCol w:w="198"/>
        <w:gridCol w:w="287"/>
        <w:gridCol w:w="1001"/>
        <w:gridCol w:w="391"/>
      </w:tblGrid>
      <w:tr>
        <w:trPr/>
        <w:tc>
          <w:tcPr>
            <w:tcW w:w="494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999"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Nine Months Ended September 30,</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88"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2024</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cash provided by (used in):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88"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right"/>
              <w:rPr/>
            </w:pPr>
            <w:r>
              <w:rPr/>
              <w:t> </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Operating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(96,630</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(87,249</w:t>
            </w:r>
          </w:p>
        </w:tc>
        <w:tc>
          <w:tcPr>
            <w:tcW w:w="39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Investing activities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(463</w:t>
            </w:r>
          </w:p>
        </w:tc>
        <w:tc>
          <w:tcPr>
            <w:tcW w:w="22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0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(631</w:t>
            </w:r>
          </w:p>
        </w:tc>
        <w:tc>
          <w:tcPr>
            <w:tcW w:w="391" w:type="dxa"/>
            <w:tcBorders/>
            <w:shd w:fill="CFF0FC"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w:t>
            </w:r>
          </w:p>
        </w:tc>
      </w:tr>
      <w:tr>
        <w:trPr/>
        <w:tc>
          <w:tcPr>
            <w:tcW w:w="4941" w:type="dxa"/>
            <w:tcBorders/>
            <w:shd w:fill="FFFFFF" w:val="clear"/>
            <w:tcMar>
              <w:top w:w="0" w:type="dxa"/>
              <w:left w:w="0" w:type="dxa"/>
              <w:bottom w:w="0" w:type="dxa"/>
              <w:right w:w="0" w:type="dxa"/>
            </w:tcMar>
            <w:vAlign w:val="center"/>
          </w:tcPr>
          <w:p>
            <w:pPr>
              <w:pStyle w:val="TableContents"/>
              <w:bidi w:val="0"/>
              <w:spacing w:before="0" w:after="283"/>
              <w:ind w:left="0" w:right="0" w:firstLine="100"/>
              <w:jc w:val="left"/>
              <w:rPr>
                <w:rFonts w:ascii="Times New Roman" w:hAnsi="Times New Roman"/>
                <w:color w:val="000000"/>
                <w:sz w:val="20"/>
              </w:rPr>
            </w:pPr>
            <w:r>
              <w:rPr>
                <w:rFonts w:ascii="Times New Roman" w:hAnsi="Times New Roman"/>
                <w:color w:val="000000"/>
                <w:sz w:val="20"/>
              </w:rPr>
              <w:t>Financing activities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1,057</w:t>
            </w:r>
          </w:p>
        </w:tc>
        <w:tc>
          <w:tcPr>
            <w:tcW w:w="225"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00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w:t>
            </w:r>
          </w:p>
        </w:tc>
        <w:tc>
          <w:tcPr>
            <w:tcW w:w="3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200"/>
              <w:jc w:val="left"/>
              <w:rPr/>
            </w:pPr>
            <w:r>
              <w:rPr/>
              <w:t> </w:t>
            </w:r>
          </w:p>
        </w:tc>
      </w:tr>
      <w:tr>
        <w:trPr/>
        <w:tc>
          <w:tcPr>
            <w:tcW w:w="494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Net decrease in cash, cash equivalents and 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(96,036</w:t>
            </w:r>
          </w:p>
        </w:tc>
        <w:tc>
          <w:tcPr>
            <w:tcW w:w="225"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9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8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00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(87,783</w:t>
            </w:r>
          </w:p>
        </w:tc>
        <w:tc>
          <w:tcPr>
            <w:tcW w:w="3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Cash Flows from Operating Activities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Net cash used in operating activities was $96.6 million for the nine months ended September 30, 2025, based on operational spend of $105.9 million, partially offset by changes in operating assets and liabilities of $9.3 million.</w:t>
      </w:r>
    </w:p>
    <w:p>
      <w:pPr>
        <w:pStyle w:val="TextBody"/>
        <w:bidi w:val="0"/>
        <w:spacing w:before="240" w:after="283"/>
        <w:jc w:val="left"/>
        <w:rPr>
          <w:rFonts w:ascii="Times New Roman" w:hAnsi="Times New Roman"/>
          <w:sz w:val="20"/>
        </w:rPr>
      </w:pPr>
      <w:r>
        <w:rPr>
          <w:rFonts w:ascii="Times New Roman" w:hAnsi="Times New Roman"/>
          <w:b/>
          <w:color w:val="000000"/>
          <w:sz w:val="20"/>
        </w:rPr>
        <w:t>Contractual Obligations and Commitments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disclosure of our contractual obligations and commitments is set forth under the heading “Management’s Discussion and Analysis of Financial Condition and Results of Operations — Material Cash Requirements and Material Known Contractual Obligations and Commitments” in our Annual Report on Form 10-K for the year ended December 31, 2024, which was filed with the SEC on March 27, 2025. There have been no material changes in our contractual obligations and commitments since December 31, 2024, except as otherwise described in Note 5 to our condensed consolidated financial statements included in this report.</w:t>
      </w:r>
    </w:p>
    <w:p>
      <w:pPr>
        <w:pStyle w:val="TextBody"/>
        <w:bidi w:val="0"/>
        <w:spacing w:before="240" w:after="283"/>
        <w:jc w:val="left"/>
        <w:rPr>
          <w:rFonts w:ascii="Times New Roman" w:hAnsi="Times New Roman"/>
          <w:sz w:val="20"/>
        </w:rPr>
      </w:pPr>
      <w:r>
        <w:rPr>
          <w:rFonts w:ascii="Times New Roman" w:hAnsi="Times New Roman"/>
          <w:b/>
          <w:color w:val="000000"/>
          <w:sz w:val="20"/>
        </w:rPr>
        <w:t>Critical Accounting Policies, Significant Judgments and Use of Estimates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condensed consolidated financial statements have been prepared in accordance with U.S. generally accepted accounting principles, or GAAP. The preparation of these condensed consolidated financial statements requires us to make estimates and assumptions that affect the reported amounts of assets and liabilities, the disclosure of contingent assets and liabilities at the date of the consolidated financial statements, as well as the reported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We believe that the accounting policies discussed below are critical to understanding our historical and future performance, as these policies relate to the more significant areas involving management’s judgments and estimates.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During the nine months ended September 30, 2025, there were no material changes to our critical accounting policies as reported in our Annual Report on Form 10-K for the year ended December 31, 2024, which was filed with the SEC on March 27, 2025, except as otherwise described in Note 2 to our condensed consolidated financial statements included in this report.</w:t>
      </w:r>
    </w:p>
    <w:p>
      <w:pPr>
        <w:pStyle w:val="TextBody"/>
        <w:bidi w:val="0"/>
        <w:spacing w:before="240" w:after="283"/>
        <w:jc w:val="left"/>
        <w:rPr>
          <w:rFonts w:ascii="Times New Roman" w:hAnsi="Times New Roman"/>
          <w:sz w:val="20"/>
        </w:rPr>
      </w:pPr>
      <w:r>
        <w:rPr>
          <w:rFonts w:ascii="Times New Roman" w:hAnsi="Times New Roman"/>
          <w:b/>
          <w:color w:val="000000"/>
          <w:sz w:val="20"/>
        </w:rPr>
        <w:t>Recent Accounting Pronouncements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description of recently issued accounting pronouncements that may potentially impact our financial position and results of operations is discussed under Note 2 to our condensed consolidated financial statements included in this report.</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1" w:name="i_item3"/>
      <w:bookmarkEnd w:id="11"/>
      <w:r>
        <w:rPr>
          <w:rFonts w:ascii="Times New Roman" w:hAnsi="Times New Roman"/>
          <w:b/>
          <w:color w:val="000000"/>
          <w:sz w:val="20"/>
        </w:rPr>
        <w:t>Item 3. Quantitative and Qualitati</w:t>
      </w:r>
      <w:bookmarkStart w:id="12" w:name="item_3_quantitative_qualitative_disclosu"/>
      <w:bookmarkEnd w:id="12"/>
      <w:r>
        <w:rPr>
          <w:rFonts w:ascii="Times New Roman" w:hAnsi="Times New Roman"/>
          <w:b/>
          <w:color w:val="000000"/>
          <w:sz w:val="20"/>
        </w:rPr>
        <w:t>ve Disclosures About Market Risk.</w:t>
      </w:r>
    </w:p>
    <w:p>
      <w:pPr>
        <w:pStyle w:val="TextBody"/>
        <w:bidi w:val="0"/>
        <w:spacing w:before="120" w:after="283"/>
        <w:jc w:val="left"/>
        <w:rPr>
          <w:rFonts w:ascii="Times New Roman" w:hAnsi="Times New Roman"/>
          <w:color w:val="000000"/>
          <w:sz w:val="20"/>
        </w:rPr>
      </w:pPr>
      <w:bookmarkStart w:id="13" w:name="s161692780"/>
      <w:bookmarkEnd w:id="13"/>
      <w:r>
        <w:rPr>
          <w:rFonts w:ascii="Times New Roman" w:hAnsi="Times New Roman"/>
          <w:color w:val="000000"/>
          <w:sz w:val="20"/>
        </w:rPr>
        <w:t>As a “smaller reporting company,” as defined by Rule 12b-2 of the Exchange Act, and pursuant to Item 305 of Regulation S-K we are not required to provide quantitative and qualitative disclosures about market risk.</w:t>
      </w:r>
    </w:p>
    <w:p>
      <w:pPr>
        <w:pStyle w:val="TextBody"/>
        <w:bidi w:val="0"/>
        <w:spacing w:before="240" w:after="283"/>
        <w:jc w:val="left"/>
        <w:rPr>
          <w:rFonts w:ascii="Times New Roman" w:hAnsi="Times New Roman"/>
          <w:sz w:val="20"/>
        </w:rPr>
      </w:pPr>
      <w:bookmarkStart w:id="14" w:name="item_4_controls_procedures"/>
      <w:bookmarkEnd w:id="14"/>
      <w:r>
        <w:rPr>
          <w:rFonts w:ascii="Times New Roman" w:hAnsi="Times New Roman"/>
          <w:b/>
          <w:color w:val="000000"/>
          <w:sz w:val="20"/>
        </w:rPr>
        <w:t>Item 4. Controls</w:t>
      </w:r>
      <w:r>
        <w:rPr>
          <w:rFonts w:ascii="Times New Roman" w:hAnsi="Times New Roman"/>
          <w:color w:val="000000"/>
          <w:sz w:val="20"/>
        </w:rPr>
        <w:t xml:space="preserve"> </w:t>
      </w:r>
      <w:r>
        <w:rPr>
          <w:rFonts w:ascii="Times New Roman" w:hAnsi="Times New Roman"/>
          <w:b/>
          <w:color w:val="000000"/>
          <w:sz w:val="20"/>
        </w:rPr>
        <w:t>and Procedures.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Management’s Evaluation of our Disclosure Controls and Procedures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Any controls and procedures, no matter how well designed and operated, can provide only reasonable assurance of achieving the desired control objectives and management necessarily applies its judgment in evaluating the cost-benefit relationship of possible controls and procedures. Our management, with the participation of our principal executive officer and principal financial officer, evaluated the effectiveness of the Company’s disclosure controls and procedures as of September 30, 2025. Based upon such evaluation, our principal executive officer and principal financial officer concluded that the design and operation of our disclosure controls and procedures were effective at a reasonable assurance level as of September 30, 2025.</w:t>
      </w:r>
    </w:p>
    <w:p>
      <w:pPr>
        <w:pStyle w:val="TextBody"/>
        <w:bidi w:val="0"/>
        <w:spacing w:before="240" w:after="283"/>
        <w:jc w:val="left"/>
        <w:rPr>
          <w:rFonts w:ascii="Times New Roman" w:hAnsi="Times New Roman"/>
          <w:i/>
          <w:color w:val="000000"/>
          <w:sz w:val="20"/>
        </w:rPr>
      </w:pPr>
      <w:r>
        <w:rPr>
          <w:rFonts w:ascii="Times New Roman" w:hAnsi="Times New Roman"/>
          <w:i/>
          <w:color w:val="000000"/>
          <w:sz w:val="20"/>
        </w:rPr>
        <w:t>Changes in Internal Control over Financial Reporting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has been no change in our internal control over financial reporting during the quarter ended September 30, 2025, that has materially affected, or is reasonably likely to materially affect, our internal control over financial reporting.</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15" w:name="i_item4t"/>
      <w:bookmarkEnd w:id="15"/>
      <w:r>
        <w:rPr>
          <w:rFonts w:ascii="Times New Roman" w:hAnsi="Times New Roman"/>
          <w:b/>
          <w:color w:val="000000"/>
          <w:sz w:val="20"/>
        </w:rPr>
        <w:t>PART II—OTHER</w:t>
      </w:r>
      <w:bookmarkStart w:id="16" w:name="part_iior_information"/>
      <w:bookmarkEnd w:id="16"/>
      <w:r>
        <w:rPr>
          <w:rFonts w:ascii="Times New Roman" w:hAnsi="Times New Roman"/>
          <w:color w:val="000000"/>
          <w:sz w:val="20"/>
        </w:rPr>
        <w:t xml:space="preserve"> </w:t>
      </w:r>
      <w:r>
        <w:rPr>
          <w:rFonts w:ascii="Times New Roman" w:hAnsi="Times New Roman"/>
          <w:b/>
          <w:color w:val="000000"/>
          <w:sz w:val="20"/>
        </w:rPr>
        <w:t>INFORMATION</w:t>
      </w:r>
    </w:p>
    <w:p>
      <w:pPr>
        <w:pStyle w:val="TextBody"/>
        <w:bidi w:val="0"/>
        <w:spacing w:before="240" w:after="283"/>
        <w:jc w:val="left"/>
        <w:rPr>
          <w:rFonts w:ascii="Times New Roman" w:hAnsi="Times New Roman"/>
          <w:b/>
          <w:color w:val="000000"/>
          <w:sz w:val="20"/>
        </w:rPr>
      </w:pPr>
      <w:bookmarkStart w:id="17" w:name="item_1_legal_proceedings"/>
      <w:bookmarkEnd w:id="17"/>
      <w:r>
        <w:rPr>
          <w:rFonts w:ascii="Times New Roman" w:hAnsi="Times New Roman"/>
          <w:b/>
          <w:color w:val="000000"/>
          <w:sz w:val="20"/>
        </w:rPr>
        <w:t>Item 1. Legal Proceedings.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From time to time, we may become involved in litigation relating to claims arising from the ordinary course of business. As of the date of this report, there are no claims or actions pending against us, the ultimate disposition of which could have a material adverse effect on our results of operations or financial condition. </w:t>
      </w:r>
    </w:p>
    <w:p>
      <w:pPr>
        <w:pStyle w:val="TextBody"/>
        <w:bidi w:val="0"/>
        <w:spacing w:before="240" w:after="283"/>
        <w:jc w:val="left"/>
        <w:rPr>
          <w:rFonts w:ascii="Times New Roman" w:hAnsi="Times New Roman"/>
          <w:b/>
          <w:color w:val="000000"/>
          <w:sz w:val="20"/>
        </w:rPr>
      </w:pPr>
      <w:bookmarkStart w:id="18" w:name="item_1a_risk_factors"/>
      <w:bookmarkEnd w:id="18"/>
      <w:r>
        <w:rPr>
          <w:rFonts w:ascii="Times New Roman" w:hAnsi="Times New Roman"/>
          <w:b/>
          <w:color w:val="000000"/>
          <w:sz w:val="20"/>
        </w:rPr>
        <w:t>Item 1A. Risk Factors.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You should consider carefully the following risk factors, together with all the other information in this report, including the section of this report titled “Part I, Item 2 — Management’s Discussion and Analysis of Financial Condition and Results of Operations” and our unaudited condensed financial statements and notes thereto. The occurrence of any events described in the following risk factors and the risks described elsewhere in this report could harm our business, operating results, financial condition, and/or growth prospects or cause our actual results to differ materially from those contained in forward-looking statements that we have made in this report and those may make from time to time. You should consider all of the risk factors described when evaluating our business. We have marked with an asterisk (*) those risk factors that were not included as separate risk factors in, or reflect changes to, the similarly titled risk factors included in Part I, Item 1A, Risk Factors, in our Annual Report on Form 10-K, filed with the SEC on March 27, 2025.</w:t>
      </w:r>
    </w:p>
    <w:p>
      <w:pPr>
        <w:pStyle w:val="TextBody"/>
        <w:bidi w:val="0"/>
        <w:jc w:val="left"/>
        <w:rPr/>
      </w:pPr>
      <w:r>
        <w:rPr/>
        <w:t> </w:t>
      </w:r>
    </w:p>
    <w:p>
      <w:pPr>
        <w:pStyle w:val="TextBody"/>
        <w:bidi w:val="0"/>
        <w:spacing w:before="120" w:after="283"/>
        <w:jc w:val="left"/>
        <w:rPr>
          <w:rFonts w:ascii="Times New Roman" w:hAnsi="Times New Roman"/>
          <w:sz w:val="20"/>
        </w:rPr>
      </w:pPr>
      <w:r>
        <w:rPr>
          <w:rFonts w:ascii="Times New Roman" w:hAnsi="Times New Roman"/>
          <w:b/>
          <w:color w:val="000000"/>
          <w:sz w:val="20"/>
        </w:rPr>
        <w:t>Risks Related to the Discovery, Development and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We are in the clinical stage of drug development and have a very limited operating history and no products approved for commercial sale, which may make it difficult to evaluate our current business and predict our future success and viability.*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 clinical stage biopharmaceutical company committed to researching, developing and commercializing transformative therapeutics to treat a broad spectrum of retinal diseases. We commenced operations in June 2009, have no products approved for commercial sale and have not generated any revenue. Drug development is a highly uncertain undertaking and involves a substantial degree of risk. We have conducted clinical trials, including Phase 3 pivotal clinical trials, of tarcocimab in patients with wet AMD, DME, DR and RVO. We completed enrollment for the Phase 3 DAYBREAK clinical trial of tarcocimab and KSI-501 in patients with wet AMD, the Phase 3 GLOW2 clinical trial of tarcocimab in patients with DR, and the Phase 1b APEX clinical trial of KSI-101 in patients with DME and patients with MESI. We are continuing enrollment for the on-going Phase 3 PEAK and PINNACLE clinical trials of KSI-101 in patients with MESI.</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date, we have not obtained marketing approval for any of our product candidates, or conducted sales and marketing activities necessary for successful product commercialization. Our limited operating history as a company and stage of drug development make any assessment of our future success and viability subject to significant uncertainty. We will encounter risks and difficulties frequently experienced by biopharmaceutical companies in rapidly evolving fields, and we have not yet demonstrated an ability to successfully overcome such risks and difficulties. If we do not address these risks and difficulties successfully, our business will suffer.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Our prospects are heavily dependent on our tarcocimab, KSI-501 and KSI-101 product candidates, which are currently in clinical development for multiple indications.*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prospects will be heavily dependent on our tarcocimab, KSI-501 and KSI-101 product candidates and the results of planned or pending clinical studies. We cannot be certain that our product candidates will be successful in any of the planned or pending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previous clinical trial results are not necessarily predictive of the results of our on-going or future discovery programs or any future preclinical or clinical studies. Our ability to demonstrate efficacy, safety and clinical durability in pivotal studies may be affected by the patient populations sampled and the design of our pivotal studies. Many companies in the pharmaceutical and biotechnology industries have suffered significant setbacks in late-stage clinical studies after achieving positive results in previous clinical studies, and we cannot be certain that we will not face similar setbacks. These setbacks have been caused by, among other things, preclinical findings made while clinical studies were underway or safety or efficacy observations made in preclinical studies and clinical studies, including previously unreported or unobserved adverse events as more patients are treated and followed for longer periods of time.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There can be significant variability in safety or efficacy results between different clinical studies of the same product candidate due to numerous factors, including changes in study procedures set forth in protocols, differences in the size and type of the patient populations, changes in and adherence to the clinical study protocols and the rate of dropout among clinical study participants. Moreover, preclinical and clinical data are often susceptible to varying interpretations and analyses, and many companies that believed their product candidates performed satisfactorily in preclinical studies and clinical studies nonetheless failed to obtain FDA approval. If approved, clinical study designs and data are not necessarily predictive of the final marketed product label. FDA may not approve a label for a particular dosing frequency, even if we believe the data demonstrate support for that dosing.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conducted a Phase 1 study of KSI-501 to evaluate the safety, tolerability and bioactivity of KSI-501 in DME. Although we have completed enrollment in the Phase 3 DAYBREAK study for patients with wet AMD, it could take years before a registrational-type trial is completed, if at all. In addition, we initiated a dose-finding Phase 1b APEX study in 2024 and dual Phase 3 studies, PEAK and PINNACLE, in 2025. We may in the future develop other product candidates, advance additional product candidates into clinical trials and terminate such trials prior to their completion. It will take additional investment and time for such programs to reach the same stage of development as tarcocimab, KSI-501 and KSI-101.</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The failure of pivotal studies of tarcocimab to meet their primary efficacy endpoints may lead us to pause, change or discontinue development of other product candidates based on our ABC Platform.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July 2023, we announced that the Phase 3 GLEAM and GLIMMER clinical trials of tarcocimab did not meet their primary efficacy endpoints and, as a result, we paused further development of tarcocimab pending review of Year 1 data from the Phase 3 BEACON study in patients with RVO and the Phase 3 GLOW1 study patients with DR. Although we resumed the development of tarcocimab in November 2023, we may again determine to discontinue development of tarcocimab or our ABC Platform or other product candidates based on future information or trials results, which could prevent us from, or significantly delay, achieving profitability and could result in disruptions to our business including potential impairment charges, restructuring costs, or costs that are greater than expected.</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plan for the development of tarcocimab, KSI-501 or KSI-101 may be unsuccessful.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resumed further development of tarcocimab in November 2023 following the outcomes of two other trials that were then underway. While we have previous trials with favorable results and we have since resumed development of tarcocimab, further development of tarcocimab may ultimately not be successful. In connection with our development program, we developed an enhanced, commercial formulation of tarcocimab. While the FDA has advised that the additional clinical studies to be conducted with the revised formulation should be sufficient to bridge the former material to the go-to-market material, we cannot be sure that the FDA, EMA or comparable foreign regulatory authorities would agree or accept our planned BLA even if our planned additional trials are successful.</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Research and development of biopharmaceutical products is inherently risky. We cannot give any assurance that any of our product candidates will receive regulatory, including marketing, approval, which is necessary before they can be commercialized.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are at an early stage of development of our product candidates. Our future success is dependent on our ability to successfully develop, obtain regulatory approval for, and then successfully commercialize our product candidates, and we may fail to do so for many reasons, including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product candidates have in the past and may in the future not successfully complete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a product candidate obtains regulatory approval, approval may be for indications, dosage and administration or patient populations that are not as broad as intended or desired;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on further study, be shown to have harmful side effects or other characteristics that indicate it is unlikely to be effective or otherwise does not meet applicable regulatory criteria, for example a positive benefit-risk profile;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therapeutics that render our product candidates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may develop platform technologies that render our ABC Platform obsolete or less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product candidates and ABC Platform that we develop may not be sufficiently covered by intellectual property for which we hold exclusive rights or may be covered by third party patents or other intellectual property or exclusive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for a product candidate may change so that the continued development of that product candidate is no longer reasonable or commercially attractive;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capable of being produced in commercial quantities at an acceptable cost, or at all;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product candidate obtains regulatory approval, we may be unable to establish sales and marketing capabilities, or successfully market such approved product candidate, to gain market acceptance;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product candidate may not be accepted as safe and effective by patients, the medical community or third-party payors, if applicable.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these events occurs, we may be forced to abandon our development efforts for a product candidate or candidates, which would have a material adverse effect on our business and could potentially cause us to cease operations. Failure of a product candidate may occur at any stage of preclinical or clinical development, and, because our product candidates and our ABC Platform are in development, there is a relatively higher risk of failure and we may never succeed in developing marketable products or generating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we may not be successful in our efforts to further develop our product candidates and our ABC Platform in time to meet the current and identified market opportunity. We are not permitted to market or promote any of our product candidates before we receive regulatory approval from the FDA or comparable foreign regulatory authorities, and we may never receive such regulatory approval for any of our product candidates. Each of our product candidates is in various stages of development and will require significant additional clinical development, management of preclinical, clinical, and manufacturing activities, regulatory approval, adequate manufacturing supply, a commercial organization, and significant marketing efforts before we generate any revenue from product sales, if at all. Any clinical studies that we may conduct may not demonstrate the efficacy and safety necessary to obtain regulatory approval to market our product candidates. If the results of our on-going or future clinical studies are inconclusive with respect to the efficacy of our product candidates or if we do not meet the clinical endpoints with statistical significance or if there are safety concerns or adverse events associated with our product candidates, we may be prevented or delayed in obtaining marketing approval for our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successfully completes clinical trials, we generally plan to seek regulatory approval to market our product candidates in the United States, the EU, and in additional foreign countries where we believe there is a viable commercial opportunity. We have never commenced, compiled or submitted an application seeking regulatory approval to market any product candidate in any jurisdiction. We may never receive regulatory approval to market any product candidates even if such product candidates successfully complete clinical trials, which would adversely affect our viability. To obtain regulatory approval in countries outside the United States, we must comply with numerous and varying regulatory requirements of such other countries regarding safety, efficacy, chemistry, manufacturing and controls, clinical trials, commercial sales, pricing, and distribution of our product candidates. We may also rely on our collaborators or partners to conduct the required activities to support an application for regulatory approval, and to seek approval, for one or more of our product candidates. We cannot be sure that our collaborators or partners will conduct these activities successfully or do so within the timeframe we desire. Even if we (or our collaborators or partners) are successful in obtaining approval in one jurisdiction, we cannot ensure that we will obtain approval in any other jurisdictions. If we are unable to obtain approval for our product candidates in multiple jurisdictions, our revenue and results of operations could be negatively affected.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receive regulatory approval to market any of our product candidates, we cannot assure you that any such product candidate will be successfully commercialized, widely accepted in the marketplace or more effective than other commercially available alternatives. That approval may be for indications, dosage and administration or patient populations that are not as broad as intended or desired or may require labeling that includes significant use or distribution restrictions or safety warnings. We may also be required to perform additional or unanticipated clinical studies to obtain approval or be subject to additional post-marketing testing requirements to maintain regulatory approval. In addition, regulatory authorities may withdraw their approval of a product or impose restrictions on its distribution, such as in the form of a modified Risk Evaluation and Mitigation Strategy, or REMS. The failure to obtain timely regulatory approval of product candidates, any product marketing limitations or a product withdrawal would negatively impact our business, results of operations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Investment in biopharmaceutical product development involves significant risk that any product candidate will fail to demonstrate adequate efficacy or an acceptable safety profile, gain regulatory approval, and become commercially viable. We cannot provide any assurance that we will be able to successfully advance any of our product candidates through the development process or, if approved, successfully commercialize any of our product candidates.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substantial delays in our clinical trials, or may not be able to conduct or complete our clinical trials on the timelines we expect, if at all.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time consuming, and subject to uncertainty. We cannot guarantee that any clinical trials will be conducted as planned or completed on schedule, if at all. We cannot be sure that submission of an IND application or a clinical trial application, or CTA, will result in the FDA, European Medicines Agency, or EMA, or any other regulatory authority as applicable, allowing clinical trials to begin in a timely manner, if at all. Moreover, even if these trials begin, issues may arise that could suspend or terminate such clinical trials. A failure of one or more clinical trials can occur at any stage of testing, and our future clinical trials may not be successful. Events that may prevent successful or timely initiation or completion of clinical trials include: </w:t>
      </w:r>
    </w:p>
    <w:p>
      <w:pPr>
        <w:pStyle w:val="TextBody"/>
        <w:bidi w:val="0"/>
        <w:spacing w:before="120" w:after="283"/>
        <w:jc w:val="left"/>
        <w:rPr>
          <w:color w:val="000000"/>
        </w:rPr>
      </w:pPr>
      <w:r>
        <w:rPr>
          <w:color w:val="000000"/>
        </w:rPr>
        <w:t>•</w:t>
      </w:r>
    </w:p>
    <w:p>
      <w:pPr>
        <w:pStyle w:val="TextBody"/>
        <w:bidi w:val="0"/>
        <w:spacing w:before="120" w:after="283"/>
        <w:jc w:val="left"/>
        <w:rPr/>
      </w:pPr>
      <w:r>
        <w:rPr>
          <w:rFonts w:ascii="Times New Roman" w:hAnsi="Times New Roman"/>
          <w:color w:val="000000"/>
          <w:sz w:val="20"/>
        </w:rPr>
        <w:t xml:space="preserve">inability to generate sufficient preclinical, toxicology, or other </w:t>
      </w:r>
      <w:r>
        <w:rPr>
          <w:rFonts w:ascii="Times New Roman" w:hAnsi="Times New Roman"/>
          <w:i/>
          <w:color w:val="000000"/>
          <w:sz w:val="20"/>
        </w:rPr>
        <w:t>in vivo</w:t>
      </w:r>
      <w:r>
        <w:rPr>
          <w:color w:val="000000"/>
        </w:rPr>
        <w:t xml:space="preserve"> </w:t>
      </w:r>
      <w:r>
        <w:rPr>
          <w:rFonts w:ascii="Times New Roman" w:hAnsi="Times New Roman"/>
          <w:color w:val="000000"/>
          <w:sz w:val="20"/>
        </w:rPr>
        <w:t xml:space="preserve">or </w:t>
      </w:r>
      <w:r>
        <w:rPr>
          <w:rFonts w:ascii="Times New Roman" w:hAnsi="Times New Roman"/>
          <w:i/>
          <w:color w:val="000000"/>
          <w:sz w:val="20"/>
        </w:rPr>
        <w:t>in vitro</w:t>
      </w:r>
      <w:r>
        <w:rPr>
          <w:color w:val="000000"/>
        </w:rPr>
        <w:t xml:space="preserve"> </w:t>
      </w:r>
      <w:r>
        <w:rPr>
          <w:rFonts w:ascii="Times New Roman" w:hAnsi="Times New Roman"/>
          <w:color w:val="000000"/>
          <w:sz w:val="20"/>
        </w:rPr>
        <w:t xml:space="preserve">data to support the initiation or continuation of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 consensus with regulatory agencies on study design;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determination by the reviewing regulatory authority to require more costly or lengthy clinical trials than we currently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reaching agreement on acceptable terms with clinical trial sites or other third-party vendors, the terms of which can be subject to extensive negotiation and may vary significantly among different clinical trial sites or vendors;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training suitable clinical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obtaining required Institutional Review Board, or IRB, approval at each clinical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imposition of a temporary or permanent clinical hold by regulatory agencies for a number of reasons, including after review of an IND or amendment, CTA or amendment, or equivalent application or amendment; as a result of a new safety finding that presents unreasonable risk to clinical trial participants; a negative finding from an inspection of our clinical trial operations or study sites; developments on trials conducted by competitors for related technology that raises FDA, EMA or any other regulatory authority concerns about risk to patients of the technology broadly; or if the FDA, EMA or any other regulatory authority finds that the investigational protocol or plan is clearly deficient to meet its stated objectives;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identifying, recruiting and enrolling suitable patients to participate in our clinical trials, and delays caused by patients withdrawing from clinical trials or failing to return for post-treatment follow-up;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difficulty collaborating with patient groups and investigators;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by third parties or us to adhere to clinical trial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perform in accordance with the FDA’s or any other regulatory authority’s good clinical practices, or GCPs, requirements, or applicable EMA or other regulatory guidelines in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occurrence of adverse events associated with the product candidate that are viewed to outweigh its potential benefits;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regulatory requirements and guidance that require amending or submitting new clinical protocols;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standard of care on which a clinical development plan was based, which may require new or additional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cost of clinical trials of our product candidates being greater than we anticipate;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trials of our product candidates producing negative or inconclusive results, which may result in our deciding, or regulators requiring us, to conduct additional clinical trials or abandon development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transfer of manufacturing processes to larger-scale facilities operated by CMOs or by us, and delays or failure by our CMOs or us to make any necessary changes to such manufacturing process;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manufacturing, testing, releasing, validating, or importing/exporting sufficient stable quantities of our product candidates for use in clinical trials and for use in regulatory filings or the inability to do any of the foregoing.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inability to successfully initiate or complete clinical trials could result in additional costs to us or impair our ability to generate revenue. In addition, if we make manufacturing or formulation changes to our product candidates, we may be required to or we may elect to conduct additional studies to bridge our modified product candidates to earlier versions. Clinical trial delays could also shorten any periods during which our products have patent protection and may allow our competitors to bring products to market before we do, which could impair our ability to successfully commercialize our product candidates and may harm our business and results of operations.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also encounter delays if a clinical trial is suspended or terminated by us, by the data safety monitoring board for such trial or by the FDA, EMA or any other regulatory authority, or if the IRBs of the institutions in which such trials are being conducted suspend or terminate the participation of their clinical investigators and sites subject to their review. Regulatory authorities may suspend or terminate a clinical trial due to a number of factors, including failure to conduct the clinical trial in accordance with regulatory requirements or our clinical protocols, inspection of the clinical trial operations or trial site by the FDA, EMA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 We may also face delays if we are unable to reach agreement with the FDA, EMA or other regulatory authorities regarding CMC matters, including methodologies for, and assessment of, comparability of manufacturing procedures and lots.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Delays in the commencement, conduct or completion of any clinical trial of our product candidates will increase our costs, slow down our product candidate development and approval process and delay or potentially jeopardize our ability to commence product sales and generate revenue. In addition, many of the factors that cause, or lead to, a delay in the commencement or completion of clinical trials may also ultimately lead to the denial of regulatory approval of our product candidates.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cause undesirable side effects or have other properties that could halt their clinical development, prevent their regulatory approval, limit their commercial potential or result in significant negative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Adverse events or other undesirable side effects caused by our product candidates could cause us or regulatory authorities to interrupt, delay or halt clinical trials and could result in a more restrictive label or the delay or denial of regulatory approval by the FDA, EMA or other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During the conduct of clinical trials, patients report changes in their health, including illnesses, injuries, and discomforts, to their study doctor. Often, it is not possible to determine whether or not the product candidate being studied caused these conditions. It is possible that as we test our product candidates in larger, longer and more extensive clinical trials, or as use of these product candidates becomes more widespread if they receive regulatory approval, illnesses, injuries, discomforts and other adverse events that were not observed in earlier trials, as well as conditions that did not occur or went undetected in previous trials, will be reported by patients. Many times, side effects are only detectable after investigational products are tested in large-scale Phase 3 clinical trials or, in some cases, after they are made available to patients on a commercial scale after approval. If additional clinical experience indicates that any of our product candidates has side effects or causes serious or life-threatening side effects, the development of the product candidate may fail or be delayed, or, if the product candidate has received regulatory approval, such approval may be revoked, which would severely harm our business, prospects, operating results and financial condition. For example, in the tarcocimab arms of our completed GLEAM and GLIMMER clinical trials, we observed an unexpected increase in cataracts, which we believe may have contributed meaningfully to the failure of each study to meet its primary efficacy endpoint.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most advanced product candidate, tarcocimab, is an anti-VEGF biologic that we have studied in wet AMD, DME, DR and RVO. Our KSI-501 product candidate is a first-in-class bispecific antibody conjugate designed to inhibit two mechanisms implicated in retinal diseases: IL-6 and VEGF. Our KSI-101 product candidate is the unconjugated protein portion of KSI-501 and is a novel bispecific protein targeting IL-6 and VEGF. There are some potential side effects associated with intravitreal anti-VEGF therapies such as intraocular hemorrhage, intraocular pressure elevation, retinal detachment, inflammation, vasculitis, artery occlusion or infection inside the eye, progression of cataract, and over-inhibition of VEGF, as well as the potential for potential systemic side effects such as heart attack, stroke, wound healing problems and high blood pressure. Recent trends in the development of anti-VEGF therapies have favored increased molar dosages, as compared to currently marketed treatments. To date these heightened dosages have not exhibited a safety profile significantly worse than that of current treatments, as attributable to molar dose. However, anti-VEGF product candidates featuring higher molar dosages, including tarcocimab, KSI-501 and KSI-101 may heighten the risk of adverse effects associated with anti-VEGF treatments generally, both in the eye and in the rest of the body. There are risks inherent in the intravitreal injection procedure of drugs like tarcocimab, KSI-501 and KSI-101 which can cause injury to the eye and other complications including conjunctival hemorrhage, punctate keratitis, eye pain, conjunctival hyperemia, intra-ocular inflammation and endophthalmitis. Any additional toxicology signal observed, be it real or perceived, may negatively impact perceptions of utilization of tarcocimab, KSI-501 and KSI-101 in broader populations and impact clinical trial enrollment, regulatory approval and commercial success.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Drug-related side effects could affect patient recruitment, the ability of enrolled patients to complete the study and/or result in potential product liability claims. We may not be able to maintain insurance coverage at a reasonable cost or in sufficient amounts to protect us against losses due to liability. A successful product liability claim or series of claims brought against us could cause our stock price to decline and, if judgments exceed our insurance coverage, could adversely affect our results of operations and business. In addition, regardless of merit or eventual outcome, product liability claims may result in impairment of our business reputation, withdrawal of clinical trial participants, costs due to related litigation, distraction of management’s attention from our primary business, initiation of investigations by regulators, substantial monetary awards to patients or other claimants, the inability to commercialize our product candidates and decreased demand for our product candidates, if approved for commercial sale.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Additionally, if one or more of our product candidates receives marketing approval, and we or others later identify undesirable side effects or adverse events caused by such products, a number of potentially significant negative consequences could result, including but not limited to: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withdraw approvals of such product;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authorities may require additional warnings on the label;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change the way the product is administered or conduct additional clinical trials or post-approval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required to create a REMS plan, which could include a medication guide outlining the risks of such side effects for distribution to patients, a communication plan for healthcare providers and/or other elements to assure safe use;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could be sued and held liable for harm caused to patients;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reputation may suffer.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of these events could prevent us from achieving or maintaining market acceptance of the particular product candidate, if approved, and could significantly harm our business,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encounter difficulties enrolling patients in our clinical trials, and our clinical development activities could thereby be delayed or otherwise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and nature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patient eligibility criteria defined in the protocol, including certain highly-specific criteria related to stage of disease progression, which may limit the patient populations eligible for our clinical trials to a greater extent than competing clinical trials for the same indication that do not have such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size of the study population required for analysis of the trial’s primary endpoints;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proximity of patients to a trial site;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effects of health epidemics, including the resulting shelter-in-place, travel or similar restrictions;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design of the trial;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new safety events may cause physicians to decrease patient enrollment in our current or planned studies;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recruit clinical trial investigators with the appropriate competencies and experience;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competing clinical trials for similar therapies or targeting patient populations meeting our patient eligibility criteria;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clinicians’ and patients’ perceptions as to the potential advantages and side effects of the product candidate being studied in relation to other available therapies and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obtain and maintain patient consents;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risk that patients enrolled in clinical trials will not complete such trials, for any reason.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enroll a sufficient number of patients for our clinical trials could result in significant delays or may require us to abandon one or more clinical trials altogether. Enrollment delays in our clinical trials may result in increased development costs for our product candidates, delay or halt the development of and approval processes for our product candidates and jeopardize our ability to commence sales of and generate revenues from our product candidates, which may harm our business and results of operation. </w:t>
      </w:r>
    </w:p>
    <w:p>
      <w:pPr>
        <w:pStyle w:val="TextBody"/>
        <w:bidi w:val="0"/>
        <w:spacing w:before="240" w:after="283"/>
        <w:jc w:val="left"/>
        <w:rPr>
          <w:rFonts w:ascii="Times New Roman" w:hAnsi="Times New Roman"/>
          <w:sz w:val="20"/>
        </w:rPr>
      </w:pPr>
      <w:r>
        <w:rPr>
          <w:rFonts w:ascii="Times New Roman" w:hAnsi="Times New Roman"/>
          <w:b/>
          <w:i/>
          <w:color w:val="000000"/>
          <w:sz w:val="20"/>
        </w:rPr>
        <w:t>Our clinical trials may fail to demonstrate substantial evidence of the durability, efficacy and safety of our product candidates, which would prevent, delay or limit the scope of regulatory approval and commercialization.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Before obtaining regulatory approvals for the commercial sale of any of our product candidates, we must demonstrate through lengthy, complex and expensive preclinical studies and clinical trials that our product candidates are both safe and effective for use in each target indication. For those product candidates that are subject to regulation as biological drug products, we will need to demonstrate that they are safe, pure, and potent for use in their target indications. Each product candidate must demonstrate an adequate risk versus benefit profile in its intended patient population and for its intended use, which is especially true for anti-VEGF biologic agents, where available marketed therapies are well-established products with accepted safety profiles.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Clinical testing is expensive and can take many years to complete, and its outcome is inherently uncertain. Failure can occur at any time during the clinical trial process. Most product candidates that begin clinical trials are never approved by regulatory authorities for commercialization. The results of preclinical studies of our product candidates may not be predictive of the results of early-stage or later-stage clinical trials, and results of early clinical trials of our product candidates may not be predictive of the results of later-stage clinical trials. The results of clinical trials in one set of patients or disease indications may not be predictive of those obtained in another. In some instances, there can be significant variability in safety, efficacy or durability results between different clinical trials of the same product candidate due to numerous factors, including changes in trial procedures set forth in protocols, differences in the size and type of the patient populations, changes in and adherence to the dosing regimen and other clinical trial protocols and the rate of dropout among clinical trial participants. Product candidates in later stages of clinical trials may fail to show the desired safety, efficacy and durability profile despite having progressed through preclinical studies and initial clinical trials. A number of companies in the biopharmaceutical industry have suffered significant setbacks in advanced clinical trials due to lack of efficacy or unacceptable safety issues, notwithstanding promising results in earlier trials. For example, in our Phase 2b/3 DAZZLE clinical trial evaluating the efficacy, durability and safety of tarcocimab in treatment-naïve subjects with neovascular wet AMD and in our Phase 3 GLEAM and GLIMMER studies, tarcocimab did not meet the primary efficacy endpoint of showing non-inferior visual acuity gains.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design and execute clinical trials that support marketing approval. We cannot be certain that our planned clinical trials or any other future clinical trials will be successful. Additionally, any safety concerns observed in any one of our clinical trials in our targeted indications could limit the prospects for regulatory approval of our product candidates in those and other indications, which could have a material adverse effect on our business, financial condition and results of operations.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even if such clinical trials are successfully completed, we cannot guarantee that the FDA or foreign regulatory authorities will interpret the results as we do, and more trials or trials of a different design could be required before we submit our product candidates for approval. To the extent that the results of trials are not satisfactory to the FDA or foreign regulatory authorities for support of a marketing application, we may be required to expend significant resources, which may not be available to us, to conduct additional trials in support of potential approval of our product candidates. Even if regulatory approval is secured for any of our product candidates, the terms of such approval may limit the scope and use of our product candidate, which may also limit its commercial potential. Even if trial results are successful at the primary endpoint, clinical trial results may be different or worse in the extended treatment periods following the primary endpoint, and such data may negatively impact perceptions by regulatory authorities, the clinical community or commercial payors of the benefits of our product candidates.</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successful in our efforts to continue to create a pipeline of product candidates or to develop commercially successful products. If we fail to successfully identify and develop additional product candidates, our commercial opportunity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research methodology may be unsuccessful in identifying potential product candidates, or our potential product candidates may be shown to have harmful side effects or may have other characteristics that may make them unmarketable or unlikely to receive marketing approval. Identifying, developing, obtaining regulatory approval and commercializing additional product candidates for the treatment of retinal diseases will require substantial additional funding and is prone to the risks of failure inherent in drug development. If we are unable to successfully identify, acquire, develop and commercialize additional product candidates, our commercial opportunity may be limited.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One of our strategies is to identify and pursue clinical development of product candidates based on our ABC Platform. Our ABC Platform may not produce a pipeline of viable product candidates, or our competitors may develop platform technologies that render our ABC Platform obsolete or less attractive.</w:t>
      </w:r>
    </w:p>
    <w:p>
      <w:pPr>
        <w:pStyle w:val="TextBody"/>
        <w:bidi w:val="0"/>
        <w:spacing w:before="240" w:after="283"/>
        <w:jc w:val="left"/>
        <w:rPr>
          <w:rFonts w:ascii="Times New Roman" w:hAnsi="Times New Roman"/>
          <w:sz w:val="20"/>
        </w:rPr>
      </w:pPr>
      <w:r>
        <w:rPr>
          <w:rFonts w:ascii="Times New Roman" w:hAnsi="Times New Roman"/>
          <w:b/>
          <w:i/>
          <w:color w:val="000000"/>
          <w:sz w:val="20"/>
        </w:rPr>
        <w:t>We face significant competition in an environment of rapid technological and scientific change, and there is a possibility that our competitors may retain their market share with existing drugs, or achieve regulatory approval before us or develop therapies that are safer, more advanced or more effective than ours, which may negatively impact our ability to successfully market or commercialize any product candidates we may develop and ultimately harm our financial condition.</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development and commercialization of new drug products is highly competitive. We may face competition with respect to any product candidates that we seek to develop or commercialize in the future from major pharmaceutical companies, specialty pharmaceutical companies, and biotechnology companies worldwide. Potential competitors also include academic institutions, government agencies, and other public and private research organizations that conduct research, seek patent protection, and establish collaborative arrangements for research, development, manufacturing, and commercialization.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a number of large pharmaceutical and biotechnology companies that are currently pursuing the development of products for the treatment of the retinal diseases for which we have product candidates. Several of our competitors have commercially approved products for the treatment of retinal diseases that we are pursuing or may pursue in the future, including Roche, Regeneron and Novartis for the treatment of wet AMD, DME, DR and RVO. These drugs are well established therapies and are widely accepted by physicians, patients and third-party payors, which may make it difficult to educate these parties on the benefits of switching to any product candidates developed by us. Companies that we are aware are developing and/or commercializing therapeutics in the retinal disease area include large companies with significant financial resources, such as Roche, Novartis, Bayer, Regeneron, AbbVie, Boehringer Ingelheim, Amgen, and Samsung Bioepis. In addition to competition from other companies targeting retinal indications,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products we may develop may also face competition from other types of therapies, such as gene-editing therapies and drug delivery devices.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Roche’s product, Vabysmo (faricimab) received FDA approval for the treatment of wet AMD and DME in January 2022 and received FDA approval for RVO in October 2023. Vabysmo has gained rapid adoption since launch and garnered significant market share. Regeneron’s product, Eylea HD (high dose aflibercept) gained FDA approval for the treatment of wet AMD, DME and DR in August 2023. It has also become an important therapy in the marketplace due to Regeneron’s incumbent position in retinal diseases. Even if our product candidates present a compelling clinical profile, we may not be able to market our product candidates as effectively as our competitors. For example, entrenched franchises may seek to impede adoption of our product candidates through significant discounts or rebates.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current or potential competitors, either alone or with their strategic partners, have significantly greater financial resources and expertise in research and development, manufacturing, preclinical testing, conducting clinical trials, obtaining regulatory approvals, and marketing approved products than we do. Mergers and acquisitions in the pharmaceutical and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product candidates. Our commercial opportunity could be reduced or eliminated if our competitors develop and commercialize products that are safer, more effective, have fewer or less severe side effects, are more convenient, or are less expensive than any products that we may develop. Furthermore, currently approved products could be discovered to have application for treatment of retinal disease indications, which could give such products significant regulatory and market timing advantages over any of our product candidates. Our competitors also may obtain FDA, EMA or other regulatory approval for their products more rapidly than we may obtain approval for ours. Additionally, products or technologies developed by our competitors may render our product candidates uneconomical or obsolete, and we may not be successful in marketing any product candidates we may develop against competitors.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we could face litigation or other proceedings with respect to the scope, ownership, validity and/or enforceability of our patents relating to our competitors’ products and our competitors may allege that our products infringe, misappropriate or otherwise violate their intellectual property. For more information regarding potential disputes concerning intellectual property, see the subsection of this Quarterly Report on Form 10-Q titled “Risks Related to Our Intellectual Property.” </w:t>
      </w:r>
    </w:p>
    <w:p>
      <w:pPr>
        <w:pStyle w:val="TextBody"/>
        <w:bidi w:val="0"/>
        <w:spacing w:before="240" w:after="283"/>
        <w:jc w:val="left"/>
        <w:rPr>
          <w:rFonts w:ascii="Times New Roman" w:hAnsi="Times New Roman"/>
          <w:sz w:val="20"/>
        </w:rPr>
      </w:pPr>
      <w:r>
        <w:rPr>
          <w:rFonts w:ascii="Times New Roman" w:hAnsi="Times New Roman"/>
          <w:b/>
          <w:i/>
          <w:color w:val="000000"/>
          <w:sz w:val="20"/>
        </w:rPr>
        <w:t>The manufacture of our product candidates is highly complex and requires substantial lead time to produce.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our product candidates involves complex processes, including developing cells or cell systems to produce the biologic, growing large quantities of such cells, and harvesting and purifying the biologic produced by them. These processes require specialized facilities, highly specific raw materials and other production constraints. As a result, the cost to manufacture a biologic is generally far higher than traditional small molecule chemical compounds, and the biologics manufacturing process is less reliable and is difficult to reproduce. Because of the complex nature of our products, we need to oversee the manufacture of multiple components that require a diverse knowledge base and specialized personnel. Commercial manufacturing scale-up timelines may be negatively affected by material shortages, construction delays and supply chain challenges due to, among other factors, global supply chain shortages due to health epidemics, on-going geopolitical conflicts, global macroeconomic conditions, bank failures or other reasons.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unlike chemical pharmaceuticals, the physical and chemical properties of a biologic such as our product candidates generally cannot be adequately characterized prior to manufacturing the final product. As a result, an assay of the finished product is not sufficient to ensure that the product will perform in the intended manner. Accordingly, we expect to employ multiple steps to attempt to control our manufacturing process to assure that the process works, and the product or product candidate is made strictly and consistently in compliance with the process.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Manufacturing biologics is highly susceptible to product loss due to contamination, equipment failure, improper installation or operation of equipment, vendor or operator error, improper storage or transfer, inconsistency in yields and variability in product characteristics. Even minor deviations from normal manufacturing, distribution or storage processes could result in reduced production yields, product defects and other supply disruptions. Some of the raw materials required in our manufacturing process are derived from biological sources. Such raw materials are difficult to procure and may also be subject to contamination or recall. A material shortage, contamination, recall or restriction on the use of biologically derived substances in the manufacture of our product candidates could adversely impact or disrupt commercialization. Production of additional drug substance and drug product for any of our product candidates may require substantial lead time. In the event of significant product loss and materials shortages, we may be unable to produce adequate amounts of our product candidates or products for our operational needs.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Further, as product candidates are developed through preclinical studies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for raw materials needed for manufacturing our product candidates. We may not be able to obtain adequate amounts in the future. These challenges are magnified by the international nature of our supply chain, which, for tarcocimab, KSI-501 and KSI-101, requires drug substance and drug product sourced from single source suppliers from China, Japan, the United Kingdom, the United States and Switzerland.</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limited experience manufacturing any of our product candidates at a commercial scale. If we or any of our third-party manufacturers encounter difficulties in production, or fail to meet rigorously enforced regulatory standards, our ability to provide supply of our product candidates for clinical trials, or our ability to supply our products for patients, if approved, could be delayed or stopped, or we may be unable to establish a commercially viable cost structure.</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color w:val="000000"/>
          <w:sz w:val="20"/>
        </w:rPr>
        <w:t>In order to conduct clinical trials of our product candidates, or supply commercial products, if approved, we will need to manufacture them in small and large quantities. Our third-party manufacturer has made only a limited number of commercial scale lots of tarcocimab based on our ABC Platform. Our manufacturing partners may be unable to successfully increase the manufacturing capacity for any of our product candidates in a timely or cost-effective manner, or at all. In addition, quality issues may arise during scale-up activities.</w:t>
      </w:r>
      <w:r>
        <w:rPr>
          <w:rFonts w:ascii="Times New Roman" w:hAnsi="Times New Roman"/>
          <w:color w:val="FF0000"/>
          <w:sz w:val="20"/>
        </w:rPr>
        <w:t xml:space="preserve"> </w:t>
      </w:r>
      <w:r>
        <w:rPr>
          <w:rFonts w:ascii="Times New Roman" w:hAnsi="Times New Roman"/>
          <w:color w:val="000000"/>
          <w:sz w:val="20"/>
        </w:rPr>
        <w:t>If our manufacturing partners are unable to successfully scale up the manufacture of our product candidates in sufficient quality and quantity, the development, testing and clinical trials of our product candidates may be delayed or become infeasible, and regulatory approval or commercial launch of any resulting product may be delayed or not obtained, which could significantly harm our business. The same risks would apply to any internal manufacturing facilities, should we in the future decide to build internal manufacturing capacity.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the manufacturing process for any products that we may develop is subject to FDA, EMA and foreign regulatory authority approval processes and continuous oversight. We will need to contract with manufacturers who can meet all applicable FDA, EMA and foreign regulatory authority requirements, including complying with current good manufacturing practices, or cGMPs, on an on-going basis. If we or our third-party manufacturers are unable to reliably produce products to specifications acceptable to the FDA, EMA or other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regulatory authorities, to produce it in sufficient quantities to meet the requirements for the potential launch of the product, or to meet potential future demand. For example, our manufacturers are also engaged in the manufacturing of vaccines and other therapeutic treatments, and the success of and demand for these vaccines and other therapeutic treatments means we and our programs are competing for scarce manufacturing resources. We hope to distribute tarcocimab in a prefilled syringe early in our commercial rollout. We may not be able to complete our prefilled syringe activities in a timely manner, or we may fail technically to design and develop a prefilled syringe for tarcocimab.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methods of manufacturing or formulation of product candidates may result in additional costs or delay.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product candidates proceed through preclinical studies to late-stage clinical trials towards potential approval and commercialization, our manufacturing methods and formulation of product candidates may be altered in an effort to optimize manufacturing processes and results. For example, we have created an enhanced, commercial formulation of tarcocimab; however, these changes could cause tarcocimab to perform differently and affect the results of on-going clinical trials or other future clinical trials, and we may need to revert to a prior formulation and may be unable to recover the manufacturing costs of the drug product. In addition, changes to commercial formulations from those studied clinically could also lead regulatory authorities to delay the approval of our marketing applications until we can demonstrate through additional clinical data that there is comparability in the bioavailability of the two different formulations, or they may require us to revert to the prior formulation evaluated clinically. This could delay completion of clinical trials, require the repetition of one or more clinical trials, increase clinical trial costs, delay approval of tarcocimab or any future product candidates and jeopardize our ability to commence sales and generate revenue.</w:t>
      </w:r>
    </w:p>
    <w:p>
      <w:pPr>
        <w:pStyle w:val="TextBody"/>
        <w:bidi w:val="0"/>
        <w:spacing w:before="240" w:after="283"/>
        <w:jc w:val="left"/>
        <w:rPr>
          <w:rFonts w:ascii="Times New Roman" w:hAnsi="Times New Roman"/>
          <w:sz w:val="20"/>
        </w:rPr>
      </w:pPr>
      <w:r>
        <w:rPr>
          <w:rFonts w:ascii="Times New Roman" w:hAnsi="Times New Roman"/>
          <w:b/>
          <w:i/>
          <w:color w:val="000000"/>
          <w:sz w:val="20"/>
        </w:rPr>
        <w:t>The development program and timeline of tarcocimab may impact our ability to use the Ursus Facility as intended, which could result in an excess of capital expenditures.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August 2020, we, together with our wholly owned subsidiary Kodiak Sciences GmbH, entered into a manufacturing agreement with Lonza Ltd for the clinical and commercial supply of the Company’s antibody biopolymer conjugate drug substance, which included a custom-built manufacturing facility for the potential clinical and commercial supply of tarcocimab, or the Ursus Facility. The development plan for tarcocimab, and any further changes thereto, as well as the timeline and success of tarcocimab,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may impact our ability to fully utilize the Ursus Facility. We may not realize any benefit from the capital expenditures to date, and we may incur substantial additional expenses and capital expenditures to repurpose the Ursus Facility for our other product candidates or for use by third parties, any of which may negatively impact our operating results and financial condition.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Even if we are successful in utilizing the Ursus Facility, our manufacturing capabilities could be affected by cost-overruns, additional changes in our development plans, unexpected delays, equipment failures, labor shortages, natural disasters, power failures and numerous other factors that could prevent us from realizing the intended benefits of our manufacturing strategy and have a material adverse effect on our business. Any problems in our manufacturing process or facilities could make us a less attractive collaborator for potential partners, including larger pharmaceutical companies and academic research institutions, which could limit our access to additional attractive development programs.</w:t>
      </w:r>
    </w:p>
    <w:p>
      <w:pPr>
        <w:pStyle w:val="TextBody"/>
        <w:bidi w:val="0"/>
        <w:spacing w:before="240" w:after="283"/>
        <w:jc w:val="left"/>
        <w:rPr>
          <w:rFonts w:ascii="Times New Roman" w:hAnsi="Times New Roman"/>
          <w:sz w:val="20"/>
        </w:rPr>
      </w:pPr>
      <w:r>
        <w:rPr>
          <w:rFonts w:ascii="Times New Roman" w:hAnsi="Times New Roman"/>
          <w:b/>
          <w:i/>
          <w:color w:val="000000"/>
          <w:sz w:val="20"/>
        </w:rPr>
        <w:t>If, in the future, we are unable to establish sales and marketing capabilities or enter into agreements with third parties to sell and market any product candidates we may develop, we may not be successful in commercializing those product candidates if and when they are approved.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do not have a sales or marketing infrastructure and have no experience in the sale, marketing or distribution of pharmaceutical products. To achieve commercial success for any approved product for which we retain sales and marketing responsibilities, we must either develop a sales and marketing organization or outsource these functions to third parties. In the future, we may choose to build a focused sales, marketing and commercial support infrastructure to sell, or participate in sales activities with our collaborators for, some of our product candidates if and when they are approved.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are risks involved with both establishing our own commercial capabilities and entering into arrangements with third parties to perform these services. For example, recruiting and training a sales force or reimbursement specialists is expensive and time consuming and could delay any product launch. If the commercial launch of a product candidate for which we recruit a sales force and establish marketing and other commercialization capabilities is delayed or does not occur for any reason, we would have prematurely or unnecessarily incurred these commercialization expenses. This may be costly, and our investment would be lost if we cannot retain or reposition our commercialization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Factors that may inhibit our efforts to commercialize any approved product on our own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recruit and retain adequate numbers of effective sales, marketing, reimbursement, customer service, medical affairs and other support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sales personnel to obtain access to physicians or educate adequate numbers of physicians on the benefits of prescribing any future approved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of reimbursement professionals to negotiate arrangements for formulary access, reimbursement, and other acceptance by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price our products at a sufficient price point to ensure an adequate and attractive level of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restricted or closed distribution channels that make it difficult to distribute our products to segments of the patient population;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lack of complementary products to be offered by sales personnel, which may put us at a competitive disadvantage relative to companies with more extensive product lines;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unforeseen costs and expenses associated with creating an independent commercialization organization.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enter into arrangements with third parties to perform sales, marketing, commercial support and distribution services, our product revenue or the profitability of product revenue may be lower than if we were to market and sell any products we may develop ourselves. In addition, we may not be successful in entering into arrangements with third parties to commercialize our product candidates or may be unable to do so on terms that are favorable to us. We may have little control over such third parties, and any of them may fail to devote the necessary resources and attention to sell and market our products effectively. If we do not establish commercialization capabilities successfully, either on our own or in collaboration with third parties, we will not be successful in commercializing our product candidates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any product candidates we develop receive marketing approval, they may fail to achieve the degree of market acceptance by physicians, patients, healthcare payors and others in the medical community necessary for commercial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commercial success of any of our product candidates will depend upon its degree of market acceptance by physicians, patients, third-party payors and others in the medical community. Even if any product candidates we may develop receive marketing approval, they may nonetheless fail to gain sufficient market acceptance by physicians, patients, healthcare payors, and others in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medical community. The degree of market acceptance of any product candidates we may develop, if approved for commercial sale, will depend on a number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efficacy and safety of such product candidates as demonstrated in pivotal clinical trials and published in peer-reviewed journals;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potential and perceived advantages of our product label as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our products for sale at competitive prices;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ability to offer appropriate patient access programs, such as co-pay assistance;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extent to which physicians recommend our products to their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convenience and ease of dosing and administration compared to alternative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clinical indications for which the product candidate is approved by FDA, EMA or other regulatory agencies;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labeling or product insert requirements of the FDA, EMA or other comparable foreign regulatory authorities, including any limitations, contraindications or warnings contained in a product’s approved labeling;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restrictions on how the product is distributed;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of market introduction of competitive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publicity concerning our products or competing products and treatments;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strength of marketing and distribution support;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sufficient third-party coverage or reimbursement;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prevalence and severity of any side effects.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product candidates we develop do not achieve an adequate level of acceptance, we may not generate significant product revenue, and we may not become profitable.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are able to commercialize any product candidates, such products may become subject to unfavorable pricing regulations, third-party reimbursement practices or healthcare reform initiatives, which would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Drug pricing and access policies in the United States and internationally may change and negatively impact the commercial viability of our product candidates. Proposed policy changes, including the potential for Medicare to negotiate with drug manufacturers, or the Medicare Drug Price Negotiation Program, under the Inflation Reduction Act of 2022, or the IRA, may limit our ability to competitively price our product candidates, if approved. Further, commercial insurers may limit patient access to our product candidates, if approved and other branded therapies. The regulations that govern marketing approvals, pricing and reimbursement for new drugs vary widely from country to country. In the United States, recently enacted legislation may significantly change the approval requirements in ways that could involve additional costs and cause delays in obtaining approvals. Some countries require approval of the sale price of a drug before it can be marketed. In many countries, the pricing review period begins after marketing or product licensing approval is granted. In some foreign markets, prescription pharmaceutical pricing remains subject to continuing governmental control even after initial approval is granted. As a result, we might obtain marketing approval for a product in a particular country, but then be subject to price regulations that delay our commercial launch of the product, possibly for lengthy time periods, and negatively impact the revenue we are able to generate from the sale of the product in that country. Adverse pricing limitations may hinder our ability to recoup our investment in one or more product candidates, even if any product candidates we may develop obtain marketing approval.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successfully commercialize any products that we may develop also will depend in part on the extent to which reimbursement for these products and related treatments will be available from government health administration authorities, private health insurers, and other organizations. Government authorities and third-party payors, such as private health insurers and health maintenance organizations, decide which medications they will pay for and establish reimbursement levels. A primary trend in the U.S. healthcare industry and elsewhere is cost containment. Government authorities and third-party payors have attempted to control costs by limiting coverage and the amount of reimbursement for particular medications. Government authorities currently impose mandatory discounts for certain patient groups, such as Medicare, Medicaid and Veterans Affairs, or VA, hospitals, and may seek to increase such discounts at any time. Future regulation may negatively impact the price of our products, if approved. Increasingly, third-party payors are requiring that drug companies provide them with predetermined discounts from list prices and are challenging the prices charged for medical products. We cannot be sure that reimbursement will be available for any product candidate that we commercialize and, if reimbursement is available, that the level of reimbursement will be sufficient.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Reimbursement may impact the demand for, or the price of, any product candidate for which we obtain marketing approval. In order to get reimbursement, physicians may need to show that patients have superior treatment outcomes with our products compared to standard of care drugs, including lower-priced generic versions of standard of care drugs. If reimbursement is not available or is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available only at limited levels, we may not be able to successfully commercialize any product candidate for which we obtain marketing approval. In the United States, no uniform policy of coverage and reimbursement for products exists among third-party payors and coverage and reimbursement levels for products can differ significantly from payor to payor. As a result, the coverage determination process is often a time consuming and costly process that may require us to provide scientific and clinical support for the use of our products to each payor separately, with no assurance that coverage and adequate reimbursement will be applied consistently or obtained in the first instance.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may be significant delays in obtaining reimbursement for newly approved drugs, and coverage may be more limited than the purposes for which the medicine is approved by the FDA, EMA or other comparable foreign regulatory authorities. Moreover, eligibility for reimbursement does not imply that any drug will be paid for in all cases or at a rate that covers our costs, including research, development, manufacture, sale, and distribution. Interim reimbursement levels for new drugs, if applicable, may also not be sufficient to cover our costs and may not be made permanent. Reimbursement rates may vary according to the use of the drug and the clinical setting in which it is used, may be based on reimbursement levels already set for lower cost drugs and may be incorporated into existing payments for other services. Net prices for drugs may be reduced by mandatory discounts or rebates required by government healthcare programs or private payors and by any future relaxation of laws that presently restrict imports of drugs from countries where they may be sold at lower prices than in the United States. Third-party payors often rely upon Medicare coverage policy and payment limitations in setting their own reimbursement policies. Further, coverage policies and third-party payor reimbursement rates may change at any time. Therefore, even if favorable coverage and reimbursement status is attained, less favorable coverage policies and reimbursement rates may be implemented in the future. Our inability to promptly obtain and maintain coverage and profitable payment rates from both government-funded and private payors for any approved products we may develop could have a material adverse effect on our operating results, our ability to raise capital needed to commercialize product candidates, and our overall financial condition.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product candidates may face competition from biological products that are biosimilar to or interchangeable with our product candidates sooner than anticipated.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Biologics Price Competition and Innovation Act of 2009, or BPCIA, created an abbreviated approval pathway for biological products that are biosimilar to or interchangeable with an FDA-licensed reference biological product. Under the BPCIA, an application for a biosimilar product may not be submitted to the FDA until four years following the date that the reference product was first licensed by the FDA. In addition, the approval of a biosimilar product may not be made effective by the FDA until 12 years from the date on which the reference product was first licensed. During this 12-year period of exclusivity, another company may still market a competing version of the reference product if the FDA approves a full BLA for the competing product containing the sponsor’s own preclinical data and data from adequate and well-controlled clinical trials to demonstrate the safety, purity and potency of their product. The law is complex and is still being interpreted and implemented by the FDA. As a result, its ultimate impact, implementation and meaning are subject to uncertainty.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believe that any of our product candidates approved as a biological product under a BLA should qualify for the 12-year period of exclusivity. However, there is a risk that this exclusivity could be shortened due to congressional action or otherwise, or that the FDA will not consider our product candidates to be reference products for competing products, potentially creating the opportunity for generic competition sooner than anticipated. Other aspects of the BPCIA, some of which may impact the BPCIA exclusivity provisions, have also been the subject of recent litigation. Moreover, the extent to which a biosimilar, once approved, will be substituted for any one of our reference products in a way that is similar to traditional generic substitution for non-biological products is not yet clear, and will depend on a number of marketplace and regulatory factors that are still developing. </w:t>
      </w:r>
    </w:p>
    <w:p>
      <w:pPr>
        <w:pStyle w:val="TextBody"/>
        <w:bidi w:val="0"/>
        <w:spacing w:before="240" w:after="283"/>
        <w:jc w:val="left"/>
        <w:rPr>
          <w:rFonts w:ascii="Times New Roman" w:hAnsi="Times New Roman"/>
          <w:sz w:val="20"/>
        </w:rPr>
      </w:pPr>
      <w:r>
        <w:rPr>
          <w:rFonts w:ascii="Times New Roman" w:hAnsi="Times New Roman"/>
          <w:b/>
          <w:i/>
          <w:color w:val="000000"/>
          <w:sz w:val="20"/>
        </w:rPr>
        <w:t>If product liability lawsuits are brought against us, we may incur substantial liabilities and may be required to limit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face an inherent risk of product liability as a result of the clinical testing of our product candidates and will face an even greater risk when and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testing and commercialization of our product candidates. Even successful defense would require significant financial and management resources. Regardless of the merits or eventual outcome, liability claims may result in: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decreased or interrupted demand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injury to our reputation;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withdrawal of clinical trial participants and inability to continue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initiation of investigations by regulators;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costs to defend the related litigation;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diversion of management’s time and our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substantial monetary awards to trial participants or patients;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 recalls, withdrawals or labeling, marketing or promotional restrictions;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loss of revenue;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exhaustion of any available insurance and our capital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commercialize any product candidate;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 decline in our share price.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obtain sufficient product liability insurance at an acceptable cost to protect against potential product liability claims could prevent or inhibit the commercialization of products we develop, alone or with collaborators. Our insurance policies may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Regulatory Approval and Other Legal Compliance Matters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The regulatory approval processes of the FDA, EMA and comparable foreign regulatory authorities are lengthy, time consuming, and inherently unpredictable. If we are ultimately unable to obtain regulatory approval for our product candidates, we will be unable to generate product revenue and our business will be substantially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time required to obtain approval by the FDA, EMA and comparable foreign regulatory authorities is unpredictable, typically takes many years following the commencement of clinical trials and depends upon numerous factors, including the type, complexity and novelty of the product candidates involved. In addition, approval policies, regulations or the type and amount of clinical data necessary to gain approval may change during the course of a product candidate’s clinical development and may vary among jurisdictions, which may cause delays in the approval or the decision not to approve an application. Regulatory authorities have substantial discretion in the approval process and may refuse to accept any application or may decide that our data are insufficient for approval and require additional preclinical, clinical or other studies. We have not submitted for or obtained regulatory approval for any product candidate, and it is possible that none of our existing product candidates or any product candidates we may seek to develop in the future will ever obtain regulatory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Applications for our product candidates could fail to receive regulatory approval for many reasons, including but not limited to the following: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disagree with the design, implementation or results of our clinical trials or the portfolio of clinical trials planned for submission in our BLA;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determine that our product candidates are not safe and effective, only moderately effective or have undesirable or unintended side effects, toxicities or other characteristics that preclude our obtaining marketing approval or prevent or limit commercial use of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population studied in the clinical program may not be sufficiently broad or representative to assure efficacy and safety in the full population for which we seek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demonstrate to the FDA, EMA or comparable foreign regulatory authorities that a product candidate’s risk-benefit ratio for its proposed indication(s), when compared to the standard of care, is acceptable;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disagree with our interpretation of data from preclinical studies or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data collected from clinical trials of our product candidates may not be sufficient to support the submission of a BLA or other submission or to obtain regulatory approval in the United States or elsewhere;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study data may not be positive in all clinical trials demonstrating a mix of positive and negative clinical trial results;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FDA, EMA or comparable foreign regulatory authorities may fail to approve the chemistry, manufacturing and controls processes, test procedures and specifications, or facilities or third-party manufacturers with which we contract for clinical and commercial supplies;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approval policies or regulations of the FDA, EMA or comparable foreign regulatory authorities may significantly change in a manner rendering our clinical data insufficient for approval.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This lengthy approval process, as well as the unpredictability of the results of clinical trials, may result in our failing to obtain regulatory approval to market any of our product candidates, which would significantly harm our business,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We have conducted clinical trials for our product candidates outside the United States (or the respective jurisdictions of other regulatory authorities), and the FDA (or EMA and applicable foreign regulatory authorities) may not accept data from such trials.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conducted one or more of our clinical trials outside the United States, including Europe and other foreign countries. The acceptance of study data from global clinical trials by the FDA, EMA or applicable foreign regulatory authority may be subject to certain conditions. In cases where data from foreign clinical trials are intended to serve as the basis for marketing approval in the United States, the FDA will generally not approve the application on the basis of foreign data alone unless (1) the data are applicable to the U.S. population and U.S. medical practice and (2) the trials were performed by clinical investigators of recognized competence and pursuant to GCP regulations. Additionally, the FDA’s clinical trial requirements, including sufficient size of patient populations and statistical powering, must be met. Many foreign regulatory bodies have similar approval requirements. In addition, such foreign trials would be subject to the applicable local laws of the foreign jurisdictions where the trials are conducted. There can be no assurance that the FDA, EMA or any applicable foreign regulatory authority will accept data from trials conducted outside of their respective jurisdiction. If the FDA, EMA or any applicable foreign regulatory authority does not accept such data, it would result in the need for additional trials, which would be costly and time-consuming, would delay aspects of our business plan and which may result in our product candidates not receiving approval or clearance for commercialization in the applicable jurisdiction.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regulatory approval of our product candidates in one jurisdiction does not mean that we will be successful in obtaining regulatory approval of our product candidates in other jurisdictions.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regulatory approval of our product candidates in one jurisdiction does not guarantee that we will be able to obtain or maintain regulatory approval in any other jurisdiction, but a failure or delay in obtaining regulatory approval in one jurisdiction may have a negative effect on the regulatory approval process in others. For example, even if the FDA, EMA or grants marketing approval of a product candidate, we would not be permitted to manufacture, market or promote the product candidate in other countries unless and until comparable regulatory authorities in foreign jurisdictions had approved the candidate for use in their countries. Approval procedures vary among jurisdictions and can involve requirements and administrative review periods different from those in the United States, including additional preclinical studies or clinical trials. There can be no assurance that any clinical trials conducted in one jurisdiction will be accepted by regulatory authorities in other jurisdictions.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foreign regulatory approvals and compliance with foreign regulatory requirements could result in significant delays, difficulties and costs for us and could delay or prevent the introduction of our products in certain countries. If we or any collaborator we work with fail to comply with the regulatory requirements in international markets or fail to receive applicable marketing approvals, our target market will be reduced and our ability to realize the full market potential of our product candidates will be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Even if we obtain regulatory approval for a product candidate, our products will remain subject to extensive obligations and continued regulatory review, which may result in significant additional expense, and we may be subject to penalties if we fail to comply with regulatory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any of our product candidates are approved, they will be subject to on-going regulatory requirements for manufacturing, labeling, packaging, storage, advertising, promotion, sampling, record-keeping, conduct of post-marketing studies and submission of safety, efficacy and other post-market information, including both federal and state requirements in the United States and requirements of comparable foreign regulatory authorities.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Manufacturers and manufacturers’ facilities are required to comply with extensive requirements imposed by the FDA, EMA and comparable foreign regulatory authorities, including ensuring that quality control and manufacturing procedures conform to cGMP regulations. As such, we and our contract manufacturers will be subject to continual review and inspections to assess compliance with cGMP and adherence to commitments made in any BLA or marketing authorization application, or MAA. Accordingly, we and others with whom we work must continue to expend time, money and effort in all areas of regulatory compliance, including manufacturing, production and quality control.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regulatory approvals that we receive for our product candidates will be subject to limitations on the approved indicated uses for which the product may be marketed and promoted or to the conditions of approval (including the requirement to implement a REMS), or contain requirements for potentially costly post-marketing testing. We will be required to report certain adverse reactions and production problems, if any, to the FDA, EMA and comparable foreign regulatory authorities. Any new legislation addressing drug safety issues could result in delays in product development or commercialization, or increased costs to assure compliance. The FDA and other agencies, including the Department of Justice, closely regulate and monitor the post-approval marketing and promotion of products to ensure that they are manufactured, marketed and distributed only for the approved indications and in accordance with the provisions of the approved labeling. We will have to comply with requirements concerning advertising and promotion for our products. Promotional communications with respect to prescription drugs are subject to a variety of legal and regulatory restrictions and must be consistent with the information in the product’s approved label. As such, we may not promote our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products for indications or uses for which they do not have approval. The holder of an approved BLA or MAA must submit new or supplemental applications and obtain approval for certain changes to the approved product, product labeling or manufacturing process. We could also be asked to conduct post-marketing clinical trials to verify the safety and efficacy of our products in general or in specific patient subsets. If original marketing approval was obtained via the accelerated approval pathway, we could be required to conduct a successful post-marketing clinical trial to confirm clinical benefit for our products. An unsuccessful post-marketing study or failure to complete such a study could result in the withdrawal of marketing approval.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a regulatory agency discovers previously unknown problems with a product, such as adverse events of unanticipated severity or frequency, or problems with the facility where the product is manufactured, or disagrees with the promotion, marketing or labeling of a product, such regulatory agency may impose restrictions on that product or us, including requiring withdrawal of the product from the market. If we fail to comply with applicable regulatory requirements, a regulatory agency or enforcement authority may, among other things: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 fines, warning letters or other enforcement-related letters that would result in adverse publicity;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civil or criminal penalties;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or withdraw regulatory approvals;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suspend any of our on-going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refuse to approve pending applications or supplements to approved applications submitted by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impose restrictions on our operations, including closing our contract manufacturers’ facilities;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seize or detain products; 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a product recall.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 from our products. If regulatory sanctions are applied or if regulatory approval is withdrawn, the value of our company and our operating results will be adversely affected.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In addition, the policies of the FDA and of other regulatory authorities may change and additional government regulations may be enacted that could prevent, limit or delay regulatory approval of our product candidates. For example, the U.S. Supreme Court’s June 2024 decision in </w:t>
      </w:r>
      <w:r>
        <w:rPr>
          <w:rFonts w:ascii="Times New Roman" w:hAnsi="Times New Roman"/>
          <w:i/>
          <w:color w:val="000000"/>
          <w:sz w:val="20"/>
        </w:rPr>
        <w:t>Loper Bright Enterprises v. Raimondo</w:t>
      </w:r>
      <w:r>
        <w:rPr>
          <w:rFonts w:ascii="Times New Roman" w:hAnsi="Times New Roman"/>
          <w:color w:val="000000"/>
          <w:sz w:val="20"/>
        </w:rPr>
        <w:t xml:space="preserve"> overturned the longstanding Chevron doctrine, under which courts were required to give deference to regulatory agencies’ reasonable interpretations of ambiguous federal statutes. The </w:t>
      </w:r>
      <w:r>
        <w:rPr>
          <w:rFonts w:ascii="Times New Roman" w:hAnsi="Times New Roman"/>
          <w:i/>
          <w:color w:val="000000"/>
          <w:sz w:val="20"/>
        </w:rPr>
        <w:t>Loper</w:t>
      </w:r>
      <w:r>
        <w:rPr>
          <w:rFonts w:ascii="Times New Roman" w:hAnsi="Times New Roman"/>
          <w:color w:val="000000"/>
          <w:sz w:val="20"/>
        </w:rPr>
        <w:t xml:space="preserve"> decision could result in additional legal challenges to regulations and decisions issued by federal agencies, including the FDA, on which we rely. Any such legal challenges, if successful, could have a material impact on our business. Additionally, the </w:t>
      </w:r>
      <w:r>
        <w:rPr>
          <w:rFonts w:ascii="Times New Roman" w:hAnsi="Times New Roman"/>
          <w:i/>
          <w:color w:val="000000"/>
          <w:sz w:val="20"/>
        </w:rPr>
        <w:t>Loper</w:t>
      </w:r>
      <w:r>
        <w:rPr>
          <w:rFonts w:ascii="Times New Roman" w:hAnsi="Times New Roman"/>
          <w:color w:val="000000"/>
          <w:sz w:val="20"/>
        </w:rPr>
        <w:t xml:space="preserve"> decision may result in increased regulatory uncertainty, inconsistent judicial interpretations, and other impacts to the agency rulemaking process, any of which could adversely impact our business and operations. We cannot predict the likelihood, nature or extent of government regulation that may arise from future legislation or administrative action, either in the United States or abroad.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Disruptions at the FDA and other government agencies and regulatory authorities caused by funding shortages or a government shutdown could hinder their ability to hire and retain key leadership and other personnel, prevent new products and services from being developed or commercialized in a timely manner or otherwise prevent those agencies from performing normal business functions on which the operation of our business may rely, which could negatively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ability of the FDA and comparable foreign regulatory authorities to review and approve new products can be affected by a variety of factors, including government budget and funding levels, government shutdowns, ability to hire and retain key personnel and accept the payment of user fees, and statutory, regulatory, and policy changes. Average review times at the agency have fluctuated in recent years as a result. In addition, government funding of the SEC and other government agencies on which our operations may rely, including those that fund research and development activities, is subject to the political process, which is inherently fluid and unpredictable.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Disruptions at the FDA and other agencies and comparable regulatory authorities may also slow the time necessary for new drugs or biologics to be reviewed and/or approved by necessary government agencies and regulatory authorities, which would adversely affect our business. For example, over the last several years, including the recent government shutdown that began on October 1, 2025, and previously from December 22, 2018 to January 25, 2019, the U.S. government has shut down several times and certain regulatory agencies, such as the FDA and the SEC, have had to furlough critical FDA, SEC and other government employees and stop critical activities. If the current government shutdown continues or a prolonged government shutdown occurs, it could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significantly impact the ability of the FDA to timely review and process our regulatory submissions, which could have a material adverse effect on our business.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Healthcare legislative measures aimed at reducing healthcare costs may have a material adverse effect on our business and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payors, whether domestic or foreign, or governmental or commercial, are developing increasingly sophisticated methods of controlling healthcare costs. In both the United States and certain international jurisdictions, there have been a number of legislative and regulatory changes to the health care system that could impact our ability to sell our products profitably. In particular, in 2010, the Patient Protection and Affordable Care Act, as amended by the Health Care and Education Reconciliation Act, or collectively the ACA, was enacted, which, among other things, subjected biologic products to potential competition by lower-cost biosimilars, addressed a methodology by which rebates owed by manufacturers under the Medicaid Drug Rebate Program are calculated for drugs that are inhaled, infused, instilled, implanted or injected, increased the minimum Medicaid rebates owed by most manufacturers under the Medicaid Drug Rebate Program, extended the Medicaid Drug Rebate Program to utilization of prescriptions of individuals enrolled in Medicaid managed care organizations, subjected manufacturers to annual fees and taxes for certain branded prescription drugs, and provided incentives to programs that increase the federal government’s comparative effectiveness research.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Since the ACA’s enactment, there have been numerous challenges and amendments to the ACA. For example, on August 16, 2022, the IRA was signed into law, which among other things, extends enhanced subsidies for individuals purchasing health insurance coverage in ACA marketplaces through plan year 2025. The IRA also eliminates the “donut hole” under the Medicare Part D program beginning in 2025 by significantly lowering the beneficiary maximum out-of-pocket cost through a newly established manufacturer discount program. It is unclear how any such challenges and any additional healthcare reform measures of the second Trump administration will impact the ACA and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other legislative changes have been proposed and adopted in the United States since the ACA was enacted. For example, on July 4, 2025, the annual reconciliation bill, the “One Big Beautiful Bill Act,” or OBBBA, was signed into law which is expected to reduce Medicaid spending and enrollment by implementing work requirements for some beneficiaries, capping state-directed payments, reducing federal funding, and limiting provider taxes used to fund the program. OBBBA also narrows access to ACA marketplace exchange enrollment and declines to extend the ACA enhanced advanced premium tax credits, set to expire in 2025, which, among other provisions in the law, are anticipated to reduce the number of Americans with health insurance. Additionally, these changes include aggregate reductions to Medicare payments to providers of 2% per fiscal year pursuant to the Budget Control Act of 2011, which began in 2013 and, due to subsequent legislative amendments to the statute, including the Infrastructure Investment and Jobs Act, will remain in effect until 2032 unless additional Congressional action is taken. Further, on March 11, 2021, the American Rescue Plan Act of 2021 was signed into law, which eliminates the statutory Medicaid drug rebate cap for single source and innovator multiple source drugs, effective January 1, 2024.</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There have been, and likely will continue to be, legislative and regulatory proposals at the foreign, federal and state levels directed at containing or lowering the cost of healthcare. We cannot predict the initiatives that may be adopted in the future. The continuing efforts of the government, insurance companies, managed care organizations and other payors of healthcare services to contain or reduce costs of healthcare and/or impose price controls may adversely affect: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demand for our product candidates, if we obtain regulatory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receive or set a price that we believe is fair for our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or maintain profitability;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taxes that we are required to pay;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availability of capital.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there has been heightened governmental scrutiny in the United States of pharmaceutical pricing practices in light of the rising cost of prescription drugs and biologics. Such scrutiny has resulted in several recent congressional inquiries and proposed and enacted federal and state legislation designed to, among other things, bring more transparency to product pricing, review the relationship between pricing and manufacturer patient programs, and reform government program reimbursement methodologies. At the federal level, the IRA, among other things, (i) directs HHS to negotiate the price of certain high-expenditure, single-source drugs that have been on the market for at least 7 years and biologics that have been on the market for at least 11 years covered under Medicare, and subject drug manufacturers to civil monetary penalties and a potential excise tax by offering a price that is not equal to or less than the negotiated “maximum fair price” for such drugs and biologics under the law, and (ii) imposes rebates with respect to certain drugs and biologics covered under Medicare Part B or Medicare Part D to penalize price increases that outpace inflation. The IRA permits HHS to implement many of these provisions through guidance, as opposed to regulation, for the initial years. HHS has and will continue to issue and update guidance as these programs are implemented. These provisions began to take effect progressively starting in fiscal year 2023. On August 15, 2024, HHS announced the agreed-upon reimbursement prices of the first ten drugs that were subject to price negotiations, although the Medicare Drug Price Negotiation Program is currently subject to legal challenges. On January 17, 2025, HHS selected fifteen additional products covered under Part D for price negotiation in 2025. Each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year thereafter more Part B and Part D products will become subject to the Medicare Drug Price Negotiation Program. Further, on December 7, 2023, an initiative to control the price of prescription drugs through the use of march-in rights under the Bayh-Dole Act was announced. On December 8, 2023, the National Institute of Standards and Technology published for comment a Draft Interagency Guidance Framework for Considering the Exercise of March-In Rights which for the first time includes the price of a product as one factor an agency can use when deciding to exercise march-in rights. While march-in rights have not previously been exercised, it is uncertain if that will continue under the new framework.</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At the state level, legislatures have increasingly passed legislation and implemented regulations designed to control pharmaceutical and biological product pricing, including price or patient reimbursement constraints, discounts, restrictions on certain product access and marketing cost disclosure and transparency measures, and, in some cases, designed to encourage importation from other countries and bulk purchasing.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that the ACA, the IRA, as well as other healthcare reform measures that may be adopted in the future, particularly given the recent change in administration, may result in additional reductions in Medicare and other healthcare funding, more rigorous coverage criteria, lower reimbursement and new payment methodologies. Further, the current administration is pursuing policies to reduce regulations and expenditures across government including at HHS, the FDA, CMS and related agencies. These actions, presently directed by executive orders or memoranda from the Office of Management and Budget, may propose policy changes that create additional uncertainty for our business. These actions and proposals include, for example, (1) reducing agency workforce; (2) directing program cuts; (3) rescinding a Biden administration executive order tasking the CMMI to consider new payment and healthcare models to limit drug spending and eliminating the Biden administration’s executive order that directed HHS to establishing an AI task force and developing a strategic plan; (4) directing HHS to lower prescription drug costs for Medicare through a variety of initiatives, including by improving upon the Medicare Drug Price Negotiation Program and establishing Most-Favored-Nation pricing for pharmaceutical products; (5) imposing tariffs of imported pharmaceutical products; and (6) directing certain federal agencies to enforce existing law regarding hospital and plan price transparency and by standardizing prices across hospitals and health plans. Congress may introduce and ultimately pass health care related legislation that could impact the drug approval process and make changes to the Medicare Drug Price Negotiation Program created under the IRA. This could lower the price that we receive for any approved product. Any denial in coverage or reduction in reimbursement from Medicare or other government-funded programs may result in a similar denial or reduction in payments from private payors, which may prevent us from being able to generate sufficient revenue, attain profitability or commercialize our product candidates, if approved.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employees, independent contractors, consultants, commercial partners and vendors may engage in misconduct or other improper activities, including noncompliance with regulatory standards and requirements or insider trading violations, which could significantly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EMA and other comparable foreign regulatory authorities; provide true, complete and accurate information to the FDA, EMA and other comparable foreign regulatory authorities;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In particular, research, sales, marketing, education and other business arrangements in the healthcare industry are subject to extensive laws designed to prevent fraud, kickbacks, self-dealing and other abusive practices. These laws and regulations may restrict or prohibit a wide range of pricing, discounting, educating, marketing and promotion, sales and commission,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Employee misconduct could also involve the improper use of, including improper trading based upon, information obtained in the course of clinical studies, which could result in regulatory sanctions and serious harm to our reputation.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adopted a code of business conduct and ethics that applies to all our employees, including management, and our directors. However, it is not always possible to identify and deter misconduct by employees and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If any such actions are instituted against us, and we are not successful in defending ourselves or asserting our rights, those actions could have a significant impact on our business, including the imposition of significant fines or other sanctions.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comply with healthcare laws, we could face substantial penalties and our business, operations and financial conditions could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future arrangements with healthcare providers, third-party payors, customers, and others may expose us to broadly applicable fraud and abuse and other healthcare laws and regulations, which may constrain the business or financial arrangements and relationships through which we research, as well as, sell, market and distribute any products for which we obtain marketing approval. The laws that may impact our operations include: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Anti-Kickback Statute, which prohibits, among other things, persons and entities from knowingly and willfully soliciting, receiving, offering or paying any remuneration (including any kickback, bribe or rebate), directly or indirectly, overtly or covertly, in cash or in kind, to induce, or in return for, either the referral of an individual, or the purchase, lease, order or recommendation of any good, facility, item or service for which payment may be made, in whole or in part, under a federal healthcare program, such as the Medicare and Medicaid programs. A person or entity does not need to have actual knowledge of the statute or specific intent to violate it in order to have committed a violation. In addition, the government may assert that a claim including items or services resulting from a violation of the federal Anti-Kickback Statute constitutes a false or fraudulent claim for purposes of the False Claims Act;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civil and criminal false claims laws, including the False Claims Act, which can be enforced by private citizens on behalf of the government through civil whistleblower or qui tam actions, and civil monetary penalty laws, which impose criminal and civil penalties against individuals or entities from knowingly presenting, or causing to be presented, claims for payment or approval from Medicare, Medicaid or other third-party payors that are false or fraudulent or knowingly making a false statement to improperly avoid, decrease or conceal an obligation to pay money to the federal government;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Health Insurance Portability and Accountability Act of 1996, or HIPAA, which created new federal criminal statutes that prohibit knowingly and willfully executing, or attempting to execute, a scheme to defraud any healthcare benefit program or obtain, by means of false or fraudulent pretenses, representations, or promises, any of the money or property owned by, or under the custody or control of, any healthcare benefit program, regardless of the payor (e.g., public or private) and knowingly and willfully falsifying, concealing or covering up by any trick or device a material fact or making any materially false statements in connection with the delivery of, or payment for, healthcare benefits, items or services relating to healthcare matters. Similar to the federal Anti-Kickback Statute, a person or entity does not need to have actual knowledge of these statutes or specific intent to violate them in order to have committed a violation;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HIPAA, as amended by the Health Information Technology for Economic and Clinical Health Act of 2009, or HITECH, and their respective implementing regulations, which impose requirements on certain covered healthcare providers, health plans and healthcare clearinghouses and their respective business associates and their subcontractors that perform services for them that involve the use, or disclosure of, individually identifiable health information as well as their covered subcontractors, relating to the privacy, security and transmission of individually identifiable health information;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federal Physician Payments Sunshine Act, created under the ACA, and its implementing regulations, which require manufacturers of drugs, devices, biologicals and medical supplies for which payment is available under Medicare, Medicaid or the Children’s Health Insurance Program to report annually to the Centers for Medicare &amp; Medicaid Services, or CMS, under the Open Payments Program, information related to payments or other transfers of value made to physicians (defined to include doctors, dentists, optometrists, podiatrists and chiropractors), other healthcare professionals (such as physician assistant and nurse practitioners), and teaching hospitals, as well as ownership and investment interests held by physicians and their immediate family members;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federal consumer protection and unfair competition laws, which broadly regulate marketplace activities and activities that potentially harm consumers;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analogous state and foreign laws and regulations, such as state and foreign anti-kickback, false claims, consumer protection and unfair competition laws which may apply to pharmaceutical business practices, including but not limited to, research, distribution, sales and marketing arrangements as well as submitting claims involving healthcare items or services reimbursed by any third-party payor, including commercial insurers; state laws that require pharmaceutical companies to comply with the pharmaceutical industry’s voluntary compliance guidelines and the relevant compliance guidance promulgated by the federal government that otherwise restricts payments that may be made to healthcare providers and other potential referral sources; state laws that require drug manufacturers to file reports with states regarding pricing and marketing information, such as the tracking and reporting of gifts, compensations and other remuneration and items of value provided to healthcare professionals and entities; state and local laws that require the registration of pharmaceutical sales representatives; and state and foreign laws governing the privacy and security of health information in certain circumstances, many of which differ from each other in significant ways and may not have the same effect, thus complicating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breadth of these laws and the narrowness of the statutory exceptions and safe harbors available, it is possible that some of our business activities could, despite our efforts to comply, be subject to challenge under one or more of such laws. Efforts to ensure that our business arrangements will comply with applicable healthcare laws may involve substantial costs. It is possible that governmental and enforcement authorities will conclude that our business practices may not comply with current or future statutes, regulations or case law interpreting applicable fraud and abuse or other healthcare laws and regulations. If any such actions are instituted against us, and we are not successful in defending ourselves or asserting our rights, those actions could have a significant impact on our business, including the imposition of significant civil, criminal and administrative penalties, damages, disgorgement, monetary fines, imprisonment, possible exclusion from participation in Medicare, Medicaid and other federal healthcare programs, contractual damages, reputational harm, diminished profits and future earnings and curtailment of our operations, any of which could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adversely affect our ability to operate our business and our results of operations. In addition, the approval and commercialization of any of our product candidates outside the United States will also likely subject us to foreign equivalents of the healthcare laws mentioned above, among other foreign laws.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and the third parties with whom we work are subject to stringent and evolving obligations related to data privacy and security. These obligations include U.S. and foreign laws, regulations and rules; contractual obligations; industry standards; and policies. Our (or the third parties with whom we work) actual or perceived failure to comply with such obligations could lead to regulatory investigations and actions; litigation (including class claims) and arbitration; fines and penalties; disruptions of our business operations; reputational harm; loss of revenue and profits; loss of sales; and other adverse business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business, we and the third parties with whom we work collect, receive, store, process, generate, use, transfer, disclose, make accessible, protect, secure, dispose of, transmit, and share (collectively, process) personal data and other sensitive information, including proprietary and confidential business data, trade secrets, intellectual property, data we collect about trial participants in connection with clinical trials, and sensitive third-party data (collectively, sensitive information). Our data processing activities subject us to numerous data privacy and security obligations such as various provincial, state, national, and foreign laws and regulations, as well as guidance, industry standards, internal privacy and security policies, contractual requirements, and other obligations related to data privacy and security. Data privacy and security laws and regulations are evolving and resulting in increased regulatory and public scrutiny and escalating levels of enforcement and sanctions.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the United States, federal, state, and local governments have enacted numerous data privacy and security laws, including data breach notification laws, personal data privacy laws, consumer protection laws and other similar laws (e.g., wiretapping laws). Numerous U.S. states have enacted comprehensive privacy laws that impose certain obligations on covered businesses, including providing specific disclosures in privacy notices and affording residents with certain rights concerning their personal data. As applicable, such rights include, in relation to their personal data, the right to access, correct, delete and opt-out of certain data processing activities (such as targeted advertising, profiling and automated decision-making). The exercise of these rights may impact our business and ability to provide our products and services. Certain states also impose stricter requirements for processing certain personal data, including sensitive information, such as conducting data privacy impact assessments. Certain of these state laws allow for statutory fines for noncompliance. For example, the California Consumer Privacy Act, or the CCPA, provides for civil penalties and a private right of action for certain data breaches (which could lead to the recovery of significant statutory damages). Although these laws may exempt some data processed in the context of clinical trials, these laws increase compliance costs and potential liability for us and the third parties with whom we work. Similar laws are being considered in other states as well as at the federal and local levels. We expect more states to pass similar laws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Outside the United States, an increasing number of laws, regulations, and industry standards apply to data privacy and security. For example, the European Union’s General Data Protection Regulation, or EU GDPR, and the United Kingdom’s GDPR, or UK GDPR (collectively, GDPR), impose strict requirements for processing personal data. Violators of these laws face significant penalties. For example, government regulators may impose temporary or definitive bans on data processing and other corrective actions, as well as fines of up to 20 million Euros (under the EU GDPR) or 17.5 million pounds sterling (under the UK GDPR), or 4% of annual global revenue, whichever is greater, under either law. Further, the EU and UK GDPR also provide for private litigation related to the processing of personal data that can be brought by classes of data subjects or consumer protection organizations authorized at law to represent the data subjects’ interests.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addition, we may be unable to transfer personal data from Europe and other jurisdictions to the United States or other countries due to data localization requirements or limitations on cross-border data transfers. Europe and other jurisdictions have enacted laws requiring data to be localized or limiting the transfer of personal data to other countries. In particular, the European Economic Area (EEA) and the UK have significantly restricted the transfer of personal data to the United States and other countries whose privacy laws it generally believes are inadequate. Other jurisdictions may adopt or have already adopted similarly stringent data localization and cross-border data transfer laws. Although there are currently various mechanisms (such as the EEA standard contractual clauses, the UK’s International Data Transfer Agreement/Addendum, and the EU-U.S. Data Privacy Framework and the UK extension), that may be used to lawfully transfer personal data to the United States or other countries, these mechanisms are subject to legal challenges and there is no assurance that we can satisfy or rely on these measures. An inability or material limitation on our ability to transfer personal data to the United States or other countries could materially impact our business operations. If we cannot implement a valid compliance mechanism for cross-border data transfers, we may face increased exposure to regulatory actions, substantial fines, and injunctions against processing or transferring personal data from Europe and other foreign jurisdictions. The inability to import personal data to the United States could significantly and negatively impact our business operations by limiting our ability to conduct clinical trial activities in Europe and elsewhere; limiting our ability to collaborate with parties that are subject to such cross-border data transfer or localization laws; or requiring us to increase our personal data processing capabilities and infrastructure in foreign jurisdictions at significant expense. Additionally, entities that transfer personal data across borders are subject to increased regulator, individual and activist group scrutiny. Some European regulators have ordered certain companies to suspend or permanently cease certain data transfers out of Europe for allegedly violating the GDPR’s cross-border data transfer requirements.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data privacy and security laws, we are contractually subject to industry standards adopted by industry groups and, we are, and may become in the future, subject to such obligations. We are also bound by contractual obligations related to data privacy and security, and our efforts to comply with such obligations may not be successful. We also publish statements regarding data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privacy and security. Regulators in the U.S. are increasingly scrutinizing these statements, and if these statements are found to be deficient, lacking in transparency, deceptive, unfair, misleading or misrepresentative of our practices, we may be subject to investigation, enforcement actions and other adverse consequences.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Obligations related to data privacy and security (and individuals’ data privacy and security expectations) are quickly changing, becoming increasingly stringent and creating uncertainty. Additionally, these obligations may be subject to differing applications and interpretations which may be inconsistent or conflict among jurisdictions. Preparing for and complying with these obligations requires us to devote significant resources, which may necessitate changes to our services, information technologies, systems and practices and to those of any third parties that process personal data on our behalf. In addition, these obligations may require us to change our business model.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may at times fail (or be perceived to have failed) in our efforts to comply with our data privacy and security obligations. Moreover, despite our efforts, our personnel or third parties with whom we work may fail to comply with such obligations which could negatively impact our business. If we or any third party with whom we work fail or are perceived to have failed to address or comply with applicable obligations relating to data privacy and security, we could face significant consequences, including but not limited to: regulatory fines and bans on processing personal data; investigations and enforcement actions, penalties and other liabilities, litigation (including class action claims and mass arbitration demands); additional reporting requirements and/or oversight; orders to destroy or not use personal data; interruptions to our development process; and damage to our reputation, any of which could materially affect our business, financial condition, results of operations and growth prospects.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or any contract manufacturers and suppliers we engage fail to comply with environmental, health, and safety laws and regulations, we could become subject to fines or penalties or incur costs that could have a material adverse effect on the success of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and any contract manufacturers and suppliers we engage are subject to numerous federal, state and local environmental, health, and safety laws, regulations, and permitting requirements, including those governing laboratory procedures; the generation, handling, use, storage, treatment and disposal of hazardous and regulated materials and wastes; the emission and discharge of hazardous materials into the ground, air and water; and employee health and safety. Our operations involve the use of hazardous and flammable materials, including chemicals and biological and radioactive materials. Our operations also produce hazardous waste.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Under certain environmental laws, we could be held responsible for costs relating to any contamination at our current or past facilities and at third-party facilities. We also could incur significant costs associated with civil or criminal fines and penalties.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applicable environmental laws and regulations may be expensive, and current or future environmental laws and regulations may impair our research, product development and manufacturing efforts. In addition, we cannot entirely eliminate the risk of accidental injury or contamination from these materials or wastes. Although we maintain workers’ compensation insurance to cover us for costs and expenses we may incur due to injuries to our employees resulting from the use of hazardous materials, this insurance may not provide adequate coverage against potential liabilities. We do not carry specific biological or hazardous waste insurance coverage, and our property, casualty, and general liability insurance policies specifically exclude coverage for damages and fines arising from biological or hazardous waste exposure or contamination. Accordingly, in the event of contamination or injury, we could be held liable for damages or be penalized with fines in an amount exceeding our resources, and our clinical trials or regulatory approvals could be suspended, which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activities may be subject to the Foreign Corrupt Practices Act, or FCPA, and similar anti-bribery and anti-corruption laws.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activities may be subject to the FCPA and similar anti-bribery or anti-corruption laws, regulations or rules of other countries in which we operate or may operate in the future, including the UK Bribery Act. The FCPA generally prohibits offering, promising, giving or authorizing others to give anything of value, either directly or indirectly, to a non-U.S. government official in order to influence official action, or otherwise obtain or retain business. The FCPA also requires public companies to make and keep books and records that accurately and fairly reflect the transactions of the corporation and to devise and maintain an adequate system of internal accounting controls. Our business is heavily regulated and therefore involves significant interaction with public officials, including officials of non-U.S. governments. Additionally, in many other countries, the health care providers who prescribe pharmaceuticals are employed by their government, and the purchasers of pharmaceuticals are government entities; therefore, our dealings with these prescribers and purchasers are subject to regulation under the FCPA. Recently the SEC and Department of Justice have increased their FCPA enforcement activities with respect to biotechnology and pharmaceutical companies. There can be no assurance that all of our employees, agents, contractors or collaborators, or those of our affiliates, will comply with all applicable laws and regulations, particularly given the high level of complexity of these laws. Violations of these laws and regulations could result in fines, criminal sanctions against us, our officers, or our employees, the closing down of our facilities, requirements to obtain export licenses, cessation of business activities in sanctioned countries, implementation of compliance programs and prohibitions on the conduct of our business. Any such violations could include prohibitions on our ability to offer our products in one or more countries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39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and could materially damage our reputation, our brand, our ability to attract and retain employees, and our business, prospects, operating results, and financial condition.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Reliance on Third Parties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expect to rely on third parties to conduct many aspects of our clinical trials and some aspects of our research and preclinical testing, and those third parties may not perform satisfactorily, including failing to meet deadlines for the completion of such trials, research or testing.</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expect to continue to rely on third parties, such as clinical investigators, medical institutions, clinical data management organizations, and other third-party vendors, to conduct some aspects of our research, preclinical testing and clinical trials. Any of these third parties may terminate their engagements with us or be unable to fulfill their contractual obligations. If we need to enter into alternative arrangements, it would delay our product development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reliance on these third parties for research and development activities reduces our control over these activities, but does not relieve us of our responsibilities. For example, we remain responsible for ensuring that each of our clinical trials is conducted in accordance with the general investigational plan and protocols for the trial. Moreover, the FDA requires us to comply with GCPs for conducting, recording and reporting the results of clinical trials to assure that data and reported results are credible, reproducible and accurate and that the rights, integrity and confidentiality of trial participants are protected. We are also required to register on-going clinical trials and to post the results of completed clinical trials on a government-sponsored database within certain timeframes. Failure to do so can result in fines, adverse publicity and civil and criminal sanctions.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these third parties do not successfully carry out their contractual duties, meet expected deadlines or conduct our clinical trials in accordance with regulatory requirements or our stated protocols, we will not be able to obtain, or may be delayed in obtaining, marketing approvals for any product candidates we may develop and will not be able to, or may be delayed in our efforts to, successfully commercialize our medicines.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also expect to rely on other third parties to store and distribute drug supplies for our clinical trials. Any performance failure on the part of our distributors could delay clinical development or marketing approval of any product candidates we may develop or commercialization of our medicines, producing additional losses and depriving us of potential product revenue. </w:t>
      </w:r>
    </w:p>
    <w:p>
      <w:pPr>
        <w:pStyle w:val="TextBody"/>
        <w:bidi w:val="0"/>
        <w:spacing w:before="240" w:after="283"/>
        <w:jc w:val="left"/>
        <w:rPr>
          <w:rFonts w:ascii="Times New Roman" w:hAnsi="Times New Roman"/>
          <w:sz w:val="20"/>
        </w:rPr>
      </w:pPr>
      <w:r>
        <w:rPr>
          <w:rFonts w:ascii="Times New Roman" w:hAnsi="Times New Roman"/>
          <w:b/>
          <w:i/>
          <w:color w:val="000000"/>
          <w:sz w:val="20"/>
        </w:rPr>
        <w:t>We contract with third parties for the manufacture of materials for our product candidates and preclinical studies and clinical trials and for commercialization of any product candidates that we may develop. This reliance on third parties carries and may increase the risk that we will not have sufficient quantities of such materials, product candidates or any medicines that we may develop and commercialize, or that such supply will not be available to us at an acceptable cost, which could delay, prevent or impair our development or commercialization efforts.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on a third-party manufacturer, Lonza Group AG, for the manufacture of our materials for preclinical studies and clinical trials and expect to continue to do so for preclinical studies, clinical trials and for commercial supply of any product candidates that we may develop.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unable to establish any further agreements with third-party manufacturers or to do so on acceptable terms. Even if we are able to establish agreements with third-party manufacturers, reliance on third-party manufacturers entails additional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breach of the manufacturing agreement by the third party 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termination or nonrenewal of the agreement by the third party at a time that is costly or inconvenient for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possible early termination of the agreement by us at a time that requires us to pay a cancellation fee;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the third party for regulatory compliance, quality assurance, safety and pharmacovigilance and related reporting;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inability to produce required volume in a timely manner and to quality standards.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Third-party manufacturers may not be able to comply with cGMP regulations or similar regulatory requirements outside the United States. Our failure, or the failure of our third-party manufacturers, to comply with applicable regulations could result in clinical holds on our trials, sanctions being imposed on us, including fines, injunctions, civil penalties, delays, suspension or withdrawal of approvals, license revocations, seizures or recalls of product candidates or medicines, operating restrictions, and criminal prosecutions, any of which could significantly and adversely affect supplies of our medicines and harm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medicines that we may develop may compete with other product candidates and products for access to manufacturing facilities. There are a limited number of manufacturers that operate under cGMP regulations and that might be capable of manufacturing for us.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performance failure on the part of our existing or future manufacturers could delay clinical development or marketing approval. We do not currently have arrangements in place for redundant supply for any of our product candidates. If any one of our current contract manufacturers cannot perform as agreed, we may be required to replace that manufacturer and may incur added costs and delays in identifying and qualifying any such replacement. Furthermore, securing and reserving production capacity with contract manufacturers may result in significant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current and anticipated future reliance upon others for the manufacture of any product candidates we may develop or medicines may adversely affect our future profit margins and our ability to commercialize any medicines that receive marketing approval on a timely and competitive basis. </w:t>
      </w:r>
    </w:p>
    <w:p>
      <w:pPr>
        <w:pStyle w:val="TextBody"/>
        <w:bidi w:val="0"/>
        <w:spacing w:before="240" w:after="283"/>
        <w:jc w:val="left"/>
        <w:rPr>
          <w:rFonts w:ascii="Times New Roman" w:hAnsi="Times New Roman"/>
          <w:sz w:val="20"/>
        </w:rPr>
      </w:pPr>
      <w:r>
        <w:rPr>
          <w:rFonts w:ascii="Times New Roman" w:hAnsi="Times New Roman"/>
          <w:b/>
          <w:i/>
          <w:color w:val="000000"/>
          <w:sz w:val="20"/>
        </w:rPr>
        <w:t>We rely on third-party suppliers for key raw materials used in our manufacturing processes, and the loss of these third-party suppliers or their inability to supply us with adequate raw materials could harm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third-party suppliers for the raw materials required for the production of our product candidates. Our reliance on these third-party suppliers and the challenges we may face in obtaining adequate supplies of raw materials involve several risks, including limited control over pricing, availability, quality and delivery schedules. As a small company, our negotiation leverage is limited and we are likely to get lower priority than our competitors who are larger than we are. We cannot be certain that our suppliers will continue to provide us with the quantities of these raw materials that we require or satisfy our anticipated specifications and quality requirements. Any supply interruption in limited or sole sourced raw materials could materially harm our ability to manufacture our product candidates until a new source of supply, if any, could be identified and qualified. We may be unable to find a sufficient alternative supply channel in a reasonable time or on commercially reasonable terms. Any performance failure on the part of our suppliers could delay the development and potential commercialization of our product candidates, including limiting supplies necessary for clinical trials and regulatory approvals, which would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depend on collaborations with third parties for the research, development and commercialization of certain of the product candidates we may develop. If any such collaborations are not successful, we may not be able to realize the market potential of those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seek third-party collaborators for the research, development and commercialization of certain of the product candidates we may develop. Our likely collaborators for any other collaboration arrangements include large and mid-size pharmaceutical companies, regional and national pharmaceutical companies, biotechnology companies and academic institutions. If we enter into any such arrangements with any third parties, we will likely have shared or limited control over the amount and timing of resources that our collaborators dedicate to the development or potential commercialization of any product candidates we may seek to develop with them. Our ability to generate revenue from these arrangements with commercial entities will depend on our collaborators’ abilities to successfully perform the functions assigned to them in these arrangements. We cannot predict the success of any collaboration that we enter into.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involving our product candidates we may develop, pose the following risks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generally have significant discretion in determining the efforts and resources that they will apply to these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not properly obtain, maintain, enforce or defend intellectual property or proprietary rights relating to our product candidates or may use our proprietary information in such a way as to expose us to potential litigation or other intellectual property related proceedings, including proceedings challenging the scope, ownership, validity and enforceability of our intellectual property;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own or co-own intellectual property covering our product candidates that result from our collaboration with them, and in such cases, we may not have the exclusive right to commercialize such intellectual property or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with respect to the ownership of intellectual property developed pursuant to collaborations;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need the cooperation of our collaborators to enforce or defend any intellectual property we contribute to or that arises out of our collaborations, which may not be provided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infringe the intellectual property rights of third parties, which may expose us to litigation and potential liability;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disputes may arise between the collaborators and us that result in the delay or termination of the research, development, or commercialization of our product candidates or that result in costly litigation or arbitration that diverts management attention and resources;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decide not to pursue development and commercialization of any product candidates we develop or may elect not to continue or renew development or commercialization programs based on clinical trial results, changes in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pPr>
      <w:r>
        <w:rPr>
          <w:rFonts w:ascii="Times New Roman" w:hAnsi="Times New Roman"/>
          <w:color w:val="000000"/>
          <w:sz w:val="20"/>
        </w:rPr>
        <w:t>collaborator’s strategic focus or available funding or external factors such as an acquisition that diverts resources or creates competing priorities;</w:t>
      </w:r>
      <w:r>
        <w:rPr>
          <w:color w:val="000000"/>
        </w:rPr>
        <w:t xml:space="preserv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delay clinical trials, provide insufficient funding for a clinical trial, stop a clinical trial or abandon a product candidate, repeat or conduct new clinical trials, or require a new formulation of a product candidate for clinical testing;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could independently develop, or develop with third parties, products that compete directly or indirectly with our product candidates if the collaborators believe that competitive products are more likely to be successfully developed or can be commercialized under terms that are more economically attractive than ours;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with marketing and distribution rights to one or more product candidates may not commit sufficient resources to the marketing and distribution of such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lose certain valuable rights under circumstances identified in our collaborations, including if we undergo a change of control;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undergo a change of control and the new owners may decide to take the collaboration in a direction which is not in our best interest;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become party to a business combination transaction and the continued pursuit and emphasis on our development or commercialization program by the resulting entity under our existing collaboration could be delayed, diminished or terminated;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collaborators may become bankrupt, which may significantly delay our research or development programs, or may cause us to lose access to valuable technology, know-how or intellectual property of the collaborator relating to our products,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key personnel at our collaborators may leave, which could negatively impact our ability to productively work with our collaborators;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require us to incur short and long-term expenditures, issue securities that dilute our stockholders, or disrupt our management and business;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collaborations may be terminated and, if terminated, may result in a need for additional capital to pursue further development or commercialization of the applicable product candidates or our ABC Platform;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collaboration agreements may not lead to development or commercialization of product candidates in the most efficient manner or at all.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face significant competition in seeking appropriate collaborations. Recent business combinations among biotechnology and pharmaceutical companies have resulted in a reduced number of potential collaborators. In addition, the negotiation process is time-consuming and complex, and we may not be able to negotiate collaborations on a timely basis, on acceptable terms, or at all. If we are unable to do so, we may have to curtail the development of the product candidate for which we are seeking to collaborate or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product candidates or bring them to market and generate product revenue.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enter into collaborations to develop and potentially commercialize any product candidates, we may not be able to realize the benefit of such transactions if we or our collaborator elect not to exercise the rights granted under the agreement or if we or our collaborator are unable to successfully integrate a product candidate into existing operations and company culture. In addition, if our agreement with any of our collaborators terminates, our access to technology and intellectual property licensed to us by that collaborator may be restricted or terminate entirely, which may delay our continued development of our product candidates utilizing the collaborator’s technology or intellectual property or require us to stop development of those product candidates completely. We may also find it more difficult to find a suitable replacement collaborator or attract new collaborators, and our development programs may be delayed or the perception of us in the business and financial communities could be adversely affected. Any collaborator may also be subject to many of the risks relating to product development, regulatory approval, and commercialization described in this “Risk Factors” section, and any negative impact on our collaborators may adversely affect us.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Reliance on third parties requires us to share our trade secrets, which increases the possibility that a competitor will discover them or that our trade secrets will be misappropriated or disclosed.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Reliance on third parties to conduct clinical trials, assist in research and development and to manufacture our product candidates, will at times require us to share trade secrets with them. We seek to protect our proprietary technology by in part entering into confidentiality agreements and, if applicable, material transfer agreements, consulting agreements or other similar agreements with our advisors, employees, third-party contractors and consultants prior to beginning research or disclosing proprietary information. These agreements typically limit the rights of the third parties to use or disclose our confidential information, including our trade secrets. Despite the contractual provisions employed when working with third parties, the need to share trade secrets and other confidential information increases the risk that such trade secrets become known by our competitors, are inadvertently incorporated into the technology of others, or are disclosed or used in violation of these agreements. Given that our proprietary position is based, in part, on our know-how and trade secrets, a competitor’s independent discovery of our trade secrets or other unauthorized use or disclosure would impair our competitive position and may have a material adverse effect on our business.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If we are unable to obtain and maintain patent protection for any product candidates we develop or for our ABC Platform, our competitors could develop and commercialize products or technology similar or identical to ours, and our ability to successfully commercialize any product candidates we may develop, and our technology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success depends in large part on our ability to obtain and maintain patent protection in the United States and other countries with respect to our ABC Platform and any proprietary product candidates and other technologies we may develop. We seek to protect our proprietary position by in-licensing intellectual property and filing patent applications in the United States and abroad relating to our ABC Platform, product candidates and other technologies that are important to our business. Given that the development of our technology and product candidates is at an early stage, our intellectual property portfolio directed to certain aspects of our technology and product candidates is also at an early stage. We have filed or intend to file patent applications on core aspects of our technology and product candidates; however, there can be no assurance that any such patent applications will issue as granted patents. Furthermore, in some cases, we only have filed provisional patent applications on certain aspects of our technology and product candidates, and none of these provisional patent applications is eligible to become an issued patent until, among other things, we file a non-provisional patent application within 12 months of the filing date of the applicable provisional patent application. Any failure to file a non-provisional patent application within this timeline could cause us to lose the ability to obtain patent protection for the inventions disclosed in the associated provisional patent applications. Furthermore, in some cases, we may not be able to obtain issued claims covering compositions relating to our ABC Platform and product candidates, as well as other technologies that are important to our business, and instead may need to rely on filing patent applications with claims covering a method of use and/or method of manufacture for protection of such ABC Platform, product candidates and other technologies. There can be no assurance that any such patent applications will issue as granted patents, and even if they do issue, such patent claims may be insufficient to prevent third parties, such as our competitors, from utilizing our technology. Any failure to obtain or maintain patent protection with respect to our ABC Platform and product candidates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any of our patent applications does not issue as a patent in any jurisdiction, we may not be able to compete effectively.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their interpretation in the United States and other countries may diminish our ability to protect our inventions, and obtain, maintain and enforce our intellectual property rights and, more generally, could affect the value of our intellectual property or narrow the scope of our owned and licensed patents. We cannot predict whether the patent applications we are currently pursuing will issue as patents in any particular jurisdiction or whether the claims of any issued patents will provide sufficient protection from competitors or other third parties.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prosecution process is expensive, time-consuming and complex, and we may not be able to file, prosecute, maintain, enforce or license all necessary or desirable patent applications at a reasonable cost or in a timely manner. It is also possible that we will fail to identify patentable aspects of our research and development output in time to obtain patent protection. Although we enter into non-disclosure and confidentiality agreements with parties who have access to confidential or patentable aspects of our research and development output, such as our employees, corporate collaborators, outside scientific collaborators, CROs, contract manufacturers, consultants, advisors and other third parties, any of these parties may breach the agreements and disclose such output before a patent application is filed, thereby jeopardizing our ability to seek patent protection. In addition, our ability to obtain and maintain valid and enforceable patents depends on whether the differences between our inventions and the prior art allow our inventions to be patentable over the prior art. In addition, our own fixed applications may become prior art against our current or future patent applications. Furthermore, publications of discoveries in the scientific literature often lag behind the actual discoveries, and patent applications in the United States and other jurisdictions are typically not published until 18 months after filing, and in some cases not at all. Therefore, we cannot be certain that we were the first to make the inventions claimed in any of our patents or pending patent applications, or that we were the first to file for patent protection of such inventions.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the scope of any patent protection we obtain is not sufficiently broad, or if we lose any of our patent protection, our ability to prevent our competitors from commercializing similar or identical technology and product candidates would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 position of biotechnology and pharmaceutical companies generally is highly uncertain, involves complex legal and factual questions, and has been the subject of much litigation in recent years. As a result, the issuance, scope, validity, enforceability and commercial value of our patent rights are highly uncertain. Our pending and future patent applications may not result in patents being issued that protect our ABC Platform, product candidates or other technologies or that effectively prevent others from commercializing competitive technologies and product candidates.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Moreover, the coverage claimed in a patent application can be significantly reduced before the patent is issued, and its scope can be reinterpreted after issuance. Even if patent applications we license or own currently or in the future issue as patents, they may not issue in a form that will provide us with any meaningful protection, prevent competitors or other third parties from competing with us, or otherwise provide us with any competitive advantage. Any patents may be challenged, narrowed, circumvented, rendered unenforceable or invalidated by third parties. Consequently, we do not know whether our ABC Platform, product candidates or other technologies will be protectable or remain protected by valid and enforceable patents. Our competitors or other third parties may be able to circumvent our patents by developing similar or alternative technologies or products in a non-infringing manner which could materially adversely affect our business, financial condition, results of operations and prospects.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a patent is not conclusive as to its inventorship, scope, validity or enforceability, and our patents may be challenged in the courts or patent offices in the United States and abroad. We may be subject to a third party preissuance submission of prior art to the U.S. Patent and Trademark Office, or USPTO, or become involved in opposition, derivation, revocation, reexamination, post-grant and inter partes review, or interference proceedings or other similar proceedings challenging our patent rights. An adverse determination in any such submission, proceeding or litigation could reduce the scope of, or invalidate or render unenforceable, our patent rights, allow third parties to commercialize our ABC Platform, product candidates or other technologies and compete directly with us, without payment to us, or result in our inability to manufacture or commercialize products without infringing third-party patent rights. Moreover, we may have to participate in interference proceedings declared by the USPTO to determine priority of invention or in post-grant challenge proceedings, such as oppositions and other challenges in a foreign patent office or administrative tribunal, that challenge our or our licensor’s priority of invention or other features of patentability with respect to our owned or in-licensed patents and patent applications. Such challenges may result in loss of patent rights, loss of exclusivity, or in patent claims being narrowed, invalidated, or held unenforceable, which could limit our ability to stop others from using or commercializing similar or identical technology and products, or limit the duration of the patent protection of our ABC Platform, product candidates and other technologies. Such proceedings also may result in substantial cost and require significant time from our scientists and management, even if the eventual outcome is favorable to us.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given the amount of time required for the development, testing and regulatory review of new product candidates, patents protecting such product candidates might expire before or shortly after such product candidates are commercialized. As a result, our intellectual property may not provide us with sufficient rights to exclude others from commercializing products similar or identical to ours.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not be able to protect our intellectual property and proprietary rights throughout the world.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Filing, prosecuting and defending patents relating to our ABC Platform, product candidates and other technologies in all countries throughout the world would be prohibitively expensive, and the laws of foreign countries may not protect our rights to the same extent as U.S. laws. Consequently, we may not be able to prevent third parties from practicing our inventions in all countries outside the United States, or from selling or importing products made using our inventions in and into the United States or other jurisdictions. Competitors may use our technologies in jurisdictions where we have not obtained patent protection to develop their own products and, further, may export otherwise infringing products to territories where we have patent protection but enforcement is not as strong as that in the United States. These products may compete with our products, and our patents or other intellectual property rights may not be effective or sufficient to prevent them from competing.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companies have encountered significant problems in protecting and defending intellectual property rights in foreign jurisdictions. The legal systems of certain countries, particularly certain developing countries, do not favor the enforcement of patents, trade secrets and other intellectual property protection, particularly those relating to biotechnology products, which could make it difficult, costly or impossible for us to stop the infringement of our patents or marketing of competing products in violation of our intellectual property and proprietary rights generally. Proceedings to enforce our intellectual property and proprietary rights in foreign jurisdictions could result in substantial costs and divert our efforts and attention from other aspects of our business, could put our patents at risk of being invalidated or interpreted narrowly, could put our patent applications at risk of not issuing and could provoke third parties to assert claims against us. We may not prevail in any lawsuits that we initiate, and the damages or other remedies awarded, if any, may not be commercially meaningful. Accordingly, our efforts to enforce our intellectual property and proprietary rights around the world may be inadequate to obtain a significant commercial advantage from the intellectual property that we develop or license.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countries have compulsory licensing laws under which a patent owner may be compelled to grant licenses to third parties. In addition, many countries limit the enforceability of patents against government agencies or government contractors. In these countries, the patent owner may have limited remedies, which could materially diminish the value of such patent. If we are forced to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grant a license to third parties with respect to any patents relevant to our business, our competitive position may be impaired, and our business, financial condition, results of operations and prospects may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Obtaining and maintaining our patent protection depends on compliance with various procedural, document submission, fee payment and other requirements imposed by government patent agencies, and our patent protection could be reduced or eliminated for non-compliance with these requirements.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Periodic maintenance fees, renewal fees, annuity fees and various other government fees on patents and applications will be due to be paid to the USPTO and various government patent agencies outside of the United States over the lifetime of our owned or licensed patents and applications. The USPTO and various non-U.S. government agencies require compliance with several procedural, documentary, fee payment and other similar provisions during the patent application process. In some cases, an inadvertent lapse can be cured by payment of a late fee or by other means in accordance with the applicable rules. Payment within these late fee windows may be employed in order to simplify the payment of these fees generally. There are situations, however, in which non-compliance can result in abandonment or lapse of the patent or patent application, resulting in a partial or complete loss of patent rights in the relevant jurisdiction. In such an event, potential competitors might be able to enter the market with similar or identical products or technology, which could have a material adverse effect on our business, financial condition, results of operations and prospects. In addition, while not relevant for tarcocimab, KSI-501, and/or KSI-101, if we rely on a different product, its development could involve the use of government funds, which can require additional compliance aspects to make certain all rights are transferred to or remain with us. </w:t>
      </w:r>
    </w:p>
    <w:p>
      <w:pPr>
        <w:pStyle w:val="TextBody"/>
        <w:bidi w:val="0"/>
        <w:spacing w:before="240" w:after="283"/>
        <w:jc w:val="left"/>
        <w:rPr>
          <w:rFonts w:ascii="Times New Roman" w:hAnsi="Times New Roman"/>
          <w:sz w:val="20"/>
        </w:rPr>
      </w:pPr>
      <w:r>
        <w:rPr>
          <w:rFonts w:ascii="Times New Roman" w:hAnsi="Times New Roman"/>
          <w:b/>
          <w:i/>
          <w:color w:val="000000"/>
          <w:sz w:val="20"/>
        </w:rPr>
        <w:t>Issued patents may be challenged or invalidated, and relatively recent changes in U.S. patent law have diminished and may further diminish the value of patents in general. We rely on patents to protect our products, and any diminishment in the scope or value of our patents would adversely affect our business.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initiated legal proceedings against a third party to enforce a patent directed to our ABC Platform, product candidates or other technologies, the defendant could allege that such patent is invalid or unenforceable. In patent litigation in the United States, defendant counterclaims alleging invalidity and unenforceability are commonplace. Grounds for a validity challenge include alleged failures to meet any of several statutory requirements, including obviousness, lack of novelty, lack of written description, or non-enablement. Grounds for an unenforceability challenge include an allegation that someone connected with prosecution of the patent withheld material information from the USPTO with an intent to deceive the USPTO, or made a misleading statement, during prosecution. The filing of a legal proceeding could also result in the third party challenging the patent at the USPTO, such as in post-grant and inter partes review.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either the patent laws or interpretation of the patent laws in the United States could increase the uncertainties and costs surrounding the prosecution of patent applications and the enforcement or defense of issued patents. For patent filings beginning in March 2013, the United States employs a first inventor to file system in which, assuming that other requirements for patentability are met, the first inventor to file a patent application will be entitled to the patent on an invention regardless of whether a third party was the first to invent the claimed invention. Under the current patent laws, a third party that files a patent application in the USPTO before us could therefore be awarded a patent covering an invention of ours even if we had made the invention before it was made by such third party. This will require us to be cognizant going forward of the time from invention to filing of a patent application. Since patent applications in the United States and most other countries are confidential for a period of time after filing or until issuance, we cannot be certain that we were the first to either (1) file any patent application related to our ABC Platform, product candidates or other technologies or (2) invent any of the inventions claimed in our or our licensor’s patents or patent applications.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to U.S. patent laws since 2011 also include allowing third party submissions of prior art to the USPTO during patent prosecution and additional procedures for attacking the validity of a patent through USPTO administered post-grant proceedings, including re-examination, post-grant review, inter partes review, interference proceedings and derivation proceedings. Some of these changes apply to patents issued prior to 2011. These and equivalent proceedings in foreign jurisdictions (e.g., opposition proceedings) could result in the revocation of, cancellation of or amendment to our patents in such a way that they no longer cover our ABC Platform, product candidates or other technologies. Because of a lower evidentiary standard in USPTO proceedings compared to the evidentiary standards applied in United States federal courts that apply to actions seeking to invalidate a patent claim, a third party could potentially provide evidence in a USPTO proceeding sufficient for the USPTO to hold a claim invalid even though the same evidence would be insufficient to invalidate the claim if challenged in a district court action. Accordingly, a third party may attempt to use the USPTO procedures to invalidate our patent claims that would not otherwise have been invalidated if first challenged by the third party as a defendant in a district court action.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compared to intellectual property-reliant companies generally, the patent positions of companies in the development and commercialization of biologics and pharmaceuticals are particularly uncertain. U.S. Supreme Court rulings have narrowed the scope of patent protection available in certain circumstances and weakened the rights of patent owners in certain situations. These rulings have created uncertainty with respect to the validity and enforceability of patents, even once obtained. Depending on future actions by the U.S. Congress, the federal courts and the USPTO, the laws and regulations governing patents could change in unpredictable ways that could have a material adverse effect on our existing patent portfolio and our ability to protect and enforce our intellectual property in the future.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future changes to patent laws could increase the uncertainties and costs surrounding the prosecution of our owned or in-licensed patent applications and the enforcement or defense of our owned or in-licensed issued patents. If a third party were to prevail on a legal assertion of invalidity or unenforceability, we would lose at least part, and perhaps all, of the patent protection on our ABC Platform, product candidates or other technologies. Increased uncertainty with respect to, or loss of, patent protection would have a material adverse impact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do not obtain patent term extension and data exclusivity for any product candidates we may develop, our business may be materially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Depending upon the timing, duration and specifics of any FDA marketing approval of any product candidates we may develop, one or more of our owned or in-licensed U.S. patents may be eligible for limited patent term extension under the Hatch-Waxman Act. The Hatch-Waxman Act permits a patent term extension of up to five years as compensation for patent term lost during the FDA regulatory review process. A patent term extension cannot extend the remaining term of a patent beyond a total of 14 years from the date of product approval, only one patent may be extended and only those claims covering the approved drug, a method for using it, or a method for manufacturing it may be extended. Similar extensions as compensation for patent term lost during regulatory review processes are also available in certain foreign countries and territories, such as in Europe under a Supplementary Patent Certificate. Patent term extension in the United States and/or foreign countries and territories may not be available if, among other things, we fail to exercise due diligence during the testing phase or regulatory review process, fail to apply within applicable deadlines, fail to apply prior to the expiration of relevant patents, or otherwise fail to satisfy applicable requirements. Moreover, the applicable time period or the scope of patent protection afforded could be less than we request. If we are unable to obtain patent term extension or the term of any such extension received is shorter than what we request, our competitors may obtain approval of competing products following our patent expiration, and our business, financial condition, results of operations and prospects could be materially harmed.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challenging the inventorship of our patents and other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be subject to claims that former employees, collaborators or other third parties have an interest in our owned or in-licensed patents, trade secrets or other intellectual property as an inventor or co-inventor or owner or co-owner. For example, we may have inventorship disputes arise from conflicting obligations of employees, collaborators, consultants or others who are involved in developing our ABC Platform, product candidates or other technologies. Litigation may be necessary to defend against these and other claims challenging inventorship or our ownership of our owned or in-licensed patents, trade secrets or other intellectual property. If we fail in defending any such claims, in addition to paying monetary damages, we may lose valuable intellectual property rights, such as exclusive ownership of, or right to use, intellectual property that is important to our ABC Platform, product candidates and other technologies. Even if we are successful in defending against such claims, litigation could result in substantial costs and be a distraction to management and other employees. Any of the foregoing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If we are unable to protect the confidentiality of our trade secrets, our business and competitive position would be harmed.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to seeking patents for our ABC Platform, product candidates and other technologies, we also rely on trade secrets and confidentiality agreements to protect our unpatented know-how, technology and other proprietary information and to maintain our competitive position. Trade secrets and know-how can be difficult to protect. Over time, we expect our trade secrets and know-how to be disseminated within the industry through independent development, the publication of journal articles describing the methodology and the movement of personnel from academic to industry scientific positions.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seek to protect these trade secrets and other proprietary technology, in part, by entering into non-disclosure and confidentiality agreements with parties who have access to them, such as our employees, corporate collaborators, outside scientific collaborators, CROs, contract manufacturers, consultants, advisors and other third parties. We also enter into confidentiality and invention or patent assignment agreements with our employees and consultants, train our employees not to bring or use proprietary information or technology from former employers to us or in their work and remind former employees when they leave their employment of their confidentiality obligations to us. We cannot guarantee that we have entered into such agreements with each party that may have or have had access to our trade secrets or proprietary technology and processes. Despite our efforts, any of these parties may breach the agreements and disclose our proprietary information, including our trade secrets, and we may not be able to contain such breaches or disclosures or obtain adequate remedies for such breaches. Enforcing a claim that a party illegally disclosed or misappropriated a trade secret is difficult, expensive and time-consuming, and the outcome is unpredictable. In addition, some courts inside and outside the United States are less willing or unwilling to protect trade secrets. If any of our trade secrets were to be lawfully obtained or independently developed by a competitor or other third party, we would have no right to prevent them from using that technology or information to compete with us. If any of our trade secrets were to be disclosed without the protection of a confidentiality agreement found unenforceable by relevant courts or independently developed by a competitor or other third party, our competitive position would be materially and adversely harmed.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 subject to claims that our employees, consultants, or advisors have wrongfully used or disclosed alleged trade secrets of their current or former employers or claims asserting ownership of what we regard as our own intellectual property.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Many of our employees, consultants and advisors are currently or were previously employed at universities or other biotechnology or pharmaceutical companies, including our competitors and potential competitors. Although we try to ensure that our employees, consultants and advisors do not use the proprietary information or know-how of others in their work for us, we may be subject to claims that we or these individuals have improperly used or disclosed intellectual property, including trade secrets or other proprietary information, of any such individual’s current or former employer. Litigation may be necessary to defend against these claims.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Such claims could have a material adverse effect on our business, financial condition, results of operations, and prospects. Where post-filing date patent assignments are not executed by an inventor, it is our practice to employ and record the assignment provision that can be found in the employee’s employment agreement. This is done when possible, and when the intellectual property is of interest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Third-party claims of intellectual property infringement, misappropriation or other violation against us or our collaborators may prevent or delay the development and commercialization of our product candidates, the ABC Platform and other technologies.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field of discovering treatments for retinal diseases is highly competitive and dynamic. Due to the focused research and development that is taking place in this field by several companies, including us and our competitors, the intellectual property landscape is in flux, and it may remain uncertain in the future. As such, there may be significant intellectual property related litigation and proceedings relating to our owned, and other third party, intellectual property and proprietary rights in the future. </w:t>
      </w:r>
    </w:p>
    <w:p>
      <w:pPr>
        <w:pStyle w:val="TextBody"/>
        <w:bidi w:val="0"/>
        <w:spacing w:before="120" w:after="283"/>
        <w:jc w:val="left"/>
        <w:rPr>
          <w:rFonts w:ascii="Times New Roman" w:hAnsi="Times New Roman"/>
          <w:sz w:val="20"/>
        </w:rPr>
      </w:pPr>
      <w:r>
        <w:rPr>
          <w:rFonts w:ascii="Times New Roman" w:hAnsi="Times New Roman"/>
          <w:color w:val="000000"/>
          <w:sz w:val="20"/>
        </w:rPr>
        <w:t xml:space="preserve">Our commercial success depends in part on our and our collaborators’ ability to avoid infringing, misappropriating and otherwise violating the patents and other intellectual property rights of third parties. There is a substantial amount of complex litigation involving patents and other intellectual property rights in the biotechnology and pharmaceutical industries, as well as administrative proceedings challenging patents, including interference, derivation and reexamination proceedings before the USPTO or oppositions and other comparable proceedings in foreign jurisdictions. As discussed above, due to changes in U.S. law referred to as patent reform, new procedures including </w:t>
      </w:r>
      <w:r>
        <w:rPr>
          <w:rFonts w:ascii="Times New Roman" w:hAnsi="Times New Roman"/>
          <w:i/>
          <w:color w:val="000000"/>
          <w:sz w:val="20"/>
        </w:rPr>
        <w:t>inter partes</w:t>
      </w:r>
      <w:r>
        <w:rPr>
          <w:rFonts w:ascii="Times New Roman" w:hAnsi="Times New Roman"/>
          <w:color w:val="000000"/>
          <w:sz w:val="20"/>
        </w:rPr>
        <w:t xml:space="preserve"> review and post-grant review have been implemented. As stated above, this reform adds uncertainty to the possibility of challenge to our patents in the future.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Numerous U.S. and foreign issued patents and pending patent applications owned by third parties exist relating to ABC technology and in the fields in which we are developing our product candidates. As the biotechnology and pharmaceutical industries expand and more patents are issued, the risk increases that our ABC Platform, product candidates and other technologies may give rise to claims of infringement of the patent rights of others. We cannot assure you that our ABC Platform, product candidates and other technologies that we have developed, are developing or may develop in the future will not infringe existing or future patents owned by third parties. We may not be aware of patents that have already been issued or that a third party, including a competitor in the fields in which we are developing our ABC Platform, product candidates and other technologies, might assert are infringed by our current or future ABC Platform, product candidates or other technologies. Such a dispute may concern claims to compositions, formulations, methods of manufacture or methods of use or treatment that cover our ABC Platform, product candidates or other technologies. It is also possible that patents owned by third parties of which we are aware, but which we do not believe are relevant to our ABC Platform, product candidates or other technologies, could be found to be infringed by our ABC Platform, product candidates or other technologies. In addition, because patent applications can take many years to issue, there may be currently pending patent applications that later result in issued patents that our ABC Platform, product candidates or other technologies may infringe.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Third parties may have patents or obtain patents in the future and claim that the manufacture, use or sale of our ABC Platform, product candidates or other technologies infringes these patents. If a third party alleges that we infringe their patents or that we are otherwise employing their proprietary technology without authorization and initiates litigation against us, a court of competent jurisdiction could hold that such patents are valid, enforceable and infringed by our ABC Platform, product candidates or other technologies, even if we believe such claims are without merit. In that event, the successful plaintiff may be able to impede our ability to commercialize the applicable product candidate or technology unless we obtain a license under the applicable patents, or such patents expire or are finally determined to be invalid or unenforceable. Such a license may not be available on commercially reasonable terms or at all. Even if we are able to obtain a license, the license would likely obligate us to pay license fees, royalties or both. Any license granted to us might be nonexclusive, which could result in our competitors gaining access to the same intellectual property. If we are unable to obtain a necessary license to a third-party patent on commercially reasonable terms, we may be unable to commercialize our ABC Platform, product candidates or other technologies, or our commercialization efforts may be significantly delayed, which could in turn significantly harm our business.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are aware of a number of patents and patent applications that are directed to one or more aspects of tarcocimab, KSI-501, and/or KSI-101. Our intent is to maintain our development efforts under 35 U.S.C. Section 271(e)(1) (which provides a safe harbor from patent infringement claims related to certain drug development activities) through to at least the launch of any tarcocimab, KSI-501, or KSI-101 product. We are aware of at least one pending patent application with claims that are directed to some aspect of tarcocimab, KSI-501, and/or KSI-101 that could, if issued, have a patent term beyond a potential launch date for tarcocimab or KSI-501. If this were to occur, we may be required to challenge the validity of the claims, obtain a license, modify tarcocimab or KSI-501, or delay launch. We are also aware of at least one patent family with issued claims that may be relevant to some potential future aspect(s) of KSI-501 and/or KSI-101 and that have a patent term beyond a potential launch date for KSI-501 or KSI-101. If this or any other patent family were perceived as relevant, we may be required to challenge the validity of the claims, obtain a license, modify KSI-501 and/or KSI-101, or delay launch.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If we choose to further the pipeline and develop a different product, such a product would be delayed until the expiration of any valid patent that is still in force on such product. Alternatively, our options for addressing any such patents relating to these non-tarcocimab, non-KSI-501, and/or non-KSI-101 products would include the following: challenge the validity of the claims, obtain a license, or modify the non-tarcocimab, non-KSI-501, and/or non-KSI-101 products.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Defending against infringement claims, regardless of their merit, would involve substantial litigation expense, would be a substantial diversion of management and other employee resources from our business and may adversely impact our reputation. We may be subject to an injunction that prevents or delays us from commercializing our ABC Platform, product candidates or other technologies during on-going litigation even if we ultimately prevail in the litigation proceedings or the litigation is settled in our favor. We may be subject to an injunction that prevents or delays us from commercializing our ABC Platform, product candidates or other technologies during on-going litigation even if we ultimately prevail in the litigation proceedings or the litigation is settled in our favor. In the event of a successful claim of infringement against us, we may be enjoined from further developing or commercializing our infringing ABC Platform, product candidates or other technologies. In addition, we may have to pay substantial damages (including treble damages and attorneys’ fees for willful infringement) obtain one or more licenses from third parties, pay royalties and/or redesign our infringing product candidates or technologies, which may be impossible or require substantial time and monetary expenditure. If we were unable to further develop and commercialize our ABC Platform, product candidates or other technologies, it would harm our business significantly.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Engaging in litigation to defend against third parties alleging that we have infringed, misappropriated or otherwise violated their patents or other intellectual property rights is very expensive, particularly for a company of our size, and time-consuming. Some of our competitors may be able to sustain the costs of litigation or administrative proceedings more effectively than we can because of greater financial resources. Patent litigation and other proceedings may also absorb significant management time. Uncertainties resulting from the initiation and continuation of patent litigation or other proceedings against us could impair our ability to compete in the marketplace. The occurrence of any of the foregoing could have a material adverse effect on our business, financial condition or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We may become involved in lawsuits to protect or enforce our patents and other intellectual property rights, which could be expensive, time consuming and unsuccessful.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Competitors may infringe our patents or the patents of our licensing partners, or we may be required to defend against claims of infringement. If we assert our intellectual property against others, it could increase the likelihood that our patents or the patents of our licensing partners become involved in inventorship, priority or validity disputes. As discussed above, countering or defending against such claims can be expensive and time consuming. In an infringement proceeding, a court may decide that a patent owned or in-licensed by us is invalid or unenforceable, the other party’s use of our patented technology falls under the safe harbor to patent infringement under 35 U.S.C. §271(e)(1), or may refuse to stop the other party from using the technology at issue on the grounds that our owned and in-licensed patents do not cover the technology in question. An adverse result in any litigation proceeding could put one or more of our owned or in-licensed patents at risk of being invalidated, rendered unenforceable or interpreted narrowly. Furthermore, because of the substantial amount of discovery required in connection with intellectual property litigation, there is a risk that some of our confidential information could be compromised by disclosure during this type of litigation.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prevail in asserting our intellectual property, litigation or other legal proceedings relating to intellectual property claims may cause us to incur significant expenses and could distract our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the resources available for development activities or any future sales, marketing, or distribution activities. We may not have sufficient financial or other resources to conduct such litigation or proceedings adequately or to assert all claims we believe to be viable. Some of our competitors may be able to sustain the costs of such litigation or proceedings more effectively than we can because of their greater financial resources and more mature and developed intellectual property portfolios. Uncertainties resulting from the initiation and continuation of patent litigation or other proceedings could have a material adverse effect on our ability to compete in the marketplace.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trademarks and trade names are not adequately protected, then we may not be able to build name recognition in our markets of interest and our business may be adversely affected.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rely on trademarks, service marks, tradenames and brand names. We cannot assure you that our trademark applications will be approved. During trademark registration proceedings, we may receive rejections. Although we are given an opportunity to respond to those rejections, we may be unable to overcome such rejections. In addition, any registered or unregistered trademarks or trade names that we currently have or may in the future acquire may be challenged, infringed, circumvented or declared generic or determined to be infringing on other marks. We may not be able to protect our rights to these trademarks and trade names, which we need to build name recognition among potential partners or customers in our markets of interest. At times, competitors or other third parties may adopt trade names or trademarks similar to ours,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We own a registered trademark for the mark “KODIAK” and “KODIAK SCIENCES” in the United States. Over the long term, if we are unable to establish name recognition based on our trademarks and trade names, then we may not be able to compete effectively and our business may be adversely affected. Our efforts to enforce or protect our proprietary rights related to trademarks, trade secrets, domain names, copyrights or other intellectual property may be ineffective and could result in substantial costs and diversion of resources and could adversely affect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i/>
          <w:color w:val="000000"/>
          <w:sz w:val="20"/>
        </w:rPr>
        <w:t>Intellectual property rights do not necessarily address all potential threats.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degree of future protection afforded by our intellectual property rights is uncertain because intellectual property rights have limitations and may not adequately protect our business or permit us to maintain our competitive advantage. For example: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be able to make products that are similar to our product candidates or utilize similar technology but that are not covered by the claims of the patents that we may license or own;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make the inventions covered by the issued patent or pending patent application that we license or own now or in the future;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or our current or future licensors or collaborators, might not have been the first to file patent applications covering certain of our or their inventions;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others may independently develop similar or alternative technologies or duplicate any of our technologies without infringing our owned or licensed intellectual property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it is possible that our current or future pending owned or licensed patent applications will not lead to issued patents;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issued patents that we hold rights to may be held invalid or unenforceable, including as a result of legal challenges by our competitors or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competitors or other third parties might conduct research and development activities in countries where we do not have patent rights and then use the information learned from such activities to develop competitive products for sale in our major commercial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not develop additional proprietary technologies that are patentable;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patents of others may harm our business;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choose not to file a patent in order to maintain certain trade secrets or know-how, and a third party may subsequently file a patent covering such intellectual property.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Should any of these events occur, they could have a material adverse effect on our business, financial condition, results of operations and prospects.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sz w:val="20"/>
        </w:rPr>
      </w:pPr>
      <w:r>
        <w:rPr>
          <w:rFonts w:ascii="Times New Roman" w:hAnsi="Times New Roman"/>
          <w:b/>
          <w:i/>
          <w:color w:val="000000"/>
          <w:sz w:val="20"/>
        </w:rPr>
        <w:t>We are highly dependent on our key personnel, and if we are not successful in attracting, motivating and retaining highly qualified personnel, we may not be able to successfully implement our business strategy.</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and commercializing new medicines is a challenging exercise and requires diverse expertise in a variety of scientific, clinical, manufacturing, commercial, financial, people and legal functions. Failure to adequately develop these functions will hurt our ability to compete effectively.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compete in the highly competitive biotechnology and pharmaceutical industries depends upon our ability to attract, motivate and retain highly qualified managerial, scientific and medical personnel. We are highly dependent on our management, particularly our Chief Executive Officer, Dr. Victor Perlroth, and our scientific and medical personnel. The loss of the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49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services provided by any of our executive officers, other key employees, and other scientific and medical advisors, and our inability to find suitable replacements, could result in delays in the development of our product candidates and harm our business.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conduct our U.S. operations at our facilities in Palo Alto, California, in a region that is headquarters to many other biopharmaceutical companies and many academic and research institutions. Competition for skilled personnel is intense and the turnover rate can be high, which may limit our ability to hire and retain highly qualified personnel on acceptable terms or at all. We expect that we may need to recruit talent from outside of our region and doing so may be costly and difficult.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To induce valuable employees to remain at our company, in addition to salary and cash incentives, we have provided restricted stock and stock option grants, including early exercise stock options exercisable for restricted stock that vest over time. The value to employees of these equity grants that vest over time may be significantly affected by movements in our stock price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 We do not maintain “key man” insurance policies on the lives of all of these individuals or the lives of any of our other employees. If we are unable to attract, incentivize and retain quality personnel on acceptable terms, or at all, it may cause our business and operating results to suffer.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will need to grow the size and capabilities of our organization, and we may experience difficulties in managing this growth.*</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September 30, 2025, we had 123 employees. As our development plans and strategies develop, and as we continue operating as a public company, we must add a significant number of additional managerial, operational, financial and other personnel. Future growth will impose significant added responsibilities on members of management,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recruiting, integrating, retaining and motivating additional employees;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our internal development efforts effectively, including the clinical and FDA review process for our current and future product candidates, while complying with our contractual obligations to contractors and other third parties;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expanding our operational, financial and management controls, reporting systems and procedures;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managing increasing operational and managerial complexity.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future financial performance and our ability to continue to develop and, if approved, commercialize our product candidates will depend, in part, on our ability to effectively manage any future growth. Our management may also have to divert a disproportionate amount of its attention away from day-to-day activities in order to manage these growth activities.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currently rely, and for the foreseeable future will continue to rely, in substantial part on certain independent organizations, advisors and consultants to provide certain services. There can be no assurance that the services of these independent organizations, advisors and consultants will continue to be available to us on a timely basis when needed, or that we can find qualified replacements. In addition, if we are unable to effectively manage our outsourced activities or if the quality or accuracy of the services provided by consultants is compromised for any reason, our clinical trials may be extended, delayed, or terminated, and we may not be able to obtain regulatory approval of our product candidates or otherwise advance our business. There can be no assurance that we will be able to manage our existing consultants or find other competent outside contractors and consultants on economically reasonable terms, if at all.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If we are not able to effectively expand our organization by hiring new employees and expanding our groups of consultants and contractors, we may not be able to successfully implement the tasks necessary to further develop our product candidates and, accordingly, may not achieve our research, development, and commercialization goals. </w:t>
      </w:r>
    </w:p>
    <w:p>
      <w:pPr>
        <w:pStyle w:val="TextBody"/>
        <w:bidi w:val="0"/>
        <w:spacing w:before="240" w:after="283"/>
        <w:jc w:val="left"/>
        <w:rPr>
          <w:rFonts w:ascii="Times New Roman" w:hAnsi="Times New Roman"/>
          <w:sz w:val="20"/>
        </w:rPr>
      </w:pPr>
      <w:r>
        <w:rPr>
          <w:rFonts w:ascii="Times New Roman" w:hAnsi="Times New Roman"/>
          <w:b/>
          <w:i/>
          <w:color w:val="000000"/>
          <w:sz w:val="20"/>
        </w:rPr>
        <w:t>If our information technology systems, or those of third parties with whom we work, or our data, are or were compromised, we could experience adverse consequences resulting from such compromise, including but not limited to regulatory investigations or actions, significant fines or other liability, interruptions of our development programs, harm to our reputation, and other adverse consequences.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the ordinary course of our business, we and the third parties with whom we work process personal data and other sensitive information, including proprietary and confidential business data, trade secrets, intellectual property, data collected about trial participants in connection with clinical trials, and sensitive third-party data.</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Cyberattacks, malicious internet-based activity, and online and offline fraud are prevalent and continue to increase. These threats are becoming increasingly difficult to detect. The information and data processed and stored in our technology systems, and those of our research collaborators, contractors, consultants, and other third parties with whom we work, are vulnerable to these threats. These threats come from a variety of sources, including traditional computer “hackers,” threat actors, personnel (such as through theft or misuse), sophisticated nation-states, and nation-state-supported actors. During times of war and other major conflicts, we and the third parties with whom we work are vulnerable to a heightened risk of attacks, including retaliatory cyber-attacks that could materially disrupt our systems and operations and supply chain. We and the third parties with whom we work are subject to a variety of evolving threats, including but not limited to social-engineering attacks (including through deep fakes, which may be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increasingly more difficult to identify as fake, and phishing attacks), malicious code (such as viruses and worms), malware (including as a result of advanced persistent threat intrusions), denial-of-service attacks (such as credential stuffing), personnel misconduct or error, ransomware attacks, supply-chain attacks, software bugs, server malfunctions, software or hardware failures, loss of data or other information technology assets, adware, attacks enhanced or facilitated by artificial intelligence, or AI, and other similar threats. Ransomware attacks, including by organized criminal threat actors, nation-states, and nation-state-supported actors, are becoming increasingly prevalent and severe and can lead to significant interruptions in our operations, loss of data and income, reputational harm, and diversion of funds. Extortion payments may alleviate the negative impact of a ransomware attack, but we may be unwilling or unable to make such payments due to, for example, applicable laws or regulations prohibiting such payments.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certain personnel remain in a remote work environment and outside of our corporate network security protection boundaries, which imposes additional risks to our business, including increased risk of industrial espionage, phishing and other cybersecurity attacks, and unauthorized dissemination of proprietary or confidential information, any of which could have a material adverse effect on our business. Future or past business transactions (such as acquisitions or integrations) could expose us to additional cybersecurity risks and vulnerabilities, as our systems could be negatively affected by vulnerabilities present in acquired or integrated entities’ systems and technologies. Furthermore, we may discover security issues that were not found during due diligence of such acquired or integrated entities, and it may be difficult to integrate companies into our information technology environment and security program.</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rely on third parties to operate critical business systems to process sensitive information in a variety of contexts, including, without limitation, third-party providers of cloud-based infrastructure, encryption and authentication technology, employee email, and other functions. Our ability to monitor these third parties’ information security practices is limited, and these third parties may not have adequate information security measures in place. While we may be entitled to damages if the third parties with whom we work fail to satisfy their privacy or security-related obligations to us, any award may be insufficient to cover our damages, or we may be unable to recover such award. Similarly, supply-chain attacks have increased in frequency and severity, and we cannot guarantee that third parties’ infrastructure in our supply chain or that of the third parties with whom we work have not been compromised. Likewise, we rely on third-party research institution collaborators, other contractors and consultants for many aspects of our business, including research and development activities and manufacturing of our product candidates, and similar events relating to their information systems could also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While we have implemented security measures designed to protect the integrity, confidentiality and security of the sensitive information under our control, we cannot assure you that our security measures, or those of the third parties with whom we work will be effective in preventing security incidents. We take steps designed to detect, mitigate, and remediate vulnerabilities in our information systems (such as our hardware and/or software, including that of third parties with whom we work). We have not, and may not in the future, however, detect and remediate all such vulnerabilities including on a timely basis. There are many different and rapidly evolving cybercrime and hacking techniques, and we may be unable to anticipate attempted security incidents, identify them before our information is exploited, or react in a timely manner. We have in the past and may in the future be unable to detect vulnerabilities in our information technology systems and software. Further, we have in the past (and may in the future) experienced delays in developing and deploying remedial measures designed to address any such identified vulnerabilities. We expend resources and may modify our business activities (including our clinical trial activities) to try to protect against security incidents. Certain data privacy and security obligations have required us to implement and maintain specific security measures, industry-standard or reasonable security measures to protect our information technology systems and sensitive information.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Certain of the previously identified or similar threats have in the past and may in the future cause a security incident or other interruption that could result in unauthorized, unlawful, or accidental acquisition, modification, destruction, loss, alteration, encryption, disclosure of, access to our sensitive information, or interruptions or stoppages in our business operations (including our clinical trials). For example, we have been the target of unsuccessful phishing attempts in the past, and expect such attempts will continue in the future. Although to our knowledge, we have not experienced a material system failure or security incident to date, if such an event were to occur, it could result in a material disruption of our development programs and our business operations, whether due to a loss of trade secrets or other proprietary information or other similar disruptions. For example, the loss of clinical trial data from completed, on-going or future clinical trials could result in delays in our regulatory approval efforts and significantly increase our costs to recover or reproduce the data. Likewise, we rely on third parties for many aspects of our business, including research and development activities and manufacturing of our product candidates, and similar events relating to their computer systems could also have a material adverse effect on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applicable data protection requirements may require us, or we may voluntarily choose, to notify relevant stakeholders of security incidents, including affected individuals, partners, collaborators, regulators, law enforcement agencies, and others, or to take other actions, such as providing credit monitoring and identity theft protection services. Such disclosures and related actions can be costly, and the disclosure or the failure to comply with such applicable requirements could lead to litigation or other liability, fines, harm to our reputation, significant costs, or other materially adverse effects. Some of our contracts may not contain limitations of liability, and even where they do, there can be no assurance that limitations or exclusions of liability in our contracts may not be enforceable or adequate or protect us from liability or damages.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insurance coverage may not be adequate for cybersecurity liabilities, may not continue to be available to us on economically reasonable terms, or at all, and insurers could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materially and adversely affect our reputation, business, financial condition and results of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Business disruptions could seriously harm our future revenue and financial condition and increase our costs and expenses.*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and those of our third party vendors, suppliers, and other contractors and consultants, could be subject to earthquakes, power shortages, telecommunications failures, water shortages, floods, hurricanes, typhoons, fires, extreme weather conditions, medical epidemics and other natural or man-made disasters or business interruptions, for which we are partly uninsured. In addition, we rely on our third-party research institution collaborators for conducting research and development of our product candidates, and they may be affected by government shutdowns or withdrawn funding. Reductions in force and decreased funding at FDA may delay review and response to our submissions and applications and have material adverse impact on our business. The occurrence of any of these business disruptions could seriously harm our operations and financial condition and increase our costs and expenses. For example, in connection to health epidemics, the various quarantines, shelter-in-place and similar government orders, or the perception that such orders, shutdowns or other restrictions on the conduct of business operations could occur, related to infectious diseases, could adversely affect our business, financial condition or results of operations by limiting our ability to manufacture product, forcing temporary closure of facilities that we rely upon or increasing the costs associated with obtaining clinical supplies of our product candidates. The extent to which health epidemics could impact our results will depend on future developments, which are highly uncertain and cannot be accurately predicted, including the severity and the actions to contain or treat such outbreaks, epidemics, or pandemics, among others.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operations are located at facilities in Palo Alto, California and Switzerland. Damage or extended periods of interruption to our corporate, development or research facilities due to fire, natural disaster, power loss, communications failure, unauthorized entry or other events could cause us to cease or delay development of some or all of our product candidates. Although we maintain property damage and business interruption insurance coverage on these facilities, our insurance might not cover all losses under such circumstances and our business may be seriously harmed by such delays and interruption.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enterprise resource planning, or ERP, system is critical to our ability to accurately maintain books and records and prepare our financial statements. If we encounter unforeseen problems with our ERP system or other systems and infrastructure, our business, operations, and financial results could be adversely affected. </w:t>
      </w:r>
    </w:p>
    <w:p>
      <w:pPr>
        <w:pStyle w:val="TextBody"/>
        <w:bidi w:val="0"/>
        <w:spacing w:before="240" w:after="283"/>
        <w:jc w:val="left"/>
        <w:rPr>
          <w:rFonts w:ascii="Times New Roman" w:hAnsi="Times New Roman"/>
          <w:sz w:val="20"/>
        </w:rPr>
      </w:pPr>
      <w:r>
        <w:rPr>
          <w:rFonts w:ascii="Times New Roman" w:hAnsi="Times New Roman"/>
          <w:b/>
          <w:i/>
          <w:color w:val="000000"/>
          <w:sz w:val="20"/>
        </w:rPr>
        <w:t>Our business is subject to economic, political, regulatory and other risks associated with international operations.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business is subject to risks associated with conducting business internationally. Some of our suppliers and collaborative relationships are located outside the United States. Accordingly, our future results could be harmed by a variety of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economic weakness, including inflation or political instability in particular non-U.S. economies and markets;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differing and changing regulatory requirements, pricing and reimbursement regimes in non-U.S.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challenges enforcing our contractual and intellectual property rights, especially in those foreign countries that do not respect and protect intellectual property rights to the same extent as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in compliance with non-U.S. laws and regulations;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regulations and customs, tariffs and trade barriers;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non-U.S. currency exchange rates and currency controls;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a specific country’s or region’s political or economic environment;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trade protection measures, import or export licensing requirements or other restrictive actions by U.S. or non-U.S. governments;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negative consequences from changes in tax laws;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compliance with tax, employment, immigration and labor laws for employees living or traveling abroad;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workforce uncertainty in countries where labor unrest is more common than in the United States;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difficulties associated with staffing and managing international operations, including differing labor relations;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potential liability under the FCPA or comparable foreign 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business interruptions resulting from geo-political actions, including war and terrorism or natural disasters.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Other international, geo-political, and macroeconomic events could also have an adverse impact on our business. The United States and certain other countries may impose significant sanctions, trade restrictions, and other retaliatory actions in response to these events. While we cannot predict the broader consequences of these types of events, the conflict and retaliatory and counter-retaliatory actions could materially adversely affect global trade, currency exchange rates, inflation, regional economies, and the global economy, which in turn may increase our costs, disrupt our supply chain, or otherwise adversely affect our business, financial condition, and results of operations. These and other risks associated with our planned international operations may materially adversely affect our business, financial condition, and ability to attain profitable operations.</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International trade policies, including tariffs, sanctions and trade barriers may adversely affect our business, financial condition, results of operations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operate in a global economy, which includes utilizing third-party suppliers in several countries outside the United States. There is inherent risk, based on the complex relationships among the U.S. and the countries in which we conduct our business, that political, diplomatic, and national security factors can lead to global trade restrictions and changes in trade policies and export regulations that may adversely affect our business and operations. The current international trade and regulatory environment is subject to significant ongoing uncertainty. The U.S. government has recently announced substantial new tariffs affecting a wide range of products and jurisdictions and has indicated an intention to continue developing new trade policies, including with respect to the pharmaceutical industry. In response, certain foreign governments have announced or implemented retaliatory tariffs and other protectionist measures. These developments have created a dynamic and unpredictable trade landscape, which may adversely impact our business, results of operations, financial condition and prospects.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currently rely, and expect to continue to rely, on third parties that are located outside the United States for the manufacture of our product candidates for clinical testing, as well as for manufacture of any products that we may commercialize, if approved. Current or future tariffs may result in increased research and development expenses, including with respect to increased manufacturing costs. In addition, such tariffs may increase our supply chain complexity and could also potentially disrupt our existing supply chain. Trade restrictions affecting the import of materials necessary for clinical trials could result in delays to our development timelines. Increased development costs and extended development timelines could place us at a competitive disadvantage compared to companies operating in regions with more favorable trade relationships. In addition, as we advance toward commercialization in the future, tariffs and trade restrictions could hinder our ability to establish cost-effective manufacturing capabilities.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Foreign governments may adopt non-tariff measures, such as procurement preferences or informal disincentives to engage with, purchase from or invest in U.S. entities, which may limit our ability to compete internationally and attract non-U.S. investment, employees, customers and suppliers. Foreign governments may also take other retaliatory actions against U.S. entities, such as decreased intellectual property protection, increased enforcement actions, or delays in regulatory approvals, which may result in heightened international legal and operational risks. In addition, the United States and other governments have imposed and may continue to impose additional sanctions, such as trade restrictions or trade barriers, which could restrict us from doing business directly or indirectly in or with certain countries or parties and may impose additional costs and complexity to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Trade disputes, tariffs, restrictions and other political tensions between the United States and other countries may also exacerbate unfavorable macroeconomic conditions including inflationary pressures, foreign exchange volatility, financial market instability, and economic recessions or downturns. The ultimate impact of current or future tariffs and trade restrictions remains uncertain and could materially and adversely affect our business, financial condition, and prospects. While we actively monitor these risks, any prolonged economic downturn, escalation in trade tensions, or deterioration in international perception of U.S.-based companies could materially and adversely affect our business, ability to access the capital markets or other financing sources, results of operations, financial condition and prospects. In addition, tariffs and other trade developments have and may continue to heighten the risks related to the other risk factors described elsewhere in this Quarterly Report and in our Annual Report for the fiscal year ended December 31, 2024.</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business could be materially and adversely affected in the future by the effects of disease outbreaks, epidemics and pandemics, as well as the business or operations of our third parties with whom we conduct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business could be materially and adversely affected by health epidemics in regions where we have concentrations of clinical trial sites or other business operations and could cause significant disruption in the operations of third parties upon whom we rely.</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our current and future clinical trials may be materially and adversely affected by health epidemics in the future. Site initiation and patient enrollment may be further delayed due to prioritization of hospital resources toward health epidemics. Some patients may not be able to comply with clinical trial protocols if quarantines impede patient movement or interrupt healthcare services. Our ability to recruit and retain patients and principal investigators and site staff who, as healthcare providers, may have heightened exposure during health epidemics, and may adversely impact our clinical trial operations. Our employees and our third parties may not be able to travel to study sites, impacting further site initiations and in-person monitoring of study data quality. Our other vendors on whom we depend, such as supply chain and logistics partners and our image reading centers may be disrupted, and our operations could be affected. Our clinical studies enroll patients who have underlying risk factors such as advanced age,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hypertension and/or diabetes which could lead to higher than expected study discontinuation rates and/or missed visit rates if these patients are adversely affected by health epidemics.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extent to which the risks and evolving effects of health epidemics impact our business and our clinical development and regulatory efforts will depend on future developments that are highly uncertain and cannot be predicted with confidence, such as the ultimate duration and severity of the pandemic, government actions, such as travel restrictions, quarantines and social distancing requirements, business closures or business disruptions and the effectiveness of actions taken in the United States and in other countries to contain and treat the disease, including the effectiveness and timing of vaccine programs in the United States and worldwide. Health epidemics may also have the effect of heightening many of the other risks described in this “Risk Factors” section.</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Our Business, Financial Condition and Capital Requirements</w:t>
      </w:r>
      <w:r>
        <w:rPr>
          <w:rFonts w:ascii="Times New Roman" w:hAnsi="Times New Roman"/>
          <w:color w:val="000000"/>
          <w:sz w:val="20"/>
        </w:rPr>
        <w:t xml:space="preserv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We have incurred significant net losses in each period since our inception and anticipate that we will continue to incur significant and increasing net losses for the foreseeable future.*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incurred net losses in each reporting period since our inception, including net losses of $173.2 million for the nine months ended September 30, 2025. As of September 30, 2025, we had an accumulated deficit of $1,502 million.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invested significant financial resources in research and development activities, including for our product candidates and our ABC Platform. We do not expect to generate revenue from product sales for several years, if at all. The amount of our future net losses will depend, in part, on the level of our future expenditures and our ability to generate revenue. Moreover, our net losses may fluctuate significantly from quarter-to-quarter and year-to-year, such that a period-to-period comparison of our results of operations may not be a good indication of our future performance.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expect to continue to incur significant and increasingly higher expenses and operating losses for the foreseeable future. We anticipate that our expenses will increase substantially if and as we: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progress our current and any future product candidates through preclinical and clinical development;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work with our contract manufacturers to scale up the manufacturing processes for our product candidates or, in the future, establish and operate a manufacturing facility;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continue our research and discovery activities;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initiate and conduct additional preclinical, clinical or other studies for our current and any future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 or add additional contract manufacturers or suppliers;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seek regulatory approvals and marketing authorizations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establish sales, marketing and distribution infrastructure to commercialize any products for which we obtain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continue the development of our ABC Platform;</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acquire or in-license product candidates, intellectual property and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make milestone, royalty or other payments due under any current or future collaboration or license agreements;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 maintain, expand, protect and enforce our intellectual property portfolio;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 hire and retain qualified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experience any delays or encounter other issues related to our operations;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meet the requirements and demands of being a public company;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defend against any product liability claims or other lawsuits related to our products.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prior losses and expected future losses have had and will continue to have an adverse effect on our stockholders’ equity and working capital. In any particular quarter or quarters, our operating results could be below the expectations of securities analysts or investors, which could cause our stock price to decline.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Drug development is a highly uncertain undertaking and involves a substantial degree of risk. We have never generated any revenue from product sales, and we may never generate revenue or be profitable.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no products approved for commercial sale and have not generated any revenue from product sales. We do not anticipate generating any revenue from product sales until after we have successfully completed clinical development and received regulatory approval for the commercial sale of a product candidate, if ever.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ability to generate revenue and achieve profitability depends significantly on many factors,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successfully completing research and preclinical and clinical development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regulatory approvals and marketing authorizations for product candidates for which we successfully complete clinical development and clinical trials;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developing a sustainable and scalable manufacturing process for our product candidates, as well as establishing and maintaining commercially viable supply relationships with third parties that can provide adequate products and services to support clinical activities and any commercial demand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identifying, assessing, acquiring and/or developing new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negotiating favorable terms in any collaboration, licensing or other arrangements into which we may enter;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launching and successfully commercializing product candidates for which we obtain regulatory and marketing approval, either by collaborating with a partner or, if launched independently, by establishing a sales, marketing and distribution infrastructure;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and maintaining an adequate price for our product candidates, both in the United States and in foreign countries where our products are commercialized;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adequate reimbursement for our product candidates from payors;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obtaining market acceptance of our product candidates as viable treatment options;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addressing any competing technological and market developments;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maintaining, protecting, expanding and enforcing our portfolio of intellectual property rights, including patents, trade secrets and know-how;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attracting, hiring and retaining qualified personnel.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Because of the numerous risks and uncertainties associated with drug development, we are unable to predict the timing or amount of our expenses, or when we will be able to generate any meaningful revenue or achieve or maintain profitability, if ever. In addition, our expenses could increase beyond our current expectations if we are required by the FDA or foreign regulatory agencies, to perform studies in addition to those that we currently anticipate, or if there are any delays in any of our or our future collaborators’ clinical trials or the development of any of our product candidates. Even if one or more of our product candidates is approved for commercial sale, we anticipate incurring significant costs associated with commercializing any approved product candidate and on-going compliance efforts.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Even if we are able to generate revenue from the sale of any approved products, we may not become profitable, and we will need to obtain additional funding through one or more debt or equity financings in order to continue operations. Revenue from the sale of any product candidate for which regulatory approval is obtained will be dependent, in part, upon the size of the markets in the territories for which we gain regulatory approval, the accepted price for the product, the ability to get reimbursement at any price and whether we own the commercial rights for that territory. If the number of addressable patients is not as significant as we anticipate, the indication approved by regulatory authorities is narrower than we expect, or the reasonably accepted population for treatment is narrowed by competition, physician choice or treatment guidelines, we may not generate significant revenue from sales of such products, even if approved. Even if we do achieve profitability, we may not be able to sustain or increase profitability on a quarterly or annual basis.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failure to become and remain profitable could decrease the value of our company and could impair our ability to raise capital, expand our business, maintain our research and development efforts, diversify our pipeline of product candidates or continue our operations and cause a decline in the value of our common stock, all or any of which may adversely affect our viability.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Our financial condition raises substantial doubt about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As of September 30, 2025, we had cash and cash equivalents of $72.0 million. We have incurred net losses and negative cash flows from operations since inception. We expect to continue to incur operating losses and negative operating cash flows for the foreseeable future and as a result, there is substantial doubt regarding our ability to continue as a going concern.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have historically funded our operations primarily through the issuance of common stock and the sale of future royalties. Our ability to achieve and sustain profitability will depend on the successful development, approval and commercialization of our product candidates and on the achievement of sufficient revenue to support our cost structure and, unless and until we do, we will need to raise additional capital to maintain current operations and to continue research and development activities. We continue to monitor and reduce certain expenditures and plan to raise additional capital through approaches that include equity or debt financings, collaborations or a combination of similar transactions. While we have been able to raise multiple rounds of financing, there can be no assurance that such financing will be available on terms which are favorable or at all. We could be required to pause, scale back or discontinue one or more of our development programs, which could adversely affect our business, financial condition and results of operations. </w:t>
      </w:r>
    </w:p>
    <w:p>
      <w:pPr>
        <w:pStyle w:val="TextBody"/>
        <w:bidi w:val="0"/>
        <w:spacing w:before="240" w:after="283"/>
        <w:jc w:val="left"/>
        <w:rPr>
          <w:rFonts w:ascii="Times New Roman" w:hAnsi="Times New Roman"/>
          <w:sz w:val="20"/>
        </w:rPr>
      </w:pPr>
      <w:r>
        <w:rPr>
          <w:rFonts w:ascii="Times New Roman" w:hAnsi="Times New Roman"/>
          <w:b/>
          <w:i/>
          <w:color w:val="000000"/>
          <w:sz w:val="20"/>
        </w:rPr>
        <w:t>Due to the significant resources required for the development of our product candidates, and depending on our ability to access capital, we must prioritize development of certain product candidates. Moreover, we may expend our limited resources on product candidates that do not yield a successful product and fail to capitalize on product candidates or indications that may be more profitable or for which there is a greater likelihood of success.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Due to the significant resources required for the development of our product candidates, we must decide which product candidates and indications to pursue and advance and the amount of resources to allocate to each. Our decisions concerning the allocation of research, development, collaboration, management and financial resources toward particular product candidates or therapeutic areas may not lead to the development of any viable commercial product and may divert resources away from better opportunities. If any of our future investments or allocations of research and development financial resources result in failed product candidates, our financial condition and business prospects may be significantly adversely impacted and we may never become profitable. Similarly, our potential decisions to delay, terminate or collaborate with third parties in respect of certain product candidates may subsequently also prove to be suboptimal and could cause us to miss valuable opportunities. If we make incorrect determinations regarding the viability or market potential of any of our product candidates or misread trends in the biopharmaceutical industry, in particular for retinal diseases, our business, financial condition and results of operations could be materially adversely affected. As a result, we may fail to capitalize on viable commercial products or profitable market opportunities, be required to forego or delay pursuit of opportunities with other product candidates or other diseases and disease pathways that may later prove to have greater commercial potential than those we choose to pursue, or relinquish valuable rights to such product candidates through collaboration, licensing or other royalty arrangements in cases in which it would have been advantageous for us to invest additional resources to retain sole development and commercialization rights.</w:t>
      </w:r>
    </w:p>
    <w:p>
      <w:pPr>
        <w:pStyle w:val="TextBody"/>
        <w:bidi w:val="0"/>
        <w:spacing w:before="240" w:after="283"/>
        <w:jc w:val="left"/>
        <w:rPr>
          <w:rFonts w:ascii="Times New Roman" w:hAnsi="Times New Roman"/>
          <w:sz w:val="20"/>
        </w:rPr>
      </w:pPr>
      <w:r>
        <w:rPr>
          <w:rFonts w:ascii="Times New Roman" w:hAnsi="Times New Roman"/>
          <w:b/>
          <w:i/>
          <w:color w:val="000000"/>
          <w:sz w:val="20"/>
        </w:rPr>
        <w:t>If we fail to obtain additional financing, we may be unable to complete the development and, if approved, commercialization of our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operations have required substantial amounts of cash since inception. To date, we have funded our operations primarily through the issuance of common stock and the sale of future royalties. Developing our product candidates is expensive, and we expect to continue our spending as we advance our product candidate development efforts. Even if we are successful in developing our product candidates, obtaining regulatory approvals and launching and commercializing any product candidate will require substantial additional funding.</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estimate as to how long we expect our existing cash to be available to fund our operations is based on assumptions that may prove inaccurate, and we could deplete our available capital resources sooner than we currently expect. In addition, changing circumstances may cause us to increase our spending significantly faster than we currently anticipate, and we may need to spend more money than currently expected because of circumstances beyond our control. We may need to raise additional funds sooner than we anticipate if we choose to expand more rapidly than we presently anticipate.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require additional capital for the further development and, if approved, commercialization of our product candidates. Additional capital may not be available when we need it, on terms acceptable to us or at all. For example, geopolitical conflicts in Europe and the Middle East are expected to have further global economic consequences, including disruptions of the global supply chain. Further, inflation rates, particularly in the United States, have increased relatively recently, and the Federal Reserve has raised, and may again raise, interest rates. These conditions of economic uncertainty and market volatility could limit additional capital available to us, if and when needed, and increase its cost if available. In addition, it is possible that we may not be able to access a portion of our existing cash, cash equivalents and investments due to unforeseen market conditions. For example, on March 10, 2023, the Federal Deposit Insurance Corporation (FDIC), took control and was appointed receiver of Silicon Valley Bank. If other banks and financial institutions enter receivership or become insolvent in the future in response to financial conditions affecting the banking system and financial markets, our ability to access our existing cash, cash equivalents and investments may be threatened and could have a material adverse effect on our business and financial condition. We currently have no committed source of additional capital. If adequate capital is not available to us on a timely basis, we may be required to significantly delay, scale back or discontinue our research and development programs or the commercialization of any product candidates, if approved, or be unable to continue or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expand our operations or otherwise capitalize on our business opportunities, as desired, which could materially affect our business, financial condition and results of operations and cause the price of our common stock to decline.</w:t>
      </w:r>
    </w:p>
    <w:p>
      <w:pPr>
        <w:pStyle w:val="TextBody"/>
        <w:bidi w:val="0"/>
        <w:spacing w:before="240" w:after="283"/>
        <w:jc w:val="left"/>
        <w:rPr>
          <w:rFonts w:ascii="Times New Roman" w:hAnsi="Times New Roman"/>
          <w:sz w:val="20"/>
        </w:rPr>
      </w:pPr>
      <w:r>
        <w:rPr>
          <w:rFonts w:ascii="Times New Roman" w:hAnsi="Times New Roman"/>
          <w:b/>
          <w:i/>
          <w:color w:val="000000"/>
          <w:sz w:val="20"/>
        </w:rPr>
        <w:t>If we engage in acquisitions, in-licensing or strategic partnerships, this may increase our capital requirements, dilute our stockholders, cause us to incur debt or assume contingent liabilities and subject us to other risks.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may engage in various acquisitions and strategic partnerships in the future, including licensing or acquiring complementary products, intellectual property rights, technologies or businesses. Any acquisition or strategic partnership may entail numerous risks, including: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increased operating expenses and cash requirements;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assumption of indebtedness or contingent liabilities;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issuance of our equity securities which would result in dilution to our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assimilation of operations, intellectual property, products and product candidates of an acquired company, including difficulties associated with integrating new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diversion of our management’s attention from our existing product candidates and initiatives in pursuing such an acquisition or strategic partnership;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retention of key employees, the loss of key personnel, and uncertainties in our ability to maintain key business relationships;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risks and uncertainties associated with the other party to such a transaction, including the prospects of that party and their existing products or product candidates and regulatory approvals;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inability to generate revenue from acquired intellectual property, technology and/or products sufficient to meet our objectives or even to offset the associated transaction and maintenance costs.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if we undertake such a transaction, we may incur large one-time expenses and acquire intangible assets that could result in significant future amortization expense.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Unfavorable U.S. and global economic conditions could adversely affect our business,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Our results of operations could be adversely affected by general conditions in the U.S. and global economies, the U.S. and global financial markets and adverse geopolitical and macroeconomic developments. U.S. and global market and economic conditions have been, and continue to be, disrupted and volatile due to many factors, including heightened inflation rates, tariffs, geopolitical conflicts, and bank failures, among others. General business and economic conditions that could affect our business, financial condition or results of operations include fluctuations in economic growth, debt and equity capital markets, liquidity of the global financial markets, access to our liquidity within the U.S. banking system, the availability and cost of credit, investor and consumer confidence, and the strength of the economies in which we, our manufacturers and our suppliers operate.</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 severe or prolonged global economic downturn could result in a variety of risks to our business. For example, inflation rates, particularly in the United States, have increased relatively recently, and increased inflation may result in increases in our operating costs (including our labor costs), reduced liquidity and limits on our ability to access credit or otherwise raise capital on acceptable terms, if at all. In addition, the U.S. Federal Reserve has raised, and may again raise, interest rates in response to concerns about inflation, which, coupled with reduced government spending and volatility in financial markets may have the effect of further increasing economic uncertainty and heightening these risks. Risks of a prolonged global economic downturn are particularly true in Europe, which is undergoing a continued severe economic crisis. A weak or declining economy could also strain our suppliers and manufacturers, possibly resulting in supply disruption. Any of the foregoing could harm our business and we cannot anticipate all of the ways in which the current economic climate and financial market conditions could adversely impact our business.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 Federal Deposit Insurance Corporation only insures amounts up to $250,000 per depositor. Recently, we have seen the abrupt failure of more than one regional bank. We may from time to time have balances in bank accounts that are in excess of insured deposit limits, and could be subject to risks of bank failures. Similar bank failures could significantly impair our access to funding sources in amounts adequate to finance or capitalize our current and projected future business operations and could negatively impact the financial institutions with which we have direct arrangements, or the financial services industry or economy in general.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Additionally, financial markets around the world experienced volatility following the invasion of Ukraine by Russia. Further, a weak or declining economy could strain our suppliers and manufacturers. As a result, our business and results of operations may be adversely affected by the on-going conflict between Ukraine and Russia and related sanctions, particularly to the extent it escalates to involve additional countries, further economic sanctions or wider military conflict.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We have operations, as well as current and potential new suppliers and manufacturers, throughout Europe. If economic conditions in Europe and other key markets for our business remain uncertain or deteriorate further, we could experience adverse effects on our business, financial condition or results of operations.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i/>
          <w:color w:val="000000"/>
          <w:sz w:val="20"/>
        </w:rPr>
        <w:t>Our ability to use our net operating loss carryforwards and certain other tax attributes may be limited.</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of December 31, 2024, the Company had $111.5 million of federal and $616.3 million of state net operating loss, or NOLs, that may be available to offset future taxable income. A portion of the federal NOL carryforwards begin to expire in 2035 and the state NOL carryforwards begin to expire in 2035, if not utilized. Under Sections 382 and 383 of the United States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NOL carryforwards and other pre-change tax attributes to offset its post-change taxable income or taxes may be limited. We may also experience ownership changes in the future as a result of subsequent shifts in our stock ownership, some of which are outside our control. As a result, our ability to use our pre-change net operating loss carryforwards and other pre-change tax attributes to offset post-change taxable income or taxes may be subject to limitation.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U.S. federal tax legislation enacted in 2017, informally titled The Tax Cuts and Jobs Act, or the Tax Act, as modified by the Coronavirus Aid, Relief, and Economic Security Act, or the CARES Act, enacted in March 2020, among other things, includes changes to U.S. federal tax rates and the rules governing NOL carryforwards. Federal NOLs arising in tax years beginning after December 31, 2017 are permitted to be carried forward indefinitely, but carryback of such NOLs is generally permitted to the prior five taxable years only for NOLs arising in taxable years beginning before 2021. In addition, under the Tax Act, as modified by the CARES Act, the deductibility of federal NOLs incurred in taxable years beginning after December 31, 2017 is limited in taxable years beginning after December 31, 2020. For state income tax purposes, there may be periods during which the use of net operating loss carryforwards is suspended or otherwise limited, which could accelerate or permanently increase state taxes owed. The new limitations on use of NOLs may significantly impact our ability to utilize our NOLs to offset taxable income in the future.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Changes in tax laws or regulations that are applied adversely to us or our customers may have a material adverse effect on our business, cash flow, financial condition or results of operations.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New income, sales, use or other tax laws, statutes, rules, regulations or ordinances could be enacted at any time, which could adversely affect our business operations and financial performance. Further, existing tax laws, statutes, rules, regulations or ordinances could be interpreted, changed, modified or applied adversely to us. For example, the Tax Act enacted many significant changes to the U.S. tax laws. Future guidance from the Internal Revenue Service and other tax authorities with respect to the Tax Act may affect us, and certain aspects of the Tax Act could be repealed or modified in future legislation. For example, the CARES Act, modified certain provisions of the Tax Act. More recently, the IRA was enacted which includes provisions that will impact the U.S. federal income taxation of corporations, including imposing a minimum tax on the book income of certain large corporations and an excise tax on certain corporate stock repurchases that would be imposed on the corporation repurchasing such stock. In addition, it is uncertain if and to what extent various states will conform to the Tax Act, the CARES Act, the IRA, or any newly enacted federal tax legislation. Changes in corporate tax rates, the realization of net deferred tax assets relating to our operations, the taxation of foreign earnings, and the deductibility of expenses under the Tax Act or future reform legislation could have a material impact on the value of our net deferred tax assets, could result in significant one-time charges, and could increase our future U.S. tax expense.</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Foreign currency exchange rate risk may impact our financial position and results.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use foreign currency forward contracts to protect against changes in anticipated foreign currency cash flows resulting from changes in foreign currency exchange rates, primarily associated with non-functional currency denominated expenses. We regularly monitor our foreign currency exchange rate exposures to ensure the overall effectiveness of its foreign currency exposures. While we engage in foreign currency hedging activity to reduce our risk, for accounting purposes, none of its foreign currency forward contracts are designated as hedges.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A failure to maintain an effective system of internal control over financial reporting could result in material misstatements of our financial statements in future periods and may impair our ability to comply with the accounting and reporting requirements applicable to public companies. Furthermore, our business, financial position, and results of operations could be adversely affected.</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As a public company, we are subject to reporting and other obligations under the Exchange Act, including the requirements of the Sarbanes-Oxley Act of 2002, or SOX, Section 404, which require annual management assessments of the effectiveness of our internal control over financial reporting.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rules governing the standards that must be met for management to determine that our internal control over financial reporting is effective are complex and require significant documentation, testing and possible remediation to meet the detailed standards under the rules. During the course of its testing, our management may identify material weaknesses or deficiencies which may not be remedied in time to meet the deadline imposed by SOX. These reporting and other obligations place significant demands on our management and administrative and operational resources, including accounting resources.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management is responsible for establishing and maintaining adequate internal control over financial reporting. Our internal control over financial reporting is a process designed to provide reasonable assurance regarding the reliability of financial reporting and the preparation of financial statements for external purposes in accordance with accounting principles generally accepted in the United States. A material weakness is a deficiency, or a combination of deficiencies, in internal control over financial reporting such that there is a reasonable possibility that a material misstatement of annual or interim consolidated financial statements will not be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prevented or detected on a timely basis. Any failure to maintain effective internal controls could also have an adverse effect on our business, financial position and results of operations. </w:t>
      </w:r>
    </w:p>
    <w:p>
      <w:pPr>
        <w:pStyle w:val="TextBody"/>
        <w:bidi w:val="0"/>
        <w:spacing w:before="240" w:after="283"/>
        <w:jc w:val="left"/>
        <w:rPr>
          <w:rFonts w:ascii="Times New Roman" w:hAnsi="Times New Roman"/>
          <w:sz w:val="20"/>
        </w:rPr>
      </w:pPr>
      <w:r>
        <w:rPr>
          <w:rFonts w:ascii="Times New Roman" w:hAnsi="Times New Roman"/>
          <w:b/>
          <w:color w:val="000000"/>
          <w:sz w:val="20"/>
        </w:rPr>
        <w:t>Risks Related to Ownership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b/>
          <w:i/>
          <w:color w:val="000000"/>
          <w:sz w:val="20"/>
        </w:rPr>
      </w:pPr>
      <w:r>
        <w:rPr>
          <w:rFonts w:ascii="Times New Roman" w:hAnsi="Times New Roman"/>
          <w:b/>
          <w:i/>
          <w:color w:val="000000"/>
          <w:sz w:val="20"/>
        </w:rPr>
        <w:t>The market price of our common stock may be volatile, which could result in substantial losses for investors purchasing shares.*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market price of our common stock may be volatile. For example, the closing price of our common stock from December 31, 2023 to December 31, 2024 ranged from a low of $2.20 to a high of $10.90 and from January 1, 2025 to November 6, 2025, ranged from a low of $2.06 to a high of $21.05. As a result, shareholders may not be able to sell their common stock at or above the price that they paid for such shares. Some of the factors that may cause the market price of our common stock to fluctuate include: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success of existing or new competitive products or technologies;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timing and results of clinical trials for our current product candidates and any future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commencement or termination of collaborations for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or discontinuation of any of our product candidates;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failure to develop our ABC Platform;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results of preclinical studies, clinical trials or regulatory approvals of product candidates of our competitors, or announcements about new research programs or product candidates of our competitors;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regulatory or legal developments in the United States and other countries;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developments or disputes concerning patent applications, issued patents or other proprietary rights;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recruitment or departure of key personnel;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commencement of litigation;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level of expenses related to any of our research programs, product candidates that we may develop;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results of our efforts to develop additional product candidates or products;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actual or anticipated changes in estimates as to financial results, development timelines or recommendations by securities analysts;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announcement or expectation of additional financing efforts;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our common stock by us, our insiders, or other stockholders;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variations in our financial results or those of companies that are perceived to be similar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estimates or recommendations by securities analysts, if any, that cover our stock;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changes in the structure of healthcare payment systems;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market conditions in the pharmaceutical and biotechnology sectors;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general economic, industry, and market conditions, including the current inflationary environment, lowered consumer confidence, bank failures, major geopolitical conflicts; and</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other factors described in this “Risk Factors” section.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In recent years, the stock market in general, and the market for pharmaceutical and biotechnology companies in particular, has experienced significant price and volume fluctuations that have often been unrelated or disproportionate to changes in the operating performance of the companies whose stock is experiencing those price and volume fluctuations, including recently in connection with health epidemics, bank failures, broader macroeconomic conditional and/or geopolitical instability, which has resulted in decreased market prices, notwithstanding the lack of a fundamental change in the underlying business models or prospects of those companies. Broad market and industry factors may seriously affect the market price of our common stock, regardless of our actual operating performance. In this regard, worsening economic conditions, relatively heightened interest rates and/or other tapering policies from the government, and other adverse effects or developments relating to health epidemics or general economic environment may negatively affect the market price of our common stock, regardless of our actual operating performance. Following periods of such volatility in the market price of a company’s securities, securities class action litigation has often been brought against that company. Because of the potential volatility of our stock price, we may become the target of securities litigation in the future. Securities litigation could result in substantial costs and divert management’s attention and resources from our business.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59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b/>
          <w:i/>
          <w:color w:val="000000"/>
          <w:sz w:val="20"/>
        </w:rPr>
      </w:pPr>
      <w:r>
        <w:rPr>
          <w:rFonts w:ascii="Times New Roman" w:hAnsi="Times New Roman"/>
          <w:b/>
          <w:i/>
          <w:color w:val="000000"/>
          <w:sz w:val="20"/>
        </w:rPr>
        <w:t>Future sales of our common stock in the public market could cause our share price to decline, even if our business is doing well.</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Sales of a substantial number of shares of our common stock in the public market, or the perception that these sales might occur, could depress the market price of our common stock and could impair our ability to raise capital through the sale of additional equity securities. We are unable to predict the effect that sales, particularly sales by our directors, executive officers and significant stockholders, may have on the prevailing market price of our common stock. All of our outstanding shares of common stock are available for sale in the public market, subject only to the restrictions of Rule 144 under the Securities Act in the case of our affiliates. In addition, the shares of common stock subject to outstanding options under our equity incentive plans and the shares reserved for future issuance under our equity incentive plans, as well as shares issuable upon vesting of restricted stock unit awards, will become eligible for sale in the public market in the future, subject to certain legal and contractual limitations. In addition, certain holders of our common stock have the right, subject to various conditions and limitations, to request we include their shares of our common stock in registration statements we may file relating to our securities. If any of these additional shares are sold, or if it is perceived that they will be sold, in the public market, the market price of our common stock could decline.</w:t>
      </w:r>
    </w:p>
    <w:p>
      <w:pPr>
        <w:pStyle w:val="TextBody"/>
        <w:bidi w:val="0"/>
        <w:spacing w:before="240" w:after="283"/>
        <w:jc w:val="left"/>
        <w:rPr>
          <w:rFonts w:ascii="Times New Roman" w:hAnsi="Times New Roman"/>
          <w:sz w:val="20"/>
        </w:rPr>
      </w:pPr>
      <w:r>
        <w:rPr>
          <w:rFonts w:ascii="Times New Roman" w:hAnsi="Times New Roman"/>
          <w:b/>
          <w:i/>
          <w:color w:val="000000"/>
          <w:sz w:val="20"/>
        </w:rPr>
        <w:t>If securities analysts do not publish research or reports about our business or if they publish negative evaluations of our stock, the price of our stock could decline.</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The trading market for our common stock will rely in part on the research and reports that industry or financial analysts publish about us or our business.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 </w:t>
      </w:r>
    </w:p>
    <w:p>
      <w:pPr>
        <w:pStyle w:val="TextBody"/>
        <w:bidi w:val="0"/>
        <w:spacing w:before="240" w:after="283"/>
        <w:jc w:val="left"/>
        <w:rPr>
          <w:rFonts w:ascii="Times New Roman" w:hAnsi="Times New Roman"/>
          <w:sz w:val="20"/>
        </w:rPr>
      </w:pPr>
      <w:r>
        <w:rPr>
          <w:rFonts w:ascii="Times New Roman" w:hAnsi="Times New Roman"/>
          <w:b/>
          <w:i/>
          <w:color w:val="000000"/>
          <w:sz w:val="20"/>
        </w:rPr>
        <w:t>Raising additional capital may cause dilution to our existing stockholders, restrict our operations or require us to relinquish rights to our technologies or product candidates.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We will seek additional capital through one or a combination of public and private equity offerings, debt financings, strategic partnerships and alliances or licensing arrangements. We, and indirectly, our stockholders, will bear the cost of issuing and servicing such securities. Because our decision to issue debt or equity securities in any future offering will depend on market conditions and other factors beyond our control, we cannot predict or estimate the amount, timing or nature of any future offerings. To the extent that we raise additional capital through the sale of equity securities, your ownership interest will be diluted, and the terms may include liquidation or other preferences that adversely affect your rights as a stockholder. The incurrence of indebtedness would result in increased fixed payment obligations and could involve restrictive covenants, such as limitations on our ability to incur additional debt, limitations on our ability to acquire, sell or license intellectual property rights and other operating restrictions that could adversely impact our ability to conduct our business. Additionally, any future collaborations we enter into with third parties may provide capital in the near term but limit our potential cash flow and revenue in the future. If we raise additional funds through strategic partnerships and alliances and licensing arrangements with third parties, we may have to relinquish valuable rights to our technologies or product candidates, or grant licenses on terms unfavorable to us. </w:t>
      </w:r>
    </w:p>
    <w:p>
      <w:pPr>
        <w:pStyle w:val="TextBody"/>
        <w:bidi w:val="0"/>
        <w:spacing w:before="240" w:after="283"/>
        <w:jc w:val="left"/>
        <w:rPr>
          <w:rFonts w:ascii="Times New Roman" w:hAnsi="Times New Roman"/>
          <w:sz w:val="20"/>
        </w:rPr>
      </w:pPr>
      <w:r>
        <w:rPr>
          <w:rFonts w:ascii="Times New Roman" w:hAnsi="Times New Roman"/>
          <w:b/>
          <w:i/>
          <w:color w:val="000000"/>
          <w:sz w:val="20"/>
        </w:rPr>
        <w:t>Our principal stockholders own a significant percentage of our common stock, which could limit your ability to affect the outcome of key transactions, including a change of control.</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directors, executive officers, significant holders of outstanding common stock and their respective affiliates beneficially own a significant amount of our common stock. As a result, these stockholders, if they act together, will be able to influence our management and affairs and all matters requiring stockholder approval, including the election of directors and approval of significant corporate transactions. This concentration of ownership may have the effect of delaying or preventing a change in control of our company and might affect the market price of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Delaware law and provisions in our certificate of incorporation and bylaws might discourage, delay, or prevent a change in control of our company or changes in our management and, therefore, depress the trading price of our common stock.</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Provisions in our certificate of incorporation and bylaws may discourage, delay, or prevent a merger, acquisition, or other change in control that stockholders may consider favorable, including transactions in which you might otherwise receive a premium for your shares of our common stock. These provisions may also prevent or frustrate attempts by our stockholders to replace or remove our management. Therefore, these provisions could adversely affect the price of our common stock. Among other things, our charter documents: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that vacancies on our board of directors may be filled only by a majority of directors then in office, even though less than a quorum;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eliminate cumulative voting in the election of directors;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to issue shares of preferred stock and determine the price and other terms of those shares, including preferences and voting rights, without stockholder approval;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provide our board of directors with the exclusive right to elect a director to fill a vacancy or newly created directorship;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permit stockholders to only take actions at a duly called annual or special meeting and not by written consent;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prohibit stockholders from calling a special meeting of stockholders;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that stockholders give advance notice to nominate directors or submit proposals for consideration at stockholder meetings;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authorize our board of directors, by a majority vote, to amend the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require the affirmative vote of at least 66 2/3% or more of the outstanding shares of common stock to amend many of the provisions described above.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In addition, Section 203 of the General Corporation Law of the State of Delaware, or DGCL, prohibits a publicly-held Delaware corporation from engaging in a business combination with an interested stockholder, generally a person which together with its affiliates owns, or within the last three years has owned, 15% of our voting stock, for a period of three years after the date of the transaction in which the person became an interested stockholder, unless the business combination is approved in a prescribed manner.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provision of our certificate of incorporation, bylaws, or Delaware law that has the effect of delaying or preventing a change in control could limit the opportunity for our stockholders to receive a premium for their shares of our capital stock and could also affect the price that some investors are willing to pay for our common stock. </w:t>
      </w:r>
    </w:p>
    <w:p>
      <w:pPr>
        <w:pStyle w:val="TextBody"/>
        <w:bidi w:val="0"/>
        <w:spacing w:before="240" w:after="283"/>
        <w:jc w:val="left"/>
        <w:rPr>
          <w:rFonts w:ascii="Times New Roman" w:hAnsi="Times New Roman"/>
          <w:sz w:val="20"/>
        </w:rPr>
      </w:pPr>
      <w:r>
        <w:rPr>
          <w:rFonts w:ascii="Times New Roman" w:hAnsi="Times New Roman"/>
          <w:b/>
          <w:i/>
          <w:color w:val="000000"/>
          <w:sz w:val="20"/>
        </w:rPr>
        <w:t>Our bylaws provide that the Court of Chancery of the State of Delaware and the federal district courts of the United States of America will be the exclusive forums for substantially all disputes between us and our stockholders, which could limit our stockholders’ ability to obtain a favorable judicial forum for disputes with us or our directors, officers, or employees.</w:t>
      </w:r>
      <w:r>
        <w:rPr>
          <w:rFonts w:ascii="Times New Roman" w:hAnsi="Times New Roman"/>
          <w:color w:val="000000"/>
          <w:sz w:val="20"/>
        </w:rPr>
        <w:t xml:space="preserv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provide that the Court of Chancery of the State of Delaware will be the exclusive forum for: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derivative action or proceeding brought on our behalf;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of breach of fiduciary duty;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arising under the DGCL, our certificate of incorporation, or our bylaws;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any action asserting a claim against us that is governed by the internal-affairs doctrine.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Our bylaws further provide that the U.S. federal district courts will be the exclusive forum for resolving any complaint asserting a cause of action arising under the Securities Act of 1933, as amended. </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 If a court were to find either exclusive-forum provision in our bylaws to be inapplicable or unenforceable in an action, we may incur additional costs associated with resolving the dispute in other jurisdictions, which could seriously harm our business. Our bylaws further provide that unless we otherwise consent in writing, the U.S. federal district courts will be the exclusive forum for resolving any complaint asserting a cause of action arising under the Securities Act. While the Delaware courts have determined that such choice of forum provisions are facially valid, a stockholder may nevertheless seek to bring a claim in a venue other than those designated in the exclusive forum provisions. In such instance, we would expect to vigorously assert the validity and enforceability of the exclusive forum provisions of our amended and restated certificate of incorporation. This may require significant additional costs associated with resolving such action in other jurisdictions and there can be no assurance that the provisions will be enforced by a court in those other jurisdictions.</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19" w:name="ii_item2"/>
      <w:bookmarkEnd w:id="19"/>
      <w:r>
        <w:rPr>
          <w:rFonts w:ascii="Times New Roman" w:hAnsi="Times New Roman"/>
          <w:b/>
          <w:color w:val="000000"/>
          <w:sz w:val="20"/>
        </w:rPr>
        <w:t xml:space="preserve">Item 2. </w:t>
      </w:r>
      <w:bookmarkStart w:id="20" w:name="item_2_unregistered_sales_equity_securit"/>
      <w:bookmarkEnd w:id="20"/>
      <w:r>
        <w:rPr>
          <w:rFonts w:ascii="Times New Roman" w:hAnsi="Times New Roman"/>
          <w:b/>
          <w:color w:val="000000"/>
          <w:sz w:val="20"/>
        </w:rPr>
        <w:t>Unregistered Sales of Equity Securities and Use of Proceeds.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1" w:name="item_3_defaults_upon_senior_securities"/>
      <w:bookmarkEnd w:id="21"/>
      <w:r>
        <w:rPr>
          <w:rFonts w:ascii="Times New Roman" w:hAnsi="Times New Roman"/>
          <w:b/>
          <w:color w:val="000000"/>
          <w:sz w:val="20"/>
        </w:rPr>
        <w:t>Item 3. Defaults Upon Senior Securities.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2" w:name="item_4_mine_safety_disclosures"/>
      <w:bookmarkEnd w:id="22"/>
      <w:r>
        <w:rPr>
          <w:rFonts w:ascii="Times New Roman" w:hAnsi="Times New Roman"/>
          <w:b/>
          <w:color w:val="000000"/>
          <w:sz w:val="20"/>
        </w:rPr>
        <w:t>Item 4. Mine Safety Disclosures.</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None.</w:t>
      </w:r>
    </w:p>
    <w:p>
      <w:pPr>
        <w:pStyle w:val="TextBody"/>
        <w:bidi w:val="0"/>
        <w:spacing w:before="240" w:after="283"/>
        <w:jc w:val="left"/>
        <w:rPr>
          <w:rFonts w:ascii="Times New Roman" w:hAnsi="Times New Roman"/>
          <w:b/>
          <w:color w:val="000000"/>
          <w:sz w:val="20"/>
        </w:rPr>
      </w:pPr>
      <w:bookmarkStart w:id="23" w:name="item_5_or_information"/>
      <w:bookmarkEnd w:id="23"/>
      <w:r>
        <w:rPr>
          <w:rFonts w:ascii="Times New Roman" w:hAnsi="Times New Roman"/>
          <w:b/>
          <w:color w:val="000000"/>
          <w:sz w:val="20"/>
        </w:rPr>
        <w:t>Item 5. Other Information.</w:t>
      </w:r>
    </w:p>
    <w:p>
      <w:pPr>
        <w:pStyle w:val="TextBody"/>
        <w:bidi w:val="0"/>
        <w:spacing w:before="120" w:after="240"/>
        <w:jc w:val="left"/>
        <w:rPr>
          <w:rFonts w:ascii="Times New Roman" w:hAnsi="Times New Roman"/>
          <w:color w:val="000000"/>
          <w:sz w:val="20"/>
        </w:rPr>
      </w:pPr>
      <w:r>
        <w:rPr>
          <w:rFonts w:ascii="Times New Roman" w:hAnsi="Times New Roman"/>
          <w:color w:val="000000"/>
          <w:sz w:val="20"/>
        </w:rPr>
        <w:t>During our last fiscal quarter, one of our officers (as defined in Rule 16a-1(f) under the Exchange Act) adopted a written plan for the sale of our securities set forth in the table below.</w:t>
      </w:r>
    </w:p>
    <w:tbl>
      <w:tblPr>
        <w:tblW w:w="10205" w:type="dxa"/>
        <w:jc w:val="left"/>
        <w:tblInd w:w="0" w:type="dxa"/>
        <w:tblLayout w:type="fixed"/>
        <w:tblCellMar>
          <w:top w:w="28" w:type="dxa"/>
          <w:left w:w="28" w:type="dxa"/>
          <w:bottom w:w="28" w:type="dxa"/>
          <w:right w:w="28" w:type="dxa"/>
        </w:tblCellMar>
      </w:tblPr>
      <w:tblGrid>
        <w:gridCol w:w="2458"/>
        <w:gridCol w:w="146"/>
        <w:gridCol w:w="781"/>
        <w:gridCol w:w="146"/>
        <w:gridCol w:w="1378"/>
        <w:gridCol w:w="146"/>
        <w:gridCol w:w="914"/>
        <w:gridCol w:w="193"/>
        <w:gridCol w:w="1133"/>
        <w:gridCol w:w="146"/>
        <w:gridCol w:w="1197"/>
        <w:gridCol w:w="146"/>
        <w:gridCol w:w="1421"/>
      </w:tblGrid>
      <w:tr>
        <w:trPr/>
        <w:tc>
          <w:tcPr>
            <w:tcW w:w="24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3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r>
      <w:tr>
        <w:trPr/>
        <w:tc>
          <w:tcPr>
            <w:tcW w:w="2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40" w:type="dxa"/>
            <w:gridSpan w:val="3"/>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Type of Trading Arrangement</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Total Shares of</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Rule</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Non-Rule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Common Stock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5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Name and Position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Action</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37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Adoption Date</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1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10b5-1*</w:t>
            </w:r>
          </w:p>
        </w:tc>
        <w:tc>
          <w:tcPr>
            <w:tcW w:w="19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3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10b5-1**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19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to be Sold</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Expiration Date</w:t>
            </w:r>
          </w:p>
        </w:tc>
      </w:tr>
      <w:tr>
        <w:trPr/>
        <w:tc>
          <w:tcPr>
            <w:tcW w:w="245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18"/>
              </w:rPr>
              <w:t xml:space="preserve">John Borgeson, </w:t>
            </w:r>
            <w:r>
              <w:rPr>
                <w:rFonts w:ascii="Times New Roman" w:hAnsi="Times New Roman"/>
                <w:i/>
                <w:color w:val="000000"/>
                <w:sz w:val="18"/>
              </w:rPr>
              <w:t>Chief Financial Officer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8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Adoption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78"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September 29, 2025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4"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X</w:t>
            </w:r>
          </w:p>
        </w:tc>
        <w:tc>
          <w:tcPr>
            <w:tcW w:w="19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33"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97"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120,000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21" w:type="dxa"/>
            <w:tcBorders/>
            <w:shd w:fill="CFF0FC" w:val="clear"/>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December 16, 2026</w:t>
            </w:r>
          </w:p>
        </w:tc>
      </w:tr>
    </w:tbl>
    <w:p>
      <w:pPr>
        <w:pStyle w:val="TextBody"/>
        <w:bidi w:val="0"/>
        <w:spacing w:before="120" w:after="283"/>
        <w:jc w:val="left"/>
        <w:rPr>
          <w:rFonts w:ascii="Times New Roman" w:hAnsi="Times New Roman"/>
          <w:color w:val="000000"/>
          <w:sz w:val="17"/>
        </w:rPr>
      </w:pPr>
      <w:r>
        <w:rPr>
          <w:rFonts w:ascii="Times New Roman" w:hAnsi="Times New Roman"/>
          <w:color w:val="000000"/>
          <w:sz w:val="17"/>
        </w:rPr>
        <w:t>* Contract, instruction or written plan intended to satisfy the affirmative defense conditions of Rule 10b5-1(c) under the Exchange Act.</w:t>
      </w:r>
    </w:p>
    <w:p>
      <w:pPr>
        <w:pStyle w:val="TextBody"/>
        <w:bidi w:val="0"/>
        <w:jc w:val="left"/>
        <w:rPr>
          <w:rFonts w:ascii="Times New Roman" w:hAnsi="Times New Roman"/>
          <w:color w:val="000000"/>
          <w:sz w:val="17"/>
        </w:rPr>
      </w:pPr>
      <w:r>
        <w:rPr>
          <w:rFonts w:ascii="Times New Roman" w:hAnsi="Times New Roman"/>
          <w:color w:val="000000"/>
          <w:sz w:val="17"/>
        </w:rPr>
        <w:t>** “Non-Rule 10b5-1 trading arrangement” as defined in Item 408(c) of Regulation S-K under the Securities Exchange Act.</w:t>
      </w:r>
    </w:p>
    <w:p>
      <w:pPr>
        <w:pStyle w:val="TextBody"/>
        <w:bidi w:val="0"/>
        <w:spacing w:before="120" w:after="283"/>
        <w:jc w:val="left"/>
        <w:rPr/>
      </w:pPr>
      <w:r>
        <w:rPr/>
        <w:t> </w:t>
      </w:r>
    </w:p>
    <w:p>
      <w:pPr>
        <w:pStyle w:val="TextBody"/>
        <w:bidi w:val="0"/>
        <w:spacing w:before="120" w:after="283"/>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bookmarkStart w:id="24" w:name="ii_item6"/>
      <w:bookmarkEnd w:id="24"/>
      <w:r>
        <w:rPr>
          <w:rFonts w:ascii="Times New Roman" w:hAnsi="Times New Roman"/>
          <w:b/>
          <w:color w:val="000000"/>
          <w:sz w:val="20"/>
        </w:rPr>
        <w:t>Item 6. E</w:t>
      </w:r>
      <w:bookmarkStart w:id="25" w:name="item_6_exhibits"/>
      <w:bookmarkEnd w:id="25"/>
      <w:r>
        <w:rPr>
          <w:rFonts w:ascii="Times New Roman" w:hAnsi="Times New Roman"/>
          <w:b/>
          <w:color w:val="000000"/>
          <w:sz w:val="20"/>
        </w:rPr>
        <w:t>xhibits.</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(a)</w:t>
      </w:r>
    </w:p>
    <w:p>
      <w:pPr>
        <w:pStyle w:val="TextBody"/>
        <w:bidi w:val="0"/>
        <w:spacing w:before="120" w:after="283"/>
        <w:jc w:val="left"/>
        <w:rPr>
          <w:rFonts w:ascii="Times New Roman" w:hAnsi="Times New Roman"/>
          <w:i/>
          <w:color w:val="000000"/>
          <w:sz w:val="20"/>
        </w:rPr>
      </w:pPr>
      <w:r>
        <w:rPr>
          <w:rFonts w:ascii="Times New Roman" w:hAnsi="Times New Roman"/>
          <w:i/>
          <w:color w:val="000000"/>
          <w:sz w:val="20"/>
        </w:rPr>
        <w:t>Exhibits.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748"/>
        <w:gridCol w:w="146"/>
        <w:gridCol w:w="6001"/>
        <w:gridCol w:w="146"/>
        <w:gridCol w:w="527"/>
        <w:gridCol w:w="146"/>
        <w:gridCol w:w="842"/>
        <w:gridCol w:w="146"/>
        <w:gridCol w:w="631"/>
        <w:gridCol w:w="146"/>
        <w:gridCol w:w="726"/>
      </w:tblGrid>
      <w:tr>
        <w:trPr/>
        <w:tc>
          <w:tcPr>
            <w:tcW w:w="74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00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52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164" w:type="dxa"/>
            <w:gridSpan w:val="7"/>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Incorporated by Reference</w:t>
            </w:r>
          </w:p>
        </w:tc>
      </w:tr>
      <w:tr>
        <w:trPr/>
        <w:tc>
          <w:tcPr>
            <w:tcW w:w="748" w:type="dxa"/>
            <w:tcBorders>
              <w:bottom w:val="single" w:sz="2" w:space="0" w:color="000000"/>
            </w:tcBorders>
            <w:shd w:fill="FFFFFF" w:val="clear"/>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Exhibit</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00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Description</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527"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Form</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File No.</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Exhibit</w:t>
            </w:r>
          </w:p>
        </w:tc>
        <w:tc>
          <w:tcPr>
            <w:tcW w:w="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2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Filing Date</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2">
              <w:r>
                <w:rPr>
                  <w:rStyle w:val="InternetLink"/>
                  <w:rFonts w:ascii="Times New Roman" w:hAnsi="Times New Roman"/>
                  <w:color w:val="0000FF"/>
                  <w:sz w:val="20"/>
                  <w:u w:val="single"/>
                </w:rPr>
                <w:t>Amended and Restated Certificate of Incorporation of Kodiak Sciences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11/16/2018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3">
              <w:r>
                <w:rPr>
                  <w:rStyle w:val="InternetLink"/>
                  <w:rFonts w:ascii="Times New Roman" w:hAnsi="Times New Roman"/>
                  <w:color w:val="0000FF"/>
                  <w:sz w:val="20"/>
                  <w:u w:val="single"/>
                </w:rPr>
                <w:t>Amended and Restated Bylaws of Kodiak Sciences Inc.</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10-Q</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11/16/2018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4">
              <w:r>
                <w:rPr>
                  <w:rStyle w:val="InternetLink"/>
                  <w:rFonts w:ascii="Times New Roman" w:hAnsi="Times New Roman"/>
                  <w:color w:val="0000FF"/>
                  <w:sz w:val="20"/>
                  <w:u w:val="single"/>
                </w:rPr>
                <w:t>Form of Common Stock Certificate</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S-1/A</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333-227237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9/24/2018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5">
              <w:r>
                <w:rPr>
                  <w:rStyle w:val="InternetLink"/>
                  <w:rFonts w:ascii="Times New Roman" w:hAnsi="Times New Roman"/>
                  <w:color w:val="0000FF"/>
                  <w:sz w:val="20"/>
                  <w:u w:val="single"/>
                </w:rPr>
                <w:t>Form of Class B Share Warrant</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S-1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333-227237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9/7/2018</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4.3</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r:id="rId6">
              <w:r>
                <w:rPr>
                  <w:rStyle w:val="InternetLink"/>
                  <w:rFonts w:ascii="Times New Roman" w:hAnsi="Times New Roman"/>
                  <w:color w:val="0000FF"/>
                  <w:sz w:val="20"/>
                  <w:u w:val="single"/>
                </w:rPr>
                <w:t>Registration Rights Agreement, dated March 1, 2021, by and among the registrant and the investors named therein</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10-K</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001-38682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4.7</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3/1/2021</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1.htm">
              <w:r>
                <w:rPr>
                  <w:rStyle w:val="InternetLink"/>
                  <w:rFonts w:ascii="Times New Roman" w:hAnsi="Times New Roman"/>
                  <w:color w:val="0000FF"/>
                  <w:sz w:val="20"/>
                  <w:u w:val="single"/>
                </w:rPr>
                <w:t>Certification of Principal Executive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31.2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1_2.htm">
              <w:r>
                <w:rPr>
                  <w:rStyle w:val="InternetLink"/>
                  <w:rFonts w:ascii="Times New Roman" w:hAnsi="Times New Roman"/>
                  <w:color w:val="0000FF"/>
                  <w:sz w:val="20"/>
                  <w:u w:val="single"/>
                </w:rPr>
                <w:t>Certification of Principal Accounting and Financial Officer Pursuant to Rules 13a-14(a) and 15d-14(a) under the Securities Exchange Act of 1934, as Adopted Pursuant to Section 302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1.htm">
              <w:r>
                <w:rPr>
                  <w:rStyle w:val="InternetLink"/>
                  <w:rFonts w:ascii="Times New Roman" w:hAnsi="Times New Roman"/>
                  <w:color w:val="0000FF"/>
                  <w:sz w:val="20"/>
                  <w:u w:val="single"/>
                </w:rPr>
                <w:t>Certification of Principal Executive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32.2*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hyperlink w:anchor="kod-ex32_2.htm">
              <w:r>
                <w:rPr>
                  <w:rStyle w:val="InternetLink"/>
                  <w:rFonts w:ascii="Times New Roman" w:hAnsi="Times New Roman"/>
                  <w:color w:val="0000FF"/>
                  <w:sz w:val="20"/>
                  <w:u w:val="single"/>
                </w:rPr>
                <w:t>Certification of Principal Accounting and Financial Officer Pursuant to 18 U.S.C. Section 1350, as Adopted Pursuant to Section 906 of the Sarbanes-Oxley Act of 2002</w:t>
              </w:r>
            </w:hyperlink>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101.INS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Instance Document (the instance document does not appear in the Interactive Data File because its XBRL tags are embedded within the Inline XBRL document)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101.SCH</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Inline XBRL Taxonomy Extension Schema With Embedded Linkbase Documents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(formatted as Inline XBRL with applicable taxonomy extension information contained in Exhibits 101)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7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00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2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pBdr>
          <w:bottom w:val="single" w:sz="4" w:space="1" w:color="000000"/>
        </w:pBdr>
        <w:bidi w:val="0"/>
        <w:jc w:val="left"/>
        <w:rPr/>
      </w:pPr>
      <w:r>
        <w:rPr/>
        <w:t> </w:t>
      </w:r>
    </w:p>
    <w:p>
      <w:pPr>
        <w:pStyle w:val="TextBody"/>
        <w:bidi w:val="0"/>
        <w:spacing w:before="40" w:after="283"/>
        <w:jc w:val="left"/>
        <w:rPr>
          <w:rFonts w:ascii="Times New Roman" w:hAnsi="Times New Roman"/>
          <w:color w:val="000000"/>
          <w:sz w:val="20"/>
        </w:rPr>
      </w:pPr>
      <w:r>
        <w:rPr>
          <w:rFonts w:ascii="Times New Roman" w:hAnsi="Times New Roman"/>
          <w:color w:val="000000"/>
          <w:sz w:val="20"/>
        </w:rPr>
        <w:t>* The certifications attached as Exhibits 32.1 and 32.2 are deemed “furnished” and not deemed “filed” for purposes of Section 18 of the Securities Exchange Act of 1934, as amended, and are not to be incorporated by reference into any filing of Kodiak Sciences Inc. under the Securities Act of 1933, as amended, or the Securities Exchange Act of 1934, as amended, whether made before or after the date hereof irrespective of any general incorporation by reference language contained in any such filing, except to the extent that the registrant specifically incorporates it by reference.</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bookmarkStart w:id="26" w:name="signatures"/>
      <w:bookmarkEnd w:id="26"/>
      <w:r>
        <w:rPr>
          <w:rFonts w:ascii="Times New Roman" w:hAnsi="Times New Roman"/>
          <w:b/>
          <w:color w:val="000000"/>
          <w:sz w:val="20"/>
        </w:rPr>
        <w:t>SIGNAT</w:t>
      </w:r>
      <w:bookmarkStart w:id="27" w:name="signature"/>
      <w:bookmarkEnd w:id="27"/>
      <w:r>
        <w:rPr>
          <w:rFonts w:ascii="Times New Roman" w:hAnsi="Times New Roman"/>
          <w:b/>
          <w:color w:val="000000"/>
          <w:sz w:val="20"/>
        </w:rPr>
        <w: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206"/>
        <w:gridCol w:w="109"/>
        <w:gridCol w:w="406"/>
        <w:gridCol w:w="39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37"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KODIAK SCIENCES INC.</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Chief Financial Officer</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spacing w:before="120" w:after="283"/>
        <w:jc w:val="center"/>
        <w:rPr>
          <w:rFonts w:ascii="Times New Roman" w:hAnsi="Times New Roman"/>
          <w:color w:val="000000"/>
          <w:sz w:val="20"/>
        </w:rPr>
      </w:pPr>
      <w:r>
        <w:rPr>
          <w:rFonts w:ascii="Times New Roman" w:hAnsi="Times New Roman"/>
          <w:color w:val="000000"/>
          <w:sz w:val="20"/>
        </w:rPr>
        <w:t>64</w:t>
      </w:r>
    </w:p>
    <w:p>
      <w:pPr>
        <w:pStyle w:val="HorizontalLine"/>
        <w:pBdr>
          <w:bottom w:val="double" w:sz="2" w:space="0" w:color="808080"/>
        </w:pBdr>
        <w:bidi w:val="0"/>
        <w:spacing w:before="0" w:after="283"/>
        <w:jc w:val="left"/>
        <w:rPr/>
      </w:pPr>
      <w:r>
        <w:rPr/>
      </w:r>
    </w:p>
    <w:p>
      <w:pPr>
        <w:pStyle w:val="TextBody"/>
        <w:bidi w:val="0"/>
        <w:jc w:val="left"/>
        <w:rPr/>
      </w:pPr>
      <w:bookmarkStart w:id="28" w:name="kod-ex31_1.htm"/>
      <w:bookmarkStart w:id="29" w:name="kskodex31_1"/>
      <w:bookmarkEnd w:id="28"/>
      <w:bookmarkEnd w:id="29"/>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Victor Perlroth, M.D.,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Kodiak 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127" w:type="dxa"/>
        <w:jc w:val="left"/>
        <w:tblInd w:w="0" w:type="dxa"/>
        <w:tblLayout w:type="fixed"/>
        <w:tblCellMar>
          <w:top w:w="28" w:type="dxa"/>
          <w:left w:w="28" w:type="dxa"/>
          <w:bottom w:w="28" w:type="dxa"/>
          <w:right w:w="28" w:type="dxa"/>
        </w:tblCellMar>
      </w:tblPr>
      <w:tblGrid>
        <w:gridCol w:w="2206"/>
        <w:gridCol w:w="109"/>
        <w:gridCol w:w="406"/>
        <w:gridCol w:w="340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0" w:name="kod-ex31_2.htm"/>
      <w:bookmarkStart w:id="31" w:name="kskodex31_2"/>
      <w:bookmarkEnd w:id="30"/>
      <w:bookmarkEnd w:id="31"/>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31.2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RULES 13a-14(a) AND 15d-14(a) UNDER THE SECURITIES EXCHANGE ACT OF 1934,</w:t>
      </w:r>
    </w:p>
    <w:p>
      <w:pPr>
        <w:pStyle w:val="TextBody"/>
        <w:bidi w:val="0"/>
        <w:jc w:val="center"/>
        <w:rPr>
          <w:rFonts w:ascii="Times New Roman" w:hAnsi="Times New Roman"/>
          <w:b/>
          <w:color w:val="000000"/>
          <w:sz w:val="20"/>
        </w:rPr>
      </w:pPr>
      <w:r>
        <w:rPr>
          <w:rFonts w:ascii="Times New Roman" w:hAnsi="Times New Roman"/>
          <w:b/>
          <w:color w:val="000000"/>
          <w:sz w:val="20"/>
        </w:rPr>
        <w:t>AS ADOPTED PURSUANT TO SECTION 302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John Borgeson, certify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 have reviewed this Quarterly Report on Form 10-Q of Kodiak Sciences Inc.;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3.</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4.</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(c)</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5.</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(b)</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Any fraud, whether or not material, that involves management or other employees who have a significant role in the registrant's internal control over financial reporting.</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206"/>
        <w:gridCol w:w="109"/>
        <w:gridCol w:w="406"/>
        <w:gridCol w:w="39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2" w:name="kod-ex32_1.htm"/>
      <w:bookmarkStart w:id="33" w:name="kskodex32_1"/>
      <w:bookmarkEnd w:id="32"/>
      <w:bookmarkEnd w:id="33"/>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32.1</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Kodiak Sciences Inc. (the “Company”) on Form 10-Q for the period ended September 30, 2025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127" w:type="dxa"/>
        <w:jc w:val="left"/>
        <w:tblInd w:w="0" w:type="dxa"/>
        <w:tblLayout w:type="fixed"/>
        <w:tblCellMar>
          <w:top w:w="28" w:type="dxa"/>
          <w:left w:w="28" w:type="dxa"/>
          <w:bottom w:w="28" w:type="dxa"/>
          <w:right w:w="28" w:type="dxa"/>
        </w:tblCellMar>
      </w:tblPr>
      <w:tblGrid>
        <w:gridCol w:w="2206"/>
        <w:gridCol w:w="109"/>
        <w:gridCol w:w="406"/>
        <w:gridCol w:w="3406"/>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406"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40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Victor Perlroth</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Victor Perlroth, M.D.</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6"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Chairman and Chief Executive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Executive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34" w:name="kod-ex32_2.htm"/>
      <w:bookmarkStart w:id="35" w:name="kskodex32_2"/>
      <w:bookmarkEnd w:id="34"/>
      <w:bookmarkEnd w:id="35"/>
      <w:r>
        <w:rPr/>
        <w:t> </w:t>
      </w:r>
      <w:r>
        <w:br w:type="page"/>
      </w:r>
    </w:p>
    <w:p>
      <w:pPr>
        <w:pStyle w:val="TextBody"/>
        <w:bidi w:val="0"/>
        <w:jc w:val="right"/>
        <w:rPr>
          <w:rFonts w:ascii="Times New Roman" w:hAnsi="Times New Roman"/>
          <w:b/>
          <w:color w:val="000000"/>
          <w:sz w:val="20"/>
        </w:rPr>
      </w:pPr>
      <w:r>
        <w:rPr>
          <w:rFonts w:ascii="Times New Roman" w:hAnsi="Times New Roman"/>
          <w:b/>
          <w:color w:val="000000"/>
          <w:sz w:val="20"/>
        </w:rPr>
        <w:t>Exhibit 32.2</w:t>
      </w:r>
    </w:p>
    <w:p>
      <w:pPr>
        <w:pStyle w:val="TextBody"/>
        <w:bidi w:val="0"/>
        <w:spacing w:before="240" w:after="283"/>
        <w:jc w:val="center"/>
        <w:rPr>
          <w:rFonts w:ascii="Times New Roman" w:hAnsi="Times New Roman"/>
          <w:b/>
          <w:color w:val="000000"/>
          <w:sz w:val="20"/>
        </w:rPr>
      </w:pPr>
      <w:r>
        <w:rPr>
          <w:rFonts w:ascii="Times New Roman" w:hAnsi="Times New Roman"/>
          <w:b/>
          <w:color w:val="000000"/>
          <w:sz w:val="20"/>
        </w:rPr>
        <w:t>CERTIFICATION PURSUANT TO</w:t>
      </w:r>
    </w:p>
    <w:p>
      <w:pPr>
        <w:pStyle w:val="TextBody"/>
        <w:bidi w:val="0"/>
        <w:jc w:val="center"/>
        <w:rPr>
          <w:rFonts w:ascii="Times New Roman" w:hAnsi="Times New Roman"/>
          <w:b/>
          <w:color w:val="000000"/>
          <w:sz w:val="20"/>
        </w:rPr>
      </w:pPr>
      <w:r>
        <w:rPr>
          <w:rFonts w:ascii="Times New Roman" w:hAnsi="Times New Roman"/>
          <w:b/>
          <w:color w:val="000000"/>
          <w:sz w:val="20"/>
        </w:rPr>
        <w:t>18 U.S.C. SECTION 1350, AS ADOPTED PURSUANT TO</w:t>
      </w:r>
    </w:p>
    <w:p>
      <w:pPr>
        <w:pStyle w:val="TextBody"/>
        <w:bidi w:val="0"/>
        <w:jc w:val="center"/>
        <w:rPr>
          <w:rFonts w:ascii="Times New Roman" w:hAnsi="Times New Roman"/>
          <w:b/>
          <w:color w:val="000000"/>
          <w:sz w:val="20"/>
        </w:rPr>
      </w:pPr>
      <w:r>
        <w:rPr>
          <w:rFonts w:ascii="Times New Roman" w:hAnsi="Times New Roman"/>
          <w:b/>
          <w:color w:val="000000"/>
          <w:sz w:val="20"/>
        </w:rPr>
        <w:t>SECTION 906 OF THE SARBANES-OXLEY ACT OF 2002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connection with the Quarterly Report of Kodiak Sciences Inc. (the “Company”) on Form 10-Q for the period ended September 30, 2025 as filed with the Securities and Exchange Commission on the date hereof (the “Report”), I certify, pursuant to 18 U.S.C. § 1350, as adopted pursuant to § 906 of the Sarbanes-Oxley Act of 2002, to the best of my knowledge, that:</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(1)</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Report fully complies with the requirements of section 13(a) or 15(d) of the Securities Exchange Act of 1934; and</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(2)</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The information contained in the Report fairly presents, in all material respects, the financial condition and results of operations of the Company.</w:t>
      </w:r>
    </w:p>
    <w:p>
      <w:pPr>
        <w:pStyle w:val="TextBody"/>
        <w:bidi w:val="0"/>
        <w:jc w:val="left"/>
        <w:rPr/>
      </w:pPr>
      <w:r>
        <w:rPr/>
        <w:t> </w:t>
      </w:r>
    </w:p>
    <w:tbl>
      <w:tblPr>
        <w:tblW w:w="6652" w:type="dxa"/>
        <w:jc w:val="left"/>
        <w:tblInd w:w="0" w:type="dxa"/>
        <w:tblLayout w:type="fixed"/>
        <w:tblCellMar>
          <w:top w:w="28" w:type="dxa"/>
          <w:left w:w="28" w:type="dxa"/>
          <w:bottom w:w="28" w:type="dxa"/>
          <w:right w:w="28" w:type="dxa"/>
        </w:tblCellMar>
      </w:tblPr>
      <w:tblGrid>
        <w:gridCol w:w="2206"/>
        <w:gridCol w:w="109"/>
        <w:gridCol w:w="406"/>
        <w:gridCol w:w="3931"/>
      </w:tblGrid>
      <w:tr>
        <w:trPr/>
        <w:tc>
          <w:tcPr>
            <w:tcW w:w="2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3931" w:type="dxa"/>
            <w:tcBorders/>
            <w:vAlign w:val="center"/>
          </w:tcPr>
          <w:p>
            <w:pPr>
              <w:pStyle w:val="TableContents"/>
              <w:bidi w:val="0"/>
              <w:spacing w:before="0" w:after="283"/>
              <w:jc w:val="left"/>
              <w:rPr>
                <w:sz w:val="4"/>
                <w:szCs w:val="4"/>
              </w:rPr>
            </w:pPr>
            <w:r>
              <w:rPr>
                <w:sz w:val="4"/>
                <w:szCs w:val="4"/>
              </w:rPr>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November 13, 2025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3931"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/s/ 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John Borgeson</w:t>
            </w:r>
          </w:p>
        </w:tc>
      </w:tr>
      <w:tr>
        <w:trPr/>
        <w:tc>
          <w:tcPr>
            <w:tcW w:w="2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1" w:type="dxa"/>
            <w:tcBorders/>
            <w:shd w:fill="FFFFFF" w:val="clear"/>
            <w:tcMar>
              <w:top w:w="0" w:type="dxa"/>
              <w:left w:w="0" w:type="dxa"/>
              <w:bottom w:w="0" w:type="dxa"/>
              <w:right w:w="0" w:type="dxa"/>
            </w:tcMar>
            <w:vAlign w:val="center"/>
          </w:tcPr>
          <w:p>
            <w:pPr>
              <w:pStyle w:val="TableContents"/>
              <w:bidi w:val="0"/>
              <w:jc w:val="center"/>
              <w:rPr>
                <w:rFonts w:ascii="Times New Roman" w:hAnsi="Times New Roman"/>
                <w:b/>
                <w:color w:val="000000"/>
                <w:sz w:val="20"/>
              </w:rPr>
            </w:pPr>
            <w:r>
              <w:rPr>
                <w:rFonts w:ascii="Times New Roman" w:hAnsi="Times New Roman"/>
                <w:b/>
                <w:color w:val="000000"/>
                <w:sz w:val="20"/>
              </w:rPr>
              <w:t>Chief Financial Officer</w:t>
            </w:r>
          </w:p>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(Principal Accounting and Financial Officer)</w:t>
            </w:r>
          </w:p>
        </w:tc>
      </w:tr>
    </w:tbl>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A signed original of this written statement required by Section 906 of the Sarbanes-Oxley Act of 2002 has been provided to the Company and will be retained by the Company and furnished to the Securities and Exchange Commission or its staff upon request.</w:t>
      </w:r>
    </w:p>
    <w:p>
      <w:pPr>
        <w:pStyle w:val="TextBody"/>
        <w:bidi w:val="0"/>
        <w:jc w:val="left"/>
        <w:rPr/>
      </w:pPr>
      <w:r>
        <w:rPr/>
        <w:t> </w:t>
      </w:r>
    </w:p>
    <w:p>
      <w:pPr>
        <w:pStyle w:val="TextBody"/>
        <w:bidi w:val="0"/>
        <w:jc w:val="left"/>
        <w:rPr>
          <w:rFonts w:ascii="Times New Roman" w:hAnsi="Times New Roman"/>
          <w:color w:val="000000"/>
          <w:sz w:val="20"/>
        </w:rPr>
      </w:pPr>
      <w:r>
        <w:rPr>
          <w:rFonts w:ascii="Times New Roman" w:hAnsi="Times New Roman"/>
          <w:color w:val="000000"/>
          <w:sz w:val="20"/>
        </w:rPr>
        <w:t>This certification accompanies the Report to which it relates, is not deemed filed with the Securities and Exchange Commission and is not to be incorporated by reference into any filing of Kodiak Sciences Inc. under the Securities Act of 1933, as amended, or the Securities Exchange Act of 1934, as amended (whether made before or after the date of the Report), irrespective of any general incorporation language contained in such filing.</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Montserra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68748/000156459018029743/kod-ex31_303.htm" TargetMode="External"/><Relationship Id="rId3" Type="http://schemas.openxmlformats.org/officeDocument/2006/relationships/hyperlink" Target="https://www.sec.gov/Archives/edgar/data/1468748/000156459018029743/kod-ex32_302.htm" TargetMode="External"/><Relationship Id="rId4" Type="http://schemas.openxmlformats.org/officeDocument/2006/relationships/hyperlink" Target="https://www.sec.gov/Archives/edgar/data/1468748/000119312518280419/d516071dex41.htm" TargetMode="External"/><Relationship Id="rId5" Type="http://schemas.openxmlformats.org/officeDocument/2006/relationships/hyperlink" Target="https://www.sec.gov/Archives/edgar/data/1468748/000119312518269221/d516071dex45.htm" TargetMode="External"/><Relationship Id="rId6" Type="http://schemas.openxmlformats.org/officeDocument/2006/relationships/hyperlink" Target="https://www.sec.gov/Archives/edgar/data/1468748/000156459021009946/kod-ex47_8.htm"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52125</Words>
  <Characters>295362</Characters>
  <CharactersWithSpaces>347827</CharactersWithSpaces>
  <Paragraphs>4495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