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94615</wp:posOffset>
            </wp:positionV>
            <wp:extent cx="1011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97790</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48" w:lineRule="exact"/>
        <w:rPr>
          <w:rFonts w:ascii="MS PGothic" w:cs="MS PGothic" w:eastAsia="MS PGothic" w:hAnsi="MS PGothic"/>
          <w:sz w:val="16"/>
          <w:szCs w:val="16"/>
          <w:color w:val="auto"/>
          <w:highlight w:val="black"/>
        </w:rPr>
      </w:pPr>
    </w:p>
    <w:p>
      <w:pPr>
        <w:ind w:left="426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For the fiscal year ended December 31, 2019</w:t>
      </w:r>
    </w:p>
    <w:p>
      <w:pPr>
        <w:spacing w:after="0" w:line="28" w:lineRule="exact"/>
        <w:rPr>
          <w:rFonts w:ascii="MS PGothic" w:cs="MS PGothic" w:eastAsia="MS PGothic" w:hAnsi="MS PGothic"/>
          <w:sz w:val="16"/>
          <w:szCs w:val="16"/>
          <w:color w:val="auto"/>
          <w:highlight w:val="black"/>
        </w:rPr>
      </w:pPr>
    </w:p>
    <w:p>
      <w:pPr>
        <w:ind w:left="5520"/>
        <w:spacing w:after="0"/>
        <w:rPr>
          <w:rFonts w:ascii="MS PGothic" w:cs="MS PGothic" w:eastAsia="MS PGothic" w:hAnsi="MS PGothic"/>
          <w:sz w:val="16"/>
          <w:szCs w:val="16"/>
          <w:color w:val="auto"/>
          <w:highlight w:val="black"/>
        </w:rPr>
      </w:pPr>
      <w:r>
        <w:rPr>
          <w:rFonts w:ascii="Arial" w:cs="Arial" w:eastAsia="Arial" w:hAnsi="Arial"/>
          <w:sz w:val="14"/>
          <w:szCs w:val="14"/>
          <w:b w:val="1"/>
          <w:bCs w:val="1"/>
          <w:color w:val="auto"/>
        </w:rPr>
        <w:t>OR</w:t>
      </w:r>
    </w:p>
    <w:p>
      <w:pPr>
        <w:spacing w:after="0" w:line="37"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50"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For the transition period from __________ to 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001-38682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85725</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KODIAK SCIENCES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82550</wp:posOffset>
            </wp:positionV>
            <wp:extent cx="1011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p>
      <w:pPr>
        <w:spacing w:after="0" w:line="283" w:lineRule="exact"/>
        <w:rPr>
          <w:sz w:val="24"/>
          <w:szCs w:val="24"/>
          <w:color w:val="auto"/>
        </w:rPr>
      </w:pPr>
    </w:p>
    <w:p>
      <w:pPr>
        <w:ind w:left="250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27-0476525</w:t>
      </w:r>
    </w:p>
    <w:p>
      <w:pPr>
        <w:spacing w:after="0" w:line="44" w:lineRule="exact"/>
        <w:rPr>
          <w:sz w:val="24"/>
          <w:szCs w:val="24"/>
          <w:color w:val="auto"/>
        </w:rPr>
      </w:pPr>
    </w:p>
    <w:p>
      <w:pPr>
        <w:sectPr>
          <w:pgSz w:w="11900" w:h="16838" w:orient="portrait"/>
          <w:cols w:equalWidth="0" w:num="2">
            <w:col w:w="7380" w:space="720"/>
            <w:col w:w="3140"/>
          </w:cols>
          <w:pgMar w:left="320" w:top="481" w:right="339" w:bottom="1440" w:gutter="0" w:footer="0" w:header="0"/>
          <w:type w:val="continuous"/>
        </w:sectPr>
      </w:pPr>
    </w:p>
    <w:p>
      <w:pPr>
        <w:ind w:left="2000"/>
        <w:spacing w:after="0"/>
        <w:rPr>
          <w:sz w:val="20"/>
          <w:szCs w:val="20"/>
          <w:color w:val="auto"/>
        </w:rPr>
      </w:pPr>
      <w:r>
        <w:rPr>
          <w:rFonts w:ascii="Arial" w:cs="Arial" w:eastAsia="Arial" w:hAnsi="Arial"/>
          <w:sz w:val="10"/>
          <w:szCs w:val="10"/>
          <w:b w:val="1"/>
          <w:bCs w:val="1"/>
          <w:color w:val="auto"/>
        </w:rPr>
        <w:t>(State or other jurisdiction of</w:t>
      </w:r>
    </w:p>
    <w:p>
      <w:pPr>
        <w:spacing w:after="0" w:line="49" w:lineRule="exact"/>
        <w:rPr>
          <w:sz w:val="24"/>
          <w:szCs w:val="24"/>
          <w:color w:val="auto"/>
        </w:rPr>
      </w:pPr>
    </w:p>
    <w:p>
      <w:pPr>
        <w:ind w:left="196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26"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54" w:lineRule="exact"/>
        <w:rPr>
          <w:sz w:val="24"/>
          <w:szCs w:val="24"/>
          <w:color w:val="auto"/>
        </w:rPr>
      </w:pPr>
    </w:p>
    <w:p>
      <w:pPr>
        <w:sectPr>
          <w:pgSz w:w="11900" w:h="16838" w:orient="portrait"/>
          <w:cols w:equalWidth="0" w:num="2">
            <w:col w:w="7240" w:space="720"/>
            <w:col w:w="3280"/>
          </w:cols>
          <w:pgMar w:left="320" w:top="481" w:right="339" w:bottom="1440" w:gutter="0" w:footer="0" w:header="0"/>
          <w:type w:val="continuous"/>
        </w:sectPr>
      </w:pPr>
    </w:p>
    <w:p>
      <w:pPr>
        <w:jc w:val="center"/>
        <w:ind w:right="1980"/>
        <w:spacing w:after="0"/>
        <w:rPr>
          <w:sz w:val="20"/>
          <w:szCs w:val="20"/>
          <w:color w:val="auto"/>
        </w:rPr>
      </w:pPr>
      <w:r>
        <w:rPr>
          <w:rFonts w:ascii="Arial" w:cs="Arial" w:eastAsia="Arial" w:hAnsi="Arial"/>
          <w:sz w:val="13"/>
          <w:szCs w:val="13"/>
          <w:b w:val="1"/>
          <w:bCs w:val="1"/>
          <w:color w:val="auto"/>
        </w:rPr>
        <w:t>2631 Hanover Street</w:t>
      </w:r>
    </w:p>
    <w:p>
      <w:pPr>
        <w:spacing w:after="0" w:line="37" w:lineRule="exact"/>
        <w:rPr>
          <w:sz w:val="24"/>
          <w:szCs w:val="24"/>
          <w:color w:val="auto"/>
        </w:rPr>
      </w:pPr>
    </w:p>
    <w:p>
      <w:pPr>
        <w:jc w:val="center"/>
        <w:ind w:right="1980"/>
        <w:spacing w:after="0"/>
        <w:rPr>
          <w:sz w:val="20"/>
          <w:szCs w:val="20"/>
          <w:color w:val="auto"/>
        </w:rPr>
      </w:pPr>
      <w:r>
        <w:rPr>
          <w:rFonts w:ascii="Arial" w:cs="Arial" w:eastAsia="Arial" w:hAnsi="Arial"/>
          <w:sz w:val="14"/>
          <w:szCs w:val="14"/>
          <w:b w:val="1"/>
          <w:bCs w:val="1"/>
          <w:color w:val="auto"/>
        </w:rPr>
        <w:t>Palo Alto, CA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94304</w:t>
      </w:r>
    </w:p>
    <w:p>
      <w:pPr>
        <w:spacing w:after="0" w:line="55" w:lineRule="exact"/>
        <w:rPr>
          <w:sz w:val="24"/>
          <w:szCs w:val="24"/>
          <w:color w:val="auto"/>
        </w:rPr>
      </w:pPr>
    </w:p>
    <w:p>
      <w:pPr>
        <w:sectPr>
          <w:pgSz w:w="11900" w:h="16838" w:orient="portrait"/>
          <w:cols w:equalWidth="0" w:num="2">
            <w:col w:w="7560" w:space="720"/>
            <w:col w:w="2960"/>
          </w:cols>
          <w:pgMar w:left="320" w:top="481" w:right="339" w:bottom="1440" w:gutter="0" w:footer="0" w:header="0"/>
          <w:type w:val="continuous"/>
        </w:sectPr>
      </w:pPr>
    </w:p>
    <w:p>
      <w:pPr>
        <w:ind w:left="1740"/>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(Zip Code)</w:t>
      </w:r>
    </w:p>
    <w:p>
      <w:pPr>
        <w:spacing w:after="0" w:line="56" w:lineRule="exact"/>
        <w:rPr>
          <w:sz w:val="24"/>
          <w:szCs w:val="24"/>
          <w:color w:val="auto"/>
        </w:rPr>
      </w:pPr>
    </w:p>
    <w:p>
      <w:pPr>
        <w:sectPr>
          <w:pgSz w:w="11900" w:h="16838" w:orient="portrait"/>
          <w:cols w:equalWidth="0" w:num="2">
            <w:col w:w="7440" w:space="720"/>
            <w:col w:w="3080"/>
          </w:cols>
          <w:pgMar w:left="320" w:top="481" w:right="339" w:bottom="1440" w:gutter="0" w:footer="0" w:header="0"/>
          <w:type w:val="continuous"/>
        </w:sectPr>
      </w:pPr>
    </w:p>
    <w:p>
      <w:pPr>
        <w:ind w:left="3560"/>
        <w:spacing w:after="0"/>
        <w:rPr>
          <w:sz w:val="20"/>
          <w:szCs w:val="20"/>
          <w:color w:val="auto"/>
        </w:rPr>
      </w:pPr>
      <w:r>
        <w:rPr>
          <w:rFonts w:ascii="Arial" w:cs="Arial" w:eastAsia="Arial" w:hAnsi="Arial"/>
          <w:sz w:val="14"/>
          <w:szCs w:val="14"/>
          <w:b w:val="1"/>
          <w:bCs w:val="1"/>
          <w:color w:val="auto"/>
        </w:rPr>
        <w:t>Registrant’s telephone number, including area code: (650) 281-0850</w:t>
      </w:r>
    </w:p>
    <w:p>
      <w:pPr>
        <w:spacing w:after="0" w:line="96" w:lineRule="exact"/>
        <w:rPr>
          <w:sz w:val="24"/>
          <w:szCs w:val="24"/>
          <w:color w:val="auto"/>
        </w:rPr>
      </w:pPr>
    </w:p>
    <w:p>
      <w:pPr>
        <w:ind w:left="40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69" w:lineRule="exact"/>
        <w:rPr>
          <w:sz w:val="24"/>
          <w:szCs w:val="24"/>
          <w:color w:val="auto"/>
        </w:rPr>
      </w:pPr>
    </w:p>
    <w:p>
      <w:pPr>
        <w:ind w:left="1720"/>
        <w:spacing w:after="0"/>
        <w:tabs>
          <w:tab w:leader="none" w:pos="5040" w:val="left"/>
          <w:tab w:leader="none" w:pos="764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Symbol(s)</w:t>
      </w:r>
      <w:r>
        <w:rPr>
          <w:sz w:val="20"/>
          <w:szCs w:val="20"/>
          <w:color w:val="auto"/>
        </w:rPr>
        <w:tab/>
      </w:r>
      <w:r>
        <w:rPr>
          <w:rFonts w:ascii="Arial" w:cs="Arial" w:eastAsia="Arial" w:hAnsi="Arial"/>
          <w:sz w:val="12"/>
          <w:szCs w:val="12"/>
          <w:b w:val="1"/>
          <w:bCs w:val="1"/>
          <w:color w:val="auto"/>
        </w:rPr>
        <w:t>Name of each exchange on which registered</w:t>
      </w:r>
    </w:p>
    <w:p>
      <w:pPr>
        <w:spacing w:after="0" w:line="4" w:lineRule="exact"/>
        <w:rPr>
          <w:sz w:val="24"/>
          <w:szCs w:val="24"/>
          <w:color w:val="auto"/>
        </w:rPr>
      </w:pPr>
    </w:p>
    <w:p>
      <w:pPr>
        <w:ind w:left="1260"/>
        <w:spacing w:after="0"/>
        <w:tabs>
          <w:tab w:leader="none" w:pos="5460" w:val="left"/>
          <w:tab w:leader="none" w:pos="8080" w:val="left"/>
        </w:tabs>
        <w:rPr>
          <w:sz w:val="20"/>
          <w:szCs w:val="20"/>
          <w:color w:val="auto"/>
        </w:rPr>
      </w:pPr>
      <w:r>
        <w:rPr>
          <w:rFonts w:ascii="Arial" w:cs="Arial" w:eastAsia="Arial" w:hAnsi="Arial"/>
          <w:sz w:val="14"/>
          <w:szCs w:val="14"/>
          <w:color w:val="auto"/>
        </w:rPr>
        <w:t>Common stock, par value $0.0001</w:t>
      </w:r>
      <w:r>
        <w:rPr>
          <w:sz w:val="20"/>
          <w:szCs w:val="20"/>
          <w:color w:val="auto"/>
        </w:rPr>
        <w:tab/>
      </w:r>
      <w:r>
        <w:rPr>
          <w:rFonts w:ascii="Arial" w:cs="Arial" w:eastAsia="Arial" w:hAnsi="Arial"/>
          <w:sz w:val="14"/>
          <w:szCs w:val="14"/>
          <w:color w:val="auto"/>
        </w:rPr>
        <w:t>KOD</w:t>
      </w:r>
      <w:r>
        <w:rPr>
          <w:sz w:val="20"/>
          <w:szCs w:val="20"/>
          <w:color w:val="auto"/>
        </w:rPr>
        <w:tab/>
      </w:r>
      <w:r>
        <w:rPr>
          <w:rFonts w:ascii="Arial" w:cs="Arial" w:eastAsia="Arial" w:hAnsi="Arial"/>
          <w:sz w:val="13"/>
          <w:szCs w:val="13"/>
          <w:color w:val="auto"/>
        </w:rPr>
        <w:t>The Nasdaq Stock Market LLC</w:t>
      </w:r>
    </w:p>
    <w:p>
      <w:pPr>
        <w:sectPr>
          <w:pgSz w:w="11900" w:h="16838" w:orient="portrait"/>
          <w:cols w:equalWidth="0" w:num="1">
            <w:col w:w="11240"/>
          </w:cols>
          <w:pgMar w:left="320" w:top="481" w:right="339" w:bottom="1440" w:gutter="0" w:footer="0" w:header="0"/>
          <w:type w:val="continuous"/>
        </w:sectPr>
      </w:pPr>
    </w:p>
    <w:p>
      <w:pPr>
        <w:spacing w:after="0" w:line="1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92075</wp:posOffset>
            </wp:positionV>
            <wp:extent cx="1011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33" w:lineRule="exact"/>
        <w:rPr>
          <w:sz w:val="24"/>
          <w:szCs w:val="24"/>
          <w:color w:val="auto"/>
        </w:rPr>
      </w:pPr>
    </w:p>
    <w:p>
      <w:pPr>
        <w:ind w:left="400" w:right="316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ind w:right="120" w:firstLine="401"/>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00" w:firstLine="401"/>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0" w:firstLine="401"/>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6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78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98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880" w:type="dxa"/>
            <w:vAlign w:val="bottom"/>
          </w:tcPr>
          <w:p>
            <w:pPr>
              <w:ind w:left="278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 w:lineRule="exact"/>
        <w:rPr>
          <w:sz w:val="24"/>
          <w:szCs w:val="24"/>
          <w:color w:val="auto"/>
        </w:rPr>
      </w:pPr>
    </w:p>
    <w:p>
      <w:pPr>
        <w:jc w:val="both"/>
        <w:ind w:right="160" w:firstLine="40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40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firstLine="401"/>
        <w:spacing w:after="0" w:line="281" w:lineRule="auto"/>
        <w:rPr>
          <w:sz w:val="20"/>
          <w:szCs w:val="20"/>
          <w:color w:val="auto"/>
        </w:rPr>
      </w:pPr>
      <w:r>
        <w:rPr>
          <w:rFonts w:ascii="Arial" w:cs="Arial" w:eastAsia="Arial" w:hAnsi="Arial"/>
          <w:sz w:val="12"/>
          <w:szCs w:val="12"/>
          <w:color w:val="auto"/>
        </w:rPr>
        <w:t>The aggregate market value of the common stock held by non-affiliates of the registrant, based on the closing price of a share of the registrant’s common stock on June 28, 2019 as reported by the Nasdaq Global Market on such date, was approximately $273.7 million. Shares of common stock held by each executive officer and director and by each other person who may be deemed to be an affiliate of the registrant, have been excluded from this computation. The determination of affiliate status for this purpose is not necessarily a conclusive determination for other purposes.</w:t>
      </w:r>
    </w:p>
    <w:p>
      <w:pPr>
        <w:spacing w:after="0" w:line="1" w:lineRule="exact"/>
        <w:rPr>
          <w:sz w:val="24"/>
          <w:szCs w:val="24"/>
          <w:color w:val="auto"/>
        </w:rPr>
      </w:pPr>
    </w:p>
    <w:p>
      <w:pPr>
        <w:jc w:val="right"/>
        <w:ind w:left="400" w:right="3960"/>
        <w:spacing w:after="0" w:line="271" w:lineRule="auto"/>
        <w:rPr>
          <w:sz w:val="20"/>
          <w:szCs w:val="20"/>
          <w:color w:val="auto"/>
        </w:rPr>
      </w:pPr>
      <w:r>
        <w:rPr>
          <w:rFonts w:ascii="Arial" w:cs="Arial" w:eastAsia="Arial" w:hAnsi="Arial"/>
          <w:sz w:val="14"/>
          <w:szCs w:val="14"/>
          <w:color w:val="auto"/>
        </w:rPr>
        <w:t xml:space="preserve">As of March 2, 2020, the registrant had 44,420,028 shares of common stock, $0.0001 par value per share, outstanding. </w:t>
      </w:r>
      <w:r>
        <w:rPr>
          <w:rFonts w:ascii="Arial" w:cs="Arial" w:eastAsia="Arial" w:hAnsi="Arial"/>
          <w:sz w:val="14"/>
          <w:szCs w:val="14"/>
          <w:b w:val="1"/>
          <w:bCs w:val="1"/>
          <w:color w:val="auto"/>
        </w:rPr>
        <w:t>DOCUMENTS INCORPORATED BY REFERENCE</w:t>
      </w:r>
    </w:p>
    <w:p>
      <w:pPr>
        <w:spacing w:after="0" w:line="1" w:lineRule="exact"/>
        <w:rPr>
          <w:sz w:val="24"/>
          <w:szCs w:val="24"/>
          <w:color w:val="auto"/>
        </w:rPr>
      </w:pPr>
    </w:p>
    <w:p>
      <w:pPr>
        <w:ind w:right="120" w:firstLine="401"/>
        <w:spacing w:after="0" w:line="290" w:lineRule="auto"/>
        <w:rPr>
          <w:sz w:val="20"/>
          <w:szCs w:val="20"/>
          <w:color w:val="auto"/>
        </w:rPr>
      </w:pPr>
      <w:r>
        <w:rPr>
          <w:rFonts w:ascii="Arial" w:cs="Arial" w:eastAsia="Arial" w:hAnsi="Arial"/>
          <w:sz w:val="13"/>
          <w:szCs w:val="13"/>
          <w:color w:val="auto"/>
        </w:rPr>
        <w:t>Portions of the registrant’s definitive Proxy Statement relating to the 2020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275590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 for the Fiscal Year Ended December 31, 2019</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12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9120" w:type="dxa"/>
            <w:vAlign w:val="bottom"/>
            <w:gridSpan w:val="20"/>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Risk Factors</w:t>
              </w:r>
            </w:hyperlink>
          </w:p>
        </w:tc>
        <w:tc>
          <w:tcPr>
            <w:tcW w:w="8200" w:type="dxa"/>
            <w:vAlign w:val="bottom"/>
            <w:gridSpan w:val="17"/>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03">
              <w:r>
                <w:rPr>
                  <w:rFonts w:ascii="Arial" w:cs="Arial" w:eastAsia="Arial" w:hAnsi="Arial"/>
                  <w:sz w:val="18"/>
                  <w:szCs w:val="18"/>
                  <w:color w:val="0000EE"/>
                  <w:w w:val="90"/>
                </w:rPr>
                <w:t>Unresolved Staff Comments</w:t>
              </w:r>
            </w:hyperlink>
          </w:p>
        </w:tc>
        <w:tc>
          <w:tcPr>
            <w:tcW w:w="7060" w:type="dxa"/>
            <w:vAlign w:val="bottom"/>
            <w:gridSpan w:val="1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03">
              <w:r>
                <w:rPr>
                  <w:rFonts w:ascii="Arial" w:cs="Arial" w:eastAsia="Arial" w:hAnsi="Arial"/>
                  <w:sz w:val="18"/>
                  <w:szCs w:val="18"/>
                  <w:color w:val="0000EE"/>
                  <w:w w:val="87"/>
                </w:rPr>
                <w:t>Properties</w:t>
              </w:r>
            </w:hyperlink>
          </w:p>
        </w:tc>
        <w:tc>
          <w:tcPr>
            <w:tcW w:w="8360" w:type="dxa"/>
            <w:vAlign w:val="bottom"/>
            <w:gridSpan w:val="18"/>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9120" w:type="dxa"/>
            <w:vAlign w:val="bottom"/>
            <w:gridSpan w:val="2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9120" w:type="dxa"/>
            <w:vAlign w:val="bottom"/>
            <w:gridSpan w:val="20"/>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Mine Safety Disclosures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9"/>
        </w:trPr>
        <w:tc>
          <w:tcPr>
            <w:tcW w:w="12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160" w:type="dxa"/>
            <w:vAlign w:val="bottom"/>
            <w:tcBorders>
              <w:bottom w:val="single" w:sz="8" w:color="0000EE"/>
            </w:tcBorders>
            <w:gridSpan w:val="19"/>
          </w:tcPr>
          <w:p>
            <w:pPr>
              <w:spacing w:after="0" w:line="190" w:lineRule="exact"/>
              <w:rPr>
                <w:rFonts w:ascii="Arial" w:cs="Arial" w:eastAsia="Arial" w:hAnsi="Arial"/>
                <w:sz w:val="18"/>
                <w:szCs w:val="18"/>
                <w:color w:val="0000EE"/>
                <w:w w:val="90"/>
              </w:rPr>
            </w:pPr>
            <w:hyperlink w:anchor="page104">
              <w:r>
                <w:rPr>
                  <w:rFonts w:ascii="Arial" w:cs="Arial" w:eastAsia="Arial" w:hAnsi="Arial"/>
                  <w:sz w:val="18"/>
                  <w:szCs w:val="18"/>
                  <w:color w:val="0000EE"/>
                  <w:w w:val="90"/>
                </w:rPr>
                <w:t>Market for Registrant’s Common Equity, Related Stockholders Matters and Issuer Purchases of Equity Securities</w:t>
              </w:r>
            </w:hyperlink>
          </w:p>
        </w:tc>
        <w:tc>
          <w:tcPr>
            <w:tcW w:w="960" w:type="dxa"/>
            <w:vAlign w:val="bottom"/>
          </w:tcPr>
          <w:p>
            <w:pPr>
              <w:spacing w:after="0"/>
              <w:rPr>
                <w:sz w:val="16"/>
                <w:szCs w:val="16"/>
                <w:color w:val="auto"/>
              </w:rPr>
            </w:pPr>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27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Selected Consolidated Financial Data</w:t>
              </w:r>
            </w:hyperlink>
          </w:p>
        </w:tc>
        <w:tc>
          <w:tcPr>
            <w:tcW w:w="6400" w:type="dxa"/>
            <w:vAlign w:val="bottom"/>
            <w:gridSpan w:val="11"/>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7.</w:t>
            </w:r>
          </w:p>
        </w:tc>
        <w:tc>
          <w:tcPr>
            <w:tcW w:w="9120" w:type="dxa"/>
            <w:vAlign w:val="bottom"/>
            <w:gridSpan w:val="20"/>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Quantitative and Qualitative Disclosures About Market Risk</w:t>
              </w:r>
            </w:hyperlink>
          </w:p>
        </w:tc>
        <w:tc>
          <w:tcPr>
            <w:tcW w:w="2660" w:type="dxa"/>
            <w:vAlign w:val="bottom"/>
            <w:gridSpan w:val="4"/>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118">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8"/>
                <w:szCs w:val="18"/>
                <w:color w:val="auto"/>
              </w:rPr>
            </w:pPr>
          </w:p>
        </w:tc>
        <w:tc>
          <w:tcPr>
            <w:tcW w:w="4760" w:type="dxa"/>
            <w:vAlign w:val="bottom"/>
            <w:gridSpan w:val="6"/>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9.</w:t>
            </w:r>
          </w:p>
        </w:tc>
        <w:tc>
          <w:tcPr>
            <w:tcW w:w="65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43">
              <w:r>
                <w:rPr>
                  <w:rFonts w:ascii="Arial" w:cs="Arial" w:eastAsia="Arial" w:hAnsi="Arial"/>
                  <w:sz w:val="18"/>
                  <w:szCs w:val="18"/>
                  <w:color w:val="0000EE"/>
                  <w:w w:val="90"/>
                </w:rPr>
                <w:t>Changes in and Disagreements with Accountants on Accounting and Financial Disclosures</w:t>
              </w:r>
            </w:hyperlink>
          </w:p>
        </w:tc>
        <w:tc>
          <w:tcPr>
            <w:tcW w:w="2560" w:type="dxa"/>
            <w:vAlign w:val="bottom"/>
            <w:gridSpan w:val="3"/>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43">
              <w:r>
                <w:rPr>
                  <w:rFonts w:ascii="Arial" w:cs="Arial" w:eastAsia="Arial" w:hAnsi="Arial"/>
                  <w:sz w:val="18"/>
                  <w:szCs w:val="18"/>
                  <w:color w:val="0000EE"/>
                  <w:w w:val="88"/>
                </w:rPr>
                <w:t>Controls and Procedures</w:t>
              </w:r>
            </w:hyperlink>
          </w:p>
        </w:tc>
        <w:tc>
          <w:tcPr>
            <w:tcW w:w="7340" w:type="dxa"/>
            <w:vAlign w:val="bottom"/>
            <w:gridSpan w:val="14"/>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9B.</w:t>
            </w:r>
          </w:p>
        </w:tc>
        <w:tc>
          <w:tcPr>
            <w:tcW w:w="9120" w:type="dxa"/>
            <w:vAlign w:val="bottom"/>
            <w:gridSpan w:val="20"/>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Other Information</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49"/>
        </w:trPr>
        <w:tc>
          <w:tcPr>
            <w:tcW w:w="12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9120" w:type="dxa"/>
            <w:vAlign w:val="bottom"/>
            <w:gridSpan w:val="20"/>
          </w:tcPr>
          <w:p>
            <w:pPr>
              <w:spacing w:after="0" w:line="190" w:lineRule="exact"/>
              <w:rPr>
                <w:rFonts w:ascii="Arial" w:cs="Arial" w:eastAsia="Arial" w:hAnsi="Arial"/>
                <w:sz w:val="18"/>
                <w:szCs w:val="18"/>
                <w:color w:val="0000EE"/>
              </w:rPr>
            </w:pPr>
            <w:hyperlink w:anchor="page144">
              <w:r>
                <w:rPr>
                  <w:rFonts w:ascii="Arial" w:cs="Arial" w:eastAsia="Arial" w:hAnsi="Arial"/>
                  <w:sz w:val="18"/>
                  <w:szCs w:val="18"/>
                  <w:color w:val="0000EE"/>
                </w:rPr>
                <w:t>Directors, Executive Officers and Corporate Governance</w:t>
              </w:r>
            </w:hyperlink>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44">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18"/>
                <w:szCs w:val="18"/>
                <w:color w:val="auto"/>
              </w:rPr>
            </w:pPr>
          </w:p>
        </w:tc>
        <w:tc>
          <w:tcPr>
            <w:tcW w:w="5020" w:type="dxa"/>
            <w:vAlign w:val="bottom"/>
            <w:gridSpan w:val="7"/>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12.</w:t>
            </w:r>
          </w:p>
        </w:tc>
        <w:tc>
          <w:tcPr>
            <w:tcW w:w="9120" w:type="dxa"/>
            <w:vAlign w:val="bottom"/>
            <w:gridSpan w:val="2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Security Ownership of Certain Beneficial Owners and Management and Related Stockholders Matters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13.</w:t>
            </w:r>
          </w:p>
        </w:tc>
        <w:tc>
          <w:tcPr>
            <w:tcW w:w="7360" w:type="dxa"/>
            <w:vAlign w:val="bottom"/>
            <w:tcBorders>
              <w:top w:val="single" w:sz="8" w:color="0000EE"/>
            </w:tcBorders>
            <w:gridSpan w:val="18"/>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Certain Relationships and Related Party Transactions, and Director Independence</w:t>
              </w:r>
            </w:hyperlink>
          </w:p>
        </w:tc>
        <w:tc>
          <w:tcPr>
            <w:tcW w:w="176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14.</w:t>
            </w:r>
          </w:p>
        </w:tc>
        <w:tc>
          <w:tcPr>
            <w:tcW w:w="5880" w:type="dxa"/>
            <w:vAlign w:val="bottom"/>
            <w:tcBorders>
              <w:top w:val="single" w:sz="8" w:color="0000EE"/>
            </w:tcBorders>
            <w:gridSpan w:val="15"/>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Principal Accounting Fees and Services</w:t>
              </w:r>
            </w:hyperlink>
          </w:p>
        </w:tc>
        <w:tc>
          <w:tcPr>
            <w:tcW w:w="3240" w:type="dxa"/>
            <w:vAlign w:val="bottom"/>
            <w:gridSpan w:val="5"/>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9"/>
        </w:trPr>
        <w:tc>
          <w:tcPr>
            <w:tcW w:w="12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20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9120" w:type="dxa"/>
            <w:vAlign w:val="bottom"/>
            <w:gridSpan w:val="20"/>
          </w:tcPr>
          <w:p>
            <w:pPr>
              <w:spacing w:after="0" w:line="190" w:lineRule="exact"/>
              <w:rPr>
                <w:rFonts w:ascii="Arial" w:cs="Arial" w:eastAsia="Arial" w:hAnsi="Arial"/>
                <w:sz w:val="18"/>
                <w:szCs w:val="18"/>
                <w:color w:val="0000EE"/>
              </w:rPr>
            </w:pPr>
            <w:hyperlink w:anchor="page145">
              <w:r>
                <w:rPr>
                  <w:rFonts w:ascii="Arial" w:cs="Arial" w:eastAsia="Arial" w:hAnsi="Arial"/>
                  <w:sz w:val="18"/>
                  <w:szCs w:val="18"/>
                  <w:color w:val="0000EE"/>
                </w:rPr>
                <w:t>Exhibits, Financial Statement Schedules</w:t>
              </w:r>
            </w:hyperlink>
          </w:p>
        </w:tc>
        <w:tc>
          <w:tcPr>
            <w:tcW w:w="920" w:type="dxa"/>
            <w:vAlign w:val="bottom"/>
          </w:tcPr>
          <w:p>
            <w:pPr>
              <w:jc w:val="right"/>
              <w:spacing w:after="0" w:line="190"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147">
              <w:r>
                <w:rPr>
                  <w:rFonts w:ascii="Arial" w:cs="Arial" w:eastAsia="Arial" w:hAnsi="Arial"/>
                  <w:sz w:val="18"/>
                  <w:szCs w:val="18"/>
                  <w:color w:val="0000EE"/>
                  <w:w w:val="92"/>
                </w:rPr>
                <w:t>Form 10-K Summary</w:t>
              </w:r>
            </w:hyperlink>
          </w:p>
        </w:tc>
        <w:tc>
          <w:tcPr>
            <w:tcW w:w="1340" w:type="dxa"/>
            <w:vAlign w:val="bottom"/>
            <w:tcBorders>
              <w:top w:val="single" w:sz="8" w:color="0000EE"/>
            </w:tcBorders>
            <w:gridSpan w:val="6"/>
          </w:tcPr>
          <w:p>
            <w:pPr>
              <w:spacing w:after="0"/>
              <w:rPr>
                <w:sz w:val="18"/>
                <w:szCs w:val="18"/>
                <w:color w:val="auto"/>
              </w:rPr>
            </w:pPr>
          </w:p>
        </w:tc>
        <w:tc>
          <w:tcPr>
            <w:tcW w:w="6220" w:type="dxa"/>
            <w:vAlign w:val="bottom"/>
            <w:gridSpan w:val="9"/>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9120" w:type="dxa"/>
            <w:vAlign w:val="bottom"/>
            <w:gridSpan w:val="20"/>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Signatures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This Annual Report on Form 10-K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w:t>
      </w:r>
    </w:p>
    <w:p>
      <w:pPr>
        <w:spacing w:after="0" w:line="87"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titled “Risk Factors” and elsewhere in this report. Forward-looking statements include, but are not limited to, statements about:</w:t>
      </w:r>
    </w:p>
    <w:p>
      <w:pPr>
        <w:spacing w:after="0" w:line="84" w:lineRule="exact"/>
        <w:rPr>
          <w:sz w:val="20"/>
          <w:szCs w:val="20"/>
          <w:color w:val="auto"/>
        </w:rPr>
      </w:pPr>
    </w:p>
    <w:p>
      <w:pPr>
        <w:ind w:left="680" w:hanging="13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development activities, preclinical studies, clinical trials and regulatory filings;</w:t>
      </w:r>
    </w:p>
    <w:p>
      <w:pPr>
        <w:spacing w:after="0" w:line="117" w:lineRule="exact"/>
        <w:rPr>
          <w:rFonts w:ascii="Arial" w:cs="Arial" w:eastAsia="Arial" w:hAnsi="Arial"/>
          <w:sz w:val="18"/>
          <w:szCs w:val="18"/>
          <w:color w:val="auto"/>
        </w:rPr>
      </w:pPr>
    </w:p>
    <w:p>
      <w:pPr>
        <w:ind w:left="680" w:right="240" w:hanging="132"/>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translation of our preclinical results and data and early clinical trial results in particular relating to safety, efficacy and durability into future clinical trials in humans;</w:t>
      </w:r>
    </w:p>
    <w:p>
      <w:pPr>
        <w:spacing w:after="0" w:line="62" w:lineRule="exact"/>
        <w:rPr>
          <w:rFonts w:ascii="Arial" w:cs="Arial" w:eastAsia="Arial" w:hAnsi="Arial"/>
          <w:sz w:val="18"/>
          <w:szCs w:val="18"/>
          <w:color w:val="auto"/>
        </w:rPr>
      </w:pPr>
    </w:p>
    <w:p>
      <w:pPr>
        <w:ind w:left="680" w:hanging="13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durability, efficacy and safety of our product candidates;</w:t>
      </w:r>
    </w:p>
    <w:p>
      <w:pPr>
        <w:spacing w:after="0" w:line="117" w:lineRule="exact"/>
        <w:rPr>
          <w:rFonts w:ascii="Arial" w:cs="Arial" w:eastAsia="Arial" w:hAnsi="Arial"/>
          <w:sz w:val="18"/>
          <w:szCs w:val="18"/>
          <w:color w:val="auto"/>
        </w:rPr>
      </w:pPr>
    </w:p>
    <w:p>
      <w:pPr>
        <w:ind w:left="680" w:hanging="13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our “2022 Vision” of a Biologics License Application of KSI-301 in 2022;</w:t>
      </w:r>
    </w:p>
    <w:p>
      <w:pPr>
        <w:spacing w:after="0" w:line="117" w:lineRule="exact"/>
        <w:rPr>
          <w:rFonts w:ascii="Arial" w:cs="Arial" w:eastAsia="Arial" w:hAnsi="Arial"/>
          <w:sz w:val="18"/>
          <w:szCs w:val="18"/>
          <w:color w:val="auto"/>
        </w:rPr>
      </w:pPr>
    </w:p>
    <w:p>
      <w:pPr>
        <w:ind w:left="680" w:right="40" w:hanging="132"/>
        <w:spacing w:after="0" w:line="263"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size and design of clinical trials that regulatory authorities may require to obtain marketing approval, including the order and number of clinical studies required to support a Biologics License Application, or BLA, in wet age-related macular degeneration, or wet AMD, diabetic macular edema, or DME, retinal vein occlusion, or RVO, and diabetic retinopathy, or DR;</w:t>
      </w:r>
    </w:p>
    <w:p>
      <w:pPr>
        <w:spacing w:after="0" w:line="75" w:lineRule="exact"/>
        <w:rPr>
          <w:rFonts w:ascii="Arial" w:cs="Arial" w:eastAsia="Arial" w:hAnsi="Arial"/>
          <w:sz w:val="18"/>
          <w:szCs w:val="18"/>
          <w:color w:val="auto"/>
        </w:rPr>
      </w:pPr>
    </w:p>
    <w:p>
      <w:pPr>
        <w:ind w:left="680" w:right="360" w:hanging="132"/>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the potential to achieve FDA approval of KSI-301 in wet AMD, DME, RVO and DR;</w:t>
      </w:r>
    </w:p>
    <w:p>
      <w:pPr>
        <w:spacing w:after="0" w:line="62" w:lineRule="exact"/>
        <w:rPr>
          <w:rFonts w:ascii="Arial" w:cs="Arial" w:eastAsia="Arial" w:hAnsi="Arial"/>
          <w:sz w:val="18"/>
          <w:szCs w:val="18"/>
          <w:color w:val="auto"/>
        </w:rPr>
      </w:pPr>
    </w:p>
    <w:p>
      <w:pPr>
        <w:ind w:left="680" w:right="220" w:hanging="132"/>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62" w:lineRule="exact"/>
        <w:rPr>
          <w:rFonts w:ascii="Arial" w:cs="Arial" w:eastAsia="Arial" w:hAnsi="Arial"/>
          <w:sz w:val="18"/>
          <w:szCs w:val="18"/>
          <w:color w:val="auto"/>
        </w:rPr>
      </w:pPr>
    </w:p>
    <w:p>
      <w:pPr>
        <w:ind w:left="680" w:hanging="132"/>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funding for our operations, including funding necessary to develop, manufacture and commercialize our product candidates;</w:t>
      </w:r>
    </w:p>
    <w:p>
      <w:pPr>
        <w:spacing w:after="0" w:line="140" w:lineRule="exact"/>
        <w:rPr>
          <w:rFonts w:ascii="Arial" w:cs="Arial" w:eastAsia="Arial" w:hAnsi="Arial"/>
          <w:sz w:val="16"/>
          <w:szCs w:val="16"/>
          <w:color w:val="auto"/>
        </w:rPr>
      </w:pPr>
    </w:p>
    <w:p>
      <w:pPr>
        <w:ind w:left="680" w:hanging="13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680" w:hanging="13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or platform technologies that are or may become available;</w:t>
      </w:r>
    </w:p>
    <w:p>
      <w:pPr>
        <w:spacing w:after="0" w:line="117" w:lineRule="exact"/>
        <w:rPr>
          <w:rFonts w:ascii="Arial" w:cs="Arial" w:eastAsia="Arial" w:hAnsi="Arial"/>
          <w:sz w:val="18"/>
          <w:szCs w:val="18"/>
          <w:color w:val="auto"/>
        </w:rPr>
      </w:pPr>
    </w:p>
    <w:p>
      <w:pPr>
        <w:ind w:left="680" w:right="300" w:hanging="132"/>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62" w:lineRule="exact"/>
        <w:rPr>
          <w:rFonts w:ascii="Arial" w:cs="Arial" w:eastAsia="Arial" w:hAnsi="Arial"/>
          <w:sz w:val="18"/>
          <w:szCs w:val="18"/>
          <w:color w:val="auto"/>
        </w:rPr>
      </w:pPr>
    </w:p>
    <w:p>
      <w:pPr>
        <w:ind w:left="680" w:hanging="13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as to the concentration of retinal specialists in the United States and its impact on our sales and marketing plans;</w:t>
      </w:r>
    </w:p>
    <w:p>
      <w:pPr>
        <w:spacing w:after="0" w:line="117" w:lineRule="exact"/>
        <w:rPr>
          <w:rFonts w:ascii="Arial" w:cs="Arial" w:eastAsia="Arial" w:hAnsi="Arial"/>
          <w:sz w:val="18"/>
          <w:szCs w:val="18"/>
          <w:color w:val="auto"/>
        </w:rPr>
      </w:pPr>
    </w:p>
    <w:p>
      <w:pPr>
        <w:ind w:left="680" w:hanging="13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enter into manufacturing-related commitments, and the timing thereof;</w:t>
      </w:r>
    </w:p>
    <w:p>
      <w:pPr>
        <w:spacing w:after="0" w:line="117" w:lineRule="exact"/>
        <w:rPr>
          <w:rFonts w:ascii="Arial" w:cs="Arial" w:eastAsia="Arial" w:hAnsi="Arial"/>
          <w:sz w:val="18"/>
          <w:szCs w:val="18"/>
          <w:color w:val="auto"/>
        </w:rPr>
      </w:pPr>
    </w:p>
    <w:p>
      <w:pPr>
        <w:ind w:left="680" w:hanging="13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7" w:lineRule="exact"/>
        <w:rPr>
          <w:rFonts w:ascii="Arial" w:cs="Arial" w:eastAsia="Arial" w:hAnsi="Arial"/>
          <w:sz w:val="18"/>
          <w:szCs w:val="18"/>
          <w:color w:val="auto"/>
        </w:rPr>
      </w:pPr>
    </w:p>
    <w:p>
      <w:pPr>
        <w:ind w:left="680" w:hanging="132"/>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size and growth potential of the markets for our product candidates, if approved for commercial use, and our ability to serve those markets;</w:t>
      </w:r>
    </w:p>
    <w:p>
      <w:pPr>
        <w:spacing w:after="0" w:line="140" w:lineRule="exact"/>
        <w:rPr>
          <w:rFonts w:ascii="Arial" w:cs="Arial" w:eastAsia="Arial" w:hAnsi="Arial"/>
          <w:sz w:val="16"/>
          <w:szCs w:val="16"/>
          <w:color w:val="auto"/>
        </w:rPr>
      </w:pPr>
    </w:p>
    <w:p>
      <w:pPr>
        <w:ind w:left="680" w:hanging="13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foreign countries;</w:t>
      </w:r>
    </w:p>
    <w:p>
      <w:pPr>
        <w:spacing w:after="0" w:line="117" w:lineRule="exact"/>
        <w:rPr>
          <w:rFonts w:ascii="Arial" w:cs="Arial" w:eastAsia="Arial" w:hAnsi="Arial"/>
          <w:sz w:val="18"/>
          <w:szCs w:val="18"/>
          <w:color w:val="auto"/>
        </w:rPr>
      </w:pPr>
    </w:p>
    <w:p>
      <w:pPr>
        <w:ind w:left="680" w:right="380" w:hanging="132"/>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expected potential benefits of strategic collaboration agreements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680" w:hanging="132"/>
        <w:spacing w:after="0"/>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product candidates and technology;</w:t>
      </w:r>
    </w:p>
    <w:p>
      <w:pPr>
        <w:spacing w:after="0" w:line="128" w:lineRule="exact"/>
        <w:rPr>
          <w:rFonts w:ascii="Arial" w:cs="Arial" w:eastAsia="Arial" w:hAnsi="Arial"/>
          <w:sz w:val="17"/>
          <w:szCs w:val="17"/>
          <w:color w:val="auto"/>
        </w:rPr>
      </w:pPr>
    </w:p>
    <w:p>
      <w:pPr>
        <w:ind w:left="680" w:hanging="13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claims relating to our intellectual property and third-party intellectual property;</w:t>
      </w:r>
    </w:p>
    <w:p>
      <w:pPr>
        <w:spacing w:after="0" w:line="117" w:lineRule="exact"/>
        <w:rPr>
          <w:rFonts w:ascii="Arial" w:cs="Arial" w:eastAsia="Arial" w:hAnsi="Arial"/>
          <w:sz w:val="18"/>
          <w:szCs w:val="18"/>
          <w:color w:val="auto"/>
        </w:rPr>
      </w:pPr>
    </w:p>
    <w:p>
      <w:pPr>
        <w:ind w:left="680" w:hanging="13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680" w:hanging="132"/>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left="680" w:hanging="13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managerial, scientific and medical personnel;</w:t>
      </w:r>
    </w:p>
    <w:p>
      <w:pPr>
        <w:spacing w:after="0" w:line="117" w:lineRule="exact"/>
        <w:rPr>
          <w:rFonts w:ascii="Arial" w:cs="Arial" w:eastAsia="Arial" w:hAnsi="Arial"/>
          <w:sz w:val="18"/>
          <w:szCs w:val="18"/>
          <w:color w:val="auto"/>
        </w:rPr>
      </w:pPr>
    </w:p>
    <w:p>
      <w:pPr>
        <w:ind w:left="680" w:right="580" w:hanging="132"/>
        <w:spacing w:after="0" w:line="277"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the sufficiency of our cash resources, expenses, future revenue, capital requirements and needs for additional financing;</w:t>
      </w:r>
    </w:p>
    <w:p>
      <w:pPr>
        <w:spacing w:after="0" w:line="62" w:lineRule="exact"/>
        <w:rPr>
          <w:rFonts w:ascii="Arial" w:cs="Arial" w:eastAsia="Arial" w:hAnsi="Arial"/>
          <w:sz w:val="18"/>
          <w:szCs w:val="18"/>
          <w:color w:val="auto"/>
        </w:rPr>
      </w:pPr>
    </w:p>
    <w:p>
      <w:pPr>
        <w:ind w:left="680" w:hanging="13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680" w:hanging="132"/>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qualify as an emerging growth company under the JOBS Act.</w:t>
      </w:r>
    </w:p>
    <w:p>
      <w:pPr>
        <w:spacing w:after="0" w:line="117" w:lineRule="exact"/>
        <w:rPr>
          <w:sz w:val="20"/>
          <w:szCs w:val="20"/>
          <w:color w:val="auto"/>
        </w:rPr>
      </w:pPr>
    </w:p>
    <w:p>
      <w:pPr>
        <w:ind w:right="20" w:firstLine="546"/>
        <w:spacing w:after="0" w:line="291" w:lineRule="auto"/>
        <w:rPr>
          <w:sz w:val="20"/>
          <w:szCs w:val="20"/>
          <w:color w:val="auto"/>
        </w:rPr>
      </w:pPr>
      <w:r>
        <w:rPr>
          <w:rFonts w:ascii="Arial" w:cs="Arial" w:eastAsia="Arial" w:hAnsi="Arial"/>
          <w:sz w:val="16"/>
          <w:szCs w:val="16"/>
          <w:color w:val="auto"/>
        </w:rPr>
        <w:t>All forward-looking statements are based on information available to us on the date of this Annual Report on Form 10-K and we will not update any of the forward-looking statements after the date of this Annual Report on Form 10-K, except as required by law. Our actual results could differ materially from those discussed in this Annual Report on Form 10-K. The forward-looking statements contained in this Annual Report on Form 10-K,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Part I, Item 1A “Risk Factors” of this Annual Report on Form 10-K.</w:t>
      </w:r>
    </w:p>
    <w:p>
      <w:pPr>
        <w:spacing w:after="0" w:line="58"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80" w:lineRule="exact"/>
        <w:rPr>
          <w:sz w:val="20"/>
          <w:szCs w:val="20"/>
          <w:color w:val="auto"/>
        </w:rPr>
      </w:pPr>
    </w:p>
    <w:p>
      <w:pPr>
        <w:ind w:right="700" w:firstLine="546"/>
        <w:spacing w:after="0" w:line="277" w:lineRule="auto"/>
        <w:rPr>
          <w:sz w:val="20"/>
          <w:szCs w:val="20"/>
          <w:color w:val="auto"/>
        </w:rPr>
      </w:pPr>
      <w:r>
        <w:rPr>
          <w:rFonts w:ascii="Arial" w:cs="Arial" w:eastAsia="Arial" w:hAnsi="Arial"/>
          <w:sz w:val="18"/>
          <w:szCs w:val="18"/>
          <w:i w:val="1"/>
          <w:iCs w:val="1"/>
          <w:color w:val="auto"/>
        </w:rPr>
        <w:t>All brand names or trademarks appearing in this report are the property of their respective holders. Unless the context requires otherwise, references in this report to “Kodiak” the “Company,” “we,” “us,” and “our” refer to Kodiak 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00" w:firstLine="541"/>
        <w:spacing w:after="0" w:line="277" w:lineRule="auto"/>
        <w:rPr>
          <w:sz w:val="20"/>
          <w:szCs w:val="20"/>
          <w:color w:val="auto"/>
        </w:rPr>
      </w:pPr>
      <w:r>
        <w:rPr>
          <w:rFonts w:ascii="Arial" w:cs="Arial" w:eastAsia="Arial" w:hAnsi="Arial"/>
          <w:sz w:val="18"/>
          <w:szCs w:val="18"/>
          <w:color w:val="auto"/>
        </w:rPr>
        <w:t>Our goal is to prevent and treat the major causes of blindness by developing next-generation therapeutics for chronic, high-prevalence retinal diseases.</w:t>
      </w:r>
    </w:p>
    <w:p>
      <w:pPr>
        <w:spacing w:after="0" w:line="62" w:lineRule="exact"/>
        <w:rPr>
          <w:sz w:val="20"/>
          <w:szCs w:val="20"/>
          <w:color w:val="auto"/>
        </w:rPr>
      </w:pPr>
    </w:p>
    <w:p>
      <w:pPr>
        <w:ind w:firstLine="541"/>
        <w:spacing w:after="0" w:line="296" w:lineRule="auto"/>
        <w:rPr>
          <w:sz w:val="20"/>
          <w:szCs w:val="20"/>
          <w:color w:val="auto"/>
        </w:rPr>
      </w:pPr>
      <w:r>
        <w:rPr>
          <w:rFonts w:ascii="Arial" w:cs="Arial" w:eastAsia="Arial" w:hAnsi="Arial"/>
          <w:sz w:val="16"/>
          <w:szCs w:val="16"/>
          <w:color w:val="auto"/>
        </w:rPr>
        <w:t>Throughout 2019 and into 2020, we have generated clinical data with our most advanced product candidate, KSI-301, a biologic therapy built with our antibody biopolymer conjugate platform, or ABC Platform, which is designed to maintain potent and effective drug levels in ocular tissues for longer periods than the currently-marketed biologic medicines used to treat retinal diseases. To date, KSI-301 has been administered more than 500 times to over 200 patients. We believe that KSI-301, if approved, has the potential to be an important therapy to treat patients with wet age-related macular degeneration, or wet AMD, diabetic retinopathy, or DR, including diabetic macular edema, or DME, and macular edema due to retinal vein occlusion, or RVO.</w:t>
      </w:r>
    </w:p>
    <w:p>
      <w:pPr>
        <w:spacing w:after="0" w:line="53" w:lineRule="exact"/>
        <w:rPr>
          <w:sz w:val="20"/>
          <w:szCs w:val="20"/>
          <w:color w:val="auto"/>
        </w:rPr>
      </w:pPr>
    </w:p>
    <w:p>
      <w:pPr>
        <w:ind w:right="20" w:firstLine="541"/>
        <w:spacing w:after="0" w:line="273" w:lineRule="auto"/>
        <w:rPr>
          <w:sz w:val="20"/>
          <w:szCs w:val="20"/>
          <w:color w:val="auto"/>
        </w:rPr>
      </w:pPr>
      <w:r>
        <w:rPr>
          <w:rFonts w:ascii="Arial" w:cs="Arial" w:eastAsia="Arial" w:hAnsi="Arial"/>
          <w:sz w:val="17"/>
          <w:szCs w:val="17"/>
          <w:color w:val="auto"/>
        </w:rPr>
        <w:t>In our ongoing Phase 1b clinical study, we have completed enrollment and administered multiple doses of KSI-301 to treatment-naïve patients with wet AMD, DME or RVO, and we are observing promising safety, efficacy, and clinical durability in the emerging data in each of the retinal diseases under study. We believe the data support an acceleration of efforts to bring KSI-301 to the market in these retinal diseases and that the data lend confidence to the design of our current and planned pivotal studies of KSI-301, which studies we believe, if successful, may demonstrate a meaningfully differentiated clinical profile of KSI-301 as compared to current therapies. Based on this encouraging data, we are entering into the manufacturing-related commitments necessary for pre-commercial scale-up and BLA submission.</w:t>
      </w:r>
    </w:p>
    <w:p>
      <w:pPr>
        <w:spacing w:after="0" w:line="70" w:lineRule="exact"/>
        <w:rPr>
          <w:sz w:val="20"/>
          <w:szCs w:val="20"/>
          <w:color w:val="auto"/>
        </w:rPr>
      </w:pPr>
    </w:p>
    <w:p>
      <w:pPr>
        <w:ind w:right="80" w:firstLine="541"/>
        <w:spacing w:after="0" w:line="301" w:lineRule="auto"/>
        <w:rPr>
          <w:sz w:val="20"/>
          <w:szCs w:val="20"/>
          <w:color w:val="auto"/>
        </w:rPr>
      </w:pPr>
      <w:r>
        <w:rPr>
          <w:rFonts w:ascii="Arial" w:cs="Arial" w:eastAsia="Arial" w:hAnsi="Arial"/>
          <w:sz w:val="16"/>
          <w:szCs w:val="16"/>
          <w:color w:val="auto"/>
        </w:rPr>
        <w:t>We have completed an end of phase 2 meeting with the U.S. Food and Drug Administration, or FDA, where we agreed on the order and number of clinical studies required to support the licensure of KSI-301 in wet AMD, DME, RVO and DR (without DME). Two pivotal studies will be required in RVO and one study each in wet AMD, DME, and DR in order to support the potential U.S. approval of KSI-301 across these four indications. The pivotal study for wet AMD began recruiting patients in the third quarter of 2019, and we plan to initiate the pivotal studies in DME, RVO and DR in 2020.</w:t>
      </w:r>
    </w:p>
    <w:p>
      <w:pPr>
        <w:spacing w:after="0" w:line="49" w:lineRule="exact"/>
        <w:rPr>
          <w:sz w:val="20"/>
          <w:szCs w:val="20"/>
          <w:color w:val="auto"/>
        </w:rPr>
      </w:pPr>
    </w:p>
    <w:p>
      <w:pPr>
        <w:ind w:firstLine="541"/>
        <w:spacing w:after="0" w:line="279" w:lineRule="auto"/>
        <w:rPr>
          <w:sz w:val="20"/>
          <w:szCs w:val="20"/>
          <w:color w:val="auto"/>
        </w:rPr>
      </w:pPr>
      <w:r>
        <w:rPr>
          <w:rFonts w:ascii="Arial" w:cs="Arial" w:eastAsia="Arial" w:hAnsi="Arial"/>
          <w:sz w:val="17"/>
          <w:szCs w:val="17"/>
          <w:color w:val="auto"/>
        </w:rPr>
        <w:t>The ABC Platform and KSI-301 were developed at Kodiak, and we own worldwide rights to these assets. We have applied our ABC Platform to develop additional product candidates beyond KSI-301, including KSI-501, our bispecific anti-IL-6/VEGF bioconjugate, and we are expanding our early research pipeline to include ABC Platform-based triplet inhibitors for multifactorial retinal diseases such as dry AMD and the neurodegenerative aspects of glaucoma. We intend to progress these and other product candidates to address high-prevalence ophthalmic diseases.</w:t>
      </w:r>
    </w:p>
    <w:p>
      <w:pPr>
        <w:spacing w:after="0" w:line="63" w:lineRule="exact"/>
        <w:rPr>
          <w:sz w:val="20"/>
          <w:szCs w:val="20"/>
          <w:color w:val="auto"/>
        </w:rPr>
      </w:pPr>
    </w:p>
    <w:p>
      <w:pPr>
        <w:ind w:right="500" w:firstLine="541"/>
        <w:spacing w:after="0" w:line="277" w:lineRule="auto"/>
        <w:rPr>
          <w:sz w:val="20"/>
          <w:szCs w:val="20"/>
          <w:color w:val="auto"/>
        </w:rPr>
      </w:pPr>
      <w:r>
        <w:rPr>
          <w:rFonts w:ascii="Arial" w:cs="Arial" w:eastAsia="Arial" w:hAnsi="Arial"/>
          <w:sz w:val="18"/>
          <w:szCs w:val="18"/>
          <w:color w:val="auto"/>
        </w:rPr>
        <w:t>Our overall objective is to develop our product candidates, seek FDA and worldwide health authority marketing authorization approvals, and ultimately commercialize our product candidates.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firstLine="541"/>
        <w:spacing w:after="0" w:line="269" w:lineRule="auto"/>
        <w:rPr>
          <w:sz w:val="20"/>
          <w:szCs w:val="20"/>
          <w:color w:val="auto"/>
        </w:rPr>
      </w:pPr>
      <w:r>
        <w:rPr>
          <w:rFonts w:ascii="Arial" w:cs="Arial" w:eastAsia="Arial" w:hAnsi="Arial"/>
          <w:sz w:val="17"/>
          <w:szCs w:val="17"/>
          <w:color w:val="auto"/>
        </w:rPr>
        <w:t>On December 1, 2019, we and our subsidiary, Kodiak Sciences GmbH, entered into a funding agreement with Baker Bros. Advisors, or BBA, pursuant to which BBA purchased the right to receive a capped 4.5% royalty on future net sales of KSI-301 in exchange for $225,000,000 in committed development funding payable to us. Unless earlier terminated or re-purchased by us, the royalty terminates upon the date that BBA has received an aggregate amount equal to 4.5 times the funding amount paid to us. On February 4, 2020, BBA paid us the first $100,000,000 of the funding amount, and the remaining $125,000,000 of the funding amount will be paid following the achievement of 50% enrollment in each of (i) the planned Phase 3 clinical trial of KSI-301 for branch RVO and (ii) the planned Phase 3 clinical trial of KSI-301 for central RVO. We have the option, exercisable at any point during the term of the funding agreement, to repurchase from BBA 100% of the royalties due to BBA under the funding agreement for a purchase price equal to the funding amount paid to us as of such time times 4.5, less amounts paid by us to BBA. The funding agreement was the result of a competitive process overseen by independent and disinterested directors with the assistance of outside counsel. For further details, see the section titled “—Funding Agreement” below.</w:t>
      </w:r>
    </w:p>
    <w:p>
      <w:pPr>
        <w:spacing w:after="0" w:line="77" w:lineRule="exact"/>
        <w:rPr>
          <w:sz w:val="20"/>
          <w:szCs w:val="20"/>
          <w:color w:val="auto"/>
        </w:rPr>
      </w:pPr>
    </w:p>
    <w:p>
      <w:pPr>
        <w:ind w:right="140" w:firstLine="541"/>
        <w:spacing w:after="0" w:line="263" w:lineRule="auto"/>
        <w:rPr>
          <w:sz w:val="20"/>
          <w:szCs w:val="20"/>
          <w:color w:val="auto"/>
        </w:rPr>
      </w:pPr>
      <w:r>
        <w:rPr>
          <w:rFonts w:ascii="Arial" w:cs="Arial" w:eastAsia="Arial" w:hAnsi="Arial"/>
          <w:sz w:val="18"/>
          <w:szCs w:val="18"/>
          <w:color w:val="auto"/>
        </w:rPr>
        <w:t>On December 6, 2019, we completed a follow-on equity offering and issued and sold 6,900,000 shares of the Company’s common stock at a price to the public of $46.00 per share. The gross proceeds from this offering were $317.4 million, resulting in aggregate net proceeds of $297.6 million after deducting underwriting discounts and commissions and other offering costs payable by us.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ind w:right="200" w:firstLine="541"/>
        <w:spacing w:after="0" w:line="257" w:lineRule="auto"/>
        <w:rPr>
          <w:sz w:val="20"/>
          <w:szCs w:val="20"/>
          <w:color w:val="auto"/>
        </w:rPr>
      </w:pPr>
      <w:r>
        <w:rPr>
          <w:rFonts w:ascii="Arial" w:cs="Arial" w:eastAsia="Arial" w:hAnsi="Arial"/>
          <w:sz w:val="18"/>
          <w:szCs w:val="18"/>
          <w:color w:val="auto"/>
        </w:rPr>
        <w:t>Proceeds from the royalty funding agreement together with our current cash, cash equivalents and marketable securities, which includes proceeds from the equity offering, are expected to advance the clinical programs for KSI-301 towards achieving our “2022 Vision” of a Biologics License Application, or BLA, of KSI-301 in 2022 for wet AMD, DME, RVO and potentially DR without DME, including the manufacturing activities necessary for BLA submission, as well as to advance our pipeline of drug candidates including KSI-501 and our triplet inhibitor drug candidates and for working capital and general corporate purposes.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2019 and into the first quarter of 2020, highlights of our activities included:</w:t>
      </w:r>
    </w:p>
    <w:p>
      <w:pPr>
        <w:spacing w:after="0" w:line="117" w:lineRule="exact"/>
        <w:rPr>
          <w:sz w:val="20"/>
          <w:szCs w:val="20"/>
          <w:color w:val="auto"/>
        </w:rPr>
      </w:pPr>
    </w:p>
    <w:p>
      <w:pPr>
        <w:ind w:left="660" w:right="100" w:hanging="112"/>
        <w:spacing w:after="0" w:line="34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Initiation of enrollment and on-going recruitment in our pivotal DAZZLE clinical trial of KSI-301 in patients with treatment naïve wet AMD. As of March 6, 2020, more than 175 patients have been enrolled in the study randomized 1:1 between KSI-301 and Eylea as active comparator;</w:t>
      </w:r>
    </w:p>
    <w:p>
      <w:pPr>
        <w:spacing w:after="0" w:line="15" w:lineRule="exact"/>
        <w:rPr>
          <w:rFonts w:ascii="Arial" w:cs="Arial" w:eastAsia="Arial" w:hAnsi="Arial"/>
          <w:sz w:val="16"/>
          <w:szCs w:val="16"/>
          <w:color w:val="auto"/>
        </w:rPr>
      </w:pPr>
    </w:p>
    <w:p>
      <w:pPr>
        <w:ind w:left="660" w:hanging="11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Completion of recruitment into our ongoing Phase 1b study of KSI-301 in 121 treatment-naïve patients with wet AMD, DME and RVO;</w:t>
      </w:r>
    </w:p>
    <w:p>
      <w:pPr>
        <w:spacing w:after="0" w:line="128" w:lineRule="exact"/>
        <w:rPr>
          <w:rFonts w:ascii="Arial" w:cs="Arial" w:eastAsia="Arial" w:hAnsi="Arial"/>
          <w:sz w:val="17"/>
          <w:szCs w:val="17"/>
          <w:color w:val="auto"/>
        </w:rPr>
      </w:pPr>
    </w:p>
    <w:p>
      <w:pPr>
        <w:ind w:left="660" w:right="200" w:hanging="112"/>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Presentation of promising on-going clinical safety, efficacy and durability data at the American Society of Retina Specialists 2019 Annual Meeting, the Macula Society 2019 Annual Meeting, the American Academy of Ophthalmology 2019 Annual Meeting Retina Subspecialty Day, and the Angiogenesis, Exudation, and Degeneration 2020 Annual Meeting;</w:t>
      </w:r>
    </w:p>
    <w:p>
      <w:pPr>
        <w:spacing w:after="0" w:line="75" w:lineRule="exact"/>
        <w:rPr>
          <w:rFonts w:ascii="Arial" w:cs="Arial" w:eastAsia="Arial" w:hAnsi="Arial"/>
          <w:sz w:val="18"/>
          <w:szCs w:val="18"/>
          <w:color w:val="auto"/>
        </w:rPr>
      </w:pP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a Type B (End of Phase 2 or EOP) meeting with the FDA where we discussed and agreed on:</w:t>
      </w:r>
    </w:p>
    <w:p>
      <w:pPr>
        <w:spacing w:after="0" w:line="117" w:lineRule="exact"/>
        <w:rPr>
          <w:rFonts w:ascii="Arial" w:cs="Arial" w:eastAsia="Arial" w:hAnsi="Arial"/>
          <w:sz w:val="18"/>
          <w:szCs w:val="18"/>
          <w:color w:val="auto"/>
        </w:rPr>
      </w:pPr>
    </w:p>
    <w:p>
      <w:pPr>
        <w:ind w:left="1180" w:hanging="119"/>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Certain recommended clinical, non-clinical, and manufacturing activities to support the licensure of KSI-301, and</w:t>
      </w:r>
    </w:p>
    <w:p>
      <w:pPr>
        <w:spacing w:after="0" w:line="117" w:lineRule="exact"/>
        <w:rPr>
          <w:rFonts w:ascii="Arial" w:cs="Arial" w:eastAsia="Arial" w:hAnsi="Arial"/>
          <w:sz w:val="18"/>
          <w:szCs w:val="18"/>
          <w:color w:val="auto"/>
        </w:rPr>
      </w:pPr>
    </w:p>
    <w:p>
      <w:pPr>
        <w:ind w:left="1180" w:hanging="119"/>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order and number of clinical studies required to support a BLA in wet AMD, DME, RVO and DR;</w:t>
      </w:r>
    </w:p>
    <w:p>
      <w:pPr>
        <w:spacing w:after="0" w:line="117" w:lineRule="exact"/>
        <w:rPr>
          <w:rFonts w:ascii="Arial" w:cs="Arial" w:eastAsia="Arial" w:hAnsi="Arial"/>
          <w:sz w:val="18"/>
          <w:szCs w:val="18"/>
          <w:color w:val="auto"/>
        </w:rPr>
      </w:pPr>
    </w:p>
    <w:p>
      <w:pPr>
        <w:ind w:left="660" w:hanging="112"/>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Announcement of an accelerated registration strategy for KSI-301 which includes: (i) running our pivotal clinical studies in the major retinal vascular disease indications in parallel (rather than in series), and (ii) engaging in BLA and pre-commercial manufacturing validation and scale-up activities;</w:t>
      </w:r>
    </w:p>
    <w:p>
      <w:pPr>
        <w:spacing w:after="0" w:line="75" w:lineRule="exact"/>
        <w:rPr>
          <w:rFonts w:ascii="Arial" w:cs="Arial" w:eastAsia="Arial" w:hAnsi="Arial"/>
          <w:sz w:val="18"/>
          <w:szCs w:val="18"/>
          <w:color w:val="auto"/>
        </w:rPr>
      </w:pPr>
    </w:p>
    <w:p>
      <w:pPr>
        <w:ind w:left="660" w:right="320" w:hanging="112"/>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Expansion of our Board of Directors with the appointment of Taiyin Yang, Ph.D., Executive Vice President, Pharmaceutical Development and Manufacturing of Gilead Sciences, who brings expertise and experience in the relevant pre-commercial areas of clinical and commercial manufacturing, quality and supply chain operations;</w:t>
      </w:r>
    </w:p>
    <w:p>
      <w:pPr>
        <w:spacing w:after="0" w:line="75" w:lineRule="exact"/>
        <w:rPr>
          <w:rFonts w:ascii="Arial" w:cs="Arial" w:eastAsia="Arial" w:hAnsi="Arial"/>
          <w:sz w:val="18"/>
          <w:szCs w:val="18"/>
          <w:color w:val="auto"/>
        </w:rPr>
      </w:pPr>
    </w:p>
    <w:p>
      <w:pPr>
        <w:ind w:left="660" w:right="700" w:hanging="11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Entry into a royalty funding agreement with BBA in which we sold a capped, pre-payable 4.5% royalty on future net sales of KSI-301 in exchange for $225,000,000 in committed development funding payable to us.; and</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Closing of a $317.4 million follow-on offering of our common stock.</w:t>
      </w:r>
    </w:p>
    <w:p>
      <w:pPr>
        <w:spacing w:after="0" w:line="117" w:lineRule="exact"/>
        <w:rPr>
          <w:sz w:val="20"/>
          <w:szCs w:val="20"/>
          <w:color w:val="auto"/>
        </w:rPr>
      </w:pPr>
    </w:p>
    <w:p>
      <w:pPr>
        <w:ind w:right="440" w:firstLine="541"/>
        <w:spacing w:after="0" w:line="311" w:lineRule="auto"/>
        <w:rPr>
          <w:sz w:val="20"/>
          <w:szCs w:val="20"/>
          <w:color w:val="auto"/>
        </w:rPr>
      </w:pPr>
      <w:r>
        <w:rPr>
          <w:rFonts w:ascii="Arial" w:cs="Arial" w:eastAsia="Arial" w:hAnsi="Arial"/>
          <w:sz w:val="16"/>
          <w:szCs w:val="16"/>
          <w:color w:val="auto"/>
        </w:rPr>
        <w:t>Based on the emerging clinical data, our productive EOP meeting with the FDA, and our substantive financing events, we are accelerating our BLA- and pre-commercial manufacturing activities to match the clinical timelines for KSI-301, with the goal of demonstrating a meaningfully-differentiated (</w:t>
      </w:r>
      <w:r>
        <w:rPr>
          <w:rFonts w:ascii="Arial" w:cs="Arial" w:eastAsia="Arial" w:hAnsi="Arial"/>
          <w:sz w:val="16"/>
          <w:szCs w:val="16"/>
          <w:i w:val="1"/>
          <w:iCs w:val="1"/>
          <w:color w:val="auto"/>
        </w:rPr>
        <w:t>i.e.,</w:t>
      </w:r>
      <w:r>
        <w:rPr>
          <w:rFonts w:ascii="Arial" w:cs="Arial" w:eastAsia="Arial" w:hAnsi="Arial"/>
          <w:sz w:val="16"/>
          <w:szCs w:val="16"/>
          <w:color w:val="auto"/>
        </w:rPr>
        <w:t xml:space="preserve"> first line) clinical profile in each of wet AMD, DME, RVO, and DR as compared to currently-marketed medicines.</w:t>
      </w:r>
    </w:p>
    <w:p>
      <w:pPr>
        <w:spacing w:after="0" w:line="41" w:lineRule="exact"/>
        <w:rPr>
          <w:sz w:val="20"/>
          <w:szCs w:val="20"/>
          <w:color w:val="auto"/>
        </w:rPr>
      </w:pPr>
    </w:p>
    <w:p>
      <w:pPr>
        <w:ind w:right="40" w:firstLine="541"/>
        <w:spacing w:after="0" w:line="259" w:lineRule="auto"/>
        <w:rPr>
          <w:sz w:val="20"/>
          <w:szCs w:val="20"/>
          <w:color w:val="auto"/>
        </w:rPr>
      </w:pPr>
      <w:r>
        <w:rPr>
          <w:rFonts w:ascii="Arial" w:cs="Arial" w:eastAsia="Arial" w:hAnsi="Arial"/>
          <w:sz w:val="18"/>
          <w:szCs w:val="18"/>
          <w:color w:val="auto"/>
        </w:rPr>
        <w:t>Our current cash, cash equivalents and marketable securities which includes the net proceeds from the December 2019 public offering, and together with the royalty funding agreement, provide the resources for us to advance the KSI-301 program towards achieving our “2022 Vision,” and also to advance our pipeline of drug candidates including KSI-501 and our triplet inhibitor drug candidates, and for working capital and general corporate purposes.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Kodiak’s 2022 Vision and KSI-301 accelerated development strategy</w:t>
      </w:r>
    </w:p>
    <w:p>
      <w:pPr>
        <w:spacing w:after="0" w:line="121" w:lineRule="exact"/>
        <w:rPr>
          <w:sz w:val="20"/>
          <w:szCs w:val="20"/>
          <w:color w:val="auto"/>
        </w:rPr>
      </w:pPr>
    </w:p>
    <w:p>
      <w:pPr>
        <w:ind w:firstLine="541"/>
        <w:spacing w:after="0" w:line="254" w:lineRule="auto"/>
        <w:rPr>
          <w:sz w:val="20"/>
          <w:szCs w:val="20"/>
          <w:color w:val="auto"/>
        </w:rPr>
      </w:pPr>
      <w:r>
        <w:rPr>
          <w:rFonts w:ascii="Arial" w:cs="Arial" w:eastAsia="Arial" w:hAnsi="Arial"/>
          <w:sz w:val="18"/>
          <w:szCs w:val="18"/>
          <w:color w:val="auto"/>
        </w:rPr>
        <w:t>We believe that we can achieve our “2022 Vision” of a BLA submission and initial FDA approval for KSI-301 in wet AMD, DME, RVO and DR with a total of five pivotal trials— two in RVO, one in wet AMD, one in DME and one in DR without DME. Consequently, we now intend to initiate at least four US/EU-based pivotal trials in 2020 – one in DME, one in central RVO (CRVO), one in branch RVO (BRVO), and one in DR without DME. These studies, together with our ongoing pivotal study in wet AMD, will be the basis of our intended BLA and sBLA submissions. We currently expect to submit the wet AMD, DME, and RVO indications in a single initial BLA for KSI-301 and the DR indication in a supplemental BLA in the United States. We continue to invest in our science and our pipeline, including our bispecific ABC product candidate KSI-501 for retinal vascular diseases with a strong inflammatory component and our new triplet inhibitors for the high prevalence multifactorial retinal diseases dry AMD and the neurodegenerative aspects of glaucoma.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70485</wp:posOffset>
            </wp:positionV>
            <wp:extent cx="5751830" cy="323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1830"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7" w:name="page8"/>
    <w:bookmarkEnd w:id="7"/>
    <w:p>
      <w:pPr>
        <w:ind w:firstLine="541"/>
        <w:spacing w:after="0" w:line="277" w:lineRule="auto"/>
        <w:rPr>
          <w:sz w:val="20"/>
          <w:szCs w:val="20"/>
          <w:color w:val="auto"/>
        </w:rPr>
      </w:pPr>
      <w:r>
        <w:rPr>
          <w:rFonts w:ascii="Arial" w:cs="Arial" w:eastAsia="Arial" w:hAnsi="Arial"/>
          <w:sz w:val="18"/>
          <w:szCs w:val="18"/>
          <w:color w:val="auto"/>
        </w:rPr>
        <w:t>Our 2022 Vision includes the following potential catalysts and milestones in 2020, 2021 and 2022, along with the important milestones achieved in 2019 that support the accelerated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57150</wp:posOffset>
            </wp:positionV>
            <wp:extent cx="5751830" cy="32321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1830"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Further details of our ongoing KSI-301 Phase 1b trial and our accelerating development strategy are discussed below.</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Opportunity for clinically meaningful differentiation</w:t>
      </w:r>
    </w:p>
    <w:p>
      <w:pPr>
        <w:spacing w:after="0" w:line="121" w:lineRule="exact"/>
        <w:rPr>
          <w:sz w:val="20"/>
          <w:szCs w:val="20"/>
          <w:color w:val="auto"/>
        </w:rPr>
      </w:pPr>
    </w:p>
    <w:p>
      <w:pPr>
        <w:ind w:right="160" w:firstLine="541"/>
        <w:spacing w:after="0" w:line="293" w:lineRule="auto"/>
        <w:rPr>
          <w:sz w:val="20"/>
          <w:szCs w:val="20"/>
          <w:color w:val="auto"/>
        </w:rPr>
      </w:pPr>
      <w:r>
        <w:rPr>
          <w:rFonts w:ascii="Arial" w:cs="Arial" w:eastAsia="Arial" w:hAnsi="Arial"/>
          <w:sz w:val="16"/>
          <w:szCs w:val="16"/>
          <w:color w:val="auto"/>
        </w:rPr>
        <w:t>Current intravitreal anti-VEGF agents require frequent eye injections in order to achieve the best clinical results. When patients do not follow product labeling or miss treatments, improvements in their vision following treatment may be transient or decline over time. Real-world data demonstrate that most patients are not currently receiving their anti-VEGF therapy at the recommended intervals. We believe that our ABC Platform medicines could address this problem by requiring less frequent dosing, and the emerging Phase 1b clinical data with KSI-301 support meaningfully differentiated clinical profiles of KSI-301 relative to standard of care in each of the major retinal diseases treated today with anti-VEGF therapy. The current and emerging standard of care treatment regimens and the dosing regimens Kodiak intends to test in its pivotal trials with KSI-301 are shown in the below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40" w:type="dxa"/>
            <w:vAlign w:val="bottom"/>
            <w:tcBorders>
              <w:top w:val="single" w:sz="8" w:color="auto"/>
            </w:tcBorders>
            <w:vMerge w:val="restart"/>
          </w:tcPr>
          <w:p>
            <w:pPr>
              <w:spacing w:after="0"/>
              <w:rPr>
                <w:sz w:val="20"/>
                <w:szCs w:val="20"/>
                <w:color w:val="auto"/>
              </w:rPr>
            </w:pPr>
            <w:r>
              <w:rPr>
                <w:rFonts w:ascii="Arial" w:cs="Arial" w:eastAsia="Arial" w:hAnsi="Arial"/>
                <w:sz w:val="16"/>
                <w:szCs w:val="16"/>
                <w:b w:val="1"/>
                <w:bCs w:val="1"/>
                <w:color w:val="auto"/>
              </w:rPr>
              <w:t>Retinal disease:</w:t>
            </w:r>
          </w:p>
        </w:tc>
        <w:tc>
          <w:tcPr>
            <w:tcW w:w="214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tcPr>
          <w:p>
            <w:pPr>
              <w:ind w:left="760"/>
              <w:spacing w:after="0"/>
              <w:rPr>
                <w:sz w:val="20"/>
                <w:szCs w:val="20"/>
                <w:color w:val="auto"/>
              </w:rPr>
            </w:pPr>
            <w:r>
              <w:rPr>
                <w:rFonts w:ascii="Arial" w:cs="Arial" w:eastAsia="Arial" w:hAnsi="Arial"/>
                <w:sz w:val="16"/>
                <w:szCs w:val="16"/>
                <w:b w:val="1"/>
                <w:bCs w:val="1"/>
                <w:color w:val="auto"/>
              </w:rPr>
              <w:t>Diabetic macular</w:t>
            </w:r>
          </w:p>
        </w:tc>
        <w:tc>
          <w:tcPr>
            <w:tcW w:w="2060" w:type="dxa"/>
            <w:vAlign w:val="bottom"/>
            <w:tcBorders>
              <w:top w:val="single" w:sz="8" w:color="auto"/>
            </w:tcBorders>
          </w:tcPr>
          <w:p>
            <w:pPr>
              <w:ind w:left="520"/>
              <w:spacing w:after="0"/>
              <w:rPr>
                <w:sz w:val="20"/>
                <w:szCs w:val="20"/>
                <w:color w:val="auto"/>
              </w:rPr>
            </w:pPr>
            <w:r>
              <w:rPr>
                <w:rFonts w:ascii="Arial" w:cs="Arial" w:eastAsia="Arial" w:hAnsi="Arial"/>
                <w:sz w:val="16"/>
                <w:szCs w:val="16"/>
                <w:b w:val="1"/>
                <w:bCs w:val="1"/>
                <w:color w:val="auto"/>
              </w:rPr>
              <w:t>Retinal vein</w:t>
            </w:r>
          </w:p>
        </w:tc>
        <w:tc>
          <w:tcPr>
            <w:tcW w:w="2820" w:type="dxa"/>
            <w:vAlign w:val="bottom"/>
            <w:tcBorders>
              <w:top w:val="single" w:sz="8" w:color="auto"/>
            </w:tcBorders>
          </w:tcPr>
          <w:p>
            <w:pPr>
              <w:ind w:left="700"/>
              <w:spacing w:after="0"/>
              <w:rPr>
                <w:sz w:val="20"/>
                <w:szCs w:val="20"/>
                <w:color w:val="auto"/>
              </w:rPr>
            </w:pPr>
            <w:r>
              <w:rPr>
                <w:rFonts w:ascii="Arial" w:cs="Arial" w:eastAsia="Arial" w:hAnsi="Arial"/>
                <w:sz w:val="16"/>
                <w:szCs w:val="16"/>
                <w:b w:val="1"/>
                <w:bCs w:val="1"/>
                <w:color w:val="auto"/>
              </w:rPr>
              <w:t>Non-proliferative</w:t>
            </w:r>
          </w:p>
        </w:tc>
        <w:tc>
          <w:tcPr>
            <w:tcW w:w="0" w:type="dxa"/>
            <w:vAlign w:val="bottom"/>
          </w:tcPr>
          <w:p>
            <w:pPr>
              <w:spacing w:after="0"/>
              <w:rPr>
                <w:sz w:val="1"/>
                <w:szCs w:val="1"/>
                <w:color w:val="auto"/>
              </w:rPr>
            </w:pPr>
          </w:p>
        </w:tc>
      </w:tr>
      <w:tr>
        <w:trPr>
          <w:trHeight w:val="210"/>
        </w:trPr>
        <w:tc>
          <w:tcPr>
            <w:tcW w:w="1740" w:type="dxa"/>
            <w:vAlign w:val="bottom"/>
            <w:vMerge w:val="continue"/>
          </w:tcPr>
          <w:p>
            <w:pPr>
              <w:spacing w:after="0"/>
              <w:rPr>
                <w:sz w:val="18"/>
                <w:szCs w:val="18"/>
                <w:color w:val="auto"/>
              </w:rPr>
            </w:pPr>
          </w:p>
        </w:tc>
        <w:tc>
          <w:tcPr>
            <w:tcW w:w="2140" w:type="dxa"/>
            <w:vAlign w:val="bottom"/>
          </w:tcPr>
          <w:p>
            <w:pPr>
              <w:ind w:left="660"/>
              <w:spacing w:after="0"/>
              <w:rPr>
                <w:sz w:val="20"/>
                <w:szCs w:val="20"/>
                <w:color w:val="auto"/>
              </w:rPr>
            </w:pPr>
            <w:r>
              <w:rPr>
                <w:rFonts w:ascii="Arial" w:cs="Arial" w:eastAsia="Arial" w:hAnsi="Arial"/>
                <w:sz w:val="16"/>
                <w:szCs w:val="16"/>
                <w:b w:val="1"/>
                <w:bCs w:val="1"/>
                <w:color w:val="auto"/>
              </w:rPr>
              <w:t>Wet AMD</w:t>
            </w:r>
          </w:p>
        </w:tc>
        <w:tc>
          <w:tcPr>
            <w:tcW w:w="2480" w:type="dxa"/>
            <w:vAlign w:val="bottom"/>
          </w:tcPr>
          <w:p>
            <w:pPr>
              <w:ind w:left="760"/>
              <w:spacing w:after="0"/>
              <w:rPr>
                <w:sz w:val="20"/>
                <w:szCs w:val="20"/>
                <w:color w:val="auto"/>
              </w:rPr>
            </w:pPr>
            <w:r>
              <w:rPr>
                <w:rFonts w:ascii="Arial" w:cs="Arial" w:eastAsia="Arial" w:hAnsi="Arial"/>
                <w:sz w:val="16"/>
                <w:szCs w:val="16"/>
                <w:b w:val="1"/>
                <w:bCs w:val="1"/>
                <w:color w:val="auto"/>
              </w:rPr>
              <w:t>edema</w:t>
            </w:r>
          </w:p>
        </w:tc>
        <w:tc>
          <w:tcPr>
            <w:tcW w:w="2060" w:type="dxa"/>
            <w:vAlign w:val="bottom"/>
          </w:tcPr>
          <w:p>
            <w:pPr>
              <w:ind w:left="520"/>
              <w:spacing w:after="0"/>
              <w:rPr>
                <w:sz w:val="20"/>
                <w:szCs w:val="20"/>
                <w:color w:val="auto"/>
              </w:rPr>
            </w:pPr>
            <w:r>
              <w:rPr>
                <w:rFonts w:ascii="Arial" w:cs="Arial" w:eastAsia="Arial" w:hAnsi="Arial"/>
                <w:sz w:val="16"/>
                <w:szCs w:val="16"/>
                <w:b w:val="1"/>
                <w:bCs w:val="1"/>
                <w:color w:val="auto"/>
              </w:rPr>
              <w:t>occlusion</w:t>
            </w:r>
          </w:p>
        </w:tc>
        <w:tc>
          <w:tcPr>
            <w:tcW w:w="2820" w:type="dxa"/>
            <w:vAlign w:val="bottom"/>
          </w:tcPr>
          <w:p>
            <w:pPr>
              <w:ind w:left="700"/>
              <w:spacing w:after="0"/>
              <w:rPr>
                <w:sz w:val="20"/>
                <w:szCs w:val="20"/>
                <w:color w:val="auto"/>
              </w:rPr>
            </w:pPr>
            <w:r>
              <w:rPr>
                <w:rFonts w:ascii="Arial" w:cs="Arial" w:eastAsia="Arial" w:hAnsi="Arial"/>
                <w:sz w:val="16"/>
                <w:szCs w:val="16"/>
                <w:b w:val="1"/>
                <w:bCs w:val="1"/>
                <w:color w:val="auto"/>
              </w:rPr>
              <w:t>diabetic retinopathy</w:t>
            </w: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121" w:right="339" w:bottom="1440" w:gutter="0" w:footer="0" w:header="0"/>
        </w:sectPr>
      </w:pPr>
    </w:p>
    <w:p>
      <w:pPr>
        <w:ind w:right="300"/>
        <w:spacing w:after="0" w:line="342" w:lineRule="auto"/>
        <w:rPr>
          <w:sz w:val="20"/>
          <w:szCs w:val="20"/>
          <w:color w:val="auto"/>
        </w:rPr>
      </w:pPr>
      <w:r>
        <w:rPr>
          <w:rFonts w:ascii="Arial" w:cs="Arial" w:eastAsia="Arial" w:hAnsi="Arial"/>
          <w:sz w:val="16"/>
          <w:szCs w:val="16"/>
          <w:i w:val="1"/>
          <w:iCs w:val="1"/>
          <w:color w:val="auto"/>
        </w:rPr>
        <w:t>Current and emerging standard of 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Kodiak’s Potential Dosing Regimen for KSI-301 (as studied in ongoing or anticipated pivotal trials)</w:t>
      </w:r>
    </w:p>
    <w:p>
      <w:pPr>
        <w:spacing w:after="0" w:line="20" w:lineRule="exact"/>
        <w:rPr>
          <w:sz w:val="20"/>
          <w:szCs w:val="20"/>
          <w:color w:val="auto"/>
        </w:rPr>
      </w:pPr>
      <w:r>
        <w:rPr>
          <w:sz w:val="20"/>
          <w:szCs w:val="20"/>
          <w:color w:val="auto"/>
        </w:rPr>
        <w:br w:type="column"/>
      </w:r>
    </w:p>
    <w:p>
      <w:pPr>
        <w:ind w:right="140"/>
        <w:spacing w:after="0" w:line="311" w:lineRule="auto"/>
        <w:rPr>
          <w:sz w:val="20"/>
          <w:szCs w:val="20"/>
          <w:color w:val="auto"/>
        </w:rPr>
      </w:pPr>
      <w:r>
        <w:rPr>
          <w:rFonts w:ascii="Arial" w:cs="Arial" w:eastAsia="Arial" w:hAnsi="Arial"/>
          <w:sz w:val="16"/>
          <w:szCs w:val="16"/>
          <w:color w:val="auto"/>
        </w:rPr>
        <w:t>(Current:) Aflibercept once every 2 months, after 3 monthly loading doses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KSI-301 once every 3, 4 or 5 months, after 3 monthly loading doses</w:t>
      </w:r>
    </w:p>
    <w:p>
      <w:pPr>
        <w:spacing w:after="0" w:line="20" w:lineRule="exact"/>
        <w:rPr>
          <w:sz w:val="20"/>
          <w:szCs w:val="20"/>
          <w:color w:val="auto"/>
        </w:rPr>
      </w:pPr>
      <w:r>
        <w:rPr>
          <w:sz w:val="20"/>
          <w:szCs w:val="20"/>
          <w:color w:val="auto"/>
        </w:rPr>
        <w:br w:type="column"/>
      </w:r>
    </w:p>
    <w:p>
      <w:pPr>
        <w:jc w:val="both"/>
        <w:ind w:right="120"/>
        <w:spacing w:after="0" w:line="286" w:lineRule="auto"/>
        <w:rPr>
          <w:sz w:val="20"/>
          <w:szCs w:val="20"/>
          <w:color w:val="auto"/>
        </w:rPr>
      </w:pPr>
      <w:r>
        <w:rPr>
          <w:rFonts w:ascii="Arial" w:cs="Arial" w:eastAsia="Arial" w:hAnsi="Arial"/>
          <w:sz w:val="17"/>
          <w:szCs w:val="17"/>
          <w:color w:val="auto"/>
        </w:rPr>
        <w:t>Aflibercept once every 2 months, after 5 monthly loading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-442595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KSI-301 once every 2 to 6 months, after 3 monthly loading doses</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Aflibercept once monthly (for both Branch and Central RVO)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Branch RVO: KSI-301 once every 2 months, after 2 monthly loading doses Central RVO: KSI-301 once monthly for six months, followed by less-frequent dosing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(Current:) None</w:t>
      </w:r>
    </w:p>
    <w:p>
      <w:pPr>
        <w:spacing w:after="0" w:line="158"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(Emerging:) Aflibercept once every 2 months, after 5 monthly loading doses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KSI-301 once every 4 or 6 months, after 3 initial doses every other month</w:t>
      </w:r>
    </w:p>
    <w:p>
      <w:pPr>
        <w:spacing w:after="0" w:line="1052" w:lineRule="exact"/>
        <w:rPr>
          <w:sz w:val="20"/>
          <w:szCs w:val="20"/>
          <w:color w:val="auto"/>
        </w:rPr>
      </w:pPr>
    </w:p>
    <w:p>
      <w:pPr>
        <w:sectPr>
          <w:pgSz w:w="11900" w:h="16838" w:orient="portrait"/>
          <w:cols w:equalWidth="0" w:num="5">
            <w:col w:w="1900" w:space="500"/>
            <w:col w:w="2100" w:space="160"/>
            <w:col w:w="1900" w:space="340"/>
            <w:col w:w="2080" w:space="160"/>
            <w:col w:w="2100"/>
          </w:cols>
          <w:pgMar w:left="320" w:top="121"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phase 1b data support a differentiated profile of KSI-301 in each disease</w:t>
      </w:r>
    </w:p>
    <w:p>
      <w:pPr>
        <w:spacing w:after="0" w:line="121" w:lineRule="exact"/>
        <w:rPr>
          <w:sz w:val="20"/>
          <w:szCs w:val="20"/>
          <w:color w:val="auto"/>
        </w:rPr>
      </w:pPr>
    </w:p>
    <w:p>
      <w:pPr>
        <w:ind w:right="140" w:firstLine="541"/>
        <w:spacing w:after="0" w:line="293" w:lineRule="auto"/>
        <w:rPr>
          <w:sz w:val="20"/>
          <w:szCs w:val="20"/>
          <w:color w:val="auto"/>
        </w:rPr>
      </w:pPr>
      <w:r>
        <w:rPr>
          <w:rFonts w:ascii="Arial" w:cs="Arial" w:eastAsia="Arial" w:hAnsi="Arial"/>
          <w:sz w:val="16"/>
          <w:szCs w:val="16"/>
          <w:color w:val="auto"/>
        </w:rPr>
        <w:t>We have been studying the safety, efficacy and durability data of KSI-301 in patients with treatment-naïve wet AMD, DME and RVO treated in an ongoing, open-label, multiple-dose Phase 1b study of KSI-301. This Phase 1b study was initiated in the United States in the fourth quarter of 2018 and followed a successful first-in-human, single ascending dose Phase 1a clinical study of KSI-301 that was also undertaken in 2018. The Phase 1b study is designed to provide a scientific and clinical proof of concept for the safety, efficacy and durability of KSI-301 and the ABC Platform in patients with retinal vascular disease. All cohorts are fully enrolled in the Phase 1b study. In the study, patients are being treated with three monthly doses of either 2.5 mg or 5 mg KSI-301 and followed thereafter, with additional treatments according to disease-specific, protocol-specified retreatment criteria.</w:t>
      </w:r>
    </w:p>
    <w:p>
      <w:pPr>
        <w:spacing w:after="0" w:line="56" w:lineRule="exact"/>
        <w:rPr>
          <w:sz w:val="20"/>
          <w:szCs w:val="20"/>
          <w:color w:val="auto"/>
        </w:rPr>
      </w:pPr>
    </w:p>
    <w:p>
      <w:pPr>
        <w:ind w:right="180" w:firstLine="541"/>
        <w:spacing w:after="0" w:line="257" w:lineRule="auto"/>
        <w:rPr>
          <w:sz w:val="20"/>
          <w:szCs w:val="20"/>
          <w:color w:val="auto"/>
        </w:rPr>
      </w:pPr>
      <w:r>
        <w:rPr>
          <w:rFonts w:ascii="Arial" w:cs="Arial" w:eastAsia="Arial" w:hAnsi="Arial"/>
          <w:sz w:val="18"/>
          <w:szCs w:val="18"/>
          <w:color w:val="auto"/>
        </w:rPr>
        <w:t>On February 8, 2020, we presented additional interim data from the ongoing Phase 1b study of KSI-301 at the Angiogenesis, Exudation, and Degeneration 2020 Annual Meeting. We are observing promising clinical durability in the emerging data in each of the retinal diseases under study. We believe the Phase 1b data we are generating in treatment naïve patients with wet AMD, DME and RVO lend confidence to the design of our current and proposed pivotal studies of KSI-301, and that these pivotal studies, if successful, may demonstrate meaningfully differentiated profiles in each of the four retinal vascular diseases as compared to current agents.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ind w:firstLine="541"/>
        <w:spacing w:after="0" w:line="263" w:lineRule="auto"/>
        <w:rPr>
          <w:sz w:val="20"/>
          <w:szCs w:val="20"/>
          <w:color w:val="auto"/>
        </w:rPr>
      </w:pPr>
      <w:r>
        <w:rPr>
          <w:rFonts w:ascii="Arial" w:cs="Arial" w:eastAsia="Arial" w:hAnsi="Arial"/>
          <w:sz w:val="18"/>
          <w:szCs w:val="18"/>
          <w:color w:val="auto"/>
        </w:rPr>
        <w:t>The Phase 1b study design, retreatment criteria, and patient baseline characteristics are described below. In the Phase 1b study, treatment-naïve patients with wet AMD, DME or RVO receive three monthly loading doses of KSI-301 at either the 2.5 mg or 5 mg dose levels and are followed thereafter; retreatment with KSI-301 is administered as per the protocol-specified retreatment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65405</wp:posOffset>
            </wp:positionV>
            <wp:extent cx="5751830" cy="6541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1830" cy="654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52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wet AMD</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DME</w:t>
            </w:r>
          </w:p>
        </w:tc>
        <w:tc>
          <w:tcPr>
            <w:tcW w:w="7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RVO</w:t>
            </w:r>
          </w:p>
        </w:tc>
        <w:tc>
          <w:tcPr>
            <w:tcW w:w="460" w:type="dxa"/>
            <w:vAlign w:val="bottom"/>
          </w:tcPr>
          <w:p>
            <w:pPr>
              <w:spacing w:after="0"/>
              <w:rPr>
                <w:sz w:val="18"/>
                <w:szCs w:val="18"/>
                <w:color w:val="auto"/>
              </w:rPr>
            </w:pPr>
          </w:p>
        </w:tc>
      </w:tr>
      <w:tr>
        <w:trPr>
          <w:trHeight w:val="230"/>
        </w:trPr>
        <w:tc>
          <w:tcPr>
            <w:tcW w:w="48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cohort</w:t>
            </w: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cohort</w:t>
            </w:r>
          </w:p>
        </w:tc>
        <w:tc>
          <w:tcPr>
            <w:tcW w:w="7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cohort</w:t>
            </w:r>
          </w:p>
        </w:tc>
        <w:tc>
          <w:tcPr>
            <w:tcW w:w="460" w:type="dxa"/>
            <w:vAlign w:val="bottom"/>
          </w:tcPr>
          <w:p>
            <w:pPr>
              <w:spacing w:after="0"/>
              <w:rPr>
                <w:sz w:val="19"/>
                <w:szCs w:val="19"/>
                <w:color w:val="auto"/>
              </w:rPr>
            </w:pPr>
          </w:p>
        </w:tc>
      </w:tr>
      <w:tr>
        <w:trPr>
          <w:trHeight w:val="23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Variable</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(n=51)</w:t>
            </w: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(n=35)</w:t>
            </w: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(n=35)</w:t>
            </w:r>
          </w:p>
        </w:tc>
        <w:tc>
          <w:tcPr>
            <w:tcW w:w="460" w:type="dxa"/>
            <w:vAlign w:val="bottom"/>
            <w:tcBorders>
              <w:bottom w:val="single" w:sz="8" w:color="auto"/>
            </w:tcBorders>
          </w:tcPr>
          <w:p>
            <w:pPr>
              <w:spacing w:after="0"/>
              <w:rPr>
                <w:sz w:val="20"/>
                <w:szCs w:val="20"/>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Age, mean (SD), years</w:t>
            </w: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7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89"/>
              </w:rPr>
              <w:t>(10.5)</w:t>
            </w:r>
          </w:p>
        </w:tc>
        <w:tc>
          <w:tcPr>
            <w:tcW w:w="16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59.7 (11.7)</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(12.6)</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Gender, n (%), female</w:t>
            </w:r>
          </w:p>
        </w:tc>
        <w:tc>
          <w:tcPr>
            <w:tcW w:w="2760" w:type="dxa"/>
            <w:vAlign w:val="bottom"/>
          </w:tcPr>
          <w:p>
            <w:pPr>
              <w:jc w:val="right"/>
              <w:spacing w:after="0"/>
              <w:rPr>
                <w:sz w:val="20"/>
                <w:szCs w:val="20"/>
                <w:color w:val="auto"/>
              </w:rPr>
            </w:pPr>
            <w:r>
              <w:rPr>
                <w:rFonts w:ascii="Arial" w:cs="Arial" w:eastAsia="Arial" w:hAnsi="Arial"/>
                <w:sz w:val="18"/>
                <w:szCs w:val="18"/>
                <w:color w:val="auto"/>
              </w:rPr>
              <w:t>32</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w w:val="89"/>
              </w:rPr>
              <w:t>(62.7)</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w w:val="89"/>
              </w:rPr>
              <w:t>(40.0)</w:t>
            </w: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jc w:val="right"/>
              <w:spacing w:after="0"/>
              <w:rPr>
                <w:sz w:val="20"/>
                <w:szCs w:val="20"/>
                <w:color w:val="auto"/>
              </w:rPr>
            </w:pPr>
            <w:r>
              <w:rPr>
                <w:rFonts w:ascii="Arial" w:cs="Arial" w:eastAsia="Arial" w:hAnsi="Arial"/>
                <w:sz w:val="18"/>
                <w:szCs w:val="18"/>
                <w:color w:val="auto"/>
                <w:w w:val="89"/>
              </w:rPr>
              <w:t>(37.1)</w:t>
            </w: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Race, n (%), White</w:t>
            </w: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7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89"/>
              </w:rPr>
              <w:t>(94.1)</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7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89"/>
              </w:rPr>
              <w:t>(80.0)</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(88.6)</w:t>
            </w: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BCVA, mean (SD), ETDRS letters</w:t>
            </w:r>
          </w:p>
        </w:tc>
        <w:tc>
          <w:tcPr>
            <w:tcW w:w="2760" w:type="dxa"/>
            <w:vAlign w:val="bottom"/>
          </w:tcPr>
          <w:p>
            <w:pPr>
              <w:jc w:val="right"/>
              <w:spacing w:after="0"/>
              <w:rPr>
                <w:sz w:val="20"/>
                <w:szCs w:val="20"/>
                <w:color w:val="auto"/>
              </w:rPr>
            </w:pPr>
            <w:r>
              <w:rPr>
                <w:rFonts w:ascii="Arial" w:cs="Arial" w:eastAsia="Arial" w:hAnsi="Arial"/>
                <w:sz w:val="18"/>
                <w:szCs w:val="18"/>
                <w:color w:val="auto"/>
              </w:rPr>
              <w:t>63.3</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w w:val="89"/>
              </w:rPr>
              <w:t>(13.3)</w:t>
            </w:r>
          </w:p>
        </w:tc>
        <w:tc>
          <w:tcPr>
            <w:tcW w:w="840" w:type="dxa"/>
            <w:vAlign w:val="bottom"/>
          </w:tcPr>
          <w:p>
            <w:pPr>
              <w:jc w:val="right"/>
              <w:spacing w:after="0"/>
              <w:rPr>
                <w:sz w:val="20"/>
                <w:szCs w:val="20"/>
                <w:color w:val="auto"/>
              </w:rPr>
            </w:pPr>
            <w:r>
              <w:rPr>
                <w:rFonts w:ascii="Arial" w:cs="Arial" w:eastAsia="Arial" w:hAnsi="Arial"/>
                <w:sz w:val="18"/>
                <w:szCs w:val="18"/>
                <w:color w:val="auto"/>
              </w:rPr>
              <w:t>66.8</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w w:val="89"/>
              </w:rPr>
              <w:t>(10.2)</w:t>
            </w:r>
          </w:p>
        </w:tc>
        <w:tc>
          <w:tcPr>
            <w:tcW w:w="840" w:type="dxa"/>
            <w:vAlign w:val="bottom"/>
          </w:tcPr>
          <w:p>
            <w:pPr>
              <w:jc w:val="right"/>
              <w:spacing w:after="0"/>
              <w:rPr>
                <w:sz w:val="20"/>
                <w:szCs w:val="20"/>
                <w:color w:val="auto"/>
              </w:rPr>
            </w:pPr>
            <w:r>
              <w:rPr>
                <w:rFonts w:ascii="Arial" w:cs="Arial" w:eastAsia="Arial" w:hAnsi="Arial"/>
                <w:sz w:val="18"/>
                <w:szCs w:val="18"/>
                <w:color w:val="auto"/>
              </w:rPr>
              <w:t>54.9</w:t>
            </w:r>
          </w:p>
        </w:tc>
        <w:tc>
          <w:tcPr>
            <w:tcW w:w="460" w:type="dxa"/>
            <w:vAlign w:val="bottom"/>
          </w:tcPr>
          <w:p>
            <w:pPr>
              <w:jc w:val="right"/>
              <w:spacing w:after="0"/>
              <w:rPr>
                <w:sz w:val="20"/>
                <w:szCs w:val="20"/>
                <w:color w:val="auto"/>
              </w:rPr>
            </w:pPr>
            <w:r>
              <w:rPr>
                <w:rFonts w:ascii="Arial" w:cs="Arial" w:eastAsia="Arial" w:hAnsi="Arial"/>
                <w:sz w:val="18"/>
                <w:szCs w:val="18"/>
                <w:color w:val="auto"/>
                <w:w w:val="89"/>
              </w:rPr>
              <w:t>(15.4)</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Snellen equivalent</w:t>
            </w:r>
          </w:p>
        </w:tc>
        <w:tc>
          <w:tcPr>
            <w:tcW w:w="35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~20/50</w:t>
            </w:r>
          </w:p>
        </w:tc>
        <w:tc>
          <w:tcPr>
            <w:tcW w:w="16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~20/50</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~20/80</w:t>
            </w: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BCVA, Snellen 20/40 or better, n (%)</w:t>
            </w:r>
          </w:p>
        </w:tc>
        <w:tc>
          <w:tcPr>
            <w:tcW w:w="2760" w:type="dxa"/>
            <w:vAlign w:val="bottom"/>
          </w:tcPr>
          <w:p>
            <w:pPr>
              <w:jc w:val="right"/>
              <w:spacing w:after="0"/>
              <w:rPr>
                <w:sz w:val="20"/>
                <w:szCs w:val="20"/>
                <w:color w:val="auto"/>
              </w:rPr>
            </w:pPr>
            <w:r>
              <w:rPr>
                <w:rFonts w:ascii="Arial" w:cs="Arial" w:eastAsia="Arial" w:hAnsi="Arial"/>
                <w:sz w:val="18"/>
                <w:szCs w:val="18"/>
                <w:color w:val="auto"/>
              </w:rPr>
              <w:t>20</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w w:val="89"/>
              </w:rPr>
              <w:t>(39.2)</w:t>
            </w: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w w:val="89"/>
              </w:rPr>
              <w:t>(45.7)</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460" w:type="dxa"/>
            <w:vAlign w:val="bottom"/>
          </w:tcPr>
          <w:p>
            <w:pPr>
              <w:jc w:val="right"/>
              <w:spacing w:after="0"/>
              <w:rPr>
                <w:sz w:val="20"/>
                <w:szCs w:val="20"/>
                <w:color w:val="auto"/>
              </w:rPr>
            </w:pPr>
            <w:r>
              <w:rPr>
                <w:rFonts w:ascii="Arial" w:cs="Arial" w:eastAsia="Arial" w:hAnsi="Arial"/>
                <w:sz w:val="18"/>
                <w:szCs w:val="18"/>
                <w:color w:val="auto"/>
                <w:w w:val="89"/>
              </w:rPr>
              <w:t>(17.1)</w:t>
            </w: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OCT CST, mean (SD), microns</w:t>
            </w:r>
          </w:p>
        </w:tc>
        <w:tc>
          <w:tcPr>
            <w:tcW w:w="35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430 (162)</w:t>
            </w:r>
          </w:p>
        </w:tc>
        <w:tc>
          <w:tcPr>
            <w:tcW w:w="16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453 (110)</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675 (237)</w:t>
            </w:r>
          </w:p>
        </w:tc>
      </w:tr>
    </w:tbl>
    <w:p>
      <w:pPr>
        <w:spacing w:after="0" w:line="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166370</wp:posOffset>
            </wp:positionV>
            <wp:extent cx="5760720" cy="600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760720" cy="600075"/>
                    </a:xfrm>
                    <a:prstGeom prst="rect">
                      <a:avLst/>
                    </a:prstGeom>
                    <a:noFill/>
                  </pic:spPr>
                </pic:pic>
              </a:graphicData>
            </a:graphic>
          </wp:anchor>
        </w:drawing>
      </w:r>
    </w:p>
    <w:p>
      <w:pPr>
        <w:ind w:left="540"/>
        <w:spacing w:after="0"/>
        <w:rPr>
          <w:sz w:val="20"/>
          <w:szCs w:val="20"/>
          <w:color w:val="auto"/>
        </w:rPr>
      </w:pPr>
      <w:r>
        <w:rPr>
          <w:rFonts w:ascii="Arial" w:cs="Arial" w:eastAsia="Arial" w:hAnsi="Arial"/>
          <w:sz w:val="13"/>
          <w:szCs w:val="13"/>
          <w:color w:val="auto"/>
        </w:rPr>
        <w:t>Includes all patients randomized as of 21 January 2020, SD = standard deviation; BCVA = best corrected visual acuity; OCT = optical coherence tomography; CST = central subfield</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thickness</w:t>
      </w:r>
    </w:p>
    <w:p>
      <w:pPr>
        <w:spacing w:after="0" w:line="88" w:lineRule="exact"/>
        <w:rPr>
          <w:sz w:val="20"/>
          <w:szCs w:val="20"/>
          <w:color w:val="auto"/>
        </w:rPr>
      </w:pPr>
    </w:p>
    <w:p>
      <w:pPr>
        <w:ind w:right="260" w:firstLine="541"/>
        <w:spacing w:after="0" w:line="275" w:lineRule="auto"/>
        <w:rPr>
          <w:sz w:val="20"/>
          <w:szCs w:val="20"/>
          <w:color w:val="auto"/>
        </w:rPr>
      </w:pPr>
      <w:r>
        <w:rPr>
          <w:rFonts w:ascii="Arial" w:cs="Arial" w:eastAsia="Arial" w:hAnsi="Arial"/>
          <w:sz w:val="17"/>
          <w:szCs w:val="17"/>
          <w:color w:val="auto"/>
        </w:rPr>
        <w:t>The figures below present additional new data on durability and efficacy outcomes from the ongoing Phase 1b study that were presented at the Angiogenesis 2020 Annual Meeting. Across all three diseases under the study, improvements in vision and retinal anatomy were observed through 24 weeks of patient follow-up, with stability in OCT and BCVA over time in the monthly follow-up intervals following the three mandatory loading doses. Vision is measured as change in best corrected visual acuity, or BCVA, on a standardized eye chart, and retinal anatomy is measured as change in retinal central subfield thickness, or CST, using optical coherence tomography, or OCT, imaging.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Wet AMD</w:t>
      </w:r>
    </w:p>
    <w:p>
      <w:pPr>
        <w:spacing w:after="0" w:line="117" w:lineRule="exact"/>
        <w:rPr>
          <w:sz w:val="20"/>
          <w:szCs w:val="20"/>
          <w:color w:val="auto"/>
        </w:rPr>
      </w:pPr>
    </w:p>
    <w:p>
      <w:pPr>
        <w:ind w:right="20" w:firstLine="541"/>
        <w:spacing w:after="0" w:line="259" w:lineRule="auto"/>
        <w:rPr>
          <w:sz w:val="20"/>
          <w:szCs w:val="20"/>
          <w:color w:val="auto"/>
        </w:rPr>
      </w:pPr>
      <w:r>
        <w:rPr>
          <w:rFonts w:ascii="Arial" w:cs="Arial" w:eastAsia="Arial" w:hAnsi="Arial"/>
          <w:sz w:val="18"/>
          <w:szCs w:val="18"/>
          <w:color w:val="auto"/>
        </w:rPr>
        <w:t>In wet AMD, with current agents, only approximately 40% of patients can be maintained on an every 12-week (3 month) dosing interval over a two-year period. The remaining 60% of patients require either every other month therapy, monthly therapy, or even on occasion treatment as often as every two weeks. Our objective with KSI-301 in wet AMD is to develop a therapy where the vast majority of patients are on every 12-week dosing or better, with at least 50% of patients maintained on an every four or five month dosing regimen.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1" w:name="page12"/>
    <w:bookmarkEnd w:id="11"/>
    <w:p>
      <w:pPr>
        <w:jc w:val="both"/>
        <w:ind w:right="120" w:firstLine="541"/>
        <w:spacing w:after="0" w:line="279" w:lineRule="auto"/>
        <w:rPr>
          <w:sz w:val="20"/>
          <w:szCs w:val="20"/>
          <w:color w:val="auto"/>
        </w:rPr>
      </w:pPr>
      <w:r>
        <w:rPr>
          <w:rFonts w:ascii="Arial" w:cs="Arial" w:eastAsia="Arial" w:hAnsi="Arial"/>
          <w:sz w:val="17"/>
          <w:szCs w:val="17"/>
          <w:color w:val="auto"/>
        </w:rPr>
        <w:t>In our Phase 1b study, we have observed thus far that 91.4% of wet AMD treated eyes have been extended to three months or longer after the last loading dose of KSI-301 without receiving retreatment, and 84% have been extended to four months or longer after the last loading dose. Many patients have not received their first retreatment until five or even six months after the last loading dose. In the Phase 1b study, the maximum retreatment interval for wet AMD patients is capped at six months. The following results have been observed as of January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57785</wp:posOffset>
            </wp:positionV>
            <wp:extent cx="5751830" cy="3232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1830"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firstLine="541"/>
        <w:spacing w:after="0" w:line="263" w:lineRule="auto"/>
        <w:rPr>
          <w:sz w:val="20"/>
          <w:szCs w:val="20"/>
          <w:color w:val="auto"/>
        </w:rPr>
      </w:pPr>
      <w:r>
        <w:rPr>
          <w:rFonts w:ascii="Arial" w:cs="Arial" w:eastAsia="Arial" w:hAnsi="Arial"/>
          <w:sz w:val="18"/>
          <w:szCs w:val="18"/>
          <w:color w:val="auto"/>
        </w:rPr>
        <w:t>Intriguingly, we are observing that a high proportion of Phase 1b patients, approximately 55% as of January 21, 2020, have reached six months without retreatment after the initial loading doses, and 72% have reached a five months or longer interval. These emerging data underscore the potential of KSI-301 and the ABC Platform to achieve truly long-interval dosing with an intravitreally-administered therapy.</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12" w:name="page13"/>
    <w:bookmarkEnd w:id="12"/>
    <w:p>
      <w:pPr>
        <w:ind w:firstLine="541"/>
        <w:spacing w:after="0" w:line="290" w:lineRule="auto"/>
        <w:rPr>
          <w:sz w:val="20"/>
          <w:szCs w:val="20"/>
          <w:color w:val="auto"/>
        </w:rPr>
      </w:pPr>
      <w:r>
        <w:rPr>
          <w:rFonts w:ascii="Arial" w:cs="Arial" w:eastAsia="Arial" w:hAnsi="Arial"/>
          <w:sz w:val="16"/>
          <w:szCs w:val="16"/>
          <w:color w:val="auto"/>
        </w:rPr>
        <w:t>Visual acuity and retinal anatomy (OCT CST) improvements continue to be durable in the follow-up data as well. In the following graphs, the 31 wet AMD patients (pooled 2.5 mg and 5 mg dose levels) who reached the week 24 visit prior to the data cutoff date of January 21, 2020 are included. In the period between week 12 and week 24 (that is, months 1 to 3 after the loading phase), the treatment effect is maintained with only an average of 0.16 injections, with only a small (29.8 micron) change in average central subfield thickness on OCT was observed over the entire period from week 12 to week 24; from week 12 to 16 the change was 8.6 microns, from weeks 16 to 20 it was 9.1 microns, and between weeks 20 and 24 it was 12.1 microns. These data are consistent with an extended durability effect of KSI-301 and compare favorably to the OCT fluctuations observed with existing anti-VEGF agents despite those agents being given on shorter dosing intervals. Similarly, BCVA was also generally stable over these intervals, consistent with a prolonged duration of effect of KSI-301. BCVA tends to fluctuate by a small amount on a month-to-month basis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53975</wp:posOffset>
            </wp:positionV>
            <wp:extent cx="5751830" cy="3232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1830"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541"/>
        <w:spacing w:after="0" w:line="275" w:lineRule="auto"/>
        <w:rPr>
          <w:sz w:val="20"/>
          <w:szCs w:val="20"/>
          <w:color w:val="auto"/>
        </w:rPr>
      </w:pPr>
      <w:r>
        <w:rPr>
          <w:rFonts w:ascii="Arial" w:cs="Arial" w:eastAsia="Arial" w:hAnsi="Arial"/>
          <w:sz w:val="17"/>
          <w:szCs w:val="17"/>
          <w:color w:val="auto"/>
        </w:rPr>
        <w:t>In the Phase 1b study, the average retinal thickness (OCT CST) data as reported by our clinical investigators includes the height of pigment epithelial detachments (PEDs). PEDs are an anatomic feature in some patients with wet AMD; treatment success in subjects with PEDs does not necessarily imply complete flattening of the PED, but rather eliminating the intraretinal and subretinal fluid, particularly when the PED is very high prior to anti-VEGF treatment. Additionally, comparison across studies of OCT mean CST values is difficult because it is often not clear or not disclosed in presentations and publications whether the data include or exclude the height of the PED, among other reasons.</w:t>
      </w:r>
    </w:p>
    <w:p>
      <w:pPr>
        <w:spacing w:after="0" w:line="68" w:lineRule="exact"/>
        <w:rPr>
          <w:sz w:val="20"/>
          <w:szCs w:val="20"/>
          <w:color w:val="auto"/>
        </w:rPr>
      </w:pPr>
    </w:p>
    <w:p>
      <w:pPr>
        <w:ind w:right="220" w:firstLine="541"/>
        <w:spacing w:after="0" w:line="263" w:lineRule="auto"/>
        <w:rPr>
          <w:sz w:val="20"/>
          <w:szCs w:val="20"/>
          <w:color w:val="auto"/>
        </w:rPr>
      </w:pPr>
      <w:r>
        <w:rPr>
          <w:rFonts w:ascii="Arial" w:cs="Arial" w:eastAsia="Arial" w:hAnsi="Arial"/>
          <w:sz w:val="18"/>
          <w:szCs w:val="18"/>
          <w:color w:val="auto"/>
        </w:rPr>
        <w:t>These data collectively demonstrate that KSI-301 has a potent anti-VEGF effect both on BCVA improvement and retinal drying in wet AMD patients. The clinical benefit appears in line with existing anti-VEGF agents (especially when considering differences in baseline characteristics), and we are observing longer durability of clinical effect with KSI-301 than is expected from existing agents.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ind w:firstLine="541"/>
        <w:spacing w:after="0" w:line="271" w:lineRule="auto"/>
        <w:rPr>
          <w:sz w:val="20"/>
          <w:szCs w:val="20"/>
          <w:color w:val="auto"/>
        </w:rPr>
      </w:pPr>
      <w:r>
        <w:rPr>
          <w:rFonts w:ascii="Arial" w:cs="Arial" w:eastAsia="Arial" w:hAnsi="Arial"/>
          <w:sz w:val="17"/>
          <w:szCs w:val="17"/>
          <w:color w:val="auto"/>
        </w:rPr>
        <w:t>Although the Phase 1b study is open-label, we believe these results are representative both because patients in the study are randomized to two dose levels and because the key assessments (visual acuity and OCT) are measured objectively and in a standardized, reproducible manner. The very high proportion of Phase 1b patients who have been extended to 4, 5, or even 6 months without receiving retreatment also supports the design of our ongoing pivotal study, DAZZLE, in which KSI-301 is administered to treatment-naïve wet AMD patients on an every 3, 4 or 5 month dosing regimen, as compared to aflibercept on an every 2 month regimen, each after three monthly loading doses. In DAZZLE, the criteria for assigning a patient to 3, 4, or 5-month dosing on KSI-301 are slightly stricter than the retreatment criteria in the Phase 1b. Applying the DAZZLE retreatment criteria to the wet AMD patients in the Phase 1b study who have reached week 20 or later, we observe that 75% would have a time to first retreatment in DAZZLE of five months, 12.5% at four months, and 12.5% at three months, further supporting the design of the DAZZLE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62230</wp:posOffset>
            </wp:positionV>
            <wp:extent cx="5751830" cy="32321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1830"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Diabetic macular edema</w:t>
      </w:r>
    </w:p>
    <w:p>
      <w:pPr>
        <w:spacing w:after="0" w:line="117" w:lineRule="exact"/>
        <w:rPr>
          <w:sz w:val="20"/>
          <w:szCs w:val="20"/>
          <w:color w:val="auto"/>
        </w:rPr>
      </w:pPr>
    </w:p>
    <w:p>
      <w:pPr>
        <w:ind w:firstLine="541"/>
        <w:spacing w:after="0" w:line="271" w:lineRule="auto"/>
        <w:rPr>
          <w:sz w:val="20"/>
          <w:szCs w:val="20"/>
          <w:color w:val="auto"/>
        </w:rPr>
      </w:pPr>
      <w:r>
        <w:rPr>
          <w:rFonts w:ascii="Arial" w:cs="Arial" w:eastAsia="Arial" w:hAnsi="Arial"/>
          <w:sz w:val="17"/>
          <w:szCs w:val="17"/>
          <w:color w:val="auto"/>
        </w:rPr>
        <w:t>In DME, currently-approved anti-VEGF medicines are labeled for either monthly or every other month dosing after 5 monthly loading doses, and in a National Eye Institute-funded DRCR.net collaborative group study of DME patients, almost all patients required 6 initial monthly loading doses and a median of 9-10 doses were administered in the first year of therapy for all of the tested agents (aflibercept, bevacizumab, and ranibizumab). Our objective with KSI-301 in DME is thus twofold: first, to reduce the number of initiating or loading doses, and second to extend the treatment interval in the maintenance phase to 3 months and beyond. In our Phase 1b study, we have observed that 76% of DME treated eyes have been extended to four months or longer after the 3 loading doses of KSI-301 without receiving retreatment, with most patients not yet receiving any retreatment, including patients followed for as long as 5 to 7 months after the initiating doses. 96.7% of patients have been extended to 3 months or longer after the last loading dose. The following results have been observed as of January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62230</wp:posOffset>
            </wp:positionV>
            <wp:extent cx="5751830" cy="32321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1830"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ind w:right="20" w:firstLine="541"/>
        <w:spacing w:after="0" w:line="254" w:lineRule="auto"/>
        <w:rPr>
          <w:sz w:val="20"/>
          <w:szCs w:val="20"/>
          <w:color w:val="auto"/>
        </w:rPr>
      </w:pPr>
      <w:r>
        <w:rPr>
          <w:rFonts w:ascii="Arial" w:cs="Arial" w:eastAsia="Arial" w:hAnsi="Arial"/>
          <w:sz w:val="18"/>
          <w:szCs w:val="18"/>
          <w:color w:val="auto"/>
        </w:rPr>
        <w:t>Visual acuity and optical coherence tomography improvements continue to be durable in the follow-up data as well. In the following Figure, the 19 DME patients (pooled 2.5 mg and 5 mg dose levels) who reached the week 24 visit prior to the data cutoff date of January 21, 2020 are included. In the period between week 12 and week 24 (that is, months 1 to 4 after the loading phase), the treatment effect is maintained, with only a 2.8 micron change in average central subfield thickness on OCT observed. This is consistent with the extended durability effect of KSI-301 and compares very favorably to existing anti-VEGF agents, particularly with a reduced number of loading doses. The change in OCT between weeks 16 and 20 appeared largely driven by the DME patients who required and received retreatment at week 20 under the protocol. Similarly, BCVA was also stable over these intervals, consistent with a prolonged duration of effect of KSI-301.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81280</wp:posOffset>
            </wp:positionV>
            <wp:extent cx="5751830" cy="32321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1830"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541"/>
        <w:spacing w:after="0" w:line="257" w:lineRule="auto"/>
        <w:rPr>
          <w:sz w:val="20"/>
          <w:szCs w:val="20"/>
          <w:color w:val="auto"/>
        </w:rPr>
      </w:pPr>
      <w:r>
        <w:rPr>
          <w:rFonts w:ascii="Arial" w:cs="Arial" w:eastAsia="Arial" w:hAnsi="Arial"/>
          <w:sz w:val="18"/>
          <w:szCs w:val="18"/>
          <w:color w:val="auto"/>
        </w:rPr>
        <w:t>These data demonstrate that KSI-301 has a potent anti-VEGF effect both on BCVA improvement and retinal drying in DME patients. The clinical benefit appears in line with existing anti-VEGF agents (especially when considering differences in baseline characteristics) and we are observing longer durability of clinical effect with KSI-301 than with existing agents. Moreover, these results were achieved with fewer loading doses. These data support a pivotal study design where KSI-301 would be given on an every two- to six-month interval after three loading doses, compared to standard of care aflibercept on its approved every other month regimen after five loading doses.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Diabetic retinopathy</w:t>
      </w:r>
    </w:p>
    <w:p>
      <w:pPr>
        <w:spacing w:after="0" w:line="117" w:lineRule="exact"/>
        <w:rPr>
          <w:sz w:val="20"/>
          <w:szCs w:val="20"/>
          <w:color w:val="auto"/>
        </w:rPr>
      </w:pPr>
    </w:p>
    <w:p>
      <w:pPr>
        <w:ind w:firstLine="541"/>
        <w:spacing w:after="0" w:line="254" w:lineRule="auto"/>
        <w:rPr>
          <w:sz w:val="20"/>
          <w:szCs w:val="20"/>
          <w:color w:val="auto"/>
        </w:rPr>
      </w:pPr>
      <w:r>
        <w:rPr>
          <w:rFonts w:ascii="Arial" w:cs="Arial" w:eastAsia="Arial" w:hAnsi="Arial"/>
          <w:sz w:val="18"/>
          <w:szCs w:val="18"/>
          <w:color w:val="auto"/>
        </w:rPr>
        <w:t>In DR, currently approved medicines are labeled for either monthly or every other month dosing after five monthly loading doses. Use of anti-VEGF therapy in non-proliferative DR patients can significantly reduce the risk of developing sight-threatening complications, such as DME and proliferative DR. Because patients with non-proliferative DR without DME have not yet lost vision, an important benefit-risk consideration is the intensity of treatment required. We believe that the treatment burden required with currently approved anti-VEGFs for DR is limiting the adoption of anti-VEGF therapy despite the demonstrated treatment benefits. Our objective with KSI-301 in NPDR is to develop a therapy that could be given on an infrequent basis, such as an every four- or even every six-month interval, and without the monthly loading doses required in the labeling of the currently approved medicines.</w:t>
      </w: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16" w:name="page17"/>
    <w:bookmarkEnd w:id="16"/>
    <w:p>
      <w:pPr>
        <w:jc w:val="both"/>
        <w:ind w:firstLine="541"/>
        <w:spacing w:after="0" w:line="263" w:lineRule="auto"/>
        <w:rPr>
          <w:sz w:val="20"/>
          <w:szCs w:val="20"/>
          <w:color w:val="auto"/>
        </w:rPr>
      </w:pPr>
      <w:r>
        <w:rPr>
          <w:rFonts w:ascii="Arial" w:cs="Arial" w:eastAsia="Arial" w:hAnsi="Arial"/>
          <w:sz w:val="18"/>
          <w:szCs w:val="18"/>
          <w:color w:val="auto"/>
        </w:rPr>
        <w:t>In our Phase 1b study, we have observed early signs of improvement in diabetic retinopathy in the eyes of patients with concomitant DME: as of October 10, 2019, the latest timepoint for which photographic grading data are currently available, 40% of patients improved in DR severity level within the first 12 weeks of treatment and no patient worsened in DR severity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65405</wp:posOffset>
            </wp:positionV>
            <wp:extent cx="5751830" cy="65411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1830" cy="654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320" w:top="233" w:right="5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Retinal vein occlusion</w:t>
      </w:r>
    </w:p>
    <w:p>
      <w:pPr>
        <w:spacing w:after="0" w:line="117" w:lineRule="exact"/>
        <w:rPr>
          <w:sz w:val="20"/>
          <w:szCs w:val="20"/>
          <w:color w:val="auto"/>
        </w:rPr>
      </w:pPr>
    </w:p>
    <w:p>
      <w:pPr>
        <w:ind w:firstLine="541"/>
        <w:spacing w:after="0" w:line="296" w:lineRule="auto"/>
        <w:rPr>
          <w:sz w:val="20"/>
          <w:szCs w:val="20"/>
          <w:color w:val="auto"/>
        </w:rPr>
      </w:pPr>
      <w:r>
        <w:rPr>
          <w:rFonts w:ascii="Arial" w:cs="Arial" w:eastAsia="Arial" w:hAnsi="Arial"/>
          <w:sz w:val="16"/>
          <w:szCs w:val="16"/>
          <w:color w:val="auto"/>
        </w:rPr>
        <w:t>In RVO, a disease which has higher levels of intraocular VEGF on average than wet AMD and DME, the currently-approved medicines are labeled for monthly dosing. Our objective with KSI-301 in RVO is thus twofold: first, to reduce the number of initiating or loading doses, and second, to extend the treatment interval to 2 months and beyond for BRVO patients, recognizing BRVO is approximately five times more common than CRVO. In our Phase 1b study, we have observed thus far that all RVO eyes treated with 5 mg KSI-301 have been extended to 2 months or longer after the last loading dose of KSI-301, with 45% of patients extended to 3 months or longer. The following results have been observed as of January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51435</wp:posOffset>
            </wp:positionV>
            <wp:extent cx="5751830" cy="323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1830"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8" w:name="page19"/>
    <w:bookmarkEnd w:id="18"/>
    <w:p>
      <w:pPr>
        <w:ind w:firstLine="541"/>
        <w:spacing w:after="0" w:line="254" w:lineRule="auto"/>
        <w:rPr>
          <w:sz w:val="20"/>
          <w:szCs w:val="20"/>
          <w:color w:val="auto"/>
        </w:rPr>
      </w:pPr>
      <w:r>
        <w:rPr>
          <w:rFonts w:ascii="Arial" w:cs="Arial" w:eastAsia="Arial" w:hAnsi="Arial"/>
          <w:sz w:val="18"/>
          <w:szCs w:val="18"/>
          <w:color w:val="auto"/>
        </w:rPr>
        <w:t>Visual acuity and optical coherence tomography improvements continue to be durable in the follow-up data as well. In the following Figure, the 30 RVO patients (pooled 2.5 mg and 5 mg dose levels) who reached the week 24 visit prior to the data cutoff date of January 21, 2020 are included. 17 of the patients had a branch RVO and 13 had a central RVO. In the period between week 12 and week 24 (that is, months 1 to 3 after the loading phase), the treatment effect is maintained, with only small fluctuations in average central subfield thickness on OCT observed, consistent with the observation that some patients required and received retreatment at week 16 and week 24. This is consistent with the extended durability effect of KSI-301 and compares favorably existing anti-VEGF agents. Similarly, BCVA was also markedly improved and stable over these intervals, consistent with a potent and prolonged duration of effect of KSI-301. An average improvement from baseline of +22.2 eye chart letters, which is over four eye chart lines, was observed at week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70485</wp:posOffset>
            </wp:positionV>
            <wp:extent cx="5751830" cy="32321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1830"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40" w:firstLine="541"/>
        <w:spacing w:after="0" w:line="271" w:lineRule="auto"/>
        <w:rPr>
          <w:sz w:val="20"/>
          <w:szCs w:val="20"/>
          <w:color w:val="auto"/>
        </w:rPr>
      </w:pPr>
      <w:r>
        <w:rPr>
          <w:rFonts w:ascii="Arial" w:cs="Arial" w:eastAsia="Arial" w:hAnsi="Arial"/>
          <w:sz w:val="17"/>
          <w:szCs w:val="17"/>
          <w:color w:val="auto"/>
        </w:rPr>
        <w:t>These data collectively demonstrate that KSI-301 has a potent anti-VEGF effect both on BCVA improvement and retinal drying in RVO patients. The clinical benefit appears in line with existing anti-VEGF agents (especially when considering differences in baseline characteristics), with longer durability than with existing agents, and the effects were achieved with fewer loading doses. These data support a pivotal study design where KSI-301 would be given on an every two month or longer interval, compared to standard of care aflibercept on its monthly regimen. Having said that, we are considering different pivotal study designs for each of CRVO and BRVO which would reflect the different nature of the two diseases. Specifically, for CRVO we are considering a pivotal study design in which KSI-301 is dosed on a monthly basis during the first six months followed by extended-interval dosing in the year thereafter, and for BRVO we are considering a pivotal study design in which KSI-301 is dosed on an every-other month interval after two loading doses for the first six months, followed by extended-interval dosing in the year thereafter.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of KSI-301 injections</w:t>
      </w:r>
    </w:p>
    <w:p>
      <w:pPr>
        <w:spacing w:after="0" w:line="121" w:lineRule="exact"/>
        <w:rPr>
          <w:sz w:val="20"/>
          <w:szCs w:val="20"/>
          <w:color w:val="auto"/>
        </w:rPr>
      </w:pPr>
    </w:p>
    <w:p>
      <w:pPr>
        <w:ind w:firstLine="541"/>
        <w:spacing w:after="0" w:line="255" w:lineRule="auto"/>
        <w:rPr>
          <w:sz w:val="20"/>
          <w:szCs w:val="20"/>
          <w:color w:val="auto"/>
        </w:rPr>
      </w:pPr>
      <w:r>
        <w:rPr>
          <w:rFonts w:ascii="Arial" w:cs="Arial" w:eastAsia="Arial" w:hAnsi="Arial"/>
          <w:sz w:val="18"/>
          <w:szCs w:val="18"/>
          <w:color w:val="auto"/>
        </w:rPr>
        <w:t>As previously disclosed, a data cutoff of January 21, 2020 was selected to prepare data for presentation at the Angiogenesis, Exudation, and Degeneration 2020 Annual Meeting. Through this data cutoff, more than 500+ doses of KSI-301 were administered with no intraocular inflammation or study eye ocular serious adverse events reported. This number represents more than 415+ KSI-301 administrations in the Phase 1a/1b program and an estimated more than 85+ KSI-301 administrations in the DAZZLE wet AMD pivotal study (per review of the masked safety data as described below). This record of no drug-related ocular adverse events and no drug-related systemic adverse events continues to demonstrate a favorable safety profile for KSI-301 as a therapeutic candidate.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9" w:name="page20"/>
    <w:bookmarkEnd w:id="19"/>
    <w:p>
      <w:pPr>
        <w:ind w:right="260" w:firstLine="541"/>
        <w:spacing w:after="0" w:line="277" w:lineRule="auto"/>
        <w:rPr>
          <w:sz w:val="20"/>
          <w:szCs w:val="20"/>
          <w:color w:val="auto"/>
        </w:rPr>
      </w:pPr>
      <w:r>
        <w:rPr>
          <w:rFonts w:ascii="Arial" w:cs="Arial" w:eastAsia="Arial" w:hAnsi="Arial"/>
          <w:sz w:val="18"/>
          <w:szCs w:val="18"/>
          <w:color w:val="auto"/>
        </w:rPr>
        <w:t>A more detailed look at Phase 1a and Phase 1b safety across all patients randomized as of January 21, 2020 and all doses administered across all cohorts includes:</w:t>
      </w:r>
    </w:p>
    <w:p>
      <w:pPr>
        <w:spacing w:after="0" w:line="62" w:lineRule="exact"/>
        <w:rPr>
          <w:sz w:val="20"/>
          <w:szCs w:val="20"/>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drug-related adverse events, or AEs, and no drug-related serious adverse events, or SAEs;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Most AEs were assessed as mild and are consistent with the profile of intravitreal anti-VEGFs;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17 non-ocular SAEs that were not drug-related were reported in 11 subjects: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92 y/o RVO subject with hospitalization related to a pre-existing medical condition that resulted in death;</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Seven (43, 56, 62, 66, 67, 70 and 72 y/o, respectively) DME subjects with hospitalization related to a pre-existing medical condition;</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66 y/o RVO subject with hospitalization related to dizziness;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43 y/o RVO subject with a broken leg related to a motorcycle accident;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85 y/o RVO subject with hospitalization related to a pre-existing medical condition.</w:t>
      </w:r>
    </w:p>
    <w:p>
      <w:pPr>
        <w:spacing w:after="0" w:line="239" w:lineRule="exact"/>
        <w:rPr>
          <w:sz w:val="20"/>
          <w:szCs w:val="20"/>
          <w:color w:val="auto"/>
        </w:rPr>
      </w:pPr>
    </w:p>
    <w:p>
      <w:pPr>
        <w:ind w:right="20" w:firstLine="541"/>
        <w:spacing w:after="0" w:line="291" w:lineRule="auto"/>
        <w:rPr>
          <w:sz w:val="20"/>
          <w:szCs w:val="20"/>
          <w:color w:val="auto"/>
        </w:rPr>
      </w:pPr>
      <w:r>
        <w:rPr>
          <w:rFonts w:ascii="Arial" w:cs="Arial" w:eastAsia="Arial" w:hAnsi="Arial"/>
          <w:sz w:val="16"/>
          <w:szCs w:val="16"/>
          <w:color w:val="auto"/>
        </w:rPr>
        <w:t>As of March 6, 2020, in the Phase 1a/1b study, 130 patients have been enrolled and no drug-related serious adverse events have been reported. Two ocular adverse events of vitreous cell have been reported from a single site in two RVO patients. In the first patient, trace vitreous cell was noted at a routine study visit, and in a second patient, 1+ vitreous cell (on a scale of 0 to 4+ with 0 being none) was noted at a routine study visit. In both patients, the vitreous cells resolved and/or improved towards resolution with topical steroid eye drops. The patients had received 5 and 6 injections of KSI-301 and had been followed for 229 and 441 days, and the time from the last injection to the time the vitreous cells were noted was 49 and 23 days. Neither patient lost any vision, and at the time of their most recent visits, the two patients have gained +35 and +42 letters from baseline to a Snellen visual acuity of 20/25 and 20/32, respectively. Ophthalmic evaluations demonstrated no vasculitis and no retinitis in either patient.</w:t>
      </w:r>
    </w:p>
    <w:p>
      <w:pPr>
        <w:spacing w:after="0" w:line="58" w:lineRule="exact"/>
        <w:rPr>
          <w:sz w:val="20"/>
          <w:szCs w:val="20"/>
          <w:color w:val="auto"/>
        </w:rPr>
      </w:pPr>
    </w:p>
    <w:p>
      <w:pPr>
        <w:ind w:right="180" w:firstLine="541"/>
        <w:spacing w:after="0" w:line="311" w:lineRule="auto"/>
        <w:rPr>
          <w:sz w:val="20"/>
          <w:szCs w:val="20"/>
          <w:color w:val="auto"/>
        </w:rPr>
      </w:pPr>
      <w:r>
        <w:rPr>
          <w:rFonts w:ascii="Arial" w:cs="Arial" w:eastAsia="Arial" w:hAnsi="Arial"/>
          <w:sz w:val="16"/>
          <w:szCs w:val="16"/>
          <w:color w:val="auto"/>
        </w:rPr>
        <w:t>As of March 6, 2020, in the DAZZLE study, over 175 patients have been enrolled and randomized 1:1 to KSI-301 5mg or aflibercept 2mg. All patients receive three loading doses with subsequent dosing for KSI-301 treated patients based on disease activity assessments and subsequent dosing for Eylea on an every-other-month fixed interval. No adverse event reports of intraocular inflammation have been reported in the masked database.</w:t>
      </w:r>
    </w:p>
    <w:p>
      <w:pPr>
        <w:spacing w:after="0" w:line="41" w:lineRule="exact"/>
        <w:rPr>
          <w:sz w:val="20"/>
          <w:szCs w:val="20"/>
          <w:color w:val="auto"/>
        </w:rPr>
      </w:pPr>
    </w:p>
    <w:p>
      <w:pPr>
        <w:ind w:right="60" w:firstLine="541"/>
        <w:spacing w:after="0" w:line="273" w:lineRule="auto"/>
        <w:rPr>
          <w:sz w:val="20"/>
          <w:szCs w:val="20"/>
          <w:color w:val="auto"/>
        </w:rPr>
      </w:pPr>
      <w:r>
        <w:rPr>
          <w:rFonts w:ascii="Arial" w:cs="Arial" w:eastAsia="Arial" w:hAnsi="Arial"/>
          <w:sz w:val="17"/>
          <w:szCs w:val="17"/>
          <w:color w:val="auto"/>
        </w:rPr>
        <w:t>Additionally, we have continued to evaluate anti-drug antibody (ADA) status in the Phase 1a/1b program. A validated ECL bridging ADA assay is being utilized to analyze samples. Analysis is on-going. As of January 21, 2020, a total of 702 samples from 117 subjects were tested for the presence of anti-drug antibodies in the Phase 1a and 1b study. The number of samples and the last timepoint tested for each subject varies depending on the enrollment duration. No pre-treatment samples tested positive for ADA in any subject. To date, treatment emergent data show very low numbers of samples/subjects testing positive for ADAs, and these rare positive ADAs are at very low titer. Although we will continue to update these data as the study progresses, these data provide an additional and encouraging window into the safety of KSI-301.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1b study ongoing status</w:t>
      </w:r>
    </w:p>
    <w:p>
      <w:pPr>
        <w:spacing w:after="0" w:line="121" w:lineRule="exact"/>
        <w:rPr>
          <w:sz w:val="20"/>
          <w:szCs w:val="20"/>
          <w:color w:val="auto"/>
        </w:rPr>
      </w:pPr>
    </w:p>
    <w:p>
      <w:pPr>
        <w:ind w:firstLine="541"/>
        <w:spacing w:after="0" w:line="263" w:lineRule="auto"/>
        <w:rPr>
          <w:sz w:val="20"/>
          <w:szCs w:val="20"/>
          <w:color w:val="auto"/>
        </w:rPr>
      </w:pPr>
      <w:r>
        <w:rPr>
          <w:rFonts w:ascii="Arial" w:cs="Arial" w:eastAsia="Arial" w:hAnsi="Arial"/>
          <w:sz w:val="18"/>
          <w:szCs w:val="18"/>
          <w:color w:val="auto"/>
        </w:rPr>
        <w:t>We extended the planned follow-up period of patients in the Phase 1b study from nine months to 18 months so that additional long-term durability and safety outcomes can be collected, and we intend to further increase the follow-up duration beyond 18 months. We intend to continue to present ongoing safety, efficacy and durability data from the Phase 1b study at medical and investor meetings in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Accelerated clinical development strategy for KSI-301</w:t>
      </w:r>
    </w:p>
    <w:p>
      <w:pPr>
        <w:spacing w:after="0" w:line="121" w:lineRule="exact"/>
        <w:rPr>
          <w:sz w:val="20"/>
          <w:szCs w:val="20"/>
          <w:color w:val="auto"/>
        </w:rPr>
      </w:pPr>
    </w:p>
    <w:p>
      <w:pPr>
        <w:ind w:right="180" w:firstLine="541"/>
        <w:spacing w:after="0" w:line="277" w:lineRule="auto"/>
        <w:rPr>
          <w:sz w:val="20"/>
          <w:szCs w:val="20"/>
          <w:color w:val="auto"/>
        </w:rPr>
      </w:pPr>
      <w:r>
        <w:rPr>
          <w:rFonts w:ascii="Arial" w:cs="Arial" w:eastAsia="Arial" w:hAnsi="Arial"/>
          <w:sz w:val="18"/>
          <w:szCs w:val="18"/>
          <w:color w:val="auto"/>
        </w:rPr>
        <w:t>Based on the promising safety, efficacy and durability data observed to date in the Phase 1b study, we are accelerating the clinical development of KSI-301.</w:t>
      </w:r>
    </w:p>
    <w:p>
      <w:pPr>
        <w:spacing w:after="0" w:line="62" w:lineRule="exact"/>
        <w:rPr>
          <w:sz w:val="20"/>
          <w:szCs w:val="20"/>
          <w:color w:val="auto"/>
        </w:rPr>
      </w:pPr>
    </w:p>
    <w:p>
      <w:pPr>
        <w:ind w:right="40" w:firstLine="541"/>
        <w:spacing w:after="0" w:line="271" w:lineRule="auto"/>
        <w:rPr>
          <w:sz w:val="20"/>
          <w:szCs w:val="20"/>
          <w:color w:val="auto"/>
        </w:rPr>
      </w:pPr>
      <w:r>
        <w:rPr>
          <w:rFonts w:ascii="Arial" w:cs="Arial" w:eastAsia="Arial" w:hAnsi="Arial"/>
          <w:sz w:val="17"/>
          <w:szCs w:val="17"/>
          <w:color w:val="auto"/>
        </w:rPr>
        <w:t>In the third quarter of 2019, we initiated enrollment in our pivotal DAZZLE clinical trial of KSI-301 in patients with treatment-naïve wet AMD. The DAZZLE study is recruiting well, and over 175 patients have been recruited as of March 6, 2020. In this study, all patients will receive KSI-301 on an every three-, four- or five- month dosing interval or standard-care aflibercept on an every two-month dosing interval, each after three initial monthly doses. We believe that an every three- to five- month dosing regimen with KSI-301 would represent a clinically meaningful improvement compared to the currently available standard of care for patients needing intraocular anti-VEGF therapy. A primary data readout is anticipated in 2021 depending on enrollment rates. We have increased the anticipated sample size from 368 patients to ~550 patients to ensure adequate statistical power consistent with the registrational nature of the study. This trial is currently recruiting patients in the United States and is additionally planned to enroll patients in several countries of the European Union as well as in Israel.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0" w:name="page21"/>
    <w:bookmarkEnd w:id="20"/>
    <w:p>
      <w:pPr>
        <w:ind w:right="160" w:firstLine="541"/>
        <w:spacing w:after="0" w:line="263" w:lineRule="auto"/>
        <w:rPr>
          <w:sz w:val="20"/>
          <w:szCs w:val="20"/>
          <w:color w:val="auto"/>
        </w:rPr>
      </w:pPr>
      <w:r>
        <w:rPr>
          <w:rFonts w:ascii="Arial" w:cs="Arial" w:eastAsia="Arial" w:hAnsi="Arial"/>
          <w:sz w:val="18"/>
          <w:szCs w:val="18"/>
          <w:color w:val="auto"/>
        </w:rPr>
        <w:t>In October 2019, we announced our intention to initiate, in mid-2020, two Phase 3 studies of KSI-301 in RVO– one study in central RVO and one study in branch RVO. These two studies could support an initial BLA for KSI-301 and could result in our achieving rapid market entry, because the primary endpoint for RVO studies is evaluated at six months.</w:t>
      </w:r>
    </w:p>
    <w:p>
      <w:pPr>
        <w:spacing w:after="0" w:line="76" w:lineRule="exact"/>
        <w:rPr>
          <w:sz w:val="20"/>
          <w:szCs w:val="20"/>
          <w:color w:val="auto"/>
        </w:rPr>
      </w:pPr>
    </w:p>
    <w:p>
      <w:pPr>
        <w:ind w:right="20" w:firstLine="541"/>
        <w:spacing w:after="0" w:line="255" w:lineRule="auto"/>
        <w:rPr>
          <w:sz w:val="20"/>
          <w:szCs w:val="20"/>
          <w:color w:val="auto"/>
        </w:rPr>
      </w:pPr>
      <w:r>
        <w:rPr>
          <w:rFonts w:ascii="Arial" w:cs="Arial" w:eastAsia="Arial" w:hAnsi="Arial"/>
          <w:sz w:val="18"/>
          <w:szCs w:val="18"/>
          <w:color w:val="auto"/>
        </w:rPr>
        <w:t>Subsequently, in the fourth quarter of 2019, we held a Type B (EOP) meeting with the FDA where we discussed the recommended clinical, non-clinical, and manufacturing activities to support the future licensure of KSI-301 in wet AMD, DME, RVO and DR. In particular, we discussed and agreed with FDA on the sequence and number of clinical studies required to support an initial BLA and sBLA to achieve approval in these four retinal diseases. FDA has indicated that approval in the four diseases of AMD, DME, RVO and DR without DME could be supported with a total of five pivotal trials – two in RVO, one in wet AMD, one in DME, and one in DR without DME. We also discussed with and received feedback from FDA on the designs of the proposed studies.</w:t>
      </w:r>
    </w:p>
    <w:p>
      <w:pPr>
        <w:spacing w:after="0" w:line="84" w:lineRule="exact"/>
        <w:rPr>
          <w:sz w:val="20"/>
          <w:szCs w:val="20"/>
          <w:color w:val="auto"/>
        </w:rPr>
      </w:pPr>
    </w:p>
    <w:p>
      <w:pPr>
        <w:jc w:val="both"/>
        <w:ind w:right="160" w:firstLine="541"/>
        <w:spacing w:after="0" w:line="301" w:lineRule="auto"/>
        <w:rPr>
          <w:sz w:val="20"/>
          <w:szCs w:val="20"/>
          <w:color w:val="auto"/>
        </w:rPr>
      </w:pPr>
      <w:r>
        <w:rPr>
          <w:rFonts w:ascii="Arial" w:cs="Arial" w:eastAsia="Arial" w:hAnsi="Arial"/>
          <w:sz w:val="16"/>
          <w:szCs w:val="16"/>
          <w:color w:val="auto"/>
        </w:rPr>
        <w:t>As a result of the supportive discussions with FDA, we now intend to initiate at least four US/EU-based pivotal trials in mid-2020: one in central RVO (CRVO), one in branch RVO (BRVO), one in DME, and one in DR without DME. These studies, together with our ongoing DAZZLE pivotal study in wet AMD, will be the basis of our intended BLA submissions. Each study will compare a differentiated KSI-301 dosing regimen head-to-head against standard of care: intravitreal anti-VEGF treatment in the case of wet AMD, DME, and RVO, and observation/sham injections for DR.</w:t>
      </w:r>
    </w:p>
    <w:p>
      <w:pPr>
        <w:spacing w:after="0" w:line="49" w:lineRule="exact"/>
        <w:rPr>
          <w:sz w:val="20"/>
          <w:szCs w:val="20"/>
          <w:color w:val="auto"/>
        </w:rPr>
      </w:pPr>
    </w:p>
    <w:p>
      <w:pPr>
        <w:jc w:val="both"/>
        <w:ind w:firstLine="541"/>
        <w:spacing w:after="0" w:line="286" w:lineRule="auto"/>
        <w:rPr>
          <w:sz w:val="20"/>
          <w:szCs w:val="20"/>
          <w:color w:val="auto"/>
        </w:rPr>
      </w:pPr>
      <w:r>
        <w:rPr>
          <w:rFonts w:ascii="Arial" w:cs="Arial" w:eastAsia="Arial" w:hAnsi="Arial"/>
          <w:sz w:val="17"/>
          <w:szCs w:val="17"/>
          <w:color w:val="auto"/>
        </w:rPr>
        <w:t>We believe the KSI-301 pivotal program can achieve primary data readouts in late 2021 or early 2022. Based on evolving expectations of individual study enrollment rates, we currently expect to submit the wet AMD, DME, and RVO indications in a single initial BLA for KSI-301 in 2022. Likewise, we believe the DR study could achieve primary data readout in 2022 and support a sBLA submission for DR in 2022 or 2023.</w:t>
      </w:r>
    </w:p>
    <w:p>
      <w:pPr>
        <w:spacing w:after="0" w:line="57" w:lineRule="exact"/>
        <w:rPr>
          <w:sz w:val="20"/>
          <w:szCs w:val="20"/>
          <w:color w:val="auto"/>
        </w:rPr>
      </w:pPr>
    </w:p>
    <w:p>
      <w:pPr>
        <w:ind w:right="40" w:firstLine="541"/>
        <w:spacing w:after="0" w:line="291" w:lineRule="auto"/>
        <w:rPr>
          <w:sz w:val="20"/>
          <w:szCs w:val="20"/>
          <w:color w:val="auto"/>
        </w:rPr>
      </w:pPr>
      <w:r>
        <w:rPr>
          <w:rFonts w:ascii="Arial" w:cs="Arial" w:eastAsia="Arial" w:hAnsi="Arial"/>
          <w:sz w:val="16"/>
          <w:szCs w:val="16"/>
          <w:color w:val="auto"/>
        </w:rPr>
        <w:t>We are currently preparing to initiate the DME and RVO Phase 3 studies globally, following the discussions that we held with the FDA, and we intend to begin recruiting patients in those studies in mid-2020. For patients with branch RVO (the more common subtype), we believe an every-other month or longer dose regimen for KSI-301, following two loading doses, can be meaningfully differentiated from that of other marketed and in-development anti-VEGF biologics that require monthly dosing in this disease. For patients with DME, we are planning a DAZZLE-like design, with all patients on an every 2- to 6- month regimen after 3 monthly loading doses, compared to standard of care aflibercept dosed every 2 months (after 5 monthly loading doses). We believe this profile, in which we expect almost all patients will be on an every 3- month or longer dose regimen, and the majority expected to be on a 4-month or longer interval, can be meaningfully differentiated from that of other marketed and in-development anti-VEGF biologics.</w:t>
      </w:r>
    </w:p>
    <w:p>
      <w:pPr>
        <w:spacing w:after="0" w:line="58" w:lineRule="exact"/>
        <w:rPr>
          <w:sz w:val="20"/>
          <w:szCs w:val="20"/>
          <w:color w:val="auto"/>
        </w:rPr>
      </w:pPr>
    </w:p>
    <w:p>
      <w:pPr>
        <w:jc w:val="both"/>
        <w:ind w:right="140" w:firstLine="541"/>
        <w:spacing w:after="0" w:line="259" w:lineRule="auto"/>
        <w:rPr>
          <w:sz w:val="20"/>
          <w:szCs w:val="20"/>
          <w:color w:val="auto"/>
        </w:rPr>
      </w:pPr>
      <w:r>
        <w:rPr>
          <w:rFonts w:ascii="Arial" w:cs="Arial" w:eastAsia="Arial" w:hAnsi="Arial"/>
          <w:sz w:val="18"/>
          <w:szCs w:val="18"/>
          <w:color w:val="auto"/>
        </w:rPr>
        <w:t>We also expect to begin recruiting patients in the DR study in the second half of 2020. For DR patients, we believe that an every 4-, or 6- month regimen could offer an important and meaningfully differentiated benefit for patients. Although anti-VEGF therapy is now approved in the United States for DR, it is not standard of care for non-proliferative DR in most cases. Thus, a study of KSI-301 could compare against either placebo (sham injections) or anti-VEGF treatment.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1" w:name="page22"/>
    <w:bookmarkEnd w:id="21"/>
    <w:p>
      <w:pPr>
        <w:ind w:left="540"/>
        <w:spacing w:after="0"/>
        <w:rPr>
          <w:sz w:val="20"/>
          <w:szCs w:val="20"/>
          <w:color w:val="auto"/>
        </w:rPr>
      </w:pPr>
      <w:r>
        <w:rPr>
          <w:rFonts w:ascii="Arial" w:cs="Arial" w:eastAsia="Arial" w:hAnsi="Arial"/>
          <w:sz w:val="18"/>
          <w:szCs w:val="18"/>
          <w:color w:val="auto"/>
        </w:rPr>
        <w:t>Our anticipated US/EU clinical studies for KSI-301 are therefore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92075</wp:posOffset>
            </wp:positionV>
            <wp:extent cx="5751830" cy="32321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1830"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firstLine="541"/>
        <w:spacing w:after="0" w:line="273" w:lineRule="auto"/>
        <w:rPr>
          <w:sz w:val="20"/>
          <w:szCs w:val="20"/>
          <w:color w:val="auto"/>
        </w:rPr>
      </w:pPr>
      <w:r>
        <w:rPr>
          <w:rFonts w:ascii="Arial" w:cs="Arial" w:eastAsia="Arial" w:hAnsi="Arial"/>
          <w:sz w:val="17"/>
          <w:szCs w:val="17"/>
          <w:color w:val="auto"/>
        </w:rPr>
        <w:t>We additionally plan to initiate one or more clinical studies in China, and we are also evaluating the potential to include patients from China in selected global Phase 3 studies. We held our China pre-investigational new drug, or IND, meeting for KSI-301 with the China Center for Drug Evaluation, or CDE, in the second quarter of 2019. Based on this supportive meeting, as well as the progress with our clinical development of KSI-301 and the recent FDA feedback, we intend to submit one or more INDs for KSI-301 in China in the first half of 2020. Our thinking on the timing of our China IND submission(s) is impacted by the novel strain of coronavirus, COVID-19, as well as our evolving views about which indications from the global pivotal studies program should include patients from China and which indications to develop via China-specific pivotal studies.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720" w:firstLine="541"/>
        <w:spacing w:after="0" w:line="277" w:lineRule="auto"/>
        <w:rPr>
          <w:sz w:val="20"/>
          <w:szCs w:val="20"/>
          <w:color w:val="auto"/>
        </w:rPr>
      </w:pPr>
      <w:r>
        <w:rPr>
          <w:rFonts w:ascii="Arial" w:cs="Arial" w:eastAsia="Arial" w:hAnsi="Arial"/>
          <w:sz w:val="18"/>
          <w:szCs w:val="18"/>
          <w:color w:val="auto"/>
        </w:rPr>
        <w:t>Our goal is to become a leading biopharmaceutical company focused on developing and commercializing therapeutics for the treatment of ophthalmic diseases. The key elements of our strategy are:</w:t>
      </w:r>
    </w:p>
    <w:p>
      <w:pPr>
        <w:spacing w:after="0" w:line="62" w:lineRule="exact"/>
        <w:rPr>
          <w:sz w:val="20"/>
          <w:szCs w:val="20"/>
          <w:color w:val="auto"/>
        </w:rPr>
      </w:pPr>
    </w:p>
    <w:p>
      <w:pPr>
        <w:ind w:left="660" w:right="40" w:hanging="11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Complete clinical development of KSI-301 for wet AMD, DME, RVO, and DR. </w:t>
      </w:r>
      <w:r>
        <w:rPr>
          <w:rFonts w:ascii="Arial" w:cs="Arial" w:eastAsia="Arial" w:hAnsi="Arial"/>
          <w:sz w:val="18"/>
          <w:szCs w:val="18"/>
          <w:color w:val="auto"/>
        </w:rPr>
        <w:t>We are devoting a significant portion of our resources and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efforts to the manufacture and clinical development of KSI-301 for retinal vascular diseases.</w:t>
      </w:r>
    </w:p>
    <w:p>
      <w:pPr>
        <w:spacing w:after="0" w:line="62" w:lineRule="exact"/>
        <w:rPr>
          <w:rFonts w:ascii="Arial" w:cs="Arial" w:eastAsia="Arial" w:hAnsi="Arial"/>
          <w:sz w:val="18"/>
          <w:szCs w:val="18"/>
          <w:color w:val="auto"/>
        </w:rPr>
      </w:pPr>
    </w:p>
    <w:p>
      <w:pPr>
        <w:ind w:left="660" w:hanging="112"/>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Establish market acceptance of KSI-301 in wet AMD, diabetic eye disease, and RVO. </w:t>
      </w:r>
      <w:r>
        <w:rPr>
          <w:rFonts w:ascii="Arial" w:cs="Arial" w:eastAsia="Arial" w:hAnsi="Arial"/>
          <w:sz w:val="18"/>
          <w:szCs w:val="18"/>
          <w:color w:val="auto"/>
        </w:rPr>
        <w:t>We believe that if KSI-301 is approved and is shown to have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efficacy and improved durability to other anti-VEGF therapies, it will compete favorably with other marketed products for retinal vascular disease. In addition, we believe KSI-301 may potentially expand the market reach to patients not currently on approved standard of care therapies or not currently on therapy at all.</w:t>
      </w:r>
    </w:p>
    <w:p>
      <w:pPr>
        <w:spacing w:after="0" w:line="78" w:lineRule="exact"/>
        <w:rPr>
          <w:rFonts w:ascii="Arial" w:cs="Arial" w:eastAsia="Arial" w:hAnsi="Arial"/>
          <w:sz w:val="18"/>
          <w:szCs w:val="18"/>
          <w:color w:val="auto"/>
        </w:rPr>
      </w:pPr>
    </w:p>
    <w:p>
      <w:pPr>
        <w:ind w:left="660" w:right="20" w:hanging="112"/>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Seek to expand the use of KSI-301 in DR beyond DME. </w:t>
      </w:r>
      <w:r>
        <w:rPr>
          <w:rFonts w:ascii="Arial" w:cs="Arial" w:eastAsia="Arial" w:hAnsi="Arial"/>
          <w:sz w:val="17"/>
          <w:szCs w:val="17"/>
          <w:color w:val="auto"/>
        </w:rPr>
        <w:t>We intend to explore the use of KSI-301 in the treatment of all subtypes of DR patients.</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Currently-marketed anti-VEGFs are used primarily to treat late and advanced manifestations of DR, particularly DME. We believe that the potential for improved durability of KSI-301 could not only improve the standard of care but also expand the patient population that receives anti-VEGF therapy to include patients with less severe forms of DR for whom frequent injections may be a barrier to adoption.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2" w:name="page23"/>
    <w:bookmarkEnd w:id="22"/>
    <w:p>
      <w:pPr>
        <w:ind w:left="660" w:right="60" w:hanging="112"/>
        <w:spacing w:after="0" w:line="273"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Commercialize KSI-301 with our own specialty sales force. </w:t>
      </w:r>
      <w:r>
        <w:rPr>
          <w:rFonts w:ascii="Arial" w:cs="Arial" w:eastAsia="Arial" w:hAnsi="Arial"/>
          <w:sz w:val="17"/>
          <w:szCs w:val="17"/>
          <w:color w:val="auto"/>
        </w:rPr>
        <w:t>KSI-301 is wholly owned by us, subject only to the capped, pre-payable royalty</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obligations described in the section titled “—Funding Agreement” below. If KSI-301 receives marketing approval, we plan to commercialize it in the United States with our own focused, specialty sales force. We believe that retinal specialists in the United States, who perform most of the medical procedures involving retinal diseases, are sufficiently concentrated that we will be able to effectively promote KSI-301 with a sales and marketing group of fewer than 200 people. We expect to explore collaboration, distribution or other marketing arrangements with one or more third parties to commercialize KSI-301 in markets outside the United States.</w:t>
      </w:r>
    </w:p>
    <w:p>
      <w:pPr>
        <w:spacing w:after="0" w:line="69" w:lineRule="exact"/>
        <w:rPr>
          <w:rFonts w:ascii="Arial" w:cs="Arial" w:eastAsia="Arial" w:hAnsi="Arial"/>
          <w:sz w:val="17"/>
          <w:szCs w:val="17"/>
          <w:color w:val="auto"/>
        </w:rPr>
      </w:pPr>
    </w:p>
    <w:p>
      <w:pPr>
        <w:ind w:left="660" w:right="100" w:hanging="112"/>
        <w:spacing w:after="0" w:line="26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Advance the development of our other ABC product candidates. </w:t>
      </w:r>
      <w:r>
        <w:rPr>
          <w:rFonts w:ascii="Arial" w:cs="Arial" w:eastAsia="Arial" w:hAnsi="Arial"/>
          <w:sz w:val="18"/>
          <w:szCs w:val="18"/>
          <w:color w:val="auto"/>
        </w:rPr>
        <w:t>We intend to continue deploying capital to selectively develop our own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of product candidates based on our ABC Platform (including bispecific inhibitors such as KSI-501). We may partner with biotechnology and pharmaceutical companies to further develop our ABC Platform and product candidates.</w:t>
      </w:r>
    </w:p>
    <w:p>
      <w:pPr>
        <w:spacing w:after="0" w:line="75" w:lineRule="exact"/>
        <w:rPr>
          <w:rFonts w:ascii="Arial" w:cs="Arial" w:eastAsia="Arial" w:hAnsi="Arial"/>
          <w:sz w:val="18"/>
          <w:szCs w:val="18"/>
          <w:color w:val="auto"/>
        </w:rPr>
      </w:pPr>
    </w:p>
    <w:p>
      <w:pPr>
        <w:jc w:val="both"/>
        <w:ind w:left="660" w:right="160" w:hanging="112"/>
        <w:spacing w:after="0" w:line="31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Discover and develop future product candidates for areas of unmet need. </w:t>
      </w:r>
      <w:r>
        <w:rPr>
          <w:rFonts w:ascii="Arial" w:cs="Arial" w:eastAsia="Arial" w:hAnsi="Arial"/>
          <w:sz w:val="16"/>
          <w:szCs w:val="16"/>
          <w:color w:val="auto"/>
        </w:rPr>
        <w:t>We intend to continue our discovery efforts and deepen our pipeline of</w:t>
      </w:r>
      <w:r>
        <w:rPr>
          <w:rFonts w:ascii="Arial" w:cs="Arial" w:eastAsia="Arial" w:hAnsi="Arial"/>
          <w:sz w:val="16"/>
          <w:szCs w:val="16"/>
          <w:i w:val="1"/>
          <w:iCs w:val="1"/>
          <w:color w:val="auto"/>
        </w:rPr>
        <w:t xml:space="preserve"> </w:t>
      </w:r>
      <w:r>
        <w:rPr>
          <w:rFonts w:ascii="Arial" w:cs="Arial" w:eastAsia="Arial" w:hAnsi="Arial"/>
          <w:sz w:val="16"/>
          <w:szCs w:val="16"/>
          <w:color w:val="auto"/>
        </w:rPr>
        <w:t>medicines for high-prevalence ophthalmic diseases. We may opportunistically in-license or acquire the rights to complementary products, other product candidates and technologies to aid in the treatment of a range of ophthalmic diseases, principally diseases of the retina.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Standard of Care for Wet AMD, DME/DR, and RVO</w:t>
      </w:r>
    </w:p>
    <w:p>
      <w:pPr>
        <w:spacing w:after="0" w:line="117" w:lineRule="exact"/>
        <w:rPr>
          <w:sz w:val="20"/>
          <w:szCs w:val="20"/>
          <w:color w:val="auto"/>
        </w:rPr>
      </w:pPr>
    </w:p>
    <w:p>
      <w:pPr>
        <w:ind w:right="20" w:firstLine="541"/>
        <w:spacing w:after="0" w:line="293" w:lineRule="auto"/>
        <w:rPr>
          <w:sz w:val="20"/>
          <w:szCs w:val="20"/>
          <w:color w:val="auto"/>
        </w:rPr>
      </w:pPr>
      <w:r>
        <w:rPr>
          <w:rFonts w:ascii="Arial" w:cs="Arial" w:eastAsia="Arial" w:hAnsi="Arial"/>
          <w:sz w:val="16"/>
          <w:szCs w:val="16"/>
          <w:color w:val="auto"/>
        </w:rPr>
        <w:t>Overexpression of vascular endothelial growth factor, or VEGF, in ocular tissues is central to the pathogenesis and clinical manifestations of wet AMD, DME/DR, and RVO. VEGF is a protein produced by cells that stimulates the formation of new blood vessels, a process called neovascularization, and induces vascular permeability. In wet AMD, DME, and RVO fluid that exits from blood vessels causes swelling, or edema, of the retina and loss of vision. This loss of vision can be reversed if treated early with an anti-VEGF agent to suppress VEGF signaling. Delayed treatment or undertreatment can result in permanent retinal damage and blindness. To reach effective ocular tissue concentrations, these agents must be injected into the vitreous humor, the jelly-like substance that fills the area between the lens and retina. These injections must occur at regular intervals in order to maintain anti-VEGF effects.</w:t>
      </w:r>
    </w:p>
    <w:p>
      <w:pPr>
        <w:spacing w:after="0" w:line="56" w:lineRule="exact"/>
        <w:rPr>
          <w:sz w:val="20"/>
          <w:szCs w:val="20"/>
          <w:color w:val="auto"/>
        </w:rPr>
      </w:pPr>
    </w:p>
    <w:p>
      <w:pPr>
        <w:ind w:right="20" w:firstLine="541"/>
        <w:spacing w:after="0" w:line="270" w:lineRule="auto"/>
        <w:rPr>
          <w:sz w:val="20"/>
          <w:szCs w:val="20"/>
          <w:color w:val="auto"/>
        </w:rPr>
      </w:pPr>
      <w:r>
        <w:rPr>
          <w:rFonts w:ascii="Arial" w:cs="Arial" w:eastAsia="Arial" w:hAnsi="Arial"/>
          <w:sz w:val="17"/>
          <w:szCs w:val="17"/>
          <w:color w:val="auto"/>
        </w:rPr>
        <w:t>Lucentis (ranibizumab), marketed by Genentech, Inc., a subsidiary of the Roche Group, in the United States and by Novartis AG outside the United States, and Eylea (aflibercept), marketed by Regeneron Pharmaceuticals, Inc. in the United States and by Bayer HealthCare LLC outside the United States, are anti-VEGF therapies that have become the standard of care for treating wet AMD and severe forms of DR based on pivotal clinical studies in which Lucentis was injected every four weeks and Eylea was injected every eight weeks (after three initial monthly doses in the case of wet AMD and after five initial monthly doses in the case of DR with DME). BeoVu (brolucizumab), marketed worldwide by Novartis, was approved in late 2019 in the United States and early 2020 in Europe for the treatment of wet AMD and is injected every eight to 12 weeks after three initial monthly doses. Avastin (bevacizumab), marketed for non-ocular indications by Genentech in the United States and by Roche outside of the United States, is an anti-VEGF cancer therapy that shares structural characteristics with Lucentis and is commonly used off-label to treat wet AMD, DME, and RVO through intravitreal injection dosed every four weeks.</w:t>
      </w:r>
    </w:p>
    <w:p>
      <w:pPr>
        <w:spacing w:after="0" w:line="73" w:lineRule="exact"/>
        <w:rPr>
          <w:sz w:val="20"/>
          <w:szCs w:val="20"/>
          <w:color w:val="auto"/>
        </w:rPr>
      </w:pPr>
    </w:p>
    <w:p>
      <w:pPr>
        <w:ind w:firstLine="541"/>
        <w:spacing w:after="0" w:line="296" w:lineRule="auto"/>
        <w:rPr>
          <w:sz w:val="20"/>
          <w:szCs w:val="20"/>
          <w:color w:val="auto"/>
        </w:rPr>
      </w:pPr>
      <w:r>
        <w:rPr>
          <w:rFonts w:ascii="Arial" w:cs="Arial" w:eastAsia="Arial" w:hAnsi="Arial"/>
          <w:sz w:val="16"/>
          <w:szCs w:val="16"/>
          <w:color w:val="auto"/>
        </w:rPr>
        <w:t>Annual worldwide sales of Lucentis and Eylea for all indications totaled approximately $11.5 billion in 2019. We believe that a substantial majority of these sales were in connection with the treatment of wet AMD and DME. Avastin, which is currently approved and marketed for the treatment of cancer, is also used off-label to treat wet AMD, DME, and RVO. We estimate that off-label Avastin represents approximately 60% of the U.S. wet AMD market by volume. We believe that an improved anti-VEGF therapy could further increase both adoption of approved therapies and extend the duration patients remain on treatment, and thus the total addressable market opportunity in wet AMD, DME/DR, and RVO could be substantial.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Current Anti-VEGF Therapies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limitations of current anti-VEGF therapies include:</w:t>
      </w:r>
    </w:p>
    <w:p>
      <w:pPr>
        <w:spacing w:after="0" w:line="117" w:lineRule="exact"/>
        <w:rPr>
          <w:sz w:val="20"/>
          <w:szCs w:val="20"/>
          <w:color w:val="auto"/>
        </w:rPr>
      </w:pPr>
    </w:p>
    <w:p>
      <w:pPr>
        <w:ind w:left="660" w:hanging="112"/>
        <w:spacing w:after="0" w:line="273"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Existing anti-VEGF therapies block VEGF activity effectively but have limited durability. </w:t>
      </w:r>
      <w:r>
        <w:rPr>
          <w:rFonts w:ascii="Arial" w:cs="Arial" w:eastAsia="Arial" w:hAnsi="Arial"/>
          <w:sz w:val="17"/>
          <w:szCs w:val="17"/>
          <w:color w:val="auto"/>
        </w:rPr>
        <w:t>We believe current anti-VEGF therapies maintain potent</w:t>
      </w:r>
      <w:r>
        <w:rPr>
          <w:rFonts w:ascii="Arial" w:cs="Arial" w:eastAsia="Arial" w:hAnsi="Arial"/>
          <w:sz w:val="17"/>
          <w:szCs w:val="17"/>
          <w:i w:val="1"/>
          <w:iCs w:val="1"/>
          <w:color w:val="auto"/>
        </w:rPr>
        <w:t xml:space="preserve"> </w:t>
      </w:r>
      <w:r>
        <w:rPr>
          <w:rFonts w:ascii="Arial" w:cs="Arial" w:eastAsia="Arial" w:hAnsi="Arial"/>
          <w:sz w:val="17"/>
          <w:szCs w:val="17"/>
          <w:color w:val="auto"/>
        </w:rPr>
        <w:t>and effective drug levels in ocular tissues for three to six weeks after injection on average. But typical treatment intervals in real-world clinical practice are longer. When a patient’s dosing cycle is extended beyond the durability of the anti-VEGF agent, and the amount of drug remaining in the eye falls below therapeutic levels, the disease can progress and cause cumulative and permanent retinal damage. Most wet AMD, DME, RVO and DR patients will require protracted anti-VEGF therapy, possibly for life. Under these circumstances, strict adherence to the manufacturer’s labeled treatment regimen of every four weeks for Lucentis and every eight weeks for Eylea is challenging.</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3" w:name="page24"/>
    <w:bookmarkEnd w:id="23"/>
    <w:p>
      <w:pPr>
        <w:ind w:left="660" w:right="60" w:hanging="112"/>
        <w:spacing w:after="0" w:line="288"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Real-world utilization of current anti-VEGFs results in undertreatment, which diminishes effectiveness. </w:t>
      </w:r>
      <w:r>
        <w:rPr>
          <w:rFonts w:ascii="Arial" w:cs="Arial" w:eastAsia="Arial" w:hAnsi="Arial"/>
          <w:sz w:val="16"/>
          <w:szCs w:val="16"/>
          <w:color w:val="auto"/>
        </w:rPr>
        <w:t>A divergence between the efficacy of</w:t>
      </w:r>
      <w:r>
        <w:rPr>
          <w:rFonts w:ascii="Arial" w:cs="Arial" w:eastAsia="Arial" w:hAnsi="Arial"/>
          <w:sz w:val="16"/>
          <w:szCs w:val="16"/>
          <w:i w:val="1"/>
          <w:iCs w:val="1"/>
          <w:color w:val="auto"/>
        </w:rPr>
        <w:t xml:space="preserve"> </w:t>
      </w:r>
      <w:r>
        <w:rPr>
          <w:rFonts w:ascii="Arial" w:cs="Arial" w:eastAsia="Arial" w:hAnsi="Arial"/>
          <w:sz w:val="16"/>
          <w:szCs w:val="16"/>
          <w:color w:val="auto"/>
        </w:rPr>
        <w:t>Lucentis and Eylea in pivotal clinical trials and in the real world is evidenced in multiple studies and is increasingly recognized as an important unmet medical need. A 2017 report by the Angiogenesis Foundation suggested that the burden involved in monthly visits for evaluation and treatment causes patients and physicians to extend treatment intervals, which in turn results in undertreatment and visual outcomes that fall short of the results seen in clinical trials. For example, Lucentis was tested and failed to successfully extend the treatment interval to 12-week dosing, with patients going back to pre-treatment baseline or even losing vision at the end of the first year of treatment, on average. The Lucentis U.S. product labeling refers to this regimen as an option which is “not as effective” as monthly dosing. The FDA allowed an update to Eylea’s labeling to allow 12-week dosing, but only in the second year of treatment (after one full year of intensive treatment). The labeling refers to it as “not as effective as the recommended every 8-week dosing.” Even a small deviation from per label dosing can be devastating for vision. Missing as few as one or two injections in a year from Eylea’s recommended dosing, results in almost one line of vision lost.</w:t>
      </w:r>
    </w:p>
    <w:p>
      <w:pPr>
        <w:spacing w:after="0" w:line="60" w:lineRule="exact"/>
        <w:rPr>
          <w:rFonts w:ascii="Arial" w:cs="Arial" w:eastAsia="Arial" w:hAnsi="Arial"/>
          <w:sz w:val="16"/>
          <w:szCs w:val="16"/>
          <w:color w:val="auto"/>
        </w:rPr>
      </w:pPr>
    </w:p>
    <w:p>
      <w:pPr>
        <w:ind w:left="660" w:right="660" w:hanging="11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Patients are not sustaining visual acuity gains over the long term. </w:t>
      </w:r>
      <w:r>
        <w:rPr>
          <w:rFonts w:ascii="Arial" w:cs="Arial" w:eastAsia="Arial" w:hAnsi="Arial"/>
          <w:sz w:val="18"/>
          <w:szCs w:val="18"/>
          <w:color w:val="auto"/>
        </w:rPr>
        <w:t>Following exit from tightly controlled clinical trials into the real-world</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patients, on average, lose all the gains in visual acuity that had been previously achieved.</w:t>
      </w:r>
    </w:p>
    <w:p>
      <w:pPr>
        <w:spacing w:after="0" w:line="62" w:lineRule="exact"/>
        <w:rPr>
          <w:rFonts w:ascii="Arial" w:cs="Arial" w:eastAsia="Arial" w:hAnsi="Arial"/>
          <w:sz w:val="18"/>
          <w:szCs w:val="18"/>
          <w:color w:val="auto"/>
        </w:rPr>
      </w:pPr>
    </w:p>
    <w:p>
      <w:pPr>
        <w:ind w:left="660" w:hanging="11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Damage caused by these retinal diseases may be irreversible if anti-VEGF therapy is not initiated early in the disease progression. </w:t>
      </w:r>
      <w:r>
        <w:rPr>
          <w:rFonts w:ascii="Arial" w:cs="Arial" w:eastAsia="Arial" w:hAnsi="Arial"/>
          <w:sz w:val="18"/>
          <w:szCs w:val="18"/>
          <w:color w:val="auto"/>
        </w:rPr>
        <w:t>A study in</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with diabetic macular edema, or DME, a severe form of DR, found that undertreatment in the early course of patients’ disease may reduce the patients’ ability to respond to anti-VEGF therapies.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Wet AMD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Wet AMD</w:t>
      </w:r>
    </w:p>
    <w:p>
      <w:pPr>
        <w:spacing w:after="0" w:line="117" w:lineRule="exact"/>
        <w:rPr>
          <w:sz w:val="20"/>
          <w:szCs w:val="20"/>
          <w:color w:val="auto"/>
        </w:rPr>
      </w:pPr>
    </w:p>
    <w:p>
      <w:pPr>
        <w:ind w:right="200" w:firstLine="541"/>
        <w:spacing w:after="0" w:line="259" w:lineRule="auto"/>
        <w:rPr>
          <w:sz w:val="20"/>
          <w:szCs w:val="20"/>
          <w:color w:val="auto"/>
        </w:rPr>
      </w:pPr>
      <w:r>
        <w:rPr>
          <w:rFonts w:ascii="Arial" w:cs="Arial" w:eastAsia="Arial" w:hAnsi="Arial"/>
          <w:sz w:val="18"/>
          <w:szCs w:val="18"/>
          <w:color w:val="auto"/>
        </w:rPr>
        <w:t>AMD is a common eye condition affecting people of age 55 years and older with a reported prevalence of approximately 11 million people in the United States and 170 million people globally. It is a progressive disease affecting the central portion of the retina, known as the macula, which is the region of the eye responsible for sharp, central vision and color perception. The likelihood of AMD progression and associated vision loss increases with age.</w:t>
      </w:r>
    </w:p>
    <w:p>
      <w:pPr>
        <w:spacing w:after="0" w:line="79" w:lineRule="exact"/>
        <w:rPr>
          <w:sz w:val="20"/>
          <w:szCs w:val="20"/>
          <w:color w:val="auto"/>
        </w:rPr>
      </w:pPr>
    </w:p>
    <w:p>
      <w:pPr>
        <w:ind w:right="40" w:firstLine="541"/>
        <w:spacing w:after="0" w:line="289" w:lineRule="auto"/>
        <w:rPr>
          <w:sz w:val="20"/>
          <w:szCs w:val="20"/>
          <w:color w:val="auto"/>
        </w:rPr>
      </w:pPr>
      <w:r>
        <w:rPr>
          <w:rFonts w:ascii="Arial" w:cs="Arial" w:eastAsia="Arial" w:hAnsi="Arial"/>
          <w:sz w:val="16"/>
          <w:szCs w:val="16"/>
          <w:color w:val="auto"/>
        </w:rPr>
        <w:t>Wet AMD is an advanced form of AMD characterized by neovascularization and fluid leakage under the retina. It is the leading cause of severe vision loss in patients over the age of 50 in the United States and the EU, with a reported prevalence of approximately 1.25 million people and an annual incidence of approximately 200,000 people in the United States. The likelihood of disease progression increases with age, so the prevalence and incidence of wet AMD is projected to accelerate in countries with aging populations. It has additionally been observed that approximately 50% of patients presenting with wet AMD in one eye will develop wet AMD in the other eye within five years, leading to a relatively significant number of patients requiring treatment in both eyes. While wet AMD represents only 10% of the number of cases of AMD overall, it is responsible for 90% of AMD-related severe vision loss. In many eyes with wet AMD, the disease can progress quickly with rapid loss of central vision needed for activities such as reading and driving. Untreated or undertreated wet AMD results in blood vessel leakage, fluid in the macula, and ultimately scar tissue formation, which can lead to permanent vision loss, or even blindness, as a result of the scarring and retinal deformation that occur during periods of non-treatment or undertreatment.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Current Therapies for Wet AMD</w:t>
      </w:r>
    </w:p>
    <w:p>
      <w:pPr>
        <w:spacing w:after="0" w:line="117" w:lineRule="exact"/>
        <w:rPr>
          <w:sz w:val="20"/>
          <w:szCs w:val="20"/>
          <w:color w:val="auto"/>
        </w:rPr>
      </w:pPr>
    </w:p>
    <w:p>
      <w:pPr>
        <w:ind w:firstLine="541"/>
        <w:spacing w:after="0" w:line="286" w:lineRule="auto"/>
        <w:rPr>
          <w:sz w:val="20"/>
          <w:szCs w:val="20"/>
          <w:color w:val="auto"/>
        </w:rPr>
      </w:pPr>
      <w:r>
        <w:rPr>
          <w:rFonts w:ascii="Arial" w:cs="Arial" w:eastAsia="Arial" w:hAnsi="Arial"/>
          <w:sz w:val="16"/>
          <w:szCs w:val="16"/>
          <w:color w:val="auto"/>
        </w:rPr>
        <w:t>The standard of care treatments for wet AMD are two anti-VEGF drugs, Lucentis (ranibizumab) and Eylea (aflibercept). Lucentis (ranibizumab), marketed by Genentech, Inc., a subsidiary of the Roche Group, in the United States and by Novartis AG outside the United States, is a recombinant humanized monoclonal antibody fragment that binds to and inhibits VEGF proteins in the eye and was approved in the United States in 2006 and in Europe in 2007. Eylea (aflibercept), marketed by Regeneron Pharmaceuticals, Inc. in the United States and by Bayer HealthCare LLC outside the United States, is a recombinant fusion protein containing portions of the human VEGF receptor that binds to soluble VEGF and was approved in the United States in 2011 and in Europe in 2012. These drugs became the standard of care for treating wet AMD based on pivotal clinical trials in which Lucentis was injected every four weeks and Eylea was injected every eight weeks (after three initial monthly loading doses). Since its approval, Eylea has been widely adopted largely due to a durability advantage compared to Lucentis, but both agents were effective in improving visual acuity in the first months of the treatment period and sustaining this gain throughout the duration of their respective clinical trials. Avastin (bevacizumab), marketed for non-ocular indications by Genentech in the United States and by Roche outside of the United States, is an anti-VEGF cancer therapy that shares structural characteristics with Lucentis and is commonly used off-label as a monthly, intravitreal injection for wet AMD. BeoVu (brolucizumab), marketed worldwide by Novartis, was approved in late 2019 in the United States and early 2020 in Europe for the treatment of wet AMD and is injected every eight to 12 weeks after three initial monthly doses. Its competitiveness with Lucentis and Eylea in the commercial marketplace has yet to be observed.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Market for Wet AMD</w:t>
      </w:r>
    </w:p>
    <w:p>
      <w:pPr>
        <w:spacing w:after="0" w:line="117" w:lineRule="exact"/>
        <w:rPr>
          <w:sz w:val="20"/>
          <w:szCs w:val="20"/>
          <w:color w:val="auto"/>
        </w:rPr>
      </w:pPr>
    </w:p>
    <w:p>
      <w:pPr>
        <w:ind w:right="180" w:firstLine="541"/>
        <w:spacing w:after="0" w:line="296" w:lineRule="auto"/>
        <w:rPr>
          <w:sz w:val="20"/>
          <w:szCs w:val="20"/>
          <w:color w:val="auto"/>
        </w:rPr>
      </w:pPr>
      <w:r>
        <w:rPr>
          <w:rFonts w:ascii="Arial" w:cs="Arial" w:eastAsia="Arial" w:hAnsi="Arial"/>
          <w:sz w:val="16"/>
          <w:szCs w:val="16"/>
          <w:color w:val="auto"/>
        </w:rPr>
        <w:t>Annual worldwide sales of Lucentis and Eylea for all indications totaled approximately $11.5 billion in 2019. We believe a substantial majority of these sales were in connection with the treatment of wet AMD, DME, and RVO. Avastin, which is currently approved and marketed for the treatment of cancer, is also used off-label to treat wet AMD, DME, RVO, and DR. We estimate that off-label Avastin represents approximately 60% of the U.S. wet AMD market by volume. We believe that an improved anti-VEGF therapy could further increase both adoption of approved therapies and extend the duration patients remain on treatment, and thus the total addressable market opportunity in wet AMD and DR could be substantial.</w:t>
      </w:r>
    </w:p>
    <w:p>
      <w:pPr>
        <w:spacing w:after="0" w:line="53" w:lineRule="exact"/>
        <w:rPr>
          <w:sz w:val="20"/>
          <w:szCs w:val="20"/>
          <w:color w:val="auto"/>
        </w:rPr>
      </w:pPr>
    </w:p>
    <w:p>
      <w:pPr>
        <w:ind w:right="100" w:firstLine="541"/>
        <w:spacing w:after="0" w:line="257" w:lineRule="auto"/>
        <w:rPr>
          <w:sz w:val="20"/>
          <w:szCs w:val="20"/>
          <w:color w:val="auto"/>
        </w:rPr>
      </w:pPr>
      <w:r>
        <w:rPr>
          <w:rFonts w:ascii="Arial" w:cs="Arial" w:eastAsia="Arial" w:hAnsi="Arial"/>
          <w:sz w:val="18"/>
          <w:szCs w:val="18"/>
          <w:color w:val="auto"/>
        </w:rPr>
        <w:t>With an improved anti-VEGF therapy, we believe the total addressable market opportunity in wet AMD could be substantially greater than sales of Lucentis and Eylea in wet AMD, DME and RVO. A clinically meaningful durability advantage over existing treatments could increase long-term compliance rates and maintain patients on a consistent and FDA approved treatment regimen for this chronic condition. Furthermore, we believe that an anti-VEGF therapy that is more durable than Avastin may reduce the relative weight of cost as a deciding factor for patients and providers who currently favor Avastin and expand the market for “branded” treatments.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Diabetic Retinopathy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Diabetic Retinopathy</w:t>
      </w:r>
    </w:p>
    <w:p>
      <w:pPr>
        <w:spacing w:after="0" w:line="117" w:lineRule="exact"/>
        <w:rPr>
          <w:sz w:val="20"/>
          <w:szCs w:val="20"/>
          <w:color w:val="auto"/>
        </w:rPr>
      </w:pPr>
    </w:p>
    <w:p>
      <w:pPr>
        <w:ind w:firstLine="541"/>
        <w:spacing w:after="0" w:line="277" w:lineRule="auto"/>
        <w:rPr>
          <w:sz w:val="20"/>
          <w:szCs w:val="20"/>
          <w:color w:val="auto"/>
        </w:rPr>
      </w:pPr>
      <w:r>
        <w:rPr>
          <w:rFonts w:ascii="Arial" w:cs="Arial" w:eastAsia="Arial" w:hAnsi="Arial"/>
          <w:sz w:val="18"/>
          <w:szCs w:val="18"/>
          <w:color w:val="auto"/>
        </w:rPr>
        <w:t>DR is an eye disease resulting from diabetes, in which chronically elevated blood sugar levels cause damage to blood vessels in the retina. There are two major types of DR:</w:t>
      </w:r>
    </w:p>
    <w:p>
      <w:pPr>
        <w:spacing w:after="0" w:line="62" w:lineRule="exact"/>
        <w:rPr>
          <w:sz w:val="20"/>
          <w:szCs w:val="20"/>
          <w:color w:val="auto"/>
        </w:rPr>
      </w:pPr>
    </w:p>
    <w:p>
      <w:pPr>
        <w:ind w:left="660" w:right="580" w:hanging="11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Non-proliferative DR, or NPDR</w:t>
      </w:r>
      <w:r>
        <w:rPr>
          <w:rFonts w:ascii="Arial" w:cs="Arial" w:eastAsia="Arial" w:hAnsi="Arial"/>
          <w:sz w:val="18"/>
          <w:szCs w:val="18"/>
          <w:color w:val="auto"/>
        </w:rPr>
        <w:t>. NPDR is an earlier, more typical stage of DR and can progress into more severe forms of DR over time if</w:t>
      </w:r>
      <w:r>
        <w:rPr>
          <w:rFonts w:ascii="Arial" w:cs="Arial" w:eastAsia="Arial" w:hAnsi="Arial"/>
          <w:sz w:val="18"/>
          <w:szCs w:val="18"/>
          <w:i w:val="1"/>
          <w:iCs w:val="1"/>
          <w:color w:val="auto"/>
        </w:rPr>
        <w:t xml:space="preserve"> </w:t>
      </w:r>
      <w:r>
        <w:rPr>
          <w:rFonts w:ascii="Arial" w:cs="Arial" w:eastAsia="Arial" w:hAnsi="Arial"/>
          <w:sz w:val="18"/>
          <w:szCs w:val="18"/>
          <w:color w:val="auto"/>
        </w:rPr>
        <w:t>untreated and if exposure to elevated blood sugar levels persists.</w:t>
      </w:r>
    </w:p>
    <w:p>
      <w:pPr>
        <w:spacing w:after="0" w:line="62" w:lineRule="exact"/>
        <w:rPr>
          <w:rFonts w:ascii="Arial" w:cs="Arial" w:eastAsia="Arial" w:hAnsi="Arial"/>
          <w:sz w:val="18"/>
          <w:szCs w:val="18"/>
          <w:color w:val="auto"/>
        </w:rPr>
      </w:pPr>
    </w:p>
    <w:p>
      <w:pPr>
        <w:ind w:left="660" w:right="40" w:hanging="11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Proliferative DR, or PDR</w:t>
      </w:r>
      <w:r>
        <w:rPr>
          <w:rFonts w:ascii="Arial" w:cs="Arial" w:eastAsia="Arial" w:hAnsi="Arial"/>
          <w:sz w:val="18"/>
          <w:szCs w:val="18"/>
          <w:color w:val="auto"/>
        </w:rPr>
        <w:t>. PDR is a more advanced stage of DR than NPDR. It is characterized by retinal neovascularization and, if left untreated,</w:t>
      </w:r>
      <w:r>
        <w:rPr>
          <w:rFonts w:ascii="Arial" w:cs="Arial" w:eastAsia="Arial" w:hAnsi="Arial"/>
          <w:sz w:val="18"/>
          <w:szCs w:val="18"/>
          <w:i w:val="1"/>
          <w:iCs w:val="1"/>
          <w:color w:val="auto"/>
        </w:rPr>
        <w:t xml:space="preserve"> </w:t>
      </w:r>
      <w:r>
        <w:rPr>
          <w:rFonts w:ascii="Arial" w:cs="Arial" w:eastAsia="Arial" w:hAnsi="Arial"/>
          <w:sz w:val="18"/>
          <w:szCs w:val="18"/>
          <w:color w:val="auto"/>
        </w:rPr>
        <w:t>leads to permanent damage and blindness.</w:t>
      </w:r>
    </w:p>
    <w:p>
      <w:pPr>
        <w:spacing w:after="0" w:line="62" w:lineRule="exact"/>
        <w:rPr>
          <w:sz w:val="20"/>
          <w:szCs w:val="20"/>
          <w:color w:val="auto"/>
        </w:rPr>
      </w:pPr>
    </w:p>
    <w:p>
      <w:pPr>
        <w:ind w:right="100" w:firstLine="541"/>
        <w:spacing w:after="0" w:line="259" w:lineRule="auto"/>
        <w:rPr>
          <w:sz w:val="20"/>
          <w:szCs w:val="20"/>
          <w:color w:val="auto"/>
        </w:rPr>
      </w:pPr>
      <w:r>
        <w:rPr>
          <w:rFonts w:ascii="Arial" w:cs="Arial" w:eastAsia="Arial" w:hAnsi="Arial"/>
          <w:sz w:val="18"/>
          <w:szCs w:val="18"/>
          <w:color w:val="auto"/>
        </w:rPr>
        <w:t>DME, which occurs when fluid accumulates in the macula due to leaking blood vessels, can develop at any stage of DR. PDR, together with DME, are the primary causes of vision-threatening DR, or VTDR. VTDR is the leading cause of blindness among people with diabetes and the leading cause of blindness among working age adults in the United States and the EU. Patients with mild or moderate NPDR who have not developed DME are characterized as patients with non-vision threatening DR, or NVTDR.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Current Therapies for DR</w:t>
      </w:r>
    </w:p>
    <w:p>
      <w:pPr>
        <w:spacing w:after="0" w:line="117" w:lineRule="exact"/>
        <w:rPr>
          <w:sz w:val="20"/>
          <w:szCs w:val="20"/>
          <w:color w:val="auto"/>
        </w:rPr>
      </w:pPr>
    </w:p>
    <w:p>
      <w:pPr>
        <w:ind w:firstLine="541"/>
        <w:spacing w:after="0" w:line="272" w:lineRule="auto"/>
        <w:rPr>
          <w:sz w:val="20"/>
          <w:szCs w:val="20"/>
          <w:color w:val="auto"/>
        </w:rPr>
      </w:pPr>
      <w:r>
        <w:rPr>
          <w:rFonts w:ascii="Arial" w:cs="Arial" w:eastAsia="Arial" w:hAnsi="Arial"/>
          <w:sz w:val="17"/>
          <w:szCs w:val="17"/>
          <w:color w:val="auto"/>
        </w:rPr>
        <w:t>PDR has historically been treated with laser therapy. In recent years, use of anti-VEGF therapies has emerged as a complementary first-line treatment for PDR. Lucentis and Eylea are also approved for the treatment of DME with or without PDR. In April 2017, Lucentis’ approval was expanded to include all forms of DR, whether or not the patient also has DME. The approval was based on the demonstration that treatment with Lucentis results in more patients experiencing improvement of their diabetic retinopathy severity (disease regression). In March 2018, Regeneron announced results from its study in which Eylea demonstrated it can reverse disease progression in patients with moderately severe to severe NPDR when administered on average 4.4 times over 24 weeks. In 2019, Eylea received FDA approval as a treatment for DR without DME. For DR without DME, the recommended Lucentis regimen is monthly and the recommend Eylea regimen is every 8 weeks after 5 initial monthly injections.</w:t>
      </w:r>
    </w:p>
    <w:p>
      <w:pPr>
        <w:spacing w:after="0" w:line="69" w:lineRule="exact"/>
        <w:rPr>
          <w:sz w:val="20"/>
          <w:szCs w:val="20"/>
          <w:color w:val="auto"/>
        </w:rPr>
      </w:pPr>
    </w:p>
    <w:p>
      <w:pPr>
        <w:ind w:right="120" w:firstLine="541"/>
        <w:spacing w:after="0" w:line="311" w:lineRule="auto"/>
        <w:rPr>
          <w:sz w:val="20"/>
          <w:szCs w:val="20"/>
          <w:color w:val="auto"/>
        </w:rPr>
      </w:pPr>
      <w:r>
        <w:rPr>
          <w:rFonts w:ascii="Arial" w:cs="Arial" w:eastAsia="Arial" w:hAnsi="Arial"/>
          <w:sz w:val="16"/>
          <w:szCs w:val="16"/>
          <w:color w:val="auto"/>
        </w:rPr>
        <w:t>The first-line interventions for non-vision threatening DR are observation, lifestyle changes and treatment of underlying diabetes. In practice, anti-VEGF therapies are not commonly prescribed for patients with NVTDR. However, results from the RISE and RIDE trials for Lucentis as well as the PANORAMA study for Eylea showed that anti-VEGF therapies can slow disease progression in patients with NPDR as well as induce regression.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43815</wp:posOffset>
            </wp:positionV>
            <wp:extent cx="2065655" cy="13887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6565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40"/>
        <w:spacing w:after="0"/>
        <w:rPr>
          <w:sz w:val="20"/>
          <w:szCs w:val="20"/>
          <w:color w:val="auto"/>
        </w:rPr>
      </w:pPr>
      <w:r>
        <w:rPr>
          <w:rFonts w:ascii="Arial" w:cs="Arial" w:eastAsia="Arial" w:hAnsi="Arial"/>
          <w:sz w:val="14"/>
          <w:szCs w:val="14"/>
          <w:b w:val="1"/>
          <w:bCs w:val="1"/>
          <w:color w:val="auto"/>
        </w:rPr>
        <w:t>Figure: Time to disease worsening (DR progression as defined by a composite endpoint)</w:t>
      </w:r>
    </w:p>
    <w:p>
      <w:pPr>
        <w:spacing w:after="0" w:line="4"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from baseline in DME patients with NPDR treated with sham procedures vs. Lucentis.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73660</wp:posOffset>
            </wp:positionV>
            <wp:extent cx="3334385" cy="18859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3438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Figure: Proportion of subjects improving or worsening per treatment arm.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Market for DR</w:t>
      </w:r>
    </w:p>
    <w:p>
      <w:pPr>
        <w:spacing w:after="0" w:line="117" w:lineRule="exact"/>
        <w:rPr>
          <w:sz w:val="20"/>
          <w:szCs w:val="20"/>
          <w:color w:val="auto"/>
        </w:rPr>
      </w:pPr>
    </w:p>
    <w:p>
      <w:pPr>
        <w:jc w:val="both"/>
        <w:ind w:right="180" w:firstLine="541"/>
        <w:spacing w:after="0" w:line="287" w:lineRule="auto"/>
        <w:rPr>
          <w:sz w:val="20"/>
          <w:szCs w:val="20"/>
          <w:color w:val="auto"/>
        </w:rPr>
      </w:pPr>
      <w:r>
        <w:rPr>
          <w:rFonts w:ascii="Arial" w:cs="Arial" w:eastAsia="Arial" w:hAnsi="Arial"/>
          <w:sz w:val="16"/>
          <w:szCs w:val="16"/>
          <w:color w:val="auto"/>
        </w:rPr>
        <w:t>According to the Center for Disease Control, or CDC, and National Institutes of Health, or NIH, (1) an estimated 30 million people in the United States have diabetes, with approximately 1.5 million additional people in the United States diagnosed with diabetes each year, and (2) 285 million people worldwide have diabetes. We estimate that the number of people in the United States and the EU with DR in 2015 was approximately 28.5 million.</w:t>
      </w:r>
    </w:p>
    <w:p>
      <w:pPr>
        <w:spacing w:after="0" w:line="2"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According to the NIH, the number of Americans with DR is expected to nearly double from 2010 to 2050. The CDC estimates that approximately 900,000 Americans are affected by VTDR. We believe a substantial majority of the $11.5 billion in global sales of Lucentis and Eylea in 2019 were for the treatment of wet AMD, DME and RVO, with only a small proportion of sales for the treatment of NPDR without DME. Furthermore, we believe that the frequent injections required by current anti-VEGF therapies may dissuade patients with mild or asymptomatic forms of DR from accepting treatment. A more durable agent such as KSI-301 could be attractive for these untreated patients and extend the anti-VEGF market to include patients with NVTDR.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Limitations of Current Anti-VEGF Therapies</w:t>
      </w:r>
    </w:p>
    <w:p>
      <w:pPr>
        <w:spacing w:after="0" w:line="121" w:lineRule="exact"/>
        <w:rPr>
          <w:sz w:val="20"/>
          <w:szCs w:val="20"/>
          <w:color w:val="auto"/>
        </w:rPr>
      </w:pPr>
    </w:p>
    <w:p>
      <w:pPr>
        <w:ind w:right="40" w:firstLine="541"/>
        <w:spacing w:after="0" w:line="271" w:lineRule="auto"/>
        <w:rPr>
          <w:sz w:val="20"/>
          <w:szCs w:val="20"/>
          <w:color w:val="auto"/>
        </w:rPr>
      </w:pPr>
      <w:r>
        <w:rPr>
          <w:rFonts w:ascii="Arial" w:cs="Arial" w:eastAsia="Arial" w:hAnsi="Arial"/>
          <w:sz w:val="17"/>
          <w:szCs w:val="17"/>
          <w:color w:val="auto"/>
        </w:rPr>
        <w:t>The underlying pathophysiologies of wet AMD, DME, DR and RVO are responsive to anti-VEGF drugs. Both conditions suffer from the limitations of current anti-VEGF therapies such as limited on-mechanism durability and frequent dosing intervals. On-mechanism durability is a function of the time that therapeutic levels are sustained in the ocular tissues. Data suggest that the effectiveness of Lucentis and Eylea in clinical practice is inferior to the results seen in well-controlled clinical studies, an observation attributed to insufficiently frequent dosing and resulting undertreatment even, in the case of Eylea, with its labeled eight-week regimen. Other studies show that while patients may benefit from anti-VEGF therapies in the early treatment phase, they may fail to sustain their visual acuity gains over the long term. Clinical studies have also shown that non-treatment or undertreatment with anti-VEGF agents in the months or years after disease onset may reduce the benefit of anti-VEGF therapies once therapy is initiated. These factors contribute to permanent and unnecessary vision loss for many patients.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anti-VEGF therapies block VEGF activity effectively but have limited durability.</w:t>
      </w:r>
    </w:p>
    <w:p>
      <w:pPr>
        <w:spacing w:after="0" w:line="117" w:lineRule="exact"/>
        <w:rPr>
          <w:sz w:val="20"/>
          <w:szCs w:val="20"/>
          <w:color w:val="auto"/>
        </w:rPr>
      </w:pPr>
    </w:p>
    <w:p>
      <w:pPr>
        <w:ind w:right="60" w:firstLine="541"/>
        <w:spacing w:after="0" w:line="269" w:lineRule="auto"/>
        <w:rPr>
          <w:sz w:val="20"/>
          <w:szCs w:val="20"/>
          <w:color w:val="auto"/>
        </w:rPr>
      </w:pPr>
      <w:r>
        <w:rPr>
          <w:rFonts w:ascii="Arial" w:cs="Arial" w:eastAsia="Arial" w:hAnsi="Arial"/>
          <w:sz w:val="17"/>
          <w:szCs w:val="17"/>
          <w:color w:val="auto"/>
        </w:rPr>
        <w:t>Wet AMD, DME, and DR are chronic and progressive diseases that require protracted treatment, possibly for life. Currently available anti-VEGF agents have relatively short durability. To maintain effective drug levels in the eye, existing anti-VEGF treatments must be administered on a frequent and sustained schedule. Lucentis was approved based on a monthly dosing interval. For wet AMD and DME, Eylea was approved based on a dosing interval of every eight weeks (following three initial, monthly loading doses for wet AMD, and five for DME). The most accepted sign of disease activity in wet AMD for retina specialists worldwide is recurrent accumulation of fluid in the macula, as determined by evaluating the retinal thickness and anatomic appearance with OCT. As can be seen in the figure below, when Eylea or Lucentis are dosed on a Q4W (once every four weeks) regimen, the retinal thickness remains stable between doses, as measured on OCT. However, when Eylea dosing is shifted to its Q8W (once every eight weeks) labeled regimen, the retina expands and contracts as it begins to swell with fluid before its next retreatment, exhibiting a seesaw pattern that we refer to as OCT flutter. This suggests that, although vision outcomes are comparable on average between fixed-interval 4-weekly and 8-weekly dosing, Eylea’s durability and ability to maintain disease control as measured by OCT is less than the approved 8-week per-label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66675</wp:posOffset>
            </wp:positionV>
            <wp:extent cx="3308985" cy="11061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8985"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line="258" w:lineRule="auto"/>
        <w:rPr>
          <w:sz w:val="20"/>
          <w:szCs w:val="20"/>
          <w:color w:val="auto"/>
        </w:rPr>
      </w:pPr>
      <w:r>
        <w:rPr>
          <w:rFonts w:ascii="Arial" w:cs="Arial" w:eastAsia="Arial" w:hAnsi="Arial"/>
          <w:sz w:val="14"/>
          <w:szCs w:val="14"/>
          <w:b w:val="1"/>
          <w:bCs w:val="1"/>
          <w:color w:val="auto"/>
        </w:rPr>
        <w:t>Figure: Retinal thickness (y-axis), measured in microns, decreases upon treatment with Eylea. Rq4 = Lucentis every four weeks; 0.5q4 = Eylea 0.5mg every four weeks; 2q4 = Eylea 2mg every four weeks; 2q8 = Eylea 2mg every eight weeks.</w:t>
      </w:r>
    </w:p>
    <w:p>
      <w:pPr>
        <w:spacing w:after="0" w:line="67" w:lineRule="exact"/>
        <w:rPr>
          <w:sz w:val="20"/>
          <w:szCs w:val="20"/>
          <w:color w:val="auto"/>
        </w:rPr>
      </w:pPr>
    </w:p>
    <w:p>
      <w:pPr>
        <w:ind w:right="380" w:firstLine="541"/>
        <w:spacing w:after="0" w:line="259" w:lineRule="auto"/>
        <w:rPr>
          <w:sz w:val="20"/>
          <w:szCs w:val="20"/>
          <w:color w:val="auto"/>
        </w:rPr>
      </w:pPr>
      <w:r>
        <w:rPr>
          <w:rFonts w:ascii="Arial" w:cs="Arial" w:eastAsia="Arial" w:hAnsi="Arial"/>
          <w:sz w:val="18"/>
          <w:szCs w:val="18"/>
          <w:color w:val="auto"/>
        </w:rPr>
        <w:t>The clinical implication is that when a patient’s dosing cycle is extended beyond the durability of the anti-VEGF agent and the amount of drug remaining in the eye falls below therapeutic levels, disease activity can recur. At this point, the disease can progress and begin to cause cumulative and possibly permanent retinal damage. To this point, the Eylea product labeling in the United States notes that “some patients may need every 4-week (monthly) dosing after the first 12 weeks (3 months).”</w:t>
      </w:r>
    </w:p>
    <w:p>
      <w:pPr>
        <w:spacing w:after="0" w:line="79" w:lineRule="exact"/>
        <w:rPr>
          <w:sz w:val="20"/>
          <w:szCs w:val="20"/>
          <w:color w:val="auto"/>
        </w:rPr>
      </w:pPr>
    </w:p>
    <w:p>
      <w:pPr>
        <w:ind w:firstLine="541"/>
        <w:spacing w:after="0" w:line="269" w:lineRule="auto"/>
        <w:rPr>
          <w:sz w:val="20"/>
          <w:szCs w:val="20"/>
          <w:color w:val="auto"/>
        </w:rPr>
      </w:pPr>
      <w:r>
        <w:rPr>
          <w:rFonts w:ascii="Arial" w:cs="Arial" w:eastAsia="Arial" w:hAnsi="Arial"/>
          <w:sz w:val="17"/>
          <w:szCs w:val="17"/>
          <w:color w:val="auto"/>
        </w:rPr>
        <w:t>Additional evidence of the recognition of limited durability is seen in the FDA’s evaluation of both Lucentis and Eylea. Lucentis was tested for its potential to reach quarterly dosing in a Phase 3b study; it failed to successfully deliver the same efficacy results as monthly dosing. The FDA did accept dosing every three months after three initial monthly loading doses in the Lucentis product labeling, with the following wording: “Although not as effective, patients may be treated with 3 monthly doses followed by less frequent dosing with regular assessment. In the 9 months after three initial monthly doses, less frequent dosing with 4-5 doses on average is expected to maintain visual acuity while monthly dosing may be expected to result in an additional average 1-2 letter gain. Patients should be assessed regularly.” The loss of one line of vision translates into patients going back to baseline or even losing vision at the end of the first year of treatment, on average. Furthermore, the required wording of regular assessments means that the high burden of frequent office visits remains. For Eylea, recently, the FDA updated the product labeling to allow 12-week dosing but only in the second year of treatment, after one full year of intensive treatment. The labeling refers to it as “not as effective as the recommended every 8-week dosing.” For both Lucentis and Eylea, the recommended fixed interval dosing of monthly and bimonthly, respectively, appear to result in the best and most consistent visual acuity results, with all flexible or less-frequent dosing intervals labeled by FDA as “not as effective.”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Real-world utilization of current anti-VEGF therapies results in undertreatment which diminishes effectiveness.</w:t>
      </w:r>
    </w:p>
    <w:p>
      <w:pPr>
        <w:spacing w:after="0" w:line="117" w:lineRule="exact"/>
        <w:rPr>
          <w:sz w:val="20"/>
          <w:szCs w:val="20"/>
          <w:color w:val="auto"/>
        </w:rPr>
      </w:pPr>
    </w:p>
    <w:p>
      <w:pPr>
        <w:ind w:right="280" w:firstLine="541"/>
        <w:spacing w:after="0" w:line="277" w:lineRule="auto"/>
        <w:rPr>
          <w:sz w:val="20"/>
          <w:szCs w:val="20"/>
          <w:color w:val="auto"/>
        </w:rPr>
      </w:pPr>
      <w:r>
        <w:rPr>
          <w:rFonts w:ascii="Arial" w:cs="Arial" w:eastAsia="Arial" w:hAnsi="Arial"/>
          <w:sz w:val="18"/>
          <w:szCs w:val="18"/>
          <w:color w:val="auto"/>
        </w:rPr>
        <w:t>Extended treatment intervals caused by the burden of frequent treatments causes undertreatment and visual outcomes that fall short of the results seen in pivotal clinical trials.</w:t>
      </w:r>
    </w:p>
    <w:p>
      <w:pPr>
        <w:spacing w:after="0" w:line="62" w:lineRule="exact"/>
        <w:rPr>
          <w:sz w:val="20"/>
          <w:szCs w:val="20"/>
          <w:color w:val="auto"/>
        </w:rPr>
      </w:pPr>
    </w:p>
    <w:p>
      <w:pPr>
        <w:ind w:right="280" w:firstLine="541"/>
        <w:spacing w:after="0" w:line="308" w:lineRule="auto"/>
        <w:rPr>
          <w:sz w:val="20"/>
          <w:szCs w:val="20"/>
          <w:color w:val="auto"/>
        </w:rPr>
      </w:pPr>
      <w:r>
        <w:rPr>
          <w:rFonts w:ascii="Arial" w:cs="Arial" w:eastAsia="Arial" w:hAnsi="Arial"/>
          <w:sz w:val="17"/>
          <w:szCs w:val="17"/>
          <w:color w:val="auto"/>
        </w:rPr>
        <w:t>Compared to Lucentis’ pivotal trials in wet AMD, ANCHOR and MARINA, where initial vision gains are maintained with monthly dosing over two years, a variety of studies have shown that the initial gains (if achieved) are not maintained, on average, after the initial loading phase.</w:t>
      </w:r>
    </w:p>
    <w:p>
      <w:pPr>
        <w:spacing w:after="0" w:line="38" w:lineRule="exact"/>
        <w:rPr>
          <w:sz w:val="20"/>
          <w:szCs w:val="20"/>
          <w:color w:val="auto"/>
        </w:rPr>
      </w:pPr>
    </w:p>
    <w:p>
      <w:pPr>
        <w:ind w:right="80" w:firstLine="541"/>
        <w:spacing w:after="0" w:line="279" w:lineRule="auto"/>
        <w:rPr>
          <w:sz w:val="20"/>
          <w:szCs w:val="20"/>
          <w:color w:val="auto"/>
        </w:rPr>
      </w:pPr>
      <w:r>
        <w:rPr>
          <w:rFonts w:ascii="Arial" w:cs="Arial" w:eastAsia="Arial" w:hAnsi="Arial"/>
          <w:sz w:val="17"/>
          <w:szCs w:val="17"/>
          <w:color w:val="auto"/>
        </w:rPr>
        <w:t>This is clearly seen in AURA, a multi-country real-world practice study of Lucentis. The visual acuity improvement seen in AURA falls significantly short of the visual acuity improvement that patients showed in MARINA and ANCHOR. A gradual loss of the initial vision gains can be seen as early as three months after initiation of treatment as depicted in the graph below. A key finding in AURA is that populations that received less frequent anti-VEGF treatment tended to experience less improvement in visual acuity, on average, as illustrated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57785</wp:posOffset>
            </wp:positionV>
            <wp:extent cx="3472180" cy="12344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218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Figure: Vision gains seen in the AURA study over time for all patients by country (adapted from Holz et 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*Last observation carried forward analysis.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Mean</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Change in</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Change in</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Change in</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Mean VA</w:t>
            </w:r>
          </w:p>
        </w:tc>
      </w:tr>
      <w:tr>
        <w:trPr>
          <w:trHeight w:val="216"/>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injections in</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VA score to</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 score to</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VA score</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score at</w:t>
            </w:r>
          </w:p>
        </w:tc>
      </w:tr>
      <w:tr>
        <w:trPr>
          <w:trHeight w:val="234"/>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Country</w:t>
            </w:r>
          </w:p>
        </w:tc>
        <w:tc>
          <w:tcPr>
            <w:tcW w:w="860" w:type="dxa"/>
            <w:vAlign w:val="bottom"/>
          </w:tcPr>
          <w:p>
            <w:pPr>
              <w:ind w:left="360"/>
              <w:spacing w:after="0"/>
              <w:rPr>
                <w:sz w:val="20"/>
                <w:szCs w:val="20"/>
                <w:color w:val="auto"/>
              </w:rPr>
            </w:pPr>
            <w:r>
              <w:rPr>
                <w:rFonts w:ascii="Arial" w:cs="Arial" w:eastAsia="Arial" w:hAnsi="Arial"/>
                <w:sz w:val="18"/>
                <w:szCs w:val="18"/>
                <w:b w:val="1"/>
                <w:bCs w:val="1"/>
                <w:color w:val="auto"/>
              </w:rPr>
              <w:t>N</w:t>
            </w:r>
          </w:p>
        </w:tc>
        <w:tc>
          <w:tcPr>
            <w:tcW w:w="2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full 2 years</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day 90*</w:t>
            </w: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year 1*</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to year 2*</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year 2*</w:t>
            </w:r>
          </w:p>
        </w:tc>
      </w:tr>
      <w:tr>
        <w:trPr>
          <w:trHeight w:val="223"/>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UK</w:t>
            </w: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rPr>
              <w:t>410</w:t>
            </w: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The Netherlands</w:t>
            </w:r>
          </w:p>
        </w:tc>
        <w:tc>
          <w:tcPr>
            <w:tcW w:w="860" w:type="dxa"/>
            <w:vAlign w:val="bottom"/>
          </w:tcPr>
          <w:p>
            <w:pPr>
              <w:ind w:left="340"/>
              <w:spacing w:after="0"/>
              <w:rPr>
                <w:sz w:val="20"/>
                <w:szCs w:val="20"/>
                <w:color w:val="auto"/>
              </w:rPr>
            </w:pPr>
            <w:r>
              <w:rPr>
                <w:rFonts w:ascii="Arial" w:cs="Arial" w:eastAsia="Arial" w:hAnsi="Arial"/>
                <w:sz w:val="18"/>
                <w:szCs w:val="18"/>
                <w:color w:val="auto"/>
              </w:rPr>
              <w:t>350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r>
      <w:tr>
        <w:trPr>
          <w:trHeight w:val="229"/>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France</w:t>
            </w:r>
          </w:p>
        </w:tc>
        <w:tc>
          <w:tcPr>
            <w:tcW w:w="8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398</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20" w:type="dxa"/>
            <w:vAlign w:val="bottom"/>
            <w:shd w:val="clear" w:color="auto" w:fill="CFF0FC"/>
          </w:tcPr>
          <w:p>
            <w:pPr>
              <w:spacing w:after="0"/>
              <w:rPr>
                <w:sz w:val="19"/>
                <w:szCs w:val="19"/>
                <w:color w:val="auto"/>
              </w:rPr>
            </w:pP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860" w:type="dxa"/>
            <w:vAlign w:val="bottom"/>
          </w:tcPr>
          <w:p>
            <w:pPr>
              <w:ind w:left="340"/>
              <w:spacing w:after="0"/>
              <w:rPr>
                <w:sz w:val="20"/>
                <w:szCs w:val="20"/>
                <w:color w:val="auto"/>
              </w:rPr>
            </w:pPr>
            <w:r>
              <w:rPr>
                <w:rFonts w:ascii="Arial" w:cs="Arial" w:eastAsia="Arial" w:hAnsi="Arial"/>
                <w:sz w:val="18"/>
                <w:szCs w:val="18"/>
                <w:color w:val="auto"/>
              </w:rPr>
              <w:t>420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r>
      <w:tr>
        <w:trPr>
          <w:trHeight w:val="230"/>
        </w:trPr>
        <w:tc>
          <w:tcPr>
            <w:tcW w:w="4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Italy</w:t>
            </w:r>
          </w:p>
        </w:tc>
        <w:tc>
          <w:tcPr>
            <w:tcW w:w="8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365</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FF0FC"/>
          </w:tcPr>
          <w:p>
            <w:pPr>
              <w:spacing w:after="0"/>
              <w:rPr>
                <w:sz w:val="19"/>
                <w:szCs w:val="19"/>
                <w:color w:val="auto"/>
              </w:rPr>
            </w:pP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Summary of changes in visual acuity (VA) score from baseline and number of injections over two years, per country.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*Last observation carried forward analysis.</w:t>
      </w:r>
    </w:p>
    <w:p>
      <w:pPr>
        <w:spacing w:after="0" w:line="88" w:lineRule="exact"/>
        <w:rPr>
          <w:sz w:val="20"/>
          <w:szCs w:val="20"/>
          <w:color w:val="auto"/>
        </w:rPr>
      </w:pPr>
    </w:p>
    <w:p>
      <w:pPr>
        <w:ind w:right="100" w:firstLine="541"/>
        <w:spacing w:after="0" w:line="259" w:lineRule="auto"/>
        <w:rPr>
          <w:sz w:val="20"/>
          <w:szCs w:val="20"/>
          <w:color w:val="auto"/>
        </w:rPr>
      </w:pPr>
      <w:r>
        <w:rPr>
          <w:rFonts w:ascii="Arial" w:cs="Arial" w:eastAsia="Arial" w:hAnsi="Arial"/>
          <w:sz w:val="18"/>
          <w:szCs w:val="18"/>
          <w:color w:val="auto"/>
        </w:rPr>
        <w:t>Consistent with the AURA study, an observational study following patients who completed the SEVEN UP and HORIZON trials for Lucentis in wet AMD showed a correlation between the number of injections and level of visual acuity benefit. Patients who received 11 or more injections during the period from four to eight years after they exited the pivotal clinical trial were more likely to experience improved vision (average gain of 3.9 letters) than patients who received six to ten injections during the same period (average loss of 6.9 letters).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No</w:t>
            </w: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8"/>
                <w:szCs w:val="18"/>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6-10</w:t>
            </w:r>
          </w:p>
        </w:tc>
        <w:tc>
          <w:tcPr>
            <w:tcW w:w="24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≥11</w:t>
            </w:r>
          </w:p>
        </w:tc>
      </w:tr>
      <w:tr>
        <w:trPr>
          <w:trHeight w:val="216"/>
        </w:trPr>
        <w:tc>
          <w:tcPr>
            <w:tcW w:w="58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injections</w:t>
            </w: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injections</w:t>
            </w:r>
          </w:p>
        </w:tc>
        <w:tc>
          <w:tcPr>
            <w:tcW w:w="1400" w:type="dxa"/>
            <w:vAlign w:val="bottom"/>
            <w:gridSpan w:val="2"/>
          </w:tcPr>
          <w:p>
            <w:pPr>
              <w:ind w:left="200"/>
              <w:spacing w:after="0"/>
              <w:rPr>
                <w:sz w:val="20"/>
                <w:szCs w:val="20"/>
                <w:color w:val="auto"/>
              </w:rPr>
            </w:pPr>
            <w:r>
              <w:rPr>
                <w:rFonts w:ascii="Arial" w:cs="Arial" w:eastAsia="Arial" w:hAnsi="Arial"/>
                <w:sz w:val="18"/>
                <w:szCs w:val="18"/>
                <w:b w:val="1"/>
                <w:bCs w:val="1"/>
                <w:color w:val="auto"/>
              </w:rPr>
              <w:t>injections</w:t>
            </w: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rPr>
              <w:t>injections</w:t>
            </w:r>
          </w:p>
        </w:tc>
      </w:tr>
      <w:tr>
        <w:trPr>
          <w:trHeight w:val="234"/>
        </w:trPr>
        <w:tc>
          <w:tcPr>
            <w:tcW w:w="580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(n=26)</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(n=11)</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(n=11)</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3"/>
              </w:rPr>
              <w:t>(n=14)</w:t>
            </w:r>
          </w:p>
        </w:tc>
      </w:tr>
      <w:tr>
        <w:trPr>
          <w:trHeight w:val="223"/>
        </w:trPr>
        <w:tc>
          <w:tcPr>
            <w:tcW w:w="5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Letter change:</w:t>
            </w: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SEVEN UP vs HORIZON exit</w:t>
            </w: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 xml:space="preserve">+3.9 </w:t>
            </w:r>
            <w:r>
              <w:rPr>
                <w:rFonts w:ascii="Arial" w:cs="Arial" w:eastAsia="Arial" w:hAnsi="Arial"/>
                <w:sz w:val="15"/>
                <w:szCs w:val="15"/>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5657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154" w:lineRule="exact"/>
        <w:rPr>
          <w:sz w:val="20"/>
          <w:szCs w:val="20"/>
          <w:color w:val="auto"/>
        </w:rPr>
      </w:pPr>
    </w:p>
    <w:p>
      <w:pPr>
        <w:ind w:left="40"/>
        <w:spacing w:after="0"/>
        <w:rPr>
          <w:sz w:val="20"/>
          <w:szCs w:val="20"/>
          <w:color w:val="auto"/>
        </w:rPr>
      </w:pPr>
      <w:r>
        <w:rPr>
          <w:rFonts w:ascii="Arial" w:cs="Arial" w:eastAsia="Arial" w:hAnsi="Arial"/>
          <w:sz w:val="26"/>
          <w:szCs w:val="26"/>
          <w:color w:val="auto"/>
          <w:vertAlign w:val="superscript"/>
        </w:rPr>
        <w:t>1</w:t>
      </w:r>
      <w:r>
        <w:rPr>
          <w:rFonts w:ascii="Arial" w:cs="Arial" w:eastAsia="Arial" w:hAnsi="Arial"/>
          <w:sz w:val="18"/>
          <w:szCs w:val="18"/>
          <w:i w:val="1"/>
          <w:iCs w:val="1"/>
          <w:color w:val="auto"/>
        </w:rPr>
        <w:t>p</w:t>
      </w:r>
      <w:r>
        <w:rPr>
          <w:rFonts w:ascii="Arial" w:cs="Arial" w:eastAsia="Arial" w:hAnsi="Arial"/>
          <w:sz w:val="18"/>
          <w:szCs w:val="18"/>
          <w:color w:val="auto"/>
        </w:rPr>
        <w:t>&lt;0.05</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Mean letter change from HORIZON to SEVEN UP by total number of anti-VEGF treatments.</w:t>
      </w:r>
    </w:p>
    <w:p>
      <w:pPr>
        <w:spacing w:after="0" w:line="88" w:lineRule="exact"/>
        <w:rPr>
          <w:sz w:val="20"/>
          <w:szCs w:val="20"/>
          <w:color w:val="auto"/>
        </w:rPr>
      </w:pPr>
    </w:p>
    <w:p>
      <w:pPr>
        <w:ind w:right="60" w:firstLine="541"/>
        <w:spacing w:after="0" w:line="275" w:lineRule="auto"/>
        <w:rPr>
          <w:sz w:val="20"/>
          <w:szCs w:val="20"/>
          <w:color w:val="auto"/>
        </w:rPr>
      </w:pPr>
      <w:r>
        <w:rPr>
          <w:rFonts w:ascii="Arial" w:cs="Arial" w:eastAsia="Arial" w:hAnsi="Arial"/>
          <w:sz w:val="17"/>
          <w:szCs w:val="17"/>
          <w:color w:val="auto"/>
        </w:rPr>
        <w:t>The implication of these data is that in clinical practice and outside of clinical studies, patients are receiving fewer injections than the labeled regimens for Lucentis (12 per year) and Eylea (seven to eight in the first year and six in subsequent years). In 2017, the Angiogenesis Foundation reported that in routine clinical practice, 65% of wet AMD patients receive six or fewer injections during the first year of treatment. Likewise, a recent publication from the American Academy of Ophthalmology’s IRIS (Intelligent Research In Sight) patient registry showed that, in 13,859 U.S. patients with wet AMD, the average number of injections in the first year of treatment was approximately six.</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jc w:val="both"/>
        <w:ind w:right="280" w:firstLine="541"/>
        <w:spacing w:after="0" w:line="263" w:lineRule="auto"/>
        <w:rPr>
          <w:sz w:val="20"/>
          <w:szCs w:val="20"/>
          <w:color w:val="auto"/>
        </w:rPr>
      </w:pPr>
      <w:r>
        <w:rPr>
          <w:rFonts w:ascii="Arial" w:cs="Arial" w:eastAsia="Arial" w:hAnsi="Arial"/>
          <w:sz w:val="18"/>
          <w:szCs w:val="18"/>
          <w:color w:val="auto"/>
        </w:rPr>
        <w:t>As illustrated in the top right of the figure below, data regarding long-term anti-VEGF treatment show that visual acuity outcomes are positively correlated with number of injections, with the greatest benefit seen when therapies are used at 10.5 or more injections per year reflecting high intensity, fixed Q4W or Q8W dosing.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Figure: Five-year visual acuity outcomes versus injection frequency for three or more years in AMD.</w:t>
      </w:r>
    </w:p>
    <w:p>
      <w:pPr>
        <w:spacing w:after="0" w:line="104" w:lineRule="exact"/>
        <w:rPr>
          <w:sz w:val="20"/>
          <w:szCs w:val="20"/>
          <w:color w:val="auto"/>
        </w:rPr>
      </w:pPr>
    </w:p>
    <w:p>
      <w:pPr>
        <w:ind w:firstLine="541"/>
        <w:spacing w:after="0" w:line="254" w:lineRule="auto"/>
        <w:rPr>
          <w:sz w:val="20"/>
          <w:szCs w:val="20"/>
          <w:color w:val="auto"/>
        </w:rPr>
      </w:pPr>
      <w:r>
        <w:rPr>
          <w:rFonts w:ascii="Arial" w:cs="Arial" w:eastAsia="Arial" w:hAnsi="Arial"/>
          <w:sz w:val="18"/>
          <w:szCs w:val="18"/>
          <w:color w:val="auto"/>
        </w:rPr>
        <w:t>In real-world practice, even a small deviation from per-labeled dosing can result in significant vision loss. In the PERSEUS Study, the real-world effectiveness of Eylea was evaluated in patients treated per-label (regular treatment) compared to patients treated irregularly. Patients treated regularly received a mean of 7.4 injections compared to 5.2 in the irregular treatment group. The initial vision gains seen after the loading doses started to decrease at month four, with vision returning, on average, to almost baseline in the irregularly treated patients, as shown in the graph below. The difference in vision of 4.6 letters gained between the two groups is statistically significant, and, more importantly represents almost a line (five eye chart letters) of vision difference on average, which is recognized in the field as clinically meaningful. Additionally, in this study, the majority of patients (70.5%) did not receive regular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72390</wp:posOffset>
            </wp:positionV>
            <wp:extent cx="5023485" cy="12344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23485"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Figure: mean change in visual acuity for regularly and irregularly treated patients in the PERSEUS Study (effectiveness set)</w:t>
      </w:r>
    </w:p>
    <w:p>
      <w:pPr>
        <w:spacing w:after="0" w:line="104" w:lineRule="exact"/>
        <w:rPr>
          <w:sz w:val="20"/>
          <w:szCs w:val="20"/>
          <w:color w:val="auto"/>
        </w:rPr>
      </w:pPr>
    </w:p>
    <w:p>
      <w:pPr>
        <w:jc w:val="both"/>
        <w:ind w:right="40" w:firstLine="541"/>
        <w:spacing w:after="0" w:line="263" w:lineRule="auto"/>
        <w:rPr>
          <w:sz w:val="20"/>
          <w:szCs w:val="20"/>
          <w:color w:val="auto"/>
        </w:rPr>
      </w:pPr>
      <w:r>
        <w:rPr>
          <w:rFonts w:ascii="Arial" w:cs="Arial" w:eastAsia="Arial" w:hAnsi="Arial"/>
          <w:sz w:val="18"/>
          <w:szCs w:val="18"/>
          <w:color w:val="auto"/>
        </w:rPr>
        <w:t>Real-world outcomes of anti-VEGF treatment in patients with DME show similar patterns to wet AMD. For instance, a recently published report of electronic health records real-world data from 15,608 DME patient eyes showed that patients on average receive fewer injections over 12 months and have meaningfully worse visual acuity outcomes compared to randomized controlled trials.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Patients are not sustaining visual acuity gains over the long term.</w:t>
      </w:r>
    </w:p>
    <w:p>
      <w:pPr>
        <w:spacing w:after="0" w:line="117" w:lineRule="exact"/>
        <w:rPr>
          <w:sz w:val="20"/>
          <w:szCs w:val="20"/>
          <w:color w:val="auto"/>
        </w:rPr>
      </w:pPr>
    </w:p>
    <w:p>
      <w:pPr>
        <w:ind w:firstLine="541"/>
        <w:spacing w:after="0" w:line="254" w:lineRule="auto"/>
        <w:rPr>
          <w:sz w:val="20"/>
          <w:szCs w:val="20"/>
          <w:color w:val="auto"/>
        </w:rPr>
      </w:pPr>
      <w:r>
        <w:rPr>
          <w:rFonts w:ascii="Arial" w:cs="Arial" w:eastAsia="Arial" w:hAnsi="Arial"/>
          <w:sz w:val="18"/>
          <w:szCs w:val="18"/>
          <w:color w:val="auto"/>
        </w:rPr>
        <w:t>Patients treated with anti-VEGF agents can sustain visual acuity gains over time if they adhere to a tighter dose frequency. Results from the VIEW 1 extension study demonstrate that it is possible for patients treated with anti-VEGF agents to sustain visual acuity gains over time, as long as patients adhere to a tighter dose frequency that is closer to the labeled regimen. In the early intensive treatment phase, patients in VIEW 1 achieved a ten-letter visual acuity gain, which they then maintained over two years on a Q8W regimen. At the end of two years, patients shifted into a less-intensive clinical monitoring regimen and into a more flexible dosing regimen in which they were required to maintain at least Q12W dosing. In this hybrid setting, patients showed a slow but steady decrease in average visual acuity from ten letters to seven letters; however, their average visual acuity did not drop to pretreatment levels or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72390</wp:posOffset>
            </wp:positionV>
            <wp:extent cx="3480435" cy="21088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8043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line="267" w:lineRule="auto"/>
        <w:rPr>
          <w:sz w:val="20"/>
          <w:szCs w:val="20"/>
          <w:color w:val="auto"/>
        </w:rPr>
      </w:pPr>
      <w:r>
        <w:rPr>
          <w:rFonts w:ascii="Arial" w:cs="Arial" w:eastAsia="Arial" w:hAnsi="Arial"/>
          <w:sz w:val="13"/>
          <w:szCs w:val="13"/>
          <w:b w:val="1"/>
          <w:bCs w:val="1"/>
          <w:color w:val="auto"/>
        </w:rPr>
        <w:t>Figure: Mean visual acuity and 95% confidence interval for 647 patients in the Comparison of Age-Related Macular Degeneration Treatments Trials Follow-up Study: (A) overall and by drug assigned in the clinical trial and (B) overall and by dosing regimen assigned in the clinical trial. PRN = “as needed.”</w:t>
      </w:r>
    </w:p>
    <w:p>
      <w:pPr>
        <w:spacing w:after="0" w:line="63" w:lineRule="exact"/>
        <w:rPr>
          <w:sz w:val="20"/>
          <w:szCs w:val="20"/>
          <w:color w:val="auto"/>
        </w:rPr>
      </w:pPr>
    </w:p>
    <w:p>
      <w:pPr>
        <w:ind w:right="20" w:firstLine="541"/>
        <w:spacing w:after="0" w:line="275" w:lineRule="auto"/>
        <w:rPr>
          <w:sz w:val="20"/>
          <w:szCs w:val="20"/>
          <w:color w:val="auto"/>
        </w:rPr>
      </w:pPr>
      <w:r>
        <w:rPr>
          <w:rFonts w:ascii="Arial" w:cs="Arial" w:eastAsia="Arial" w:hAnsi="Arial"/>
          <w:sz w:val="17"/>
          <w:szCs w:val="17"/>
          <w:color w:val="auto"/>
        </w:rPr>
        <w:t>As mentioned above, AURA and many other real-world practice studies show that the vision gains seen in tightly controlled clinical trials are not transferrable to clinical practice. A United Kingdom study of approximately 93,000 Lucentis injections reviewed EMRs of thousands of patients treated outside the context of clinical trials. On average, patients received a median of 5, 4, and 4 injections of Lucentis over years one, two and three, respectively. The study found that although patients showed early improvement, they regressed, on average, to pretreatment levels by the end of year two with continued deterioration below their starting visual acuity by year three, as shown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60960</wp:posOffset>
            </wp:positionV>
            <wp:extent cx="4474845" cy="1688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7484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Figure: Mean visual acuity (VA), as measured by letter score, over time comparing patients with follow-up of at least 1, 2 or 3 years.</w:t>
      </w:r>
    </w:p>
    <w:p>
      <w:pPr>
        <w:spacing w:after="0" w:line="104" w:lineRule="exact"/>
        <w:rPr>
          <w:sz w:val="20"/>
          <w:szCs w:val="20"/>
          <w:color w:val="auto"/>
        </w:rPr>
      </w:pPr>
    </w:p>
    <w:p>
      <w:pPr>
        <w:ind w:right="100" w:firstLine="541"/>
        <w:spacing w:after="0" w:line="263" w:lineRule="auto"/>
        <w:rPr>
          <w:sz w:val="20"/>
          <w:szCs w:val="20"/>
          <w:color w:val="auto"/>
        </w:rPr>
      </w:pPr>
      <w:r>
        <w:rPr>
          <w:rFonts w:ascii="Arial" w:cs="Arial" w:eastAsia="Arial" w:hAnsi="Arial"/>
          <w:sz w:val="18"/>
          <w:szCs w:val="18"/>
          <w:color w:val="auto"/>
        </w:rPr>
        <w:t>More importantly, with many patients losing vision, during the study follow-up many patients experienced new sight impairment (29.6%, 41%, 48.7% and 53.7% in years one, two, three and four, respectively) and even new cases of blindness (5.1%, 8.6%, 12% and 15.6% in years one through four, respectively).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jc w:val="both"/>
        <w:ind w:right="320" w:firstLine="541"/>
        <w:spacing w:after="0" w:line="263" w:lineRule="auto"/>
        <w:rPr>
          <w:sz w:val="20"/>
          <w:szCs w:val="20"/>
          <w:color w:val="auto"/>
        </w:rPr>
      </w:pPr>
      <w:r>
        <w:rPr>
          <w:rFonts w:ascii="Arial" w:cs="Arial" w:eastAsia="Arial" w:hAnsi="Arial"/>
          <w:sz w:val="18"/>
          <w:szCs w:val="18"/>
          <w:color w:val="auto"/>
        </w:rPr>
        <w:t>In the United States, an EMR study of 7,650 eyes treated with Lucentis and Eylea outside of the clinical trial setting showed that these therapies improved patients’ visual acuity less in practice than they do in clinical trials. Further, by the end of the first year of treatment, patients’ average visual acuity had deteriorated below their pretreatment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65405</wp:posOffset>
            </wp:positionV>
            <wp:extent cx="5057775" cy="18770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57775"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Figure: Mean change in visual acuity (VA) letter score at 3, 6 and 12 months in the first year of treatment.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VA was lower at 12 months than at the beginning of treatment.</w:t>
      </w:r>
    </w:p>
    <w:p>
      <w:pPr>
        <w:spacing w:after="0" w:line="88" w:lineRule="exact"/>
        <w:rPr>
          <w:sz w:val="20"/>
          <w:szCs w:val="20"/>
          <w:color w:val="auto"/>
        </w:rPr>
      </w:pPr>
    </w:p>
    <w:p>
      <w:pPr>
        <w:ind w:firstLine="541"/>
        <w:spacing w:after="0" w:line="257" w:lineRule="auto"/>
        <w:rPr>
          <w:sz w:val="20"/>
          <w:szCs w:val="20"/>
          <w:color w:val="auto"/>
        </w:rPr>
      </w:pPr>
      <w:r>
        <w:rPr>
          <w:rFonts w:ascii="Arial" w:cs="Arial" w:eastAsia="Arial" w:hAnsi="Arial"/>
          <w:sz w:val="18"/>
          <w:szCs w:val="18"/>
          <w:color w:val="auto"/>
        </w:rPr>
        <w:t>When patients leave the tightly controlled clinical trial environment, their eyesight, on average, falls to pretreatment levels. In practice, anti-VEGF therapies are not delivering the level of benefit that their pivotal clinical trials suggested. In the pivotal Lucentis trials MARINA and ANCHOR, patients were able to gain and maintain vision gains with monthly dosing over two years. After exiting the clinical trials, patients were followed in the HORIZON study with as needed dosing (Pro Re Nata or PRN) for three more years. Gradual vision decline can be seen immediately after exiting the trials, returning to pre-treatment baseline vision before the end of the third year of follow-up in HORIZON.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68580</wp:posOffset>
            </wp:positionV>
            <wp:extent cx="3215005" cy="14573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1500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Figure: Mean change in visual acuity (VA) letter score in MARINA and ANCHOR (years one and two) and in HORIZON (years three to five). VA gradually decreased immediately after the patients exited monthly dosing in a clinical trial setting.</w:t>
      </w:r>
    </w:p>
    <w:p>
      <w:pPr>
        <w:spacing w:after="0" w:line="79" w:lineRule="exact"/>
        <w:rPr>
          <w:sz w:val="20"/>
          <w:szCs w:val="20"/>
          <w:color w:val="auto"/>
        </w:rPr>
      </w:pPr>
    </w:p>
    <w:p>
      <w:pPr>
        <w:ind w:right="300" w:firstLine="541"/>
        <w:spacing w:after="0" w:line="277" w:lineRule="auto"/>
        <w:rPr>
          <w:sz w:val="20"/>
          <w:szCs w:val="20"/>
          <w:color w:val="auto"/>
        </w:rPr>
      </w:pPr>
      <w:r>
        <w:rPr>
          <w:rFonts w:ascii="Arial" w:cs="Arial" w:eastAsia="Arial" w:hAnsi="Arial"/>
          <w:sz w:val="18"/>
          <w:szCs w:val="18"/>
          <w:color w:val="auto"/>
        </w:rPr>
        <w:t>A study funded by the National Eye Institute followed patients who left the tightly controlled clinical trial environment into clinical practice and showed that these patients, on average, lost all the gains in visual acuity that they obtained while enrolled in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57150</wp:posOffset>
            </wp:positionV>
            <wp:extent cx="5314950" cy="1551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1495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t>Undertreatment in the early course of patients’ disease risks the patients’ ability to benefit from anti-VEGF therapies after the passage of time.</w:t>
      </w:r>
    </w:p>
    <w:p>
      <w:pPr>
        <w:spacing w:after="0" w:line="140" w:lineRule="exact"/>
        <w:rPr>
          <w:sz w:val="20"/>
          <w:szCs w:val="20"/>
          <w:color w:val="auto"/>
        </w:rPr>
      </w:pPr>
    </w:p>
    <w:p>
      <w:pPr>
        <w:ind w:firstLine="541"/>
        <w:spacing w:after="0" w:line="271" w:lineRule="auto"/>
        <w:rPr>
          <w:sz w:val="20"/>
          <w:szCs w:val="20"/>
          <w:color w:val="auto"/>
        </w:rPr>
      </w:pPr>
      <w:r>
        <w:rPr>
          <w:rFonts w:ascii="Arial" w:cs="Arial" w:eastAsia="Arial" w:hAnsi="Arial"/>
          <w:sz w:val="17"/>
          <w:szCs w:val="17"/>
          <w:color w:val="auto"/>
        </w:rPr>
        <w:t>After disease onset, how soon patients receive appropriate treatment is important to whether they can respond to treatment. Failure to appropriately treat neovascularization in the early period may reduce patients’ ability to respond to anti-VEGF therapies as the disease progresses, possibly leading to irreversible damage. In the RIDE/RISE clinical studies of Lucentis in DR, patients who received Lucentis saw an increase in visual acuity of 10 to 12 letters at month 24. Patients who received sham treatment (a procedure that is intended to mimic a therapy in a clinical trial as closely as possible without having any actual efficacy) for 24 months saw no benefit. At the 24-month mark, the patient arms were crossed over, such that the patients who had initially received sham treatment now began to receive Lucentis. These patients were only able to improve by four letters by year three. The interpretation is that the unchecked disease progression in the initial period damaged the retina to such an extent that patients were subsequently unable to respond to Lucentis to the same degree as patients treated with Lucentis earlier in their disease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62230</wp:posOffset>
            </wp:positionV>
            <wp:extent cx="5186045" cy="11658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8604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Figure: At 36 months, patients who received Lucentis 0.5mg experienced a mean BCVA change from</w:t>
      </w:r>
    </w:p>
    <w:p>
      <w:pPr>
        <w:spacing w:after="0" w:line="4" w:lineRule="exact"/>
        <w:rPr>
          <w:sz w:val="20"/>
          <w:szCs w:val="20"/>
          <w:color w:val="auto"/>
        </w:rPr>
      </w:pPr>
    </w:p>
    <w:p>
      <w:pPr>
        <w:jc w:val="center"/>
        <w:ind w:left="420" w:right="2020"/>
        <w:spacing w:after="0" w:line="255" w:lineRule="auto"/>
        <w:rPr>
          <w:sz w:val="20"/>
          <w:szCs w:val="20"/>
          <w:color w:val="auto"/>
        </w:rPr>
      </w:pPr>
      <w:r>
        <w:rPr>
          <w:rFonts w:ascii="Arial" w:cs="Arial" w:eastAsia="Arial" w:hAnsi="Arial"/>
          <w:sz w:val="13"/>
          <w:szCs w:val="13"/>
          <w:b w:val="1"/>
          <w:bCs w:val="1"/>
          <w:color w:val="auto"/>
        </w:rPr>
        <w:t>baseline of 11.4 letters and 11.0 letters in RIDE and RISE, respectively. Patients who received sham treatment for 24 months and then crossed over to Lucentis 0.5mg experienced a diminished benefit in mean best corrected visual acuity change from baseline at 36 months of 4.7 letters and 4.3 letters in RIDE and RISE,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There is a significant and urgent unmet medical need to find better therapeutic options for patients with neovascular diseases of the retina that can:</w:t>
      </w:r>
    </w:p>
    <w:p>
      <w:pPr>
        <w:spacing w:after="0" w:line="140" w:lineRule="exact"/>
        <w:rPr>
          <w:sz w:val="20"/>
          <w:szCs w:val="20"/>
          <w:color w:val="auto"/>
        </w:rPr>
      </w:pPr>
    </w:p>
    <w:p>
      <w:pPr>
        <w:ind w:left="660" w:right="940" w:hanging="11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keep patients on mechanism for longer than currently available anti-VEGF therapies, thereby preventing repeated undertreatment by overextending treatment intervals and thus avoiding latent recurrence of retinal edema;</w:t>
      </w:r>
    </w:p>
    <w:p>
      <w:pPr>
        <w:spacing w:after="0" w:line="62" w:lineRule="exact"/>
        <w:rPr>
          <w:rFonts w:ascii="Arial" w:cs="Arial" w:eastAsia="Arial" w:hAnsi="Arial"/>
          <w:sz w:val="18"/>
          <w:szCs w:val="18"/>
          <w:color w:val="auto"/>
        </w:rPr>
      </w:pPr>
    </w:p>
    <w:p>
      <w:pPr>
        <w:ind w:left="660" w:right="60" w:hanging="11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match the required frequency of injections to keep the patient’s disease quiescent with the frequency of visits that patient and physician behavior suggest is achievable in practice;</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sustain the strong visual acuity gains of the early intensive treatment phase over the long term and outside of clinical trial contexts; and</w:t>
      </w:r>
    </w:p>
    <w:p>
      <w:pPr>
        <w:spacing w:after="0" w:line="128" w:lineRule="exact"/>
        <w:rPr>
          <w:rFonts w:ascii="Arial" w:cs="Arial" w:eastAsia="Arial" w:hAnsi="Arial"/>
          <w:sz w:val="17"/>
          <w:szCs w:val="17"/>
          <w:color w:val="auto"/>
        </w:rPr>
      </w:pPr>
    </w:p>
    <w:p>
      <w:pPr>
        <w:ind w:left="660" w:right="220" w:hanging="112"/>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a tolerable treatment regimen even for patients who are early in the course of their disease, so they can achieve the maximal benefit of anti-VEGF therapy.</w:t>
      </w:r>
    </w:p>
    <w:p>
      <w:pPr>
        <w:spacing w:after="0" w:line="62" w:lineRule="exact"/>
        <w:rPr>
          <w:sz w:val="20"/>
          <w:szCs w:val="20"/>
          <w:color w:val="auto"/>
        </w:rPr>
      </w:pPr>
    </w:p>
    <w:p>
      <w:pPr>
        <w:ind w:right="240" w:firstLine="541"/>
        <w:spacing w:after="0" w:line="263" w:lineRule="auto"/>
        <w:rPr>
          <w:sz w:val="20"/>
          <w:szCs w:val="20"/>
          <w:color w:val="auto"/>
        </w:rPr>
      </w:pPr>
      <w:r>
        <w:rPr>
          <w:rFonts w:ascii="Arial" w:cs="Arial" w:eastAsia="Arial" w:hAnsi="Arial"/>
          <w:sz w:val="18"/>
          <w:szCs w:val="18"/>
          <w:color w:val="auto"/>
        </w:rPr>
        <w:t>In the 2018 Preferences and Trends Survey conducted by the American Society of Retina Specialists, retina specialists worldwide cited both reduced treatment burden and long-acting durability as the greatest unmet needs regarding wet AMD treatment, and in the 2019 Survey, the majority of retina specialists believed that wet AMD patients are being undertreated.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 KSI-301</w:t>
      </w:r>
    </w:p>
    <w:p>
      <w:pPr>
        <w:spacing w:after="0" w:line="121" w:lineRule="exact"/>
        <w:rPr>
          <w:sz w:val="20"/>
          <w:szCs w:val="20"/>
          <w:color w:val="auto"/>
        </w:rPr>
      </w:pPr>
    </w:p>
    <w:p>
      <w:pPr>
        <w:ind w:firstLine="541"/>
        <w:spacing w:after="0" w:line="311" w:lineRule="auto"/>
        <w:rPr>
          <w:sz w:val="20"/>
          <w:szCs w:val="20"/>
          <w:color w:val="auto"/>
        </w:rPr>
      </w:pPr>
      <w:r>
        <w:rPr>
          <w:rFonts w:ascii="Arial" w:cs="Arial" w:eastAsia="Arial" w:hAnsi="Arial"/>
          <w:sz w:val="16"/>
          <w:szCs w:val="16"/>
          <w:color w:val="auto"/>
        </w:rPr>
        <w:t>Our lead product candidate, KSI-301, is a novel, clinical-stage anti-VEGF biological agent that combines inhibition of a known pathway with a potentially superior on-mechanism durability profile compared to currently marketed drugs for wet AMD, DME, DR and RVO. By addressing the primary causes of undertreatment, KSI-301 has the potential to improve and sustain visual acuity outcomes in patients with retinal vascular and exudative diseases.</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Components of KSI-301</w:t>
      </w:r>
    </w:p>
    <w:p>
      <w:pPr>
        <w:spacing w:after="0" w:line="117" w:lineRule="exact"/>
        <w:rPr>
          <w:sz w:val="20"/>
          <w:szCs w:val="20"/>
          <w:color w:val="auto"/>
        </w:rPr>
      </w:pPr>
    </w:p>
    <w:p>
      <w:pPr>
        <w:ind w:right="60" w:firstLine="541"/>
        <w:spacing w:after="0" w:line="273" w:lineRule="auto"/>
        <w:rPr>
          <w:sz w:val="20"/>
          <w:szCs w:val="20"/>
          <w:color w:val="auto"/>
        </w:rPr>
      </w:pPr>
      <w:r>
        <w:rPr>
          <w:rFonts w:ascii="Arial" w:cs="Arial" w:eastAsia="Arial" w:hAnsi="Arial"/>
          <w:sz w:val="17"/>
          <w:szCs w:val="17"/>
          <w:color w:val="auto"/>
        </w:rPr>
        <w:t>KSI-301 is a bioconjugate comprised of two novel components. The first component is a recombinant, full-length humanized anti-VEGF monoclonal antibody. The second component is a branched, optically clear phosphorylcholine biopolymer. The antibody is conjugated to the biopolymer in a one-to-one ratio through a stable and site-specific chemical linkage to form the antibody biopolymer conjugate. The molecular weight of KSI-301 is approximately 950,000 Daltons (Dalton is a standard measure of molecular weight), of which approximately 150,000 Daltons are attributable to the antibody component and 800,000 Daltons are attributable to the biopolymer component. It is well-established that substances, when injected intravitreally, with a smaller molecular weight will be cleared from ocular tissues more quickly than larger substances.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62230</wp:posOffset>
            </wp:positionV>
            <wp:extent cx="1654175" cy="1654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5417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Figure: Functional structure of the KSI-301 antibody biopolymer conjugate.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Antibody Intermediate</w:t>
      </w:r>
    </w:p>
    <w:p>
      <w:pPr>
        <w:spacing w:after="0" w:line="117" w:lineRule="exact"/>
        <w:rPr>
          <w:sz w:val="20"/>
          <w:szCs w:val="20"/>
          <w:color w:val="auto"/>
        </w:rPr>
      </w:pPr>
    </w:p>
    <w:p>
      <w:pPr>
        <w:ind w:right="320" w:firstLine="541"/>
        <w:spacing w:after="0" w:line="277" w:lineRule="auto"/>
        <w:rPr>
          <w:sz w:val="20"/>
          <w:szCs w:val="20"/>
          <w:color w:val="auto"/>
        </w:rPr>
      </w:pPr>
      <w:r>
        <w:rPr>
          <w:rFonts w:ascii="Arial" w:cs="Arial" w:eastAsia="Arial" w:hAnsi="Arial"/>
          <w:sz w:val="18"/>
          <w:szCs w:val="18"/>
          <w:color w:val="auto"/>
        </w:rPr>
        <w:t>The antibody intermediate of KSI-301 consists of a humanized anti-VEGF antibody. KSI-301 behaves pharmacologically similar to Lucentis by inhibiting VEGF-mediated neovascularization and vascular permeability.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Biopolymer Intermediate</w:t>
      </w:r>
    </w:p>
    <w:p>
      <w:pPr>
        <w:spacing w:after="0" w:line="117" w:lineRule="exact"/>
        <w:rPr>
          <w:sz w:val="20"/>
          <w:szCs w:val="20"/>
          <w:color w:val="auto"/>
        </w:rPr>
      </w:pPr>
    </w:p>
    <w:p>
      <w:pPr>
        <w:ind w:firstLine="541"/>
        <w:spacing w:after="0" w:line="285" w:lineRule="auto"/>
        <w:rPr>
          <w:sz w:val="20"/>
          <w:szCs w:val="20"/>
          <w:color w:val="auto"/>
        </w:rPr>
      </w:pPr>
      <w:r>
        <w:rPr>
          <w:rFonts w:ascii="Arial" w:cs="Arial" w:eastAsia="Arial" w:hAnsi="Arial"/>
          <w:sz w:val="16"/>
          <w:szCs w:val="16"/>
          <w:color w:val="auto"/>
        </w:rPr>
        <w:t>The biopolymer component is a branched, optically clear phosphorylcholine biopolymer. Phosphorylcholine is a naturally occurring phospholipid head group present on the external surface of mammalian cellular membranes. Phosphorylcholine demonstrates physiological inertness that has been attributed to its molecular structure, where a permanent positive charge on the nitrogen group is equally balanced by a negative charge on the phosphate, yielding a net neutral charge over a wide range of conditions. Because of these biophysical properties, phosphorylcholine-based materials demonstrate super-hydrophilic properties in which they bind large amounts of water molecules very tightly, to create what we call “structured water.” Phosphorylcholine is used successfully in marketed medical materials as the key water control monomer, in particular as a hydrogel in certain contact lenses and as a polymeric surface coating in certain cardiac drug-eluting stents. In these applications, phosphorylcholine containing monomers are polymerized via “uncontrolled” free radical polymerization. For an external hydrogel application (contact lens) and an internal surface coating application (drug eluting stent), control of molecular weight and architecture are not important performance attributes. Kodiak’s objective was to incorporate phosphorylcholine into well-controlled biomaterials to use as conjugates for soluble, injectable medicines such as biopharmaceuticals. In such an application, control of molecular weight and architecture are important manufacturing and performance parameters. Therefore, we used controlled “living” polymerization techniques to build precise, star-shaped, high molecular weight, well-characterized phosphorylcholine-based biopolymers that preserve functional chemistry for subsequent conjugation to biologically active proteins and, once conjugated, bring a highly structured water environment into close proximity with the bioactive antibody’s target binding regions. We are also applying these controlled “living” polymerization techniques to develop phosphorylcholine-based biopolymers as copolymers of phosphorylcholine-containing and drug-containing comonomers to build chemistry-based product candidates that we believe may demonstrate high biocompatibility, high drug loading and sustained release of small molecule drugs for ophthalmology applications.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Characteristics of KSI-301</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believe that KSI-301 can be a highly differentiated treatment with an improved durability and bioavailability profile compared to current anti-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VEGF therapies due to the following design features and resulting performance benefits we have observed with KSI-301 in our preclinical development:</w:t>
      </w:r>
    </w:p>
    <w:p>
      <w:pPr>
        <w:spacing w:after="0" w:line="126" w:lineRule="exact"/>
        <w:rPr>
          <w:sz w:val="20"/>
          <w:szCs w:val="20"/>
          <w:color w:val="auto"/>
        </w:rPr>
      </w:pPr>
    </w:p>
    <w:p>
      <w:pPr>
        <w:ind w:left="660" w:right="100" w:hanging="11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 feature: KSI-301’s ultra-high molecular weight of 950,000 Daltons as compared to 115,000 for Eylea, 48,000 for Lucentis and 27,000 for brolucizumab</w:t>
      </w:r>
    </w:p>
    <w:p>
      <w:pPr>
        <w:spacing w:after="0" w:line="62" w:lineRule="exact"/>
        <w:rPr>
          <w:rFonts w:ascii="Arial" w:cs="Arial" w:eastAsia="Arial" w:hAnsi="Arial"/>
          <w:sz w:val="18"/>
          <w:szCs w:val="18"/>
          <w:color w:val="auto"/>
        </w:rPr>
      </w:pPr>
    </w:p>
    <w:p>
      <w:pPr>
        <w:ind w:left="1200" w:hanging="112"/>
        <w:spacing w:after="0"/>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Associated performance benefits:</w:t>
      </w:r>
    </w:p>
    <w:p>
      <w:pPr>
        <w:spacing w:after="0" w:line="117" w:lineRule="exact"/>
        <w:rPr>
          <w:rFonts w:ascii="Arial" w:cs="Arial" w:eastAsia="Arial" w:hAnsi="Arial"/>
          <w:sz w:val="18"/>
          <w:szCs w:val="18"/>
          <w:color w:val="auto"/>
        </w:rPr>
      </w:pPr>
    </w:p>
    <w:p>
      <w:pPr>
        <w:ind w:left="1700" w:hanging="113"/>
        <w:spacing w:after="0"/>
        <w:tabs>
          <w:tab w:leader="none" w:pos="17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3x improvement in key ocular pharmacokinetic parameters of KSI-301, as compared to Eylea</w:t>
      </w:r>
    </w:p>
    <w:p>
      <w:pPr>
        <w:spacing w:after="0" w:line="117" w:lineRule="exact"/>
        <w:rPr>
          <w:rFonts w:ascii="Arial" w:cs="Arial" w:eastAsia="Arial" w:hAnsi="Arial"/>
          <w:sz w:val="18"/>
          <w:szCs w:val="18"/>
          <w:color w:val="auto"/>
        </w:rPr>
      </w:pPr>
    </w:p>
    <w:p>
      <w:pPr>
        <w:ind w:left="1700" w:hanging="113"/>
        <w:spacing w:after="0"/>
        <w:tabs>
          <w:tab w:leader="none" w:pos="17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~1000x ocular concentration advantage at three months post-dosing of KSI-301, as compared to Eylea</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 feature: KSI-301’s phosphorylcholine-based ABC Platform</w:t>
      </w:r>
    </w:p>
    <w:p>
      <w:pPr>
        <w:spacing w:after="0" w:line="117" w:lineRule="exact"/>
        <w:rPr>
          <w:rFonts w:ascii="Arial" w:cs="Arial" w:eastAsia="Arial" w:hAnsi="Arial"/>
          <w:sz w:val="18"/>
          <w:szCs w:val="18"/>
          <w:color w:val="auto"/>
        </w:rPr>
      </w:pPr>
    </w:p>
    <w:p>
      <w:pPr>
        <w:ind w:left="1200" w:hanging="112"/>
        <w:spacing w:after="0"/>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Associated performance benefits:</w:t>
      </w:r>
    </w:p>
    <w:p>
      <w:pPr>
        <w:spacing w:after="0" w:line="117" w:lineRule="exact"/>
        <w:rPr>
          <w:rFonts w:ascii="Arial" w:cs="Arial" w:eastAsia="Arial" w:hAnsi="Arial"/>
          <w:sz w:val="18"/>
          <w:szCs w:val="18"/>
          <w:color w:val="auto"/>
        </w:rPr>
      </w:pPr>
    </w:p>
    <w:p>
      <w:pPr>
        <w:ind w:left="1700" w:hanging="113"/>
        <w:spacing w:after="0"/>
        <w:tabs>
          <w:tab w:leader="none" w:pos="17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4x increase in key target ocular tissue bioavailability, as compared to Eylea</w:t>
      </w:r>
    </w:p>
    <w:p>
      <w:pPr>
        <w:spacing w:after="0" w:line="117" w:lineRule="exact"/>
        <w:rPr>
          <w:rFonts w:ascii="Arial" w:cs="Arial" w:eastAsia="Arial" w:hAnsi="Arial"/>
          <w:sz w:val="18"/>
          <w:szCs w:val="18"/>
          <w:color w:val="auto"/>
        </w:rPr>
      </w:pPr>
    </w:p>
    <w:p>
      <w:pPr>
        <w:ind w:left="1700" w:hanging="113"/>
        <w:spacing w:after="0"/>
        <w:tabs>
          <w:tab w:leader="none" w:pos="17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Same or increased bioactivity, as compared to the standard of care anti-VEGF agents</w:t>
      </w:r>
    </w:p>
    <w:p>
      <w:pPr>
        <w:spacing w:after="0" w:line="117" w:lineRule="exact"/>
        <w:rPr>
          <w:rFonts w:ascii="Arial" w:cs="Arial" w:eastAsia="Arial" w:hAnsi="Arial"/>
          <w:sz w:val="18"/>
          <w:szCs w:val="18"/>
          <w:color w:val="auto"/>
        </w:rPr>
      </w:pPr>
    </w:p>
    <w:p>
      <w:pPr>
        <w:ind w:left="1700" w:hanging="113"/>
        <w:spacing w:after="0"/>
        <w:tabs>
          <w:tab w:leader="none" w:pos="17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Increased stability and resistance to degradation of bioconjugates compared to therapeutic proteins</w:t>
      </w:r>
    </w:p>
    <w:p>
      <w:pPr>
        <w:spacing w:after="0" w:line="117" w:lineRule="exact"/>
        <w:rPr>
          <w:rFonts w:ascii="Arial" w:cs="Arial" w:eastAsia="Arial" w:hAnsi="Arial"/>
          <w:sz w:val="18"/>
          <w:szCs w:val="18"/>
          <w:color w:val="auto"/>
        </w:rPr>
      </w:pPr>
    </w:p>
    <w:p>
      <w:pPr>
        <w:ind w:left="660" w:right="520" w:hanging="11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 feature: KSI-301’s increased formulation strength of 50 mg/mL as compared to 40 mg/mL for Eylea and 10 mg/mL for Lucentis, as measured by weight of protein moiety</w:t>
      </w:r>
    </w:p>
    <w:p>
      <w:pPr>
        <w:spacing w:after="0" w:line="62" w:lineRule="exact"/>
        <w:rPr>
          <w:rFonts w:ascii="Arial" w:cs="Arial" w:eastAsia="Arial" w:hAnsi="Arial"/>
          <w:sz w:val="18"/>
          <w:szCs w:val="18"/>
          <w:color w:val="auto"/>
        </w:rPr>
      </w:pPr>
    </w:p>
    <w:p>
      <w:pPr>
        <w:ind w:left="1200" w:hanging="112"/>
        <w:spacing w:after="0"/>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Associated performance benefits:</w:t>
      </w:r>
    </w:p>
    <w:p>
      <w:pPr>
        <w:spacing w:after="0" w:line="117" w:lineRule="exact"/>
        <w:rPr>
          <w:rFonts w:ascii="Arial" w:cs="Arial" w:eastAsia="Arial" w:hAnsi="Arial"/>
          <w:sz w:val="18"/>
          <w:szCs w:val="18"/>
          <w:color w:val="auto"/>
        </w:rPr>
      </w:pPr>
    </w:p>
    <w:p>
      <w:pPr>
        <w:ind w:left="1700" w:hanging="113"/>
        <w:spacing w:after="0"/>
        <w:tabs>
          <w:tab w:leader="none" w:pos="1700" w:val="left"/>
        </w:tabs>
        <w:numPr>
          <w:ilvl w:val="2"/>
          <w:numId w:val="13"/>
        </w:numPr>
        <w:rPr>
          <w:rFonts w:ascii="Arial" w:cs="Arial" w:eastAsia="Arial" w:hAnsi="Arial"/>
          <w:sz w:val="18"/>
          <w:szCs w:val="18"/>
          <w:color w:val="auto"/>
        </w:rPr>
      </w:pPr>
      <w:r>
        <w:rPr>
          <w:rFonts w:ascii="Arial" w:cs="Arial" w:eastAsia="Arial" w:hAnsi="Arial"/>
          <w:sz w:val="18"/>
          <w:szCs w:val="18"/>
          <w:color w:val="auto"/>
        </w:rPr>
        <w:t>3.5x and 7x higher number of anti-VEGF binding sites per dose, as compared with Eylea and Lucentis, respectively</w:t>
      </w:r>
    </w:p>
    <w:p>
      <w:pPr>
        <w:spacing w:after="0" w:line="117" w:lineRule="exact"/>
        <w:rPr>
          <w:sz w:val="20"/>
          <w:szCs w:val="20"/>
          <w:color w:val="auto"/>
        </w:rPr>
      </w:pPr>
    </w:p>
    <w:p>
      <w:pPr>
        <w:ind w:right="140" w:firstLine="541"/>
        <w:spacing w:after="0" w:line="277" w:lineRule="auto"/>
        <w:rPr>
          <w:sz w:val="20"/>
          <w:szCs w:val="20"/>
          <w:color w:val="auto"/>
        </w:rPr>
      </w:pPr>
      <w:r>
        <w:rPr>
          <w:rFonts w:ascii="Arial" w:cs="Arial" w:eastAsia="Arial" w:hAnsi="Arial"/>
          <w:sz w:val="18"/>
          <w:szCs w:val="18"/>
          <w:color w:val="auto"/>
        </w:rPr>
        <w:t>We believe that the aggregated effects of these properties could afford KSI-301 a longer on-mechanism durability that will more closely match the frequency of physician visits that is realistic for patients in clinical practice.</w:t>
      </w:r>
    </w:p>
    <w:p>
      <w:pPr>
        <w:spacing w:after="0" w:line="62" w:lineRule="exact"/>
        <w:rPr>
          <w:sz w:val="20"/>
          <w:szCs w:val="20"/>
          <w:color w:val="auto"/>
        </w:rPr>
      </w:pPr>
    </w:p>
    <w:p>
      <w:pPr>
        <w:ind w:firstLine="541"/>
        <w:spacing w:after="0" w:line="286" w:lineRule="auto"/>
        <w:rPr>
          <w:sz w:val="20"/>
          <w:szCs w:val="20"/>
          <w:color w:val="auto"/>
        </w:rPr>
      </w:pPr>
      <w:r>
        <w:rPr>
          <w:rFonts w:ascii="Arial" w:cs="Arial" w:eastAsia="Arial" w:hAnsi="Arial"/>
          <w:sz w:val="16"/>
          <w:szCs w:val="16"/>
          <w:color w:val="auto"/>
        </w:rPr>
        <w:t>We also believe that these properties along with KSI-301’s delivery by intravitreal injection position it favorably compared to other therapies being studied in the clinic with the aim of long-interval dosing in retinal vascular disease. For example, both subretinal gene therapy and an implantable drug reservoir require the patient to undergo surgery, which is generally riskier than an intravitreal injection. This need for surgery may reduce the likelihood that those technologies could be useful for or adopted by a broad range of physicians and patients, especially those patients with earlier-stage disease. An implantable drug reservoir also leaves a foreign body permanently in the eye, with an attendant increased risk of infection. Coated microsphere drug depots that deliver small-molecule receptor tyrosine kinase inhibitor drugs into the eye may leave a foreign residual material, which may cause visual symptoms and/or other safety problems. Additionally, receptor tyrosine kinase inhibitor drugs affect signaling through additional receptors other than VEGF receptor; the effects on the eye of this additional receptor inhibition, either good or bad, are not yet known. Likewise, intravitreally-administered gene therapy vectors have been associated with chronic intraocular inflammation in a high percentage of treated patients, which may limit the efficacy of these treatments, the ability to retreat the first eye or treat the second eye over time, and the overall adoption of these approaches if they are successful. Finally, bispecific antibodies that target VEGF as well as other angiogenic signaling pathways are attempting to increase durability of treatment effect through targeting of yet-unvalidated biologic pathways, but the antibodies being used are the same size as typical monoclonal antibodies (~150 kDa) and we believe they do not have any unique size or half-life extending properties.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Trajectories in Field of Medicines Development for Retinal (Intravitreal) Therapies</w:t>
      </w:r>
    </w:p>
    <w:p>
      <w:pPr>
        <w:spacing w:after="0" w:line="117" w:lineRule="exact"/>
        <w:rPr>
          <w:sz w:val="20"/>
          <w:szCs w:val="20"/>
          <w:color w:val="auto"/>
        </w:rPr>
      </w:pPr>
    </w:p>
    <w:p>
      <w:pPr>
        <w:ind w:firstLine="541"/>
        <w:spacing w:after="0" w:line="286" w:lineRule="auto"/>
        <w:rPr>
          <w:sz w:val="20"/>
          <w:szCs w:val="20"/>
          <w:color w:val="auto"/>
        </w:rPr>
      </w:pPr>
      <w:r>
        <w:rPr>
          <w:rFonts w:ascii="Arial" w:cs="Arial" w:eastAsia="Arial" w:hAnsi="Arial"/>
          <w:sz w:val="16"/>
          <w:szCs w:val="16"/>
          <w:color w:val="auto"/>
        </w:rPr>
        <w:t>Since the initial FDA approval of Lucentis in 2006 as a monthly therapy for wet AMD, efforts have been made to improve the durability of intravitreal anti-VEGF therapy. Primarily, two parameters have been varied: size of molecule and amount of injected dose. First, increasing molecular weight, which can increase durability or ocular pharmacokinetics, or PK, in the eye because a larger molecule can lead to a slower exit from the eye. For example, Lucentis has a molecular weight of 48 kDa whereas Eylea, approved in 2011, has a molecular weight of 115 kDa. The second parameter is increasing the formulation strength (concentration) to increase the effective dose of anti-VEGF, given the limited volume of medicine that can be injected intravitreally in a single administration. This increases effective durability by keeping drug concentrations in the eye above a minimal threshold for longer periods of time. For example, Eylea has a 2x molar equivalence to Lucentis. In designing KSI-301, we addressed both parameters: first, increasing the molecular weight to 950 kDa through our ABC approach, and second, increasing the molar strength through a high concentration formulation of 50 mg/mL (by weight of protein). Of note, some recently developed therapeutic candidates have leveraged one parameter at the expense of the other. For example, brolucizumab was tested in Phase 3 (data available in 2017) at a high concentration and thus high injected dose level, giving it a high molar strength (22x of Lucentis), but with a molecular weight of only 27 kDa the duration of each molecule in the eye is less than that of Lucentis. Clinically, the Phase 3 result was that roughly half of patients were able to be maintained on 12-week dosing, and the remainder required 8 week (or more frequent) dosing. We believe our design decisions for KSI-301 may provide increased durability. The following figure illustrates these concepts.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59690</wp:posOffset>
            </wp:positionV>
            <wp:extent cx="5751830" cy="32321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1830"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Affinity for and Inhibition of VEGF</w:t>
      </w:r>
    </w:p>
    <w:p>
      <w:pPr>
        <w:spacing w:after="0" w:line="117" w:lineRule="exact"/>
        <w:rPr>
          <w:sz w:val="20"/>
          <w:szCs w:val="20"/>
          <w:color w:val="auto"/>
        </w:rPr>
      </w:pPr>
    </w:p>
    <w:p>
      <w:pPr>
        <w:ind w:right="40" w:firstLine="541"/>
        <w:spacing w:after="0" w:line="259" w:lineRule="auto"/>
        <w:rPr>
          <w:sz w:val="20"/>
          <w:szCs w:val="20"/>
          <w:color w:val="auto"/>
        </w:rPr>
      </w:pPr>
      <w:r>
        <w:rPr>
          <w:rFonts w:ascii="Arial" w:cs="Arial" w:eastAsia="Arial" w:hAnsi="Arial"/>
          <w:sz w:val="18"/>
          <w:szCs w:val="18"/>
          <w:color w:val="auto"/>
        </w:rPr>
        <w:t>The therapeutic activity of KSI-301 is driven by its antibody component, OG1950, which (1) binds to VEGF and (2) prevents VEGF from carrying out its functions that promote neovascularization and increase vascular permeability. Our preclinical tests have demonstrated that OG1950 and KSI-301 bind to VEGF with similar affinity, which indicates that, despite the size and complex architecture of the biopolymer intermediate, the biopolymer does not interfere with antibody binding.</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Binding kinetics of OG1950 and KSI-301 to huVEGF-A165 by SPR or KinExA analysis.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Molecule</w:t>
            </w: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Platform (°C)</w:t>
            </w:r>
          </w:p>
        </w:tc>
        <w:tc>
          <w:tcPr>
            <w:tcW w:w="1380" w:type="dxa"/>
            <w:vAlign w:val="bottom"/>
            <w:gridSpan w:val="2"/>
          </w:tcPr>
          <w:p>
            <w:pPr>
              <w:ind w:left="30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on</w:t>
            </w:r>
            <w:r>
              <w:rPr>
                <w:rFonts w:ascii="Arial" w:cs="Arial" w:eastAsia="Arial" w:hAnsi="Arial"/>
                <w:sz w:val="18"/>
                <w:szCs w:val="18"/>
                <w:b w:val="1"/>
                <w:bCs w:val="1"/>
                <w:color w:val="auto"/>
              </w:rPr>
              <w:t xml:space="preserve"> (M)</w:t>
            </w:r>
          </w:p>
        </w:tc>
        <w:tc>
          <w:tcPr>
            <w:tcW w:w="1420" w:type="dxa"/>
            <w:vAlign w:val="bottom"/>
            <w:gridSpan w:val="2"/>
          </w:tcPr>
          <w:p>
            <w:pPr>
              <w:ind w:left="32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off</w:t>
            </w:r>
            <w:r>
              <w:rPr>
                <w:rFonts w:ascii="Arial" w:cs="Arial" w:eastAsia="Arial" w:hAnsi="Arial"/>
                <w:sz w:val="18"/>
                <w:szCs w:val="18"/>
                <w:b w:val="1"/>
                <w:bCs w:val="1"/>
                <w:color w:val="auto"/>
              </w:rPr>
              <w:t xml:space="preserve"> (M)</w:t>
            </w: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D</w:t>
            </w:r>
            <w:r>
              <w:rPr>
                <w:rFonts w:ascii="Arial" w:cs="Arial" w:eastAsia="Arial" w:hAnsi="Arial"/>
                <w:sz w:val="18"/>
                <w:szCs w:val="18"/>
                <w:b w:val="1"/>
                <w:bCs w:val="1"/>
                <w:color w:val="auto"/>
              </w:rPr>
              <w:t xml:space="preserve"> (pM)</w:t>
            </w:r>
          </w:p>
        </w:tc>
        <w:tc>
          <w:tcPr>
            <w:tcW w:w="0" w:type="dxa"/>
            <w:vAlign w:val="bottom"/>
          </w:tcPr>
          <w:p>
            <w:pPr>
              <w:spacing w:after="0"/>
              <w:rPr>
                <w:sz w:val="1"/>
                <w:szCs w:val="1"/>
                <w:color w:val="auto"/>
              </w:rPr>
            </w:pPr>
          </w:p>
        </w:tc>
      </w:tr>
      <w:tr>
        <w:trPr>
          <w:trHeight w:val="223"/>
        </w:trPr>
        <w:tc>
          <w:tcPr>
            <w:tcW w:w="5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OG1950</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Biacore(25°)</w:t>
            </w:r>
          </w:p>
        </w:tc>
        <w:tc>
          <w:tcPr>
            <w:tcW w:w="14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w w:val="91"/>
              </w:rPr>
              <w:t>5.31x10</w:t>
            </w:r>
            <w:r>
              <w:rPr>
                <w:rFonts w:ascii="Arial" w:cs="Arial" w:eastAsia="Arial" w:hAnsi="Arial"/>
                <w:sz w:val="15"/>
                <w:szCs w:val="15"/>
                <w:color w:val="auto"/>
                <w:w w:val="91"/>
              </w:rPr>
              <w:t>6</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ind w:left="560"/>
              <w:spacing w:after="0"/>
              <w:rPr>
                <w:sz w:val="20"/>
                <w:szCs w:val="20"/>
                <w:color w:val="auto"/>
              </w:rPr>
            </w:pPr>
            <w:r>
              <w:rPr>
                <w:rFonts w:ascii="Arial" w:cs="Arial" w:eastAsia="Arial" w:hAnsi="Arial"/>
                <w:sz w:val="18"/>
                <w:szCs w:val="18"/>
                <w:color w:val="auto"/>
                <w:w w:val="90"/>
              </w:rPr>
              <w:t>4.48x10</w:t>
            </w:r>
            <w:r>
              <w:rPr>
                <w:rFonts w:ascii="Arial" w:cs="Arial" w:eastAsia="Arial" w:hAnsi="Arial"/>
                <w:sz w:val="15"/>
                <w:szCs w:val="15"/>
                <w:color w:val="auto"/>
                <w:w w:val="90"/>
              </w:rPr>
              <w:t>-5</w:t>
            </w:r>
          </w:p>
        </w:tc>
        <w:tc>
          <w:tcPr>
            <w:tcW w:w="1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KinExA(37°)</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5.09x10</w:t>
            </w:r>
            <w:r>
              <w:rPr>
                <w:rFonts w:ascii="Arial" w:cs="Arial" w:eastAsia="Arial" w:hAnsi="Arial"/>
                <w:sz w:val="15"/>
                <w:szCs w:val="15"/>
                <w:color w:val="auto"/>
              </w:rPr>
              <w:t>5</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1.75x10</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KSI-301</w:t>
            </w: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Biacore(25°)</w:t>
            </w:r>
          </w:p>
        </w:tc>
        <w:tc>
          <w:tcPr>
            <w:tcW w:w="13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3.19x10</w:t>
            </w:r>
            <w:r>
              <w:rPr>
                <w:rFonts w:ascii="Arial" w:cs="Arial" w:eastAsia="Arial" w:hAnsi="Arial"/>
                <w:sz w:val="15"/>
                <w:szCs w:val="15"/>
                <w:color w:val="auto"/>
              </w:rPr>
              <w:t>6</w:t>
            </w:r>
          </w:p>
        </w:tc>
        <w:tc>
          <w:tcPr>
            <w:tcW w:w="1420" w:type="dxa"/>
            <w:vAlign w:val="bottom"/>
            <w:gridSpan w:val="2"/>
            <w:shd w:val="clear" w:color="auto" w:fill="CFF0FC"/>
          </w:tcPr>
          <w:p>
            <w:pPr>
              <w:ind w:left="560"/>
              <w:spacing w:after="0"/>
              <w:rPr>
                <w:sz w:val="20"/>
                <w:szCs w:val="20"/>
                <w:color w:val="auto"/>
              </w:rPr>
            </w:pPr>
            <w:r>
              <w:rPr>
                <w:rFonts w:ascii="Arial" w:cs="Arial" w:eastAsia="Arial" w:hAnsi="Arial"/>
                <w:sz w:val="18"/>
                <w:szCs w:val="18"/>
                <w:color w:val="auto"/>
              </w:rPr>
              <w:t>5.33x10</w:t>
            </w:r>
            <w:r>
              <w:rPr>
                <w:rFonts w:ascii="Arial" w:cs="Arial" w:eastAsia="Arial" w:hAnsi="Arial"/>
                <w:sz w:val="15"/>
                <w:szCs w:val="15"/>
                <w:color w:val="auto"/>
              </w:rPr>
              <w:t>-5</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4"/>
                <w:szCs w:val="14"/>
                <w:i w:val="1"/>
                <w:iCs w:val="1"/>
                <w:color w:val="auto"/>
              </w:rPr>
              <w:t>C = degrees Celsius; K</w:t>
            </w:r>
            <w:r>
              <w:rPr>
                <w:rFonts w:ascii="Arial" w:cs="Arial" w:eastAsia="Arial" w:hAnsi="Arial"/>
                <w:sz w:val="24"/>
                <w:szCs w:val="24"/>
                <w:i w:val="1"/>
                <w:iCs w:val="1"/>
                <w:color w:val="auto"/>
                <w:vertAlign w:val="subscript"/>
              </w:rPr>
              <w:t>D</w:t>
            </w:r>
            <w:r>
              <w:rPr>
                <w:rFonts w:ascii="Arial" w:cs="Arial" w:eastAsia="Arial" w:hAnsi="Arial"/>
                <w:sz w:val="18"/>
                <w:szCs w:val="18"/>
                <w:i w:val="1"/>
                <w:iCs w:val="1"/>
                <w:color w:val="auto"/>
              </w:rPr>
              <w:t xml:space="preserve"> </w:t>
            </w:r>
            <w:r>
              <w:rPr>
                <w:rFonts w:ascii="Arial" w:cs="Arial" w:eastAsia="Arial" w:hAnsi="Arial"/>
                <w:sz w:val="14"/>
                <w:szCs w:val="14"/>
                <w:i w:val="1"/>
                <w:iCs w:val="1"/>
                <w:color w:val="auto"/>
              </w:rPr>
              <w:t>= dissociation constant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KinExA(37°)</w:t>
            </w: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2.69x10</w:t>
            </w:r>
            <w:r>
              <w:rPr>
                <w:rFonts w:ascii="Arial" w:cs="Arial" w:eastAsia="Arial" w:hAnsi="Arial"/>
                <w:sz w:val="15"/>
                <w:szCs w:val="15"/>
                <w:color w:val="auto"/>
              </w:rPr>
              <w:t>5</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1.82x10</w:t>
            </w:r>
            <w:r>
              <w:rPr>
                <w:rFonts w:ascii="Arial" w:cs="Arial" w:eastAsia="Arial" w:hAnsi="Arial"/>
                <w:sz w:val="15"/>
                <w:szCs w:val="15"/>
                <w:color w:val="auto"/>
              </w:rPr>
              <w:t>-6</w:t>
            </w:r>
          </w:p>
        </w:tc>
        <w:tc>
          <w:tcPr>
            <w:tcW w:w="1140" w:type="dxa"/>
            <w:vAlign w:val="bottom"/>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8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00" w:firstLine="541"/>
        <w:spacing w:after="0" w:line="257" w:lineRule="auto"/>
        <w:rPr>
          <w:sz w:val="20"/>
          <w:szCs w:val="20"/>
          <w:color w:val="auto"/>
        </w:rPr>
      </w:pPr>
      <w:r>
        <w:rPr>
          <w:rFonts w:ascii="Arial" w:cs="Arial" w:eastAsia="Arial" w:hAnsi="Arial"/>
          <w:sz w:val="18"/>
          <w:szCs w:val="18"/>
          <w:color w:val="auto"/>
        </w:rPr>
        <w:t>We have also tested OG1950 and KSI-301 in vitro alongside other anti-VEGF biologics to test their respective abilities to inhibit VEGF from binding to VEGF receptors. As shown in the figure and table below, while KSI-301 and OG1950 have similar IC50 (the concentration at which binding is reduced by half) compared to Eylea, KSI-301 consistently demonstrates a higher maximal inhibition than Eylea or Lucentis. Of note, KSI-301 improved maximal inhibition more than OG1950, suggesting that the special nature of our antibody biopolymer conjugate synergistically improves the bioactivity of the antibody intermediate acting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68580</wp:posOffset>
            </wp:positionV>
            <wp:extent cx="2743200" cy="21513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4320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7060" w:type="dxa"/>
            <w:vAlign w:val="bottom"/>
            <w:gridSpan w:val="4"/>
          </w:tcPr>
          <w:p>
            <w:pPr>
              <w:ind w:left="740"/>
              <w:spacing w:after="0"/>
              <w:rPr>
                <w:sz w:val="20"/>
                <w:szCs w:val="20"/>
                <w:color w:val="auto"/>
              </w:rPr>
            </w:pPr>
            <w:r>
              <w:rPr>
                <w:rFonts w:ascii="Arial" w:cs="Arial" w:eastAsia="Arial" w:hAnsi="Arial"/>
                <w:sz w:val="14"/>
                <w:szCs w:val="14"/>
                <w:b w:val="1"/>
                <w:bCs w:val="1"/>
                <w:color w:val="auto"/>
              </w:rPr>
              <w:t>Figure: Inhibition of VEGF binding to VEGF receptors by anti-VEGF agents.</w:t>
            </w:r>
          </w:p>
        </w:tc>
        <w:tc>
          <w:tcPr>
            <w:tcW w:w="1680" w:type="dxa"/>
            <w:vAlign w:val="bottom"/>
          </w:tcPr>
          <w:p>
            <w:pPr>
              <w:spacing w:after="0"/>
              <w:rPr>
                <w:sz w:val="16"/>
                <w:szCs w:val="16"/>
                <w:color w:val="auto"/>
              </w:rPr>
            </w:pPr>
          </w:p>
        </w:tc>
      </w:tr>
      <w:tr>
        <w:trPr>
          <w:trHeight w:val="318"/>
        </w:trPr>
        <w:tc>
          <w:tcPr>
            <w:tcW w:w="25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5"/>
              </w:rPr>
              <w:t>Maximal</w:t>
            </w:r>
          </w:p>
        </w:tc>
      </w:tr>
      <w:tr>
        <w:trPr>
          <w:trHeight w:val="216"/>
        </w:trPr>
        <w:tc>
          <w:tcPr>
            <w:tcW w:w="25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inhibition</w:t>
            </w:r>
          </w:p>
        </w:tc>
      </w:t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Molecule</w:t>
            </w:r>
          </w:p>
        </w:tc>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ind w:left="420"/>
              <w:spacing w:after="0"/>
              <w:rPr>
                <w:sz w:val="20"/>
                <w:szCs w:val="20"/>
                <w:color w:val="auto"/>
              </w:rPr>
            </w:pPr>
            <w:r>
              <w:rPr>
                <w:rFonts w:ascii="Arial" w:cs="Arial" w:eastAsia="Arial" w:hAnsi="Arial"/>
                <w:sz w:val="18"/>
                <w:szCs w:val="18"/>
                <w:b w:val="1"/>
                <w:bCs w:val="1"/>
                <w:color w:val="auto"/>
              </w:rPr>
              <w:t>IC</w:t>
            </w:r>
            <w:r>
              <w:rPr>
                <w:rFonts w:ascii="Arial" w:cs="Arial" w:eastAsia="Arial" w:hAnsi="Arial"/>
                <w:sz w:val="15"/>
                <w:szCs w:val="15"/>
                <w:b w:val="1"/>
                <w:bCs w:val="1"/>
                <w:color w:val="auto"/>
              </w:rPr>
              <w:t>50</w:t>
            </w:r>
            <w:r>
              <w:rPr>
                <w:rFonts w:ascii="Arial" w:cs="Arial" w:eastAsia="Arial" w:hAnsi="Arial"/>
                <w:sz w:val="18"/>
                <w:szCs w:val="18"/>
                <w:b w:val="1"/>
                <w:bCs w:val="1"/>
                <w:color w:val="auto"/>
              </w:rPr>
              <w:t xml:space="preserve"> (nM)</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23"/>
        </w:trPr>
        <w:tc>
          <w:tcPr>
            <w:tcW w:w="2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KSI-301</w:t>
            </w:r>
          </w:p>
        </w:tc>
        <w:tc>
          <w:tcPr>
            <w:tcW w:w="50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3.72±0.74</w:t>
            </w:r>
          </w:p>
        </w:tc>
        <w:tc>
          <w:tcPr>
            <w:tcW w:w="18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93.89±1.41</w:t>
            </w: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OG1950</w:t>
            </w:r>
          </w:p>
        </w:tc>
        <w:tc>
          <w:tcPr>
            <w:tcW w:w="6880" w:type="dxa"/>
            <w:vAlign w:val="bottom"/>
            <w:gridSpan w:val="3"/>
          </w:tcPr>
          <w:p>
            <w:pPr>
              <w:jc w:val="right"/>
              <w:spacing w:after="0"/>
              <w:rPr>
                <w:sz w:val="20"/>
                <w:szCs w:val="20"/>
                <w:color w:val="auto"/>
              </w:rPr>
            </w:pPr>
            <w:r>
              <w:rPr>
                <w:rFonts w:ascii="Arial" w:cs="Arial" w:eastAsia="Arial" w:hAnsi="Arial"/>
                <w:sz w:val="18"/>
                <w:szCs w:val="18"/>
                <w:color w:val="auto"/>
              </w:rPr>
              <w:t>3.97±1.19</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83.72±3.13</w:t>
            </w: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Ranibizumab (Lucentis)</w:t>
            </w:r>
          </w:p>
        </w:tc>
        <w:tc>
          <w:tcPr>
            <w:tcW w:w="6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8.60±1.29</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70.67±2.36</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Aflibercept (Eylea)</w:t>
            </w:r>
          </w:p>
        </w:tc>
        <w:tc>
          <w:tcPr>
            <w:tcW w:w="6880" w:type="dxa"/>
            <w:vAlign w:val="bottom"/>
            <w:gridSpan w:val="3"/>
          </w:tcPr>
          <w:p>
            <w:pPr>
              <w:jc w:val="right"/>
              <w:spacing w:after="0"/>
              <w:rPr>
                <w:sz w:val="20"/>
                <w:szCs w:val="20"/>
                <w:color w:val="auto"/>
              </w:rPr>
            </w:pPr>
            <w:r>
              <w:rPr>
                <w:rFonts w:ascii="Arial" w:cs="Arial" w:eastAsia="Arial" w:hAnsi="Arial"/>
                <w:sz w:val="18"/>
                <w:szCs w:val="18"/>
                <w:color w:val="auto"/>
              </w:rPr>
              <w:t>4.50±0.14</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74.96±1.84</w:t>
            </w:r>
          </w:p>
        </w:tc>
      </w:tr>
      <w:tr>
        <w:trPr>
          <w:trHeight w:val="230"/>
        </w:trPr>
        <w:tc>
          <w:tcPr>
            <w:tcW w:w="2500" w:type="dxa"/>
            <w:vAlign w:val="bottom"/>
            <w:shd w:val="clear" w:color="auto" w:fill="CFF0FC"/>
          </w:tcPr>
          <w:p>
            <w:pPr>
              <w:spacing w:after="0"/>
              <w:rPr>
                <w:sz w:val="20"/>
                <w:szCs w:val="20"/>
                <w:color w:val="auto"/>
              </w:rPr>
            </w:pPr>
            <w:r>
              <w:rPr>
                <w:rFonts w:ascii="Arial" w:cs="Arial" w:eastAsia="Arial" w:hAnsi="Arial"/>
                <w:sz w:val="18"/>
                <w:szCs w:val="18"/>
                <w:color w:val="auto"/>
              </w:rPr>
              <w:t>Bevacizumab (Avastin)</w:t>
            </w:r>
          </w:p>
        </w:tc>
        <w:tc>
          <w:tcPr>
            <w:tcW w:w="6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10.29±0.70</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73.08±4.20</w:t>
            </w:r>
          </w:p>
        </w:tc>
      </w:tr>
    </w:tbl>
    <w:p>
      <w:pPr>
        <w:spacing w:after="0" w:line="9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Table: Average IC</w:t>
      </w:r>
      <w:r>
        <w:rPr>
          <w:rFonts w:ascii="Arial" w:cs="Arial" w:eastAsia="Arial" w:hAnsi="Arial"/>
          <w:sz w:val="12"/>
          <w:szCs w:val="12"/>
          <w:b w:val="1"/>
          <w:bCs w:val="1"/>
          <w:color w:val="auto"/>
        </w:rPr>
        <w:t>50</w:t>
      </w:r>
      <w:r>
        <w:rPr>
          <w:rFonts w:ascii="Arial" w:cs="Arial" w:eastAsia="Arial" w:hAnsi="Arial"/>
          <w:sz w:val="14"/>
          <w:szCs w:val="14"/>
          <w:b w:val="1"/>
          <w:bCs w:val="1"/>
          <w:color w:val="auto"/>
        </w:rPr>
        <w:t xml:space="preserve"> and maximal inhibition of anti-VEGF agents. IC</w:t>
      </w:r>
      <w:r>
        <w:rPr>
          <w:rFonts w:ascii="Arial" w:cs="Arial" w:eastAsia="Arial" w:hAnsi="Arial"/>
          <w:sz w:val="12"/>
          <w:szCs w:val="12"/>
          <w:b w:val="1"/>
          <w:bCs w:val="1"/>
          <w:color w:val="auto"/>
        </w:rPr>
        <w:t>50</w:t>
      </w:r>
      <w:r>
        <w:rPr>
          <w:rFonts w:ascii="Arial" w:cs="Arial" w:eastAsia="Arial" w:hAnsi="Arial"/>
          <w:sz w:val="14"/>
          <w:szCs w:val="14"/>
          <w:b w:val="1"/>
          <w:bCs w:val="1"/>
          <w:color w:val="auto"/>
        </w:rPr>
        <w:t xml:space="preserve"> values measured in nanomoles (nM) 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calculated from concentration of anti-VEGF agents. All values shown as average with standard deviation.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Inhibition of VEGF-Mediated Processes</w:t>
      </w:r>
    </w:p>
    <w:p>
      <w:pPr>
        <w:spacing w:after="0" w:line="117" w:lineRule="exact"/>
        <w:rPr>
          <w:sz w:val="20"/>
          <w:szCs w:val="20"/>
          <w:color w:val="auto"/>
        </w:rPr>
      </w:pPr>
    </w:p>
    <w:p>
      <w:pPr>
        <w:ind w:right="120" w:firstLine="541"/>
        <w:spacing w:after="0" w:line="296" w:lineRule="auto"/>
        <w:rPr>
          <w:sz w:val="20"/>
          <w:szCs w:val="20"/>
          <w:color w:val="auto"/>
        </w:rPr>
      </w:pPr>
      <w:r>
        <w:rPr>
          <w:rFonts w:ascii="Arial" w:cs="Arial" w:eastAsia="Arial" w:hAnsi="Arial"/>
          <w:sz w:val="16"/>
          <w:szCs w:val="16"/>
          <w:color w:val="auto"/>
        </w:rPr>
        <w:t xml:space="preserve">Based on its ability to bind and inhibit VEGF, KSI-301 is expected to behave pharmacologically similar to Lucentis, Eylea and Avastin to decrease the leakage of blood proteins and fluid into the retina. In fact,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of KSI-301 against Lucentis, Eylea and Avastin in their respective ability to inhibit VEGF-mediated endothelial cell proliferation (a key component of neovascularization) in primary human retina microvascular endothelial cells, or HRMVECs, showed that KSI-301 inhibited proliferation to approximately the same degree as Eylea and with greater potency than Lucentis or Avastin. In addition, KSI-301 displayed a superior maximal inhibition of VEGF-mediated proliferation relative to Eylea and Avastin.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51435</wp:posOffset>
            </wp:positionV>
            <wp:extent cx="2785745" cy="2186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85745"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7160" w:type="dxa"/>
            <w:vAlign w:val="bottom"/>
            <w:gridSpan w:val="4"/>
          </w:tcPr>
          <w:p>
            <w:pPr>
              <w:ind w:left="660"/>
              <w:spacing w:after="0"/>
              <w:rPr>
                <w:sz w:val="20"/>
                <w:szCs w:val="20"/>
                <w:color w:val="auto"/>
              </w:rPr>
            </w:pPr>
            <w:r>
              <w:rPr>
                <w:rFonts w:ascii="Arial" w:cs="Arial" w:eastAsia="Arial" w:hAnsi="Arial"/>
                <w:sz w:val="14"/>
                <w:szCs w:val="14"/>
                <w:b w:val="1"/>
                <w:bCs w:val="1"/>
                <w:color w:val="auto"/>
              </w:rPr>
              <w:t>Figure: Effects of KSI-301, Lucentis, Eylea and Avastin on HRMVEC proliferation.</w:t>
            </w:r>
          </w:p>
        </w:tc>
        <w:tc>
          <w:tcPr>
            <w:tcW w:w="1680" w:type="dxa"/>
            <w:vAlign w:val="bottom"/>
          </w:tcPr>
          <w:p>
            <w:pPr>
              <w:spacing w:after="0"/>
              <w:rPr>
                <w:sz w:val="16"/>
                <w:szCs w:val="16"/>
                <w:color w:val="auto"/>
              </w:rPr>
            </w:pPr>
          </w:p>
        </w:tc>
      </w:tr>
      <w:tr>
        <w:trPr>
          <w:trHeight w:val="318"/>
        </w:trPr>
        <w:tc>
          <w:tcPr>
            <w:tcW w:w="24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5"/>
              </w:rPr>
              <w:t>Maximal</w:t>
            </w:r>
          </w:p>
        </w:tc>
      </w:tr>
      <w:tr>
        <w:trPr>
          <w:trHeight w:val="216"/>
        </w:trPr>
        <w:tc>
          <w:tcPr>
            <w:tcW w:w="240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Inhibition</w:t>
            </w:r>
          </w:p>
        </w:tc>
      </w:tr>
      <w:tr>
        <w:trPr>
          <w:trHeight w:val="234"/>
        </w:trPr>
        <w:tc>
          <w:tcPr>
            <w:tcW w:w="2400" w:type="dxa"/>
            <w:vAlign w:val="bottom"/>
          </w:tcPr>
          <w:p>
            <w:pPr>
              <w:spacing w:after="0"/>
              <w:rPr>
                <w:sz w:val="20"/>
                <w:szCs w:val="20"/>
                <w:color w:val="auto"/>
              </w:rPr>
            </w:pPr>
            <w:r>
              <w:rPr>
                <w:rFonts w:ascii="Arial" w:cs="Arial" w:eastAsia="Arial" w:hAnsi="Arial"/>
                <w:sz w:val="18"/>
                <w:szCs w:val="18"/>
                <w:b w:val="1"/>
                <w:bCs w:val="1"/>
                <w:color w:val="auto"/>
              </w:rPr>
              <w:t>Molecule</w:t>
            </w:r>
          </w:p>
        </w:tc>
        <w:tc>
          <w:tcPr>
            <w:tcW w:w="5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ind w:left="420"/>
              <w:spacing w:after="0"/>
              <w:rPr>
                <w:sz w:val="20"/>
                <w:szCs w:val="20"/>
                <w:color w:val="auto"/>
              </w:rPr>
            </w:pPr>
            <w:r>
              <w:rPr>
                <w:rFonts w:ascii="Arial" w:cs="Arial" w:eastAsia="Arial" w:hAnsi="Arial"/>
                <w:sz w:val="18"/>
                <w:szCs w:val="18"/>
                <w:b w:val="1"/>
                <w:bCs w:val="1"/>
                <w:color w:val="auto"/>
              </w:rPr>
              <w:t>IC</w:t>
            </w:r>
            <w:r>
              <w:rPr>
                <w:rFonts w:ascii="Arial" w:cs="Arial" w:eastAsia="Arial" w:hAnsi="Arial"/>
                <w:sz w:val="15"/>
                <w:szCs w:val="15"/>
                <w:b w:val="1"/>
                <w:bCs w:val="1"/>
                <w:color w:val="auto"/>
              </w:rPr>
              <w:t>50</w:t>
            </w:r>
            <w:r>
              <w:rPr>
                <w:rFonts w:ascii="Arial" w:cs="Arial" w:eastAsia="Arial" w:hAnsi="Arial"/>
                <w:sz w:val="18"/>
                <w:szCs w:val="18"/>
                <w:b w:val="1"/>
                <w:bCs w:val="1"/>
                <w:color w:val="auto"/>
              </w:rPr>
              <w:t xml:space="preserve"> (nM)</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rPr>
              <w:t>(%)</w:t>
            </w:r>
          </w:p>
        </w:tc>
      </w:tr>
      <w:tr>
        <w:trPr>
          <w:trHeight w:val="223"/>
        </w:trPr>
        <w:tc>
          <w:tcPr>
            <w:tcW w:w="2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KSI-301</w:t>
            </w:r>
          </w:p>
        </w:tc>
        <w:tc>
          <w:tcPr>
            <w:tcW w:w="5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0.96±0.18</w:t>
            </w:r>
          </w:p>
        </w:tc>
        <w:tc>
          <w:tcPr>
            <w:tcW w:w="18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64.74±2.36</w:t>
            </w:r>
          </w:p>
        </w:tc>
      </w:t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OG1950</w:t>
            </w:r>
          </w:p>
        </w:tc>
        <w:tc>
          <w:tcPr>
            <w:tcW w:w="6980" w:type="dxa"/>
            <w:vAlign w:val="bottom"/>
            <w:gridSpan w:val="3"/>
          </w:tcPr>
          <w:p>
            <w:pPr>
              <w:jc w:val="right"/>
              <w:spacing w:after="0"/>
              <w:rPr>
                <w:sz w:val="20"/>
                <w:szCs w:val="20"/>
                <w:color w:val="auto"/>
              </w:rPr>
            </w:pPr>
            <w:r>
              <w:rPr>
                <w:rFonts w:ascii="Arial" w:cs="Arial" w:eastAsia="Arial" w:hAnsi="Arial"/>
                <w:sz w:val="18"/>
                <w:szCs w:val="18"/>
                <w:color w:val="auto"/>
              </w:rPr>
              <w:t>0.85±0.07</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58.92±5.30</w:t>
            </w:r>
          </w:p>
        </w:tc>
      </w:tr>
      <w:tr>
        <w:trPr>
          <w:trHeight w:val="230"/>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Ranibizumab (Lucentis)</w:t>
            </w:r>
          </w:p>
        </w:tc>
        <w:tc>
          <w:tcPr>
            <w:tcW w:w="6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1.25±0.14</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60.96±2.53</w:t>
            </w: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Aflibercept (Eylea)</w:t>
            </w:r>
          </w:p>
        </w:tc>
        <w:tc>
          <w:tcPr>
            <w:tcW w:w="6980" w:type="dxa"/>
            <w:vAlign w:val="bottom"/>
            <w:gridSpan w:val="3"/>
          </w:tcPr>
          <w:p>
            <w:pPr>
              <w:jc w:val="right"/>
              <w:spacing w:after="0"/>
              <w:rPr>
                <w:sz w:val="20"/>
                <w:szCs w:val="20"/>
                <w:color w:val="auto"/>
              </w:rPr>
            </w:pPr>
            <w:r>
              <w:rPr>
                <w:rFonts w:ascii="Arial" w:cs="Arial" w:eastAsia="Arial" w:hAnsi="Arial"/>
                <w:sz w:val="18"/>
                <w:szCs w:val="18"/>
                <w:color w:val="auto"/>
              </w:rPr>
              <w:t>0.74±0.10</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53.93±4.91</w:t>
            </w:r>
          </w:p>
        </w:tc>
      </w:tr>
      <w:tr>
        <w:trPr>
          <w:trHeight w:val="230"/>
        </w:trPr>
        <w:tc>
          <w:tcPr>
            <w:tcW w:w="2400" w:type="dxa"/>
            <w:vAlign w:val="bottom"/>
            <w:shd w:val="clear" w:color="auto" w:fill="CFF0FC"/>
          </w:tcPr>
          <w:p>
            <w:pPr>
              <w:spacing w:after="0"/>
              <w:rPr>
                <w:sz w:val="20"/>
                <w:szCs w:val="20"/>
                <w:color w:val="auto"/>
              </w:rPr>
            </w:pPr>
            <w:r>
              <w:rPr>
                <w:rFonts w:ascii="Arial" w:cs="Arial" w:eastAsia="Arial" w:hAnsi="Arial"/>
                <w:sz w:val="18"/>
                <w:szCs w:val="18"/>
                <w:color w:val="auto"/>
              </w:rPr>
              <w:t>Bevacizumab (Avastin)</w:t>
            </w:r>
          </w:p>
        </w:tc>
        <w:tc>
          <w:tcPr>
            <w:tcW w:w="6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1.25±0.36</w:t>
            </w:r>
          </w:p>
        </w:tc>
        <w:tc>
          <w:tcPr>
            <w:tcW w:w="18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38.98±6.18</w:t>
            </w:r>
          </w:p>
        </w:tc>
      </w:tr>
    </w:tbl>
    <w:p>
      <w:pPr>
        <w:spacing w:after="0" w:line="99" w:lineRule="exact"/>
        <w:rPr>
          <w:sz w:val="20"/>
          <w:szCs w:val="20"/>
          <w:color w:val="auto"/>
        </w:rPr>
      </w:pPr>
    </w:p>
    <w:p>
      <w:pPr>
        <w:jc w:val="center"/>
        <w:ind w:left="340" w:right="220"/>
        <w:spacing w:after="0" w:line="258" w:lineRule="auto"/>
        <w:rPr>
          <w:sz w:val="20"/>
          <w:szCs w:val="20"/>
          <w:color w:val="auto"/>
        </w:rPr>
      </w:pPr>
      <w:r>
        <w:rPr>
          <w:rFonts w:ascii="Arial" w:cs="Arial" w:eastAsia="Arial" w:hAnsi="Arial"/>
          <w:sz w:val="14"/>
          <w:szCs w:val="14"/>
          <w:b w:val="1"/>
          <w:bCs w:val="1"/>
          <w:color w:val="auto"/>
        </w:rPr>
        <w:t>Table: IC50 Values and maximal inhibition of anti-VEGF agents on VEGF-mediated proliferation of HRMVECs. IC50 values were calculated from concentration of anti-VEGF agents. All values shown as average with standard deviation.</w:t>
      </w:r>
    </w:p>
    <w:p>
      <w:pPr>
        <w:spacing w:after="0" w:line="67" w:lineRule="exact"/>
        <w:rPr>
          <w:sz w:val="20"/>
          <w:szCs w:val="20"/>
          <w:color w:val="auto"/>
        </w:rPr>
      </w:pPr>
    </w:p>
    <w:p>
      <w:pPr>
        <w:ind w:right="20" w:firstLine="541"/>
        <w:spacing w:after="0" w:line="259" w:lineRule="auto"/>
        <w:rPr>
          <w:sz w:val="20"/>
          <w:szCs w:val="20"/>
          <w:color w:val="auto"/>
        </w:rPr>
      </w:pPr>
      <w:r>
        <w:rPr>
          <w:rFonts w:ascii="Arial" w:cs="Arial" w:eastAsia="Arial" w:hAnsi="Arial"/>
          <w:sz w:val="18"/>
          <w:szCs w:val="18"/>
          <w:color w:val="auto"/>
        </w:rPr>
        <w:t xml:space="preserve">To mimic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conditions where endothelial cells and pericytes coexist in blood vessels, a three-dimensional co-culture of HRMVECs and human mesenchymal pericytes, or HMPs, grown on beads was established. This model was then used to test the ability of KSI-301 to inhibit VEGF-mediated vascular sprouting compared to Lucentis and Eylea. The average number of sprouts per bead and the length per sprout were analyzed under each treatment condition.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jc w:val="both"/>
        <w:ind w:right="40" w:firstLine="541"/>
        <w:spacing w:after="0" w:line="259" w:lineRule="auto"/>
        <w:rPr>
          <w:sz w:val="20"/>
          <w:szCs w:val="20"/>
          <w:color w:val="auto"/>
        </w:rPr>
      </w:pPr>
      <w:r>
        <w:rPr>
          <w:rFonts w:ascii="Arial" w:cs="Arial" w:eastAsia="Arial" w:hAnsi="Arial"/>
          <w:sz w:val="18"/>
          <w:szCs w:val="18"/>
          <w:color w:val="auto"/>
        </w:rPr>
        <w:t>As shown in the figures below, at maximal anti-VEGF inhibition the average sprout length of cultures treated with KSI-301 was substantially less than that of the control (481 compared with 990 microns) and comparable to Lucentis and Eylea (505 and 428 microns respectively). The average number of sprouts per bead for cultures treated with KSI-301 was 11.5, which was comparable to 13.3 and 13.0 sprouts per bead observed for the cultures treated with Lucentis and Eylea,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67310</wp:posOffset>
            </wp:positionV>
            <wp:extent cx="4774565" cy="129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77456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740"/>
        <w:spacing w:after="0"/>
        <w:rPr>
          <w:sz w:val="20"/>
          <w:szCs w:val="20"/>
          <w:color w:val="auto"/>
        </w:rPr>
      </w:pPr>
      <w:r>
        <w:rPr>
          <w:rFonts w:ascii="Arial" w:cs="Arial" w:eastAsia="Arial" w:hAnsi="Arial"/>
          <w:sz w:val="14"/>
          <w:szCs w:val="14"/>
          <w:b w:val="1"/>
          <w:bCs w:val="1"/>
          <w:color w:val="auto"/>
        </w:rPr>
        <w:t>Figure: Effects of KSI-301 and other anti-VEGF molecules on length and number of vascular sprouts in 3-dimensional culture.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Extended Ocular Half-Life versus Standard of Care Agents</w:t>
      </w:r>
    </w:p>
    <w:p>
      <w:pPr>
        <w:spacing w:after="0" w:line="117" w:lineRule="exact"/>
        <w:rPr>
          <w:sz w:val="20"/>
          <w:szCs w:val="20"/>
          <w:color w:val="auto"/>
        </w:rPr>
      </w:pPr>
    </w:p>
    <w:p>
      <w:pPr>
        <w:jc w:val="both"/>
        <w:ind w:firstLine="541"/>
        <w:spacing w:after="0" w:line="259" w:lineRule="auto"/>
        <w:rPr>
          <w:sz w:val="20"/>
          <w:szCs w:val="20"/>
          <w:color w:val="auto"/>
        </w:rPr>
      </w:pPr>
      <w:r>
        <w:rPr>
          <w:rFonts w:ascii="Arial" w:cs="Arial" w:eastAsia="Arial" w:hAnsi="Arial"/>
          <w:sz w:val="18"/>
          <w:szCs w:val="18"/>
          <w:color w:val="auto"/>
        </w:rPr>
        <w:t>The addition of the biopolymer intermediate increases the size of the biologic, thereby extending the ocular half-life of the molecule beyond that of standard of care anti-VEGF agents. Preclinical studies with KSI-301 in the well-established rabbit ocular pharmacokinetics model have demonstrated that KSI-301 has ocular tissue half-lives of 10+ days in the retina and 12.5+ days in the choroid. This is in comparison to published data for ocular tissue half-lives for Lucentis of 2.9 days and Eylea of 4-5 days.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Enhanced Ocular Tissue Bioavailability versus Eylea</w:t>
      </w:r>
    </w:p>
    <w:p>
      <w:pPr>
        <w:spacing w:after="0" w:line="117" w:lineRule="exact"/>
        <w:rPr>
          <w:sz w:val="20"/>
          <w:szCs w:val="20"/>
          <w:color w:val="auto"/>
        </w:rPr>
      </w:pPr>
    </w:p>
    <w:p>
      <w:pPr>
        <w:ind w:right="60" w:firstLine="541"/>
        <w:spacing w:after="0" w:line="277" w:lineRule="auto"/>
        <w:rPr>
          <w:sz w:val="20"/>
          <w:szCs w:val="20"/>
          <w:color w:val="auto"/>
        </w:rPr>
      </w:pPr>
      <w:r>
        <w:rPr>
          <w:rFonts w:ascii="Arial" w:cs="Arial" w:eastAsia="Arial" w:hAnsi="Arial"/>
          <w:sz w:val="18"/>
          <w:szCs w:val="18"/>
          <w:color w:val="auto"/>
        </w:rPr>
        <w:t>The data also show that KSI-301, despite its large size, penetrates ocular tissues well and has a retina and choroid ocular tissue biodistribution that is more than four-fold higher than 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57150</wp:posOffset>
            </wp:positionV>
            <wp:extent cx="5743575" cy="26231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4357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Modeling On-Mechanism Durability and Human Dose Frequency</w:t>
      </w:r>
    </w:p>
    <w:p>
      <w:pPr>
        <w:spacing w:after="0" w:line="117" w:lineRule="exact"/>
        <w:rPr>
          <w:sz w:val="20"/>
          <w:szCs w:val="20"/>
          <w:color w:val="auto"/>
        </w:rPr>
      </w:pPr>
    </w:p>
    <w:p>
      <w:pPr>
        <w:ind w:firstLine="541"/>
        <w:spacing w:after="0" w:line="254" w:lineRule="auto"/>
        <w:rPr>
          <w:sz w:val="20"/>
          <w:szCs w:val="20"/>
          <w:color w:val="auto"/>
        </w:rPr>
      </w:pPr>
      <w:r>
        <w:rPr>
          <w:rFonts w:ascii="Arial" w:cs="Arial" w:eastAsia="Arial" w:hAnsi="Arial"/>
          <w:sz w:val="18"/>
          <w:szCs w:val="18"/>
          <w:color w:val="auto"/>
        </w:rPr>
        <w:t>In order to estimate the impact of high potency and extended ocular half-life on durability of effect, we used a pharmacokinetic and pharmacodynamic model that overlays rabbit ocular tissue pharmacokinetic profiles of intravitreally injected anti-VEGF therapeutics and correlates the drug levels with (1) human OCT data to define a rabbit minimal inhibitory concentration to maintain human on-mechanism durability that corresponds with human OCT outcomes, and (2) human dose frequency to define a rabbit minimal inhibitory concentration to support a dose frequency in humans which corresponds to the ability to maintain visual acuity outcomes over the long-term. Specifically, we overlay the ocular tissue pharmacokinetic profiles of Lucentis at 0.5 mg dose (the marketed dose in wet AMD), Eylea at 2.0mg dose (the marketed dose), and bioconjugate KSI-301 at 5.0 mg dose (our selected dose), as separately tested.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72390</wp:posOffset>
            </wp:positionV>
            <wp:extent cx="5271770" cy="2682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71770"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541"/>
        <w:spacing w:after="0" w:line="296" w:lineRule="auto"/>
        <w:rPr>
          <w:sz w:val="20"/>
          <w:szCs w:val="20"/>
          <w:color w:val="auto"/>
        </w:rPr>
      </w:pPr>
      <w:r>
        <w:rPr>
          <w:rFonts w:ascii="Arial" w:cs="Arial" w:eastAsia="Arial" w:hAnsi="Arial"/>
          <w:sz w:val="16"/>
          <w:szCs w:val="16"/>
          <w:color w:val="auto"/>
        </w:rPr>
        <w:t>Our modeling suggests a single dose of KSI-301 can stay above both on-mechanism and “dosing” minimal inhibitory concentrations for longer than 12 weeks in wet AMD patients. A minimal inhibitory concentration is the minimum concentration of a drug that still has the desired therapeutic effect. The implication is that KSI-301 may on average keep the retina dry for longer than 12 weeks after dosing, allowing patients to be dosed in regular 12-week intervals or less frequently and still maintain anti-VEGF mediated visual acuity gains over the long term. This contrasts with overextending the treatment interval beyond a point where retinal swelling recurs as observed in Eylea’s VIEW 2 Phase 3 clinical trial (as described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KSI-301 has demonstrated superior stability compared to typical protein therapeutics</w:t>
      </w:r>
    </w:p>
    <w:p>
      <w:pPr>
        <w:spacing w:after="0" w:line="117" w:lineRule="exact"/>
        <w:rPr>
          <w:sz w:val="20"/>
          <w:szCs w:val="20"/>
          <w:color w:val="auto"/>
        </w:rPr>
      </w:pPr>
    </w:p>
    <w:p>
      <w:pPr>
        <w:ind w:right="140" w:firstLine="541"/>
        <w:spacing w:after="0" w:line="263" w:lineRule="auto"/>
        <w:rPr>
          <w:sz w:val="20"/>
          <w:szCs w:val="20"/>
          <w:color w:val="auto"/>
        </w:rPr>
      </w:pPr>
      <w:r>
        <w:rPr>
          <w:rFonts w:ascii="Arial" w:cs="Arial" w:eastAsia="Arial" w:hAnsi="Arial"/>
          <w:sz w:val="18"/>
          <w:szCs w:val="18"/>
          <w:color w:val="auto"/>
        </w:rPr>
        <w:t>Stability studies have shown that KSI-301 bioconjugate is stable in ex vivo vitreous for at least 4 months at 37°C. Further, forced degradation studies at the extreme condition of 64°C have shown that KSI-301 bioconjugate remains in solution and is optically clear for at least 48 hours whereas the precursor antibody protein precipitated forming an opaque white suspension within several hours.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Toxicology Profile</w:t>
      </w:r>
    </w:p>
    <w:p>
      <w:pPr>
        <w:spacing w:after="0" w:line="117" w:lineRule="exact"/>
        <w:rPr>
          <w:sz w:val="20"/>
          <w:szCs w:val="20"/>
          <w:color w:val="auto"/>
        </w:rPr>
      </w:pPr>
    </w:p>
    <w:p>
      <w:pPr>
        <w:ind w:right="100" w:firstLine="541"/>
        <w:spacing w:after="0" w:line="290" w:lineRule="auto"/>
        <w:rPr>
          <w:sz w:val="20"/>
          <w:szCs w:val="20"/>
          <w:color w:val="auto"/>
        </w:rPr>
      </w:pPr>
      <w:r>
        <w:rPr>
          <w:rFonts w:ascii="Arial" w:cs="Arial" w:eastAsia="Arial" w:hAnsi="Arial"/>
          <w:sz w:val="16"/>
          <w:szCs w:val="16"/>
          <w:color w:val="auto"/>
        </w:rPr>
        <w:t>KSI-301 has demonstrated an attractive safety profile. In all GLP monkey toxicology studies conducted through ocular or systemic administration, KSI-301 has been well tolerated. In ocular studies, KSI-301 was dosed bilaterally via intravitreal injection at 2.5 or 5.0 mg per eye every four weeks up to seven doses and evaluated through 40 weeks. Findings were limited to a dose-related anterior segment and posterior segment mild inflammatory response, which was not associated with other ocular abnormalities. The anterior segment response declined during the interval between doses and generally the finding was not present one-week post dose. The posterior segment response was attributed to a mild immune mediated response typically observed to a humanized therapeutic in monkeys. No drug related systemic toxicity was observed. Additionally, in a systemic administration study, KSI-301 was well tolerated up to the highest dose of 5 mg/kg when dosed intravenously every four weeks for ten weeks. In summary, the results of the toxicology studies strongly indicate that KSI-301’s well tolerated safety profile in monkeys is favorable compared to that reported for Lucentis and Eylea.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KSI-301 Commercialization</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currently have no sales, marketing or commercial product distribution capabilities and have no experience as a company in marketing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intend to build our own commercialization capabilities over time.</w:t>
      </w:r>
    </w:p>
    <w:p>
      <w:pPr>
        <w:spacing w:after="0" w:line="103" w:lineRule="exact"/>
        <w:rPr>
          <w:sz w:val="20"/>
          <w:szCs w:val="20"/>
          <w:color w:val="auto"/>
        </w:rPr>
      </w:pPr>
    </w:p>
    <w:p>
      <w:pPr>
        <w:ind w:right="220" w:firstLine="541"/>
        <w:spacing w:after="0" w:line="311" w:lineRule="auto"/>
        <w:rPr>
          <w:sz w:val="20"/>
          <w:szCs w:val="20"/>
          <w:color w:val="auto"/>
        </w:rPr>
      </w:pPr>
      <w:r>
        <w:rPr>
          <w:rFonts w:ascii="Arial" w:cs="Arial" w:eastAsia="Arial" w:hAnsi="Arial"/>
          <w:sz w:val="16"/>
          <w:szCs w:val="16"/>
          <w:color w:val="auto"/>
        </w:rPr>
        <w:t>If KSI-301 receives marketing approval, we plan to commercialize it in the United States with our own focused, specialty sales force. We believe that retinal specialists in the United States, who perform most of the medical procedures involving diseases of the back of the eye, are sufficiently concentrated that we will be able to effectively promote KSI-301 to these specialists with a sales and marketing group of fewer than 200 persons.</w:t>
      </w:r>
    </w:p>
    <w:p>
      <w:pPr>
        <w:spacing w:after="0" w:line="41" w:lineRule="exact"/>
        <w:rPr>
          <w:sz w:val="20"/>
          <w:szCs w:val="20"/>
          <w:color w:val="auto"/>
        </w:rPr>
      </w:pPr>
    </w:p>
    <w:p>
      <w:pPr>
        <w:ind w:right="60" w:firstLine="541"/>
        <w:spacing w:after="0" w:line="277" w:lineRule="auto"/>
        <w:rPr>
          <w:sz w:val="20"/>
          <w:szCs w:val="20"/>
          <w:color w:val="auto"/>
        </w:rPr>
      </w:pPr>
      <w:r>
        <w:rPr>
          <w:rFonts w:ascii="Arial" w:cs="Arial" w:eastAsia="Arial" w:hAnsi="Arial"/>
          <w:sz w:val="18"/>
          <w:szCs w:val="18"/>
          <w:color w:val="auto"/>
        </w:rPr>
        <w:t>We expect to use a variety of types of collaboration, distribution and other marketing arrangements with one or more third parties to commercialize KSI-301 in markets outside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KSI-301 Manufacturing</w:t>
      </w:r>
    </w:p>
    <w:p>
      <w:pPr>
        <w:spacing w:after="0" w:line="121" w:lineRule="exact"/>
        <w:rPr>
          <w:sz w:val="20"/>
          <w:szCs w:val="20"/>
          <w:color w:val="auto"/>
        </w:rPr>
      </w:pPr>
    </w:p>
    <w:p>
      <w:pPr>
        <w:ind w:right="680" w:firstLine="541"/>
        <w:spacing w:after="0" w:line="277" w:lineRule="auto"/>
        <w:rPr>
          <w:sz w:val="20"/>
          <w:szCs w:val="20"/>
          <w:color w:val="auto"/>
        </w:rPr>
      </w:pPr>
      <w:r>
        <w:rPr>
          <w:rFonts w:ascii="Arial" w:cs="Arial" w:eastAsia="Arial" w:hAnsi="Arial"/>
          <w:sz w:val="18"/>
          <w:szCs w:val="18"/>
          <w:color w:val="auto"/>
        </w:rPr>
        <w:t>We believe it is important to our business and success to have a reliable, high-quality clinical drug supply. As we mature as a company and approach commercial stage operations, securing reliable high-quality commercial drug supply will be critical.</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do not currently own or operate facilities for product manufacturing, storage, distribution or testing.</w:t>
      </w:r>
    </w:p>
    <w:p>
      <w:pPr>
        <w:spacing w:after="0" w:line="117" w:lineRule="exact"/>
        <w:rPr>
          <w:sz w:val="20"/>
          <w:szCs w:val="20"/>
          <w:color w:val="auto"/>
        </w:rPr>
      </w:pPr>
    </w:p>
    <w:p>
      <w:pPr>
        <w:ind w:right="40" w:firstLine="541"/>
        <w:spacing w:after="0" w:line="263" w:lineRule="auto"/>
        <w:rPr>
          <w:sz w:val="20"/>
          <w:szCs w:val="20"/>
          <w:color w:val="auto"/>
        </w:rPr>
      </w:pPr>
      <w:r>
        <w:rPr>
          <w:rFonts w:ascii="Arial" w:cs="Arial" w:eastAsia="Arial" w:hAnsi="Arial"/>
          <w:sz w:val="18"/>
          <w:szCs w:val="18"/>
          <w:color w:val="auto"/>
        </w:rPr>
        <w:t>We rely on third-party contract manufacturers, or CMOs, to manufacture and supply our clinical materials to be used during the development of our product candidates. We have established relationships with several CMOs, including Lonza AG, or Lonza, for the manufacture of KSI-301, as well as certain of our other product candidates.</w:t>
      </w:r>
    </w:p>
    <w:p>
      <w:pPr>
        <w:spacing w:after="0" w:line="76" w:lineRule="exact"/>
        <w:rPr>
          <w:sz w:val="20"/>
          <w:szCs w:val="20"/>
          <w:color w:val="auto"/>
        </w:rPr>
      </w:pPr>
    </w:p>
    <w:p>
      <w:pPr>
        <w:ind w:right="840" w:firstLine="541"/>
        <w:spacing w:after="0" w:line="342" w:lineRule="auto"/>
        <w:rPr>
          <w:sz w:val="20"/>
          <w:szCs w:val="20"/>
          <w:color w:val="auto"/>
        </w:rPr>
      </w:pPr>
      <w:r>
        <w:rPr>
          <w:rFonts w:ascii="Arial" w:cs="Arial" w:eastAsia="Arial" w:hAnsi="Arial"/>
          <w:sz w:val="16"/>
          <w:szCs w:val="16"/>
          <w:color w:val="auto"/>
        </w:rPr>
        <w:t>We currently do not need commercial manufacturing capacity. When and if this becomes relevant, we intend to evaluate both third-party manufacturers as well as building out internal capabilities and capacity. We may choose one or both options, or a combination of the two.</w:t>
      </w:r>
    </w:p>
    <w:p>
      <w:pPr>
        <w:spacing w:after="0" w:line="16" w:lineRule="exact"/>
        <w:rPr>
          <w:sz w:val="20"/>
          <w:szCs w:val="20"/>
          <w:color w:val="auto"/>
        </w:rPr>
      </w:pPr>
    </w:p>
    <w:p>
      <w:pPr>
        <w:ind w:right="140" w:firstLine="541"/>
        <w:spacing w:after="0" w:line="279" w:lineRule="auto"/>
        <w:rPr>
          <w:sz w:val="20"/>
          <w:szCs w:val="20"/>
          <w:color w:val="auto"/>
        </w:rPr>
      </w:pPr>
      <w:r>
        <w:rPr>
          <w:rFonts w:ascii="Arial" w:cs="Arial" w:eastAsia="Arial" w:hAnsi="Arial"/>
          <w:sz w:val="17"/>
          <w:szCs w:val="17"/>
          <w:color w:val="auto"/>
        </w:rPr>
        <w:t>The process for manufacturing KSI-301 consists of conjugating our antibody intermediate with our biopolymer intermediate. Our antibody intermediate is produced in a recombinant GS-CHO (Glutamine Synthetase—Chinese Hamster Ovary) cell line in a protein-free and animal component-free medium. Our biopolymer intermediate is synthesized via a multi-step controlled “living” polymerization process, purified and formulated. Following conjugation of the intermediates, the bioconjugate drug substance is further purified, concentrated, and stored.</w:t>
      </w:r>
    </w:p>
    <w:p>
      <w:pPr>
        <w:spacing w:after="0" w:line="63" w:lineRule="exact"/>
        <w:rPr>
          <w:sz w:val="20"/>
          <w:szCs w:val="20"/>
          <w:color w:val="auto"/>
        </w:rPr>
      </w:pPr>
    </w:p>
    <w:p>
      <w:pPr>
        <w:ind w:right="80" w:firstLine="541"/>
        <w:spacing w:after="0" w:line="311" w:lineRule="auto"/>
        <w:rPr>
          <w:sz w:val="20"/>
          <w:szCs w:val="20"/>
          <w:color w:val="auto"/>
        </w:rPr>
      </w:pPr>
      <w:r>
        <w:rPr>
          <w:rFonts w:ascii="Arial" w:cs="Arial" w:eastAsia="Arial" w:hAnsi="Arial"/>
          <w:sz w:val="16"/>
          <w:szCs w:val="16"/>
          <w:color w:val="auto"/>
        </w:rPr>
        <w:t>To date, we have relied primarily on Lonza for the manufacture of KSI-301. Notably, in the first quarter of 2020, we completed three successful re-supply batches of cGMP-manufactured KSI-301 drug substance. We believe that supply from these new batches, together with previously available KSI-301 supply from prior cGMP drug substance manufacturing, is sufficient to support our ongoing and planned clinical development activities.</w:t>
      </w:r>
    </w:p>
    <w:p>
      <w:pPr>
        <w:spacing w:after="0" w:line="41" w:lineRule="exact"/>
        <w:rPr>
          <w:sz w:val="20"/>
          <w:szCs w:val="20"/>
          <w:color w:val="auto"/>
        </w:rPr>
      </w:pPr>
    </w:p>
    <w:p>
      <w:pPr>
        <w:ind w:right="160" w:firstLine="541"/>
        <w:spacing w:after="0" w:line="259" w:lineRule="auto"/>
        <w:rPr>
          <w:sz w:val="20"/>
          <w:szCs w:val="20"/>
          <w:color w:val="auto"/>
        </w:rPr>
      </w:pPr>
      <w:r>
        <w:rPr>
          <w:rFonts w:ascii="Arial" w:cs="Arial" w:eastAsia="Arial" w:hAnsi="Arial"/>
          <w:sz w:val="18"/>
          <w:szCs w:val="18"/>
          <w:color w:val="auto"/>
        </w:rPr>
        <w:t>The manufacture of KSI-301, like other biologic products, is complex and we have actively worked with Lonza to develop and refine our manufacturing process. As our need for KSI-301 increases in connection with pre-BLA manufacturing and validation activities and, if approved, commercial quantities, we anticipate continued collaboration with Lonza. We have also identified multiple other CMOs that we believe would be capable of implementing, validating and commercializing our manufacturing process for KSI-301 should the need arise.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ABC Platform</w:t>
      </w:r>
    </w:p>
    <w:p>
      <w:pPr>
        <w:spacing w:after="0" w:line="121" w:lineRule="exact"/>
        <w:rPr>
          <w:sz w:val="20"/>
          <w:szCs w:val="20"/>
          <w:color w:val="auto"/>
        </w:rPr>
      </w:pPr>
    </w:p>
    <w:p>
      <w:pPr>
        <w:jc w:val="both"/>
        <w:ind w:right="140" w:firstLine="541"/>
        <w:spacing w:after="0" w:line="263" w:lineRule="auto"/>
        <w:rPr>
          <w:sz w:val="20"/>
          <w:szCs w:val="20"/>
          <w:color w:val="auto"/>
        </w:rPr>
      </w:pPr>
      <w:r>
        <w:rPr>
          <w:rFonts w:ascii="Arial" w:cs="Arial" w:eastAsia="Arial" w:hAnsi="Arial"/>
          <w:sz w:val="18"/>
          <w:szCs w:val="18"/>
          <w:color w:val="auto"/>
        </w:rPr>
        <w:t>We believe that our ABC Platform is well suited to extend the durability of soluble, injectable retinal medicines, while at the same time providing for other useful benefits. We intend to develop additional drug candidates by applying our ABC Platform in other significant areas of unmet medical need in retina and ophthalmic disease.</w:t>
      </w:r>
    </w:p>
    <w:p>
      <w:pPr>
        <w:spacing w:after="0" w:line="76" w:lineRule="exact"/>
        <w:rPr>
          <w:sz w:val="20"/>
          <w:szCs w:val="20"/>
          <w:color w:val="auto"/>
        </w:rPr>
      </w:pPr>
    </w:p>
    <w:p>
      <w:pPr>
        <w:ind w:firstLine="541"/>
        <w:spacing w:after="0" w:line="257" w:lineRule="auto"/>
        <w:rPr>
          <w:sz w:val="20"/>
          <w:szCs w:val="20"/>
          <w:color w:val="auto"/>
        </w:rPr>
      </w:pPr>
      <w:r>
        <w:rPr>
          <w:rFonts w:ascii="Arial" w:cs="Arial" w:eastAsia="Arial" w:hAnsi="Arial"/>
          <w:sz w:val="18"/>
          <w:szCs w:val="18"/>
          <w:color w:val="auto"/>
        </w:rPr>
        <w:t>We believe our ABC Platform differentiates us and has the potential to fuel a pipeline of differentiated product candidates in high-prevalence ophthalmic diseases. In addition to KSI-301, we have leveraged our ABC Platform to build a pipeline of potential product candidates, including KSI-501, a recombinant, mammalian cell expressed dual inhibitor antibody biopolymer conjugate, targeting both VEGF and IL-6 for the treatment of retinal diseases with an inflammatory component. The cGMP master cell bank for KSI-501 has been completed, and KSI-501 is being further developed towards an IND in 2021.</w:t>
      </w:r>
    </w:p>
    <w:p>
      <w:pPr>
        <w:spacing w:after="0" w:line="80" w:lineRule="exact"/>
        <w:rPr>
          <w:sz w:val="20"/>
          <w:szCs w:val="20"/>
          <w:color w:val="auto"/>
        </w:rPr>
      </w:pPr>
    </w:p>
    <w:p>
      <w:pPr>
        <w:ind w:right="20" w:firstLine="541"/>
        <w:spacing w:after="0" w:line="275" w:lineRule="auto"/>
        <w:rPr>
          <w:sz w:val="20"/>
          <w:szCs w:val="20"/>
          <w:color w:val="auto"/>
        </w:rPr>
      </w:pPr>
      <w:r>
        <w:rPr>
          <w:rFonts w:ascii="Arial" w:cs="Arial" w:eastAsia="Arial" w:hAnsi="Arial"/>
          <w:sz w:val="17"/>
          <w:szCs w:val="17"/>
          <w:color w:val="auto"/>
        </w:rPr>
        <w:t>In addition, we have expanded our early research pipeline to include ABC Platform-based triplet inhibitors. In this approach, a bispecific or dual inhibitor antibody is conjugated to a phosphorylcholine biopolymer variant that is embedded with hundreds of copies of a small-molecule drug. As a result, multiple disease-related biologies - both intracellular and extracellular - can be targeted with a single medicine. This approach can be of particular relevance for common vision-threatening diseases that are more complex because of their multifactorial pathophysiology, such as dry AMD and glaucoma. KSI-601 is a triplet inhibitor for dry AMD, and we currently intend to submit an IND in 2022.</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Overview of KSI-501</w:t>
      </w:r>
    </w:p>
    <w:p>
      <w:pPr>
        <w:spacing w:after="0" w:line="121" w:lineRule="exact"/>
        <w:rPr>
          <w:sz w:val="20"/>
          <w:szCs w:val="20"/>
          <w:color w:val="auto"/>
        </w:rPr>
      </w:pPr>
    </w:p>
    <w:p>
      <w:pPr>
        <w:ind w:right="20" w:firstLine="541"/>
        <w:spacing w:after="0" w:line="254" w:lineRule="auto"/>
        <w:rPr>
          <w:sz w:val="20"/>
          <w:szCs w:val="20"/>
          <w:color w:val="auto"/>
        </w:rPr>
      </w:pPr>
      <w:r>
        <w:rPr>
          <w:rFonts w:ascii="Arial" w:cs="Arial" w:eastAsia="Arial" w:hAnsi="Arial"/>
          <w:sz w:val="18"/>
          <w:szCs w:val="18"/>
          <w:color w:val="auto"/>
        </w:rPr>
        <w:t>In addition to angiogenesis, inflammation has been implicated in the pathogenesis of a number of retinal diseases. Anti-inflammatory therapies such as steroids have been effective in treating both uveitis (a spectrum of diseases with intraocular inflammation as a defining characteristic) and DME. Similarly, genetically inherited variations in the interleukin 6, or IL-6, gene have been associated with higher PDR incidence in patients with type 2 diabetes. Moreover, disease progression in AMD, DR and RVO have been reported to be associated with increased serum and/or ocular levels of IL-6. Additionally, chronic inflammatory cells have been seen on the surface of the basement membrane behind the retina in eyes with wet AMD. Interestingly, IL-6 has been implicated in resistance to anti-VEGF treatments in DME patients. This in part is believed to be an indirect result of IL-6 mediated upregulation of VEGF expression as well as more direct VEGF-independent angiogenic functions mediated by IL-6 signaling that occur in the presence of VEGF inhibitors.</w:t>
      </w:r>
    </w:p>
    <w:p>
      <w:pPr>
        <w:spacing w:after="0" w:line="84" w:lineRule="exact"/>
        <w:rPr>
          <w:sz w:val="20"/>
          <w:szCs w:val="20"/>
          <w:color w:val="auto"/>
        </w:rPr>
      </w:pPr>
    </w:p>
    <w:p>
      <w:pPr>
        <w:ind w:firstLine="541"/>
        <w:spacing w:after="0" w:line="254" w:lineRule="auto"/>
        <w:rPr>
          <w:sz w:val="20"/>
          <w:szCs w:val="20"/>
          <w:color w:val="auto"/>
        </w:rPr>
      </w:pPr>
      <w:r>
        <w:rPr>
          <w:rFonts w:ascii="Arial" w:cs="Arial" w:eastAsia="Arial" w:hAnsi="Arial"/>
          <w:sz w:val="18"/>
          <w:szCs w:val="18"/>
          <w:color w:val="auto"/>
        </w:rPr>
        <w:t>Our KSI-501 product candidate is a dual inhibitor Trap-Antibody-Fusion, or TAF, bioconjugate molecule designed to target concurrent inflammation and abnormal angiogenesis observed in the pathogenesis of retinal vascular diseases. KSI-501 acts through an anti-VEGF mechanism similar to Eylea and an anti-inflammatory mechanism that targets the potent cytokine IL-6. Similar to KSI-301, KSI-501 uses the ABC Platform and is a bioconjugate of the TAF protein conjugated to our phosphorylcholine-based biopolymer. Preclinical binding and functional studies demonstrate that the TAF protein binds specifically and simultaneously to its intended targets. We believe that this dual inhibition may provide a superior treatment option for patients with retinal vascular diseases and in particular those patients with diseases known to have a high inflammatory component such as DME, as well as in ocular inflammatory diseases such as uveitis.</w:t>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KSI-501 is now in GMP manufacturing and we currently plan to submit an IND for KSI-501 in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KSI-501</w:t>
      </w:r>
    </w:p>
    <w:p>
      <w:pPr>
        <w:spacing w:after="0" w:line="117" w:lineRule="exact"/>
        <w:rPr>
          <w:sz w:val="20"/>
          <w:szCs w:val="20"/>
          <w:color w:val="auto"/>
        </w:rPr>
      </w:pPr>
    </w:p>
    <w:p>
      <w:pPr>
        <w:ind w:right="140" w:firstLine="541"/>
        <w:spacing w:after="0" w:line="257" w:lineRule="auto"/>
        <w:rPr>
          <w:sz w:val="20"/>
          <w:szCs w:val="20"/>
          <w:color w:val="auto"/>
        </w:rPr>
      </w:pPr>
      <w:r>
        <w:rPr>
          <w:rFonts w:ascii="Arial" w:cs="Arial" w:eastAsia="Arial" w:hAnsi="Arial"/>
          <w:sz w:val="18"/>
          <w:szCs w:val="18"/>
          <w:color w:val="auto"/>
        </w:rPr>
        <w:t>KSI-501 is a bioconjugate of a dual inhibitor TAF protein and a phosphorylcholine-based biopolymer. The protein portion of KSI-501 has two VEGF binding domains from human VEGF receptors which together act as a trap or soluble receptor decoy to bind the most abundant isoforms of VEGF. The anti-VEGF trap domains are fused to a high-affinity IgG1 antibody that binds with high specificity and affinity to IL-6 and disrupts the ligand’s association with its cognate IL-6 receptor. Moreover, the Fc domain has been engineered to reduce immune effector function and facilitate site-specific conjugation to our phosphorylcholine-based biopolymer.</w:t>
      </w:r>
    </w:p>
    <w:p>
      <w:pPr>
        <w:spacing w:after="0" w:line="80" w:lineRule="exact"/>
        <w:rPr>
          <w:sz w:val="20"/>
          <w:szCs w:val="20"/>
          <w:color w:val="auto"/>
        </w:rPr>
      </w:pPr>
    </w:p>
    <w:p>
      <w:pPr>
        <w:ind w:right="240" w:firstLine="541"/>
        <w:spacing w:after="0" w:line="311" w:lineRule="auto"/>
        <w:rPr>
          <w:sz w:val="20"/>
          <w:szCs w:val="20"/>
          <w:color w:val="auto"/>
        </w:rPr>
      </w:pPr>
      <w:r>
        <w:rPr>
          <w:rFonts w:ascii="Arial" w:cs="Arial" w:eastAsia="Arial" w:hAnsi="Arial"/>
          <w:sz w:val="16"/>
          <w:szCs w:val="16"/>
          <w:color w:val="auto"/>
        </w:rPr>
        <w:t>Notably, this IgG1 antibody sequence is identical to that from KSI-301, except for the six CDR regions that mediate target binding and which are specific for binding to the IL-6 target. Retaining the IgG1 frameworks across ABC Platform-derived product candidates enables “platform capability” which simplify manufacturing and product development. KSI-501, furthermore, uses the same cGMP biopolymer intermediate as KSI-301.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43815</wp:posOffset>
            </wp:positionV>
            <wp:extent cx="1225550" cy="1405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25550"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line="258" w:lineRule="auto"/>
        <w:rPr>
          <w:sz w:val="20"/>
          <w:szCs w:val="20"/>
          <w:color w:val="auto"/>
        </w:rPr>
      </w:pPr>
      <w:r>
        <w:rPr>
          <w:rFonts w:ascii="Arial" w:cs="Arial" w:eastAsia="Arial" w:hAnsi="Arial"/>
          <w:sz w:val="14"/>
          <w:szCs w:val="14"/>
          <w:b w:val="1"/>
          <w:bCs w:val="1"/>
          <w:color w:val="auto"/>
        </w:rPr>
        <w:t>Figure: Functional structure of the KSI-501 antibody biopolymer conjugate. CH – constant heavy, CL – constant light, VH – variable heavy, VL – variable light, – Complementarity Determining Regions (CDR).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Characteristics of KSI-501</w:t>
      </w:r>
    </w:p>
    <w:p>
      <w:pPr>
        <w:spacing w:after="0" w:line="117" w:lineRule="exact"/>
        <w:rPr>
          <w:sz w:val="20"/>
          <w:szCs w:val="20"/>
          <w:color w:val="auto"/>
        </w:rPr>
      </w:pPr>
    </w:p>
    <w:p>
      <w:pPr>
        <w:ind w:right="1020" w:firstLine="541"/>
        <w:spacing w:after="0" w:line="342" w:lineRule="auto"/>
        <w:rPr>
          <w:sz w:val="20"/>
          <w:szCs w:val="20"/>
          <w:color w:val="auto"/>
        </w:rPr>
      </w:pPr>
      <w:r>
        <w:rPr>
          <w:rFonts w:ascii="Arial" w:cs="Arial" w:eastAsia="Arial" w:hAnsi="Arial"/>
          <w:sz w:val="16"/>
          <w:szCs w:val="16"/>
          <w:color w:val="auto"/>
        </w:rPr>
        <w:t>We believe that KSI-501 can be a highly differentiated treatment due to its dual mechanism of action, with an improved durability and bioavailability profile due to the ABC Platform component. In addition, there are currently no IL-6 inhibitors approved for use in the eye.</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incorporated the following design features into KSI-501:</w:t>
      </w:r>
    </w:p>
    <w:p>
      <w:pPr>
        <w:spacing w:after="0" w:line="117" w:lineRule="exact"/>
        <w:rPr>
          <w:sz w:val="20"/>
          <w:szCs w:val="20"/>
          <w:color w:val="auto"/>
        </w:rPr>
      </w:pPr>
    </w:p>
    <w:p>
      <w:pPr>
        <w:ind w:left="660" w:hanging="11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Binds with high affinity to the most abundant isoforms of VEGF</w:t>
      </w:r>
    </w:p>
    <w:p>
      <w:pPr>
        <w:spacing w:after="0" w:line="117" w:lineRule="exact"/>
        <w:rPr>
          <w:rFonts w:ascii="Arial" w:cs="Arial" w:eastAsia="Arial" w:hAnsi="Arial"/>
          <w:sz w:val="18"/>
          <w:szCs w:val="18"/>
          <w:color w:val="auto"/>
        </w:rPr>
      </w:pPr>
    </w:p>
    <w:p>
      <w:pPr>
        <w:ind w:left="660" w:right="320" w:hanging="11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Engineered to remove a protease hotspot to prevent cleavage in Chinese Hamster Ovary, or CHO, mammalian expression systems, which may improve potency and formulation stability</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Design Feature: KSI-501’s anti-IL-6 domain</w:t>
      </w:r>
    </w:p>
    <w:p>
      <w:pPr>
        <w:spacing w:after="0" w:line="117" w:lineRule="exact"/>
        <w:rPr>
          <w:sz w:val="20"/>
          <w:szCs w:val="20"/>
          <w:color w:val="auto"/>
        </w:rPr>
      </w:pPr>
    </w:p>
    <w:p>
      <w:pPr>
        <w:ind w:left="660" w:hanging="11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Affinity matured, humanized anti-IL-6 IgG1 that binds with high affinity to IL-6 and inhibits binding of IL-6 to its cognate receptor</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IgG1 Fc domain engineered to reduce immune effector functions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Design Feature: KSI-501’s phosphorylcholine-based ABC Platform</w:t>
      </w:r>
    </w:p>
    <w:p>
      <w:pPr>
        <w:spacing w:after="0" w:line="117" w:lineRule="exact"/>
        <w:rPr>
          <w:sz w:val="20"/>
          <w:szCs w:val="20"/>
          <w:color w:val="auto"/>
        </w:rPr>
      </w:pPr>
    </w:p>
    <w:p>
      <w:pPr>
        <w:ind w:left="660" w:hanging="11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Ultra-high molecular weight of 1,000,000 Daltons for improved ocular pharmacokinetics</w:t>
      </w:r>
    </w:p>
    <w:p>
      <w:pPr>
        <w:spacing w:after="0" w:line="117" w:lineRule="exact"/>
        <w:rPr>
          <w:rFonts w:ascii="Arial" w:cs="Arial" w:eastAsia="Arial" w:hAnsi="Arial"/>
          <w:sz w:val="18"/>
          <w:szCs w:val="18"/>
          <w:color w:val="auto"/>
        </w:rPr>
      </w:pPr>
    </w:p>
    <w:p>
      <w:pPr>
        <w:ind w:left="660" w:right="40" w:hanging="11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Same IgG1 framework sequences and same phosphorylcholine-based biopolymer as KSI-301 and other ABC Platform-derived product candidates to simplify manufacturing and product development</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benefits of the ABC Platform such as enhanced tissue access to key ocular tissues and bioconjugate stability</w:t>
      </w:r>
    </w:p>
    <w:p>
      <w:pPr>
        <w:spacing w:after="0" w:line="117" w:lineRule="exact"/>
        <w:rPr>
          <w:sz w:val="20"/>
          <w:szCs w:val="20"/>
          <w:color w:val="auto"/>
        </w:rPr>
      </w:pPr>
    </w:p>
    <w:p>
      <w:pPr>
        <w:ind w:right="160" w:firstLine="541"/>
        <w:spacing w:after="0" w:line="301" w:lineRule="auto"/>
        <w:rPr>
          <w:sz w:val="20"/>
          <w:szCs w:val="20"/>
          <w:color w:val="auto"/>
        </w:rPr>
      </w:pPr>
      <w:r>
        <w:rPr>
          <w:rFonts w:ascii="Arial" w:cs="Arial" w:eastAsia="Arial" w:hAnsi="Arial"/>
          <w:sz w:val="16"/>
          <w:szCs w:val="16"/>
          <w:color w:val="auto"/>
        </w:rPr>
        <w:t xml:space="preserve">Note that the in vitro data shown below are generated using the TAF (protein) of KSI-501, without conjugation to our ABC biopolymer. Results using KSI-501 may be different, but experience with a structurally similar prior molecule, KSI-201, has shown that these individual components, </w:t>
      </w:r>
      <w:r>
        <w:rPr>
          <w:rFonts w:ascii="Arial" w:cs="Arial" w:eastAsia="Arial" w:hAnsi="Arial"/>
          <w:sz w:val="16"/>
          <w:szCs w:val="16"/>
          <w:i w:val="1"/>
          <w:iCs w:val="1"/>
          <w:color w:val="auto"/>
        </w:rPr>
        <w:t>i.e.,</w:t>
      </w:r>
      <w:r>
        <w:rPr>
          <w:rFonts w:ascii="Arial" w:cs="Arial" w:eastAsia="Arial" w:hAnsi="Arial"/>
          <w:sz w:val="16"/>
          <w:szCs w:val="16"/>
          <w:color w:val="auto"/>
        </w:rPr>
        <w:t xml:space="preserve"> trap antibody fusion protein and biopolymer, can function together simultaneously as a dual inhibitor bioconjugate. Prior experiences with bioconjugates KSI-201 and KSI-301 have also demonstrated that the biopolymer portion does not interfere with the bioactivity of the protein portion.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Affinity and concurrent binding to VEGF and IL-6</w:t>
      </w:r>
    </w:p>
    <w:p>
      <w:pPr>
        <w:spacing w:after="0" w:line="117" w:lineRule="exact"/>
        <w:rPr>
          <w:sz w:val="20"/>
          <w:szCs w:val="20"/>
          <w:color w:val="auto"/>
        </w:rPr>
      </w:pPr>
    </w:p>
    <w:p>
      <w:pPr>
        <w:jc w:val="both"/>
        <w:ind w:right="80" w:firstLine="541"/>
        <w:spacing w:after="0" w:line="263" w:lineRule="auto"/>
        <w:rPr>
          <w:sz w:val="20"/>
          <w:szCs w:val="20"/>
          <w:color w:val="auto"/>
        </w:rPr>
      </w:pPr>
      <w:r>
        <w:rPr>
          <w:rFonts w:ascii="Arial" w:cs="Arial" w:eastAsia="Arial" w:hAnsi="Arial"/>
          <w:sz w:val="18"/>
          <w:szCs w:val="18"/>
          <w:color w:val="auto"/>
        </w:rPr>
        <w:t>Preclinical studies indicate that the TAF portion of KSI-501 binds with high affinity to both VEGF and IL-6, as measured by SPR analysis (Table). Importantly, binding of each molecule has no effect on the binding of the other, and KSI-501 can bind to both molecules as shown below. Thus, we believe our dual inhibitor can simultaneously inhibit both of its targets with high potency.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16"/>
                <w:szCs w:val="16"/>
                <w:color w:val="auto"/>
              </w:rPr>
            </w:pPr>
          </w:p>
        </w:tc>
        <w:tc>
          <w:tcPr>
            <w:tcW w:w="6700" w:type="dxa"/>
            <w:vAlign w:val="bottom"/>
            <w:gridSpan w:val="5"/>
          </w:tcPr>
          <w:p>
            <w:pPr>
              <w:ind w:left="920"/>
              <w:spacing w:after="0"/>
              <w:rPr>
                <w:sz w:val="20"/>
                <w:szCs w:val="20"/>
                <w:color w:val="auto"/>
              </w:rPr>
            </w:pPr>
            <w:r>
              <w:rPr>
                <w:rFonts w:ascii="Arial" w:cs="Arial" w:eastAsia="Arial" w:hAnsi="Arial"/>
                <w:sz w:val="14"/>
                <w:szCs w:val="14"/>
                <w:b w:val="1"/>
                <w:bCs w:val="1"/>
                <w:color w:val="auto"/>
                <w:w w:val="95"/>
              </w:rPr>
              <w:t>Table: Binding kinetics of TAF portion of KSI-501 to huVEGF-A165 or IL-6 by SPR analysis.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36"/>
        </w:trPr>
        <w:tc>
          <w:tcPr>
            <w:tcW w:w="1840" w:type="dxa"/>
            <w:vAlign w:val="bottom"/>
          </w:tcPr>
          <w:p>
            <w:pPr>
              <w:spacing w:after="0"/>
              <w:rPr>
                <w:sz w:val="20"/>
                <w:szCs w:val="20"/>
                <w:color w:val="auto"/>
              </w:rPr>
            </w:pPr>
            <w:r>
              <w:rPr>
                <w:rFonts w:ascii="Arial" w:cs="Arial" w:eastAsia="Arial" w:hAnsi="Arial"/>
                <w:sz w:val="18"/>
                <w:szCs w:val="18"/>
                <w:b w:val="1"/>
                <w:bCs w:val="1"/>
                <w:color w:val="auto"/>
              </w:rPr>
              <w:t>Molecule</w:t>
            </w:r>
          </w:p>
        </w:tc>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3"/>
          </w:tcPr>
          <w:p>
            <w:pPr>
              <w:ind w:left="40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on</w:t>
            </w:r>
            <w:r>
              <w:rPr>
                <w:rFonts w:ascii="Arial" w:cs="Arial" w:eastAsia="Arial" w:hAnsi="Arial"/>
                <w:sz w:val="18"/>
                <w:szCs w:val="18"/>
                <w:b w:val="1"/>
                <w:bCs w:val="1"/>
                <w:color w:val="auto"/>
              </w:rPr>
              <w:t xml:space="preserve"> (M)</w:t>
            </w:r>
          </w:p>
        </w:tc>
        <w:tc>
          <w:tcPr>
            <w:tcW w:w="1260" w:type="dxa"/>
            <w:vAlign w:val="bottom"/>
            <w:gridSpan w:val="2"/>
          </w:tcPr>
          <w:p>
            <w:pPr>
              <w:ind w:left="6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off</w:t>
            </w:r>
            <w:r>
              <w:rPr>
                <w:rFonts w:ascii="Arial" w:cs="Arial" w:eastAsia="Arial" w:hAnsi="Arial"/>
                <w:sz w:val="18"/>
                <w:szCs w:val="18"/>
                <w:b w:val="1"/>
                <w:bCs w:val="1"/>
                <w:color w:val="auto"/>
              </w:rPr>
              <w:t xml:space="preserve"> (M)</w:t>
            </w: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D</w:t>
            </w:r>
            <w:r>
              <w:rPr>
                <w:rFonts w:ascii="Arial" w:cs="Arial" w:eastAsia="Arial" w:hAnsi="Arial"/>
                <w:sz w:val="18"/>
                <w:szCs w:val="18"/>
                <w:b w:val="1"/>
                <w:bCs w:val="1"/>
                <w:color w:val="auto"/>
              </w:rPr>
              <w:t xml:space="preserve"> (pM)</w:t>
            </w:r>
          </w:p>
        </w:tc>
      </w:tr>
      <w:tr>
        <w:trPr>
          <w:trHeight w:val="223"/>
        </w:trPr>
        <w:tc>
          <w:tcPr>
            <w:tcW w:w="1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IL-6</w:t>
            </w:r>
          </w:p>
        </w:tc>
        <w:tc>
          <w:tcPr>
            <w:tcW w:w="46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1"/>
              </w:rPr>
              <w:t>3.72x10</w:t>
            </w:r>
            <w:r>
              <w:rPr>
                <w:rFonts w:ascii="Arial" w:cs="Arial" w:eastAsia="Arial" w:hAnsi="Arial"/>
                <w:sz w:val="15"/>
                <w:szCs w:val="15"/>
                <w:color w:val="auto"/>
                <w:w w:val="91"/>
              </w:rPr>
              <w:t>6</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w w:val="90"/>
              </w:rPr>
              <w:t>4.06x10</w:t>
            </w:r>
            <w:r>
              <w:rPr>
                <w:rFonts w:ascii="Arial" w:cs="Arial" w:eastAsia="Arial" w:hAnsi="Arial"/>
                <w:sz w:val="15"/>
                <w:szCs w:val="15"/>
                <w:color w:val="auto"/>
                <w:w w:val="90"/>
              </w:rPr>
              <w:t>-4</w:t>
            </w:r>
          </w:p>
        </w:tc>
        <w:tc>
          <w:tcPr>
            <w:tcW w:w="16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VEGF-A165</w:t>
            </w: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3"/>
          </w:tcPr>
          <w:p>
            <w:pPr>
              <w:ind w:left="760"/>
              <w:spacing w:after="0"/>
              <w:rPr>
                <w:sz w:val="20"/>
                <w:szCs w:val="20"/>
                <w:color w:val="auto"/>
              </w:rPr>
            </w:pPr>
            <w:r>
              <w:rPr>
                <w:rFonts w:ascii="Arial" w:cs="Arial" w:eastAsia="Arial" w:hAnsi="Arial"/>
                <w:sz w:val="18"/>
                <w:szCs w:val="18"/>
                <w:color w:val="auto"/>
              </w:rPr>
              <w:t>1.07x10</w:t>
            </w:r>
            <w:r>
              <w:rPr>
                <w:rFonts w:ascii="Arial" w:cs="Arial" w:eastAsia="Arial" w:hAnsi="Arial"/>
                <w:sz w:val="15"/>
                <w:szCs w:val="15"/>
                <w:color w:val="auto"/>
              </w:rPr>
              <w:t>7</w:t>
            </w:r>
          </w:p>
        </w:tc>
        <w:tc>
          <w:tcPr>
            <w:tcW w:w="1260" w:type="dxa"/>
            <w:vAlign w:val="bottom"/>
            <w:gridSpan w:val="2"/>
          </w:tcPr>
          <w:p>
            <w:pPr>
              <w:ind w:left="380"/>
              <w:spacing w:after="0"/>
              <w:rPr>
                <w:sz w:val="20"/>
                <w:szCs w:val="20"/>
                <w:color w:val="auto"/>
              </w:rPr>
            </w:pPr>
            <w:r>
              <w:rPr>
                <w:rFonts w:ascii="Arial" w:cs="Arial" w:eastAsia="Arial" w:hAnsi="Arial"/>
                <w:sz w:val="18"/>
                <w:szCs w:val="18"/>
                <w:color w:val="auto"/>
              </w:rPr>
              <w:t>1.63x10</w:t>
            </w:r>
            <w:r>
              <w:rPr>
                <w:rFonts w:ascii="Arial" w:cs="Arial" w:eastAsia="Arial" w:hAnsi="Arial"/>
                <w:sz w:val="15"/>
                <w:szCs w:val="15"/>
                <w:color w:val="auto"/>
              </w:rPr>
              <w:t>-4</w:t>
            </w:r>
          </w:p>
        </w:tc>
        <w:tc>
          <w:tcPr>
            <w:tcW w:w="13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76835</wp:posOffset>
            </wp:positionV>
            <wp:extent cx="3051810" cy="16198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05181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Figure: TAF of KSI-501 simultaneously binds to IL-6 and VEGF by sandwich ELISA, which only shows a signal if a compound binds to both IL-6 and VEGF concurrently.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Inhibition of VEGF and IL-6</w:t>
      </w:r>
    </w:p>
    <w:p>
      <w:pPr>
        <w:spacing w:after="0" w:line="117" w:lineRule="exact"/>
        <w:rPr>
          <w:sz w:val="20"/>
          <w:szCs w:val="20"/>
          <w:color w:val="auto"/>
        </w:rPr>
      </w:pPr>
    </w:p>
    <w:p>
      <w:pPr>
        <w:ind w:right="200" w:firstLine="541"/>
        <w:spacing w:after="0" w:line="263" w:lineRule="auto"/>
        <w:rPr>
          <w:sz w:val="20"/>
          <w:szCs w:val="20"/>
          <w:color w:val="auto"/>
        </w:rPr>
      </w:pPr>
      <w:r>
        <w:rPr>
          <w:rFonts w:ascii="Arial" w:cs="Arial" w:eastAsia="Arial" w:hAnsi="Arial"/>
          <w:sz w:val="18"/>
          <w:szCs w:val="18"/>
          <w:color w:val="auto"/>
        </w:rPr>
        <w:t>KSI-501 was designed to inhibit both VEGF and IL-6 mediated signaling that occur after the ligands bind to their respective receptors. The figure below shows that the TAF protein of KSI-501 effectively prevents VEGF from stimulating downstream VEGFR2 signaling in a reporter assay in a comparable manner to Eylea, while anti-IL-6 alone served as a negative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65405</wp:posOffset>
            </wp:positionV>
            <wp:extent cx="3120390" cy="1637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2039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Figure: VEGF stimulated reporter assay with increasing concentrations of anti-VEGF inhibitors</w:t>
      </w:r>
    </w:p>
    <w:p>
      <w:pPr>
        <w:spacing w:after="0" w:line="104" w:lineRule="exact"/>
        <w:rPr>
          <w:sz w:val="20"/>
          <w:szCs w:val="20"/>
          <w:color w:val="auto"/>
        </w:rPr>
      </w:pPr>
    </w:p>
    <w:p>
      <w:pPr>
        <w:jc w:val="both"/>
        <w:ind w:right="80" w:firstLine="541"/>
        <w:spacing w:after="0" w:line="263" w:lineRule="auto"/>
        <w:rPr>
          <w:sz w:val="20"/>
          <w:szCs w:val="20"/>
          <w:color w:val="auto"/>
        </w:rPr>
      </w:pPr>
      <w:r>
        <w:rPr>
          <w:rFonts w:ascii="Arial" w:cs="Arial" w:eastAsia="Arial" w:hAnsi="Arial"/>
          <w:sz w:val="18"/>
          <w:szCs w:val="18"/>
          <w:color w:val="auto"/>
        </w:rPr>
        <w:t>The figure below shows that the control anti-IL-6 antibody and TAF protein of KSI-501 effectively compete with IL-6R for binding to plate-bound IL-6 and therefore inhibit this specific antigen-receptor interaction. The IC50 values for the control anti-IL-6 monoclonal antibody and the TAF protein are comparable (anti-IL-6 = 0.36 nM, KSI-501 = 0.47 nM), while Eylea had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65405</wp:posOffset>
            </wp:positionV>
            <wp:extent cx="2297430" cy="14147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9743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Figure: ELISA measuring IL-6 binding to IL-6R in the presence of increasing concentrations of anti-IL-6 inhibitors</w:t>
      </w:r>
    </w:p>
    <w:p>
      <w:pPr>
        <w:spacing w:after="0" w:line="104" w:lineRule="exact"/>
        <w:rPr>
          <w:sz w:val="20"/>
          <w:szCs w:val="20"/>
          <w:color w:val="auto"/>
        </w:rPr>
      </w:pPr>
    </w:p>
    <w:p>
      <w:pPr>
        <w:jc w:val="both"/>
        <w:ind w:firstLine="541"/>
        <w:spacing w:after="0" w:line="263" w:lineRule="auto"/>
        <w:rPr>
          <w:sz w:val="20"/>
          <w:szCs w:val="20"/>
          <w:color w:val="auto"/>
        </w:rPr>
      </w:pPr>
      <w:r>
        <w:rPr>
          <w:rFonts w:ascii="Arial" w:cs="Arial" w:eastAsia="Arial" w:hAnsi="Arial"/>
          <w:sz w:val="18"/>
          <w:szCs w:val="18"/>
          <w:color w:val="auto"/>
        </w:rPr>
        <w:t>Together, these data indicate that the TAF protein of KSI-501 inhibits both VEGF and IL-6 from binding their cognate receptors as effectively as the monotherapies. Importantly, these data also demonstrate that the TAF protein of KSI-501 can simultaneously block downstream signaling mediated by both VEGF and IL-6.</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IL-6 and VEGF mediated proliferation of HUVECs</w:t>
      </w:r>
    </w:p>
    <w:p>
      <w:pPr>
        <w:spacing w:after="0" w:line="117" w:lineRule="exact"/>
        <w:rPr>
          <w:sz w:val="20"/>
          <w:szCs w:val="20"/>
          <w:color w:val="auto"/>
        </w:rPr>
      </w:pPr>
    </w:p>
    <w:p>
      <w:pPr>
        <w:ind w:firstLine="541"/>
        <w:spacing w:after="0" w:line="255" w:lineRule="auto"/>
        <w:rPr>
          <w:sz w:val="20"/>
          <w:szCs w:val="20"/>
          <w:color w:val="auto"/>
        </w:rPr>
      </w:pPr>
      <w:r>
        <w:rPr>
          <w:rFonts w:ascii="Arial" w:cs="Arial" w:eastAsia="Arial" w:hAnsi="Arial"/>
          <w:sz w:val="18"/>
          <w:szCs w:val="18"/>
          <w:color w:val="auto"/>
        </w:rPr>
        <w:t>The ability of the TAF protein of KSI-501 to inhibit IL-6 and VEGF mediated angiogenic functions was tested in a Human Vascular Endothelial Cell, or HUVEC, proliferation assay as shown in the figure below. Importantly, the concentrations of VEGF and IL-6 used to stimulate proliferation were below the saturation point for each individual stimulant and under these conditions VEGF and IL-6 showed some synergy for growth. The presence of TAF protein significantly attenuated proliferation to approximately 50% of maximal growth, while neither Eylea nor control anti-IL-6 alone had quantifiable effects. These data provide supporting evidence that KSI-501 can synergistically abrogate endothelial cell proliferation that is driven by concurrent inflammatory and VEGF mediated signaling.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2190750</wp:posOffset>
            </wp:positionH>
            <wp:positionV relativeFrom="paragraph">
              <wp:posOffset>71120</wp:posOffset>
            </wp:positionV>
            <wp:extent cx="2760345" cy="14573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6034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160"/>
        <w:spacing w:after="0"/>
        <w:rPr>
          <w:sz w:val="20"/>
          <w:szCs w:val="20"/>
          <w:color w:val="auto"/>
        </w:rPr>
      </w:pPr>
      <w:r>
        <w:rPr>
          <w:rFonts w:ascii="Arial" w:cs="Arial" w:eastAsia="Arial" w:hAnsi="Arial"/>
          <w:sz w:val="14"/>
          <w:szCs w:val="14"/>
          <w:b w:val="1"/>
          <w:bCs w:val="1"/>
          <w:color w:val="auto"/>
        </w:rPr>
        <w:t>Figure: VEGF/IL-6 mediated HUVEC proliferation in the presence of inhibitors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IL-6 and VEGF mediated tubule formation of HUVECs:</w:t>
      </w:r>
    </w:p>
    <w:p>
      <w:pPr>
        <w:spacing w:after="0" w:line="117" w:lineRule="exact"/>
        <w:rPr>
          <w:sz w:val="20"/>
          <w:szCs w:val="20"/>
          <w:color w:val="auto"/>
        </w:rPr>
      </w:pPr>
    </w:p>
    <w:p>
      <w:pPr>
        <w:jc w:val="both"/>
        <w:ind w:right="180" w:firstLine="541"/>
        <w:spacing w:after="0" w:line="286" w:lineRule="auto"/>
        <w:rPr>
          <w:sz w:val="20"/>
          <w:szCs w:val="20"/>
          <w:color w:val="auto"/>
        </w:rPr>
      </w:pPr>
      <w:r>
        <w:rPr>
          <w:rFonts w:ascii="Arial" w:cs="Arial" w:eastAsia="Arial" w:hAnsi="Arial"/>
          <w:sz w:val="17"/>
          <w:szCs w:val="17"/>
          <w:color w:val="auto"/>
        </w:rPr>
        <w:t>TAF protein of KSI-501 was also tested in an endothelial cell tubule formation assay. Treatment of HUVECs seeded on an extracellular basement membrane matrix (Matrigel) with VEGF and IL-6 together stimulate tubule formation to a higher degree than either treatment alone. The TAF protein of KSI-501 demonstrated superior inhibition of this tubule formation when compared to Eylea or control anti-IL-6 antibody.</w:t>
      </w:r>
    </w:p>
    <w:p>
      <w:pPr>
        <w:spacing w:after="0" w:line="57" w:lineRule="exact"/>
        <w:rPr>
          <w:sz w:val="20"/>
          <w:szCs w:val="20"/>
          <w:color w:val="auto"/>
        </w:rPr>
      </w:pPr>
    </w:p>
    <w:p>
      <w:pPr>
        <w:ind w:right="460" w:firstLine="541"/>
        <w:spacing w:after="0" w:line="263" w:lineRule="auto"/>
        <w:rPr>
          <w:sz w:val="20"/>
          <w:szCs w:val="20"/>
          <w:color w:val="auto"/>
        </w:rPr>
      </w:pPr>
      <w:r>
        <w:rPr>
          <w:rFonts w:ascii="Arial" w:cs="Arial" w:eastAsia="Arial" w:hAnsi="Arial"/>
          <w:sz w:val="18"/>
          <w:szCs w:val="18"/>
          <w:color w:val="auto"/>
        </w:rPr>
        <w:t>Furthermore, quantification of the effects of each inhibitor on twenty parameters of HUVEC tubule formation show that the TAF protein significantly inhibited 17 of 20 angiogenic parameters versus control (compared to 4 of 20 for Eylea and 7 of 20 for control anti-IL-6 antibody). TAF protein was statistically better than Eylea and anti-IL-6 control in 12 of 20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65405</wp:posOffset>
            </wp:positionV>
            <wp:extent cx="4406265" cy="2708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40626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Figure: Quantification of IL-6/VEGF mediated HUVEC tubule formation in the presence or absence of inhibitor molecules using the Angiogenesis Analyzer plugin for ImageJ</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4" w:name="page45"/>
    <w:bookmarkEnd w:id="44"/>
    <w:p>
      <w:pPr>
        <w:ind w:firstLine="541"/>
        <w:spacing w:after="0" w:line="263" w:lineRule="auto"/>
        <w:rPr>
          <w:sz w:val="20"/>
          <w:szCs w:val="20"/>
          <w:color w:val="auto"/>
        </w:rPr>
      </w:pPr>
      <w:r>
        <w:rPr>
          <w:rFonts w:ascii="Arial" w:cs="Arial" w:eastAsia="Arial" w:hAnsi="Arial"/>
          <w:sz w:val="18"/>
          <w:szCs w:val="18"/>
          <w:color w:val="auto"/>
        </w:rPr>
        <w:t>Together, these data show that the TAF protein of KSI-501 can simultaneously bind IL-6 and VEGF to inhibit their downstream angiogenic signaling pathways. We believe that this novel dual inhibitor can provide an alternative option for the treatment of retinal vascular diseases, especially those that have a high inflammatory component and/or that do not respond adequately to anti-VEGF treatments alone.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80" w:firstLine="541"/>
        <w:spacing w:after="0" w:line="255" w:lineRule="auto"/>
        <w:rPr>
          <w:sz w:val="20"/>
          <w:szCs w:val="20"/>
          <w:color w:val="auto"/>
        </w:rPr>
      </w:pPr>
      <w:r>
        <w:rPr>
          <w:rFonts w:ascii="Arial" w:cs="Arial" w:eastAsia="Arial" w:hAnsi="Arial"/>
          <w:sz w:val="18"/>
          <w:szCs w:val="18"/>
          <w:color w:val="auto"/>
        </w:rPr>
        <w:t>We have committed, and expect to continue to commit, significant resources to enhancing our ABC Platform and developing new product candidates. We have assembled experienced research and development teams at our corporate headquarters with scientific, clinical and regulatory personnel. As of March 6, 2020, we had 31 employees primarily engaged in research and development. Of these employees, 12 hold a Ph.D. degree or M.D. (or equivalent) degree. From time to time we engage individuals to assist with certain research and development activities on a contractual basis for limited time periods. Our research and development expenses for the years ended December 31, 2019, 2018 and 2017 were $37.5 million, $18.8 million and $22.0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0" w:firstLine="541"/>
        <w:spacing w:after="0" w:line="275"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68" w:lineRule="exact"/>
        <w:rPr>
          <w:sz w:val="20"/>
          <w:szCs w:val="20"/>
          <w:color w:val="auto"/>
        </w:rPr>
      </w:pPr>
    </w:p>
    <w:p>
      <w:pPr>
        <w:ind w:right="120" w:firstLine="541"/>
        <w:spacing w:after="0" w:line="293" w:lineRule="auto"/>
        <w:rPr>
          <w:sz w:val="20"/>
          <w:szCs w:val="20"/>
          <w:color w:val="auto"/>
        </w:rPr>
      </w:pPr>
      <w:r>
        <w:rPr>
          <w:rFonts w:ascii="Arial" w:cs="Arial" w:eastAsia="Arial" w:hAnsi="Arial"/>
          <w:sz w:val="16"/>
          <w:szCs w:val="16"/>
          <w:color w:val="auto"/>
        </w:rPr>
        <w:t>Our potential competitors include large pharmaceutical and biotechnology companies, and specialty pharmaceutical and generic or biosimilar drug companies. 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early-stage companies may also prove to be significant competitors, particularly through collaborative arrangements with large and established companies. These competitors compete with us in recruiting and retaining qualified scientific and management personnel, establishing clinical trial sites and patient enrollment for clinical trials, as well as in acquiring products, product candidates or other technologies complementary to our programs.</w:t>
      </w:r>
    </w:p>
    <w:p>
      <w:pPr>
        <w:spacing w:after="0" w:line="56" w:lineRule="exact"/>
        <w:rPr>
          <w:sz w:val="20"/>
          <w:szCs w:val="20"/>
          <w:color w:val="auto"/>
        </w:rPr>
      </w:pPr>
    </w:p>
    <w:p>
      <w:pPr>
        <w:ind w:right="40" w:firstLine="541"/>
        <w:spacing w:after="0" w:line="255" w:lineRule="auto"/>
        <w:rPr>
          <w:sz w:val="20"/>
          <w:szCs w:val="20"/>
          <w:color w:val="auto"/>
        </w:rPr>
      </w:pPr>
      <w:r>
        <w:rPr>
          <w:rFonts w:ascii="Arial" w:cs="Arial" w:eastAsia="Arial" w:hAnsi="Arial"/>
          <w:sz w:val="18"/>
          <w:szCs w:val="18"/>
          <w:color w:val="auto"/>
        </w:rPr>
        <w:t>The key competitive factors affecting the success of KSI-301, if approved, are likely to be its efficacy, safety, method and frequency of administration, on-mechanism durability of therapeutic effect, convenience, price, the level of generic competition and the availability of coverage and reimbursement from government and other third-party payors. The method of administration of KSI-301, intravitreal injection, is commonly used to administer ophthalmic drugs for the treatment of severe disease and is generally accepted by patients facing the prospect of severe visual loss or blindness. However, a therapy that offers a less invasive method of administration might have a competitive advantage over one administered by intravitreal injection, depending on the relative safety of the other method of administration.</w:t>
      </w:r>
    </w:p>
    <w:p>
      <w:pPr>
        <w:spacing w:after="0" w:line="84" w:lineRule="exact"/>
        <w:rPr>
          <w:sz w:val="20"/>
          <w:szCs w:val="20"/>
          <w:color w:val="auto"/>
        </w:rPr>
      </w:pPr>
    </w:p>
    <w:p>
      <w:pPr>
        <w:ind w:right="240" w:firstLine="541"/>
        <w:spacing w:after="0" w:line="311" w:lineRule="auto"/>
        <w:rPr>
          <w:sz w:val="20"/>
          <w:szCs w:val="20"/>
          <w:color w:val="auto"/>
        </w:rPr>
      </w:pPr>
      <w:r>
        <w:rPr>
          <w:rFonts w:ascii="Arial" w:cs="Arial" w:eastAsia="Arial" w:hAnsi="Arial"/>
          <w:sz w:val="16"/>
          <w:szCs w:val="16"/>
          <w:color w:val="auto"/>
        </w:rPr>
        <w:t>The current standard of care for wet AMD and advanced stages of DR is monotherapy administration of anti-VEGF drugs, principally Avastin, Lucentis and Eylea, which are well-established therapies and are widely accepted by physicians, patients and third-party payors. Physicians, patients and third-party payors may not accept the addition of KSI-301 to their current treatment regimens for a variety of potential reasons, including:</w:t>
      </w:r>
    </w:p>
    <w:p>
      <w:pPr>
        <w:spacing w:after="0" w:line="41" w:lineRule="exact"/>
        <w:rPr>
          <w:sz w:val="20"/>
          <w:szCs w:val="20"/>
          <w:color w:val="auto"/>
        </w:rPr>
      </w:pPr>
    </w:p>
    <w:p>
      <w:pPr>
        <w:ind w:left="660" w:hanging="11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they do not wish to incur the additional cost of KSI-301;</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they perceive the addition of KSI-301 to be of limited benefit to patients;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they wish to treat with more than an anti-VEGF drug;</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sufficient coverage and reimbursement are not available;</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they do not perceive KSI-301 to have a favorable risk-benefit profile.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ind w:right="20" w:firstLine="541"/>
        <w:spacing w:after="0" w:line="259" w:lineRule="auto"/>
        <w:rPr>
          <w:sz w:val="20"/>
          <w:szCs w:val="20"/>
          <w:color w:val="auto"/>
        </w:rPr>
      </w:pPr>
      <w:r>
        <w:rPr>
          <w:rFonts w:ascii="Arial" w:cs="Arial" w:eastAsia="Arial" w:hAnsi="Arial"/>
          <w:sz w:val="18"/>
          <w:szCs w:val="18"/>
          <w:color w:val="auto"/>
        </w:rPr>
        <w:t>We are developing KSI-301 as an alternative to existing anti-VEGF drugs, including Avastin, Lucentis and Eylea. Accordingly, KSI-301 would directly compete with these therapies. While we believe KSI-301 will compete favorably with existing anti-VEGF drugs, future approved standalone or combination therapies for wet AMD with demonstrated improved efficacy over KSI-301 or currently marketed therapies with a favorable safety profile and any of the following characteristics might pose a significant competitive threat to us:</w:t>
      </w:r>
    </w:p>
    <w:p>
      <w:pPr>
        <w:spacing w:after="0" w:line="79" w:lineRule="exact"/>
        <w:rPr>
          <w:sz w:val="20"/>
          <w:szCs w:val="20"/>
          <w:color w:val="auto"/>
        </w:rPr>
      </w:pPr>
    </w:p>
    <w:p>
      <w:pPr>
        <w:ind w:left="660" w:hanging="11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mechanism of action that does not involve VEGF;</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duration of action that obviates the need for frequent intravitreal injection;</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method of administration that avoids intravitreal injection;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cost savings or reimbursement advantages compared to KSI-301 and other anti-VEGF therapies.</w:t>
      </w:r>
    </w:p>
    <w:p>
      <w:pPr>
        <w:spacing w:after="0" w:line="117" w:lineRule="exact"/>
        <w:rPr>
          <w:sz w:val="20"/>
          <w:szCs w:val="20"/>
          <w:color w:val="auto"/>
        </w:rPr>
      </w:pPr>
    </w:p>
    <w:p>
      <w:pPr>
        <w:ind w:right="200" w:firstLine="541"/>
        <w:spacing w:after="0" w:line="291" w:lineRule="auto"/>
        <w:rPr>
          <w:sz w:val="20"/>
          <w:szCs w:val="20"/>
          <w:color w:val="auto"/>
        </w:rPr>
      </w:pPr>
      <w:r>
        <w:rPr>
          <w:rFonts w:ascii="Arial" w:cs="Arial" w:eastAsia="Arial" w:hAnsi="Arial"/>
          <w:sz w:val="16"/>
          <w:szCs w:val="16"/>
          <w:color w:val="auto"/>
        </w:rPr>
        <w:t>Our commercial opportunity could be reduced or eliminated if one or more of our competitors develop and commercialize products that are safer, more effective, have fewer or less severe side effects, are more convenient or are less expensive than any products that we may develop. A drug with greater convenience than KSI-301 might make such a drug more attractive to physicians and patients. An anti-VEGF gene therapy product might substantially reduce the number and frequency of intravitreal injections when treating wet AMD, DME, RVO, or DR, making KSI-301 unattractive to physicians and patients.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because in many cases insurers or other third-party payors seek to encourage the use of generic products.</w:t>
      </w:r>
    </w:p>
    <w:p>
      <w:pPr>
        <w:spacing w:after="0" w:line="58" w:lineRule="exact"/>
        <w:rPr>
          <w:sz w:val="20"/>
          <w:szCs w:val="20"/>
          <w:color w:val="auto"/>
        </w:rPr>
      </w:pPr>
    </w:p>
    <w:p>
      <w:pPr>
        <w:ind w:firstLine="541"/>
        <w:spacing w:after="0" w:line="288" w:lineRule="auto"/>
        <w:rPr>
          <w:sz w:val="20"/>
          <w:szCs w:val="20"/>
          <w:color w:val="auto"/>
        </w:rPr>
      </w:pPr>
      <w:r>
        <w:rPr>
          <w:rFonts w:ascii="Arial" w:cs="Arial" w:eastAsia="Arial" w:hAnsi="Arial"/>
          <w:sz w:val="16"/>
          <w:szCs w:val="16"/>
          <w:color w:val="auto"/>
        </w:rPr>
        <w:t>In addition to currently available therapies, we are aware of a number of products in preclinical research and clinical development by third parties to treat wet AMD, DME, RVO and DR. We expect that product candidates currently in clinical development, or that could enter clinical development in the near future, that inhibit the function of VEGF or inhibit the function of both VEGF and other factors, could represent significant competition if approved. These product candidates may provide efficacy, safety, convenience and other benefits that are not provided by currently marketed therapies. For example, Novartis has recently received FDA and EMA approval for BeoVu (brolucizumab) for the treatment of wet AMD, and is studying BeoVu as a potential treatment option for patients with DME and RVO. In addition, Allergan is developing a competing anti-VEGF therapy, abicipar, which is part of a new class of drugs called DARPin therapies that uses genetically modified antibody proteins. Positive efficacy data from Allergan’s Phase 3 studies for abicipar in wet AMD were reported in 2018, demonstrating non-inferiority to ranibizumab but with a 15% incidence rate of ocular inflammation in the abicipar groups. There are also several companies and research organizations pursuing treatments targeting other molecular targets, potential gene therapy treatments, stem cell transplant treatments and medical devices for the treatment of wet AMD, DME, DR, and RVO.</w:t>
      </w:r>
    </w:p>
    <w:p>
      <w:pPr>
        <w:spacing w:after="0" w:line="60" w:lineRule="exact"/>
        <w:rPr>
          <w:sz w:val="20"/>
          <w:szCs w:val="20"/>
          <w:color w:val="auto"/>
        </w:rPr>
      </w:pPr>
    </w:p>
    <w:p>
      <w:pPr>
        <w:ind w:right="320" w:firstLine="541"/>
        <w:spacing w:after="0" w:line="277" w:lineRule="auto"/>
        <w:rPr>
          <w:sz w:val="20"/>
          <w:szCs w:val="20"/>
          <w:color w:val="auto"/>
        </w:rPr>
      </w:pPr>
      <w:r>
        <w:rPr>
          <w:rFonts w:ascii="Arial" w:cs="Arial" w:eastAsia="Arial" w:hAnsi="Arial"/>
          <w:sz w:val="18"/>
          <w:szCs w:val="18"/>
          <w:color w:val="auto"/>
        </w:rPr>
        <w:t>Because there are a variety of means to treat wet AMD, DME, DR, and RVO, our patents and other proprietary protections for KSI-301 will not prevent development or commercialization of product candidates that are different from KSI-301.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Funding agreement</w:t>
      </w:r>
    </w:p>
    <w:p>
      <w:pPr>
        <w:spacing w:after="0" w:line="121" w:lineRule="exact"/>
        <w:rPr>
          <w:sz w:val="20"/>
          <w:szCs w:val="20"/>
          <w:color w:val="auto"/>
        </w:rPr>
      </w:pPr>
    </w:p>
    <w:p>
      <w:pPr>
        <w:ind w:firstLine="541"/>
        <w:spacing w:after="0" w:line="285" w:lineRule="auto"/>
        <w:rPr>
          <w:sz w:val="20"/>
          <w:szCs w:val="20"/>
          <w:color w:val="auto"/>
        </w:rPr>
      </w:pPr>
      <w:r>
        <w:rPr>
          <w:rFonts w:ascii="Arial" w:cs="Arial" w:eastAsia="Arial" w:hAnsi="Arial"/>
          <w:sz w:val="16"/>
          <w:szCs w:val="16"/>
          <w:color w:val="auto"/>
        </w:rPr>
        <w:t>On December 1, 2019, we, and our subsidiary, Kodiak Sciences GmbH, entered into a funding agreement to sell a capped royalty right on global net sales of KSI-301 to BBA for $225,000,000. Under the funding agreement, BBA purchased the right to receive a capped 4.5% royalty on net sales following marketing approval of KSI-301 in exchange for $225,000,000 in committed development funding payable to us. Unless earlier terminated or re-purchased by us, the royalty “caps” or terminates upon the date that BBA has received an aggregate amount equal to 4.5 times the funding amount paid to us. Under the terms of the funding agreement, BBA was required to pay the first $100,000,000 of the funding amount at the closing of the funding transaction and the remaining $125,000,000 of the funding amount upon achieving 50% enrollment in our two planned pivotal clinical studies of KSI-301 in patients with RVO. We have the option, exercisable at any point during the term of the funding agreement, to repurchase from BBA 100% of the royalties due to BBA under the funding agreement for a purchase price equal to the funding amount paid to us as of such time times 4.5, less amounts paid by us to BBA. Under the funding agreement, BBA also received a right to a royalty interest on future net sales following marketing approval of other of our products that employ an anti-VEGF A, or VEGF-A, biology as a sole molecular or chemical biology. In the event we commercialize related products that contain both an anti-VEGF-A biology together with at least one additional molecular or chemical biology(ies), BBA would have the right to receive a fractional royalty of up to 2.25% for one additional molecular or chemical biology or 1.5% for two additional molecular or chemical biologies provided that such other products are being progressed in indications for, or patient populations with, retinal vein occlusion, wet AMD or diabetic macular edema, or indications or patient populations in which KSI-301 or a VEGF-A product has received marketing approval. Total royalty payments under the funding agreement are not to exceed the cap of 4.5 times the funding amount paid to us. The funding agreement was the result of a competitive process overseen by independent and disinterested directors of Kodiak with the assistance of outside counsel.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60" w:firstLine="541"/>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regulate, among other things, the research, development, testing, manufacture, quality control, approval, labeling, packaging, storage, record-keeping, promotion, advertising, distribution, post-approval monitoring and reporting, marketing and export and import of drug and biological products.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117" w:lineRule="exact"/>
        <w:rPr>
          <w:sz w:val="20"/>
          <w:szCs w:val="20"/>
          <w:color w:val="auto"/>
        </w:rPr>
      </w:pPr>
    </w:p>
    <w:p>
      <w:pPr>
        <w:ind w:right="100" w:firstLine="541"/>
        <w:spacing w:after="0" w:line="270"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and biologics under the FDCA, the Public Health Service Act, or PHSA, and their implementing regulations. Both drugs and biologics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Any future product candidates must be approved by the FDA through either a new drug application, or NDA, or a biologics license application,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 process before they may be legally marketed in the United States. The process generally involves the following:</w:t>
      </w:r>
    </w:p>
    <w:p>
      <w:pPr>
        <w:spacing w:after="0" w:line="103" w:lineRule="exact"/>
        <w:rPr>
          <w:sz w:val="20"/>
          <w:szCs w:val="20"/>
          <w:color w:val="auto"/>
        </w:rPr>
      </w:pPr>
    </w:p>
    <w:p>
      <w:pPr>
        <w:ind w:left="660" w:right="560" w:hanging="112"/>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or ethics committee at each clinical trial site before each trial may be initiated;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ind w:left="660" w:right="100" w:hanging="11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75" w:lineRule="exact"/>
        <w:rPr>
          <w:rFonts w:ascii="Arial" w:cs="Arial" w:eastAsia="Arial" w:hAnsi="Arial"/>
          <w:sz w:val="18"/>
          <w:szCs w:val="18"/>
          <w:color w:val="auto"/>
        </w:rPr>
      </w:pPr>
    </w:p>
    <w:p>
      <w:pPr>
        <w:ind w:left="660" w:hanging="11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submission to the FDA of an NDA or BLA;</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or BLA to accept the filing for review;</w:t>
      </w:r>
    </w:p>
    <w:p>
      <w:pPr>
        <w:spacing w:after="0" w:line="117" w:lineRule="exact"/>
        <w:rPr>
          <w:rFonts w:ascii="Arial" w:cs="Arial" w:eastAsia="Arial" w:hAnsi="Arial"/>
          <w:sz w:val="18"/>
          <w:szCs w:val="18"/>
          <w:color w:val="auto"/>
        </w:rPr>
      </w:pPr>
    </w:p>
    <w:p>
      <w:pPr>
        <w:ind w:left="660" w:right="40" w:hanging="112"/>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satisfactory completion of a FDA pre-approval inspection of the manufacturing facility or facilities where the drug or biologic will be produced to assess compliance with current good manufacturing practices, or cGMP, requirements to assure that the facilities, methods and controls are adequate to preserve the drug or biologic’s identity, strength, quality and purity;</w:t>
      </w:r>
    </w:p>
    <w:p>
      <w:pPr>
        <w:spacing w:after="0" w:line="75" w:lineRule="exact"/>
        <w:rPr>
          <w:rFonts w:ascii="Arial" w:cs="Arial" w:eastAsia="Arial" w:hAnsi="Arial"/>
          <w:sz w:val="18"/>
          <w:szCs w:val="18"/>
          <w:color w:val="auto"/>
        </w:rPr>
      </w:pPr>
    </w:p>
    <w:p>
      <w:pPr>
        <w:ind w:left="660" w:hanging="11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the NDA or BLA;</w:t>
      </w:r>
    </w:p>
    <w:p>
      <w:pPr>
        <w:spacing w:after="0" w:line="117" w:lineRule="exact"/>
        <w:rPr>
          <w:rFonts w:ascii="Arial" w:cs="Arial" w:eastAsia="Arial" w:hAnsi="Arial"/>
          <w:sz w:val="18"/>
          <w:szCs w:val="18"/>
          <w:color w:val="auto"/>
        </w:rPr>
      </w:pPr>
    </w:p>
    <w:p>
      <w:pPr>
        <w:ind w:left="660" w:right="280" w:hanging="11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review and approval of the NDA or BLA, including consideration of the views of any FDA advisory committee, prior to any commercial marketing or sale of the drug or biologic in the United States; and</w:t>
      </w:r>
    </w:p>
    <w:p>
      <w:pPr>
        <w:spacing w:after="0" w:line="62" w:lineRule="exact"/>
        <w:rPr>
          <w:rFonts w:ascii="Arial" w:cs="Arial" w:eastAsia="Arial" w:hAnsi="Arial"/>
          <w:sz w:val="18"/>
          <w:szCs w:val="18"/>
          <w:color w:val="auto"/>
        </w:rPr>
      </w:pPr>
    </w:p>
    <w:p>
      <w:pPr>
        <w:ind w:left="660" w:right="100" w:hanging="11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62" w:lineRule="exact"/>
        <w:rPr>
          <w:sz w:val="20"/>
          <w:szCs w:val="20"/>
          <w:color w:val="auto"/>
        </w:rPr>
      </w:pPr>
    </w:p>
    <w:p>
      <w:pPr>
        <w:ind w:right="320" w:firstLine="541"/>
        <w:spacing w:after="0" w:line="263" w:lineRule="auto"/>
        <w:rPr>
          <w:sz w:val="20"/>
          <w:szCs w:val="20"/>
          <w:color w:val="auto"/>
        </w:rPr>
      </w:pPr>
      <w:r>
        <w:rPr>
          <w:rFonts w:ascii="Arial" w:cs="Arial" w:eastAsia="Arial" w:hAnsi="Arial"/>
          <w:sz w:val="18"/>
          <w:szCs w:val="18"/>
          <w:color w:val="auto"/>
        </w:rPr>
        <w:t>The data required to support an NDA or BLA are generated in two distinct developmental stages: preclinical and clinical. The preclinical and clinical testing and approval process requires substantial time, effort and financial resources, and we cannot be certain that any approvals for any future product candidates will be granted on a timely basis,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 and IND</w:t>
      </w:r>
    </w:p>
    <w:p>
      <w:pPr>
        <w:spacing w:after="0" w:line="117" w:lineRule="exact"/>
        <w:rPr>
          <w:sz w:val="20"/>
          <w:szCs w:val="20"/>
          <w:color w:val="auto"/>
        </w:rPr>
      </w:pPr>
    </w:p>
    <w:p>
      <w:pPr>
        <w:ind w:firstLine="541"/>
        <w:spacing w:after="0" w:line="257" w:lineRule="auto"/>
        <w:rPr>
          <w:sz w:val="20"/>
          <w:szCs w:val="20"/>
          <w:color w:val="auto"/>
        </w:rPr>
      </w:pPr>
      <w:r>
        <w:rPr>
          <w:rFonts w:ascii="Arial" w:cs="Arial" w:eastAsia="Arial" w:hAnsi="Arial"/>
          <w:sz w:val="18"/>
          <w:szCs w:val="18"/>
          <w:color w:val="auto"/>
        </w:rPr>
        <w:t>The preclinical developmental stage generally involves laboratory evaluations of drug chemistry, formulation and stability, as well as studies to evaluate toxicity in animals, which support subsequent clinical testing. The sponsor must submit the results of the preclinical studies, together with manufacturing information, analytical data, any available clinical data or literature and a proposed clinical protocol, to the FDA as part of the IND. An IND is a request for authorization from the FDA to administer an investigational product to humans, and must become effective before human clinical trials may begin.</w:t>
      </w:r>
    </w:p>
    <w:p>
      <w:pPr>
        <w:spacing w:after="0" w:line="80" w:lineRule="exact"/>
        <w:rPr>
          <w:sz w:val="20"/>
          <w:szCs w:val="20"/>
          <w:color w:val="auto"/>
        </w:rPr>
      </w:pPr>
    </w:p>
    <w:p>
      <w:pPr>
        <w:ind w:right="20" w:firstLine="541"/>
        <w:spacing w:after="0" w:line="290" w:lineRule="auto"/>
        <w:rPr>
          <w:sz w:val="20"/>
          <w:szCs w:val="20"/>
          <w:color w:val="auto"/>
        </w:rPr>
      </w:pPr>
      <w:r>
        <w:rPr>
          <w:rFonts w:ascii="Arial" w:cs="Arial" w:eastAsia="Arial" w:hAnsi="Arial"/>
          <w:sz w:val="16"/>
          <w:szCs w:val="16"/>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 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20" w:firstLine="541"/>
        <w:spacing w:after="0" w:line="289" w:lineRule="auto"/>
        <w:rPr>
          <w:sz w:val="20"/>
          <w:szCs w:val="20"/>
          <w:color w:val="auto"/>
        </w:rPr>
      </w:pPr>
      <w:r>
        <w:rPr>
          <w:rFonts w:ascii="Arial" w:cs="Arial" w:eastAsia="Arial" w:hAnsi="Arial"/>
          <w:sz w:val="16"/>
          <w:szCs w:val="16"/>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ind w:right="80" w:firstLine="541"/>
        <w:spacing w:after="0" w:line="279"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NDA or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Clinical trials in the United States generally are conducted in three sequential phases, known as Phase 1, Phase 2 and Phase 3, and may overlap.</w:t>
      </w:r>
    </w:p>
    <w:p>
      <w:pPr>
        <w:spacing w:after="0" w:line="140" w:lineRule="exact"/>
        <w:rPr>
          <w:sz w:val="20"/>
          <w:szCs w:val="20"/>
          <w:color w:val="auto"/>
        </w:rPr>
      </w:pPr>
    </w:p>
    <w:p>
      <w:pPr>
        <w:ind w:left="660" w:hanging="11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side effect tolerability and safety of the drug.</w:t>
      </w:r>
    </w:p>
    <w:p>
      <w:pPr>
        <w:spacing w:after="0" w:line="75" w:lineRule="exact"/>
        <w:rPr>
          <w:rFonts w:ascii="Arial" w:cs="Arial" w:eastAsia="Arial" w:hAnsi="Arial"/>
          <w:sz w:val="18"/>
          <w:szCs w:val="18"/>
          <w:color w:val="auto"/>
        </w:rPr>
      </w:pPr>
    </w:p>
    <w:p>
      <w:pPr>
        <w:ind w:left="660" w:right="80" w:hanging="112"/>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Phase 2 clinical trials involve studies in disease-affected patients to determine the dose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75" w:lineRule="exact"/>
        <w:rPr>
          <w:rFonts w:ascii="Arial" w:cs="Arial" w:eastAsia="Arial" w:hAnsi="Arial"/>
          <w:sz w:val="18"/>
          <w:szCs w:val="18"/>
          <w:color w:val="auto"/>
        </w:rPr>
      </w:pPr>
    </w:p>
    <w:p>
      <w:pPr>
        <w:ind w:left="660" w:hanging="112"/>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approval. These trials may include comparisons with placebo and/or other comparator treatments. The duration of treatment is often extended to mimic the actual use of a product during marketing.</w:t>
      </w:r>
    </w:p>
    <w:p>
      <w:pPr>
        <w:spacing w:after="0" w:line="79" w:lineRule="exact"/>
        <w:rPr>
          <w:sz w:val="20"/>
          <w:szCs w:val="20"/>
          <w:color w:val="auto"/>
        </w:rPr>
      </w:pPr>
    </w:p>
    <w:p>
      <w:pPr>
        <w:ind w:right="60" w:firstLine="541"/>
        <w:spacing w:after="0" w:line="263"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or BLA.</w:t>
      </w:r>
    </w:p>
    <w:p>
      <w:pPr>
        <w:spacing w:after="0" w:line="76" w:lineRule="exact"/>
        <w:rPr>
          <w:sz w:val="20"/>
          <w:szCs w:val="20"/>
          <w:color w:val="auto"/>
        </w:rPr>
      </w:pPr>
    </w:p>
    <w:p>
      <w:pPr>
        <w:ind w:right="40" w:firstLine="541"/>
        <w:spacing w:after="0" w:line="301" w:lineRule="auto"/>
        <w:rPr>
          <w:sz w:val="20"/>
          <w:szCs w:val="20"/>
          <w:color w:val="auto"/>
        </w:rPr>
      </w:pPr>
      <w:r>
        <w:rPr>
          <w:rFonts w:ascii="Arial" w:cs="Arial" w:eastAsia="Arial" w:hAnsi="Arial"/>
          <w:sz w:val="16"/>
          <w:szCs w:val="16"/>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 or investigator brochure.</w:t>
      </w:r>
    </w:p>
    <w:p>
      <w:pPr>
        <w:spacing w:after="0" w:line="49" w:lineRule="exact"/>
        <w:rPr>
          <w:sz w:val="20"/>
          <w:szCs w:val="20"/>
          <w:color w:val="auto"/>
        </w:rPr>
      </w:pPr>
    </w:p>
    <w:p>
      <w:pPr>
        <w:ind w:right="60" w:firstLine="541"/>
        <w:spacing w:after="0" w:line="269" w:lineRule="auto"/>
        <w:rPr>
          <w:sz w:val="20"/>
          <w:szCs w:val="20"/>
          <w:color w:val="auto"/>
        </w:rPr>
      </w:pPr>
      <w:r>
        <w:rPr>
          <w:rFonts w:ascii="Arial" w:cs="Arial" w:eastAsia="Arial" w:hAnsi="Arial"/>
          <w:sz w:val="17"/>
          <w:szCs w:val="17"/>
          <w:color w:val="auto"/>
        </w:rPr>
        <w:t>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 points based on access to certain data from the trial. 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our product candidates do not undergo unacceptable deterioration over their shelf life.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NDA/BLA Review Process</w:t>
      </w:r>
    </w:p>
    <w:p>
      <w:pPr>
        <w:spacing w:after="0" w:line="117" w:lineRule="exact"/>
        <w:rPr>
          <w:sz w:val="20"/>
          <w:szCs w:val="20"/>
          <w:color w:val="auto"/>
        </w:rPr>
      </w:pPr>
    </w:p>
    <w:p>
      <w:pPr>
        <w:ind w:right="40" w:firstLine="541"/>
        <w:spacing w:after="0" w:line="253" w:lineRule="auto"/>
        <w:rPr>
          <w:sz w:val="20"/>
          <w:szCs w:val="20"/>
          <w:color w:val="auto"/>
        </w:rPr>
      </w:pPr>
      <w:r>
        <w:rPr>
          <w:rFonts w:ascii="Arial" w:cs="Arial" w:eastAsia="Arial" w:hAnsi="Arial"/>
          <w:sz w:val="18"/>
          <w:szCs w:val="18"/>
          <w:color w:val="auto"/>
        </w:rPr>
        <w:t>Following completion of the clinical trials, data are analyzed to assess whether the investigational product is safe and effective for the proposed indicated use or uses. The results of preclinical studies and clinical trials are then submitted to the FDA as part of an NDA or BLA, along with proposed labeling, chemistry and manufacturing information to ensure product quality and other relevant data. In short, the NDA or BLA is a request for approval to market the drug or biologic for one or more specified indications and must contain proof of safety and efficacy for a drug or safety, purity and potency for a biologic. The application may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or BLA must be obtained before a drug or biologic may be marketed in the United States.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9" w:name="page50"/>
    <w:bookmarkEnd w:id="49"/>
    <w:p>
      <w:pPr>
        <w:ind w:right="180" w:firstLine="541"/>
        <w:spacing w:after="0" w:line="257" w:lineRule="auto"/>
        <w:rPr>
          <w:sz w:val="20"/>
          <w:szCs w:val="20"/>
          <w:color w:val="auto"/>
        </w:rPr>
      </w:pPr>
      <w:r>
        <w:rPr>
          <w:rFonts w:ascii="Arial" w:cs="Arial" w:eastAsia="Arial" w:hAnsi="Arial"/>
          <w:sz w:val="18"/>
          <w:szCs w:val="18"/>
          <w:color w:val="auto"/>
        </w:rPr>
        <w:t>Under the Prescription Drug User Fee Act, or PDUFA, as amended, each NDA or BLA must be accompanied by a user fee. The FDA adjusts the PDUFA user fees on an annual basis. PDUFA also imposes an annual product fee for human drugs and biologics and an annual establishment fee on facilities used to manufacture prescription drugs and biologics. Fee waivers or reductions are available in certain circumstances, including a waiver of the application fee for the first application filed by a small business. Additionally, no user fees are assessed on NDAs or BLAs for products designated as orphan drugs, unless the product also includes a non-orphan indication.</w:t>
      </w:r>
    </w:p>
    <w:p>
      <w:pPr>
        <w:spacing w:after="0" w:line="80" w:lineRule="exact"/>
        <w:rPr>
          <w:sz w:val="20"/>
          <w:szCs w:val="20"/>
          <w:color w:val="auto"/>
        </w:rPr>
      </w:pPr>
    </w:p>
    <w:p>
      <w:pPr>
        <w:ind w:right="20" w:firstLine="541"/>
        <w:spacing w:after="0" w:line="293" w:lineRule="auto"/>
        <w:rPr>
          <w:sz w:val="20"/>
          <w:szCs w:val="20"/>
          <w:color w:val="auto"/>
        </w:rPr>
      </w:pPr>
      <w:r>
        <w:rPr>
          <w:rFonts w:ascii="Arial" w:cs="Arial" w:eastAsia="Arial" w:hAnsi="Arial"/>
          <w:sz w:val="16"/>
          <w:szCs w:val="16"/>
          <w:color w:val="auto"/>
        </w:rPr>
        <w:t>The FDA reviews all submitted NDAs and BLAs before it accepts them for filing, and may request additional information rather than accepting the NDA or BLA for filing. The FDA must make a decision on accepting an NDA or BLA for filing within 60 days of receipt. Once the submission is accepted for filing, the FDA begins an in-depth review of the NDA or BLA. Under the goals and policies agreed to by the FDA under PDUFA, the FDA has ten months, from the filing date, in which to complete its initial review of a new molecular-entity NDA or original BLA and respond to the applicant, and six months from the filing date of a new molecular-entity NDA or original BLA designated for priority review. The FDA does not always meet its PDUFA goal dates for standard and priority NDAs or BLAs, and the review process is often extended by FDA requests for additional information or clarification.</w:t>
      </w:r>
    </w:p>
    <w:p>
      <w:pPr>
        <w:spacing w:after="0" w:line="56" w:lineRule="exact"/>
        <w:rPr>
          <w:sz w:val="20"/>
          <w:szCs w:val="20"/>
          <w:color w:val="auto"/>
        </w:rPr>
      </w:pPr>
    </w:p>
    <w:p>
      <w:pPr>
        <w:ind w:firstLine="541"/>
        <w:spacing w:after="0" w:line="285" w:lineRule="auto"/>
        <w:rPr>
          <w:sz w:val="20"/>
          <w:szCs w:val="20"/>
          <w:color w:val="auto"/>
        </w:rPr>
      </w:pPr>
      <w:r>
        <w:rPr>
          <w:rFonts w:ascii="Arial" w:cs="Arial" w:eastAsia="Arial" w:hAnsi="Arial"/>
          <w:sz w:val="16"/>
          <w:szCs w:val="16"/>
          <w:color w:val="auto"/>
        </w:rPr>
        <w:t>Before approving an NDA or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likely will reanalyze the clinical trial data, which could result in extensive discussions between the FDA and the applicant during the review process. After the FDA evaluates an NDA or BLA, it will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usually describes all of the specific deficiencies in the NDA or BLA identified by the FDA. The Complete Response Letter may require additional clinical data, additional pivotal Phase 3 clinical trial(s) and/or other significant and time-consuming requirements related to clinical trials, preclinical studies or manufacturing. If a Complete Response Letter is issued, the applicant may either resubmit the NDA or BLA, addressing all of the deficiencies identified in the letter, or withdraw the application. Even if such data and information are submitted, the FDA may decide that the NDA or BLA does not satisfy the criteria for approval. Data obtained from clinical trials are not always conclusive and the FDA may interpret data differently than we interpret the same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right="220" w:firstLine="541"/>
        <w:spacing w:after="0" w:line="275" w:lineRule="auto"/>
        <w:rPr>
          <w:sz w:val="20"/>
          <w:szCs w:val="20"/>
          <w:color w:val="auto"/>
        </w:rPr>
      </w:pPr>
      <w:r>
        <w:rPr>
          <w:rFonts w:ascii="Arial" w:cs="Arial" w:eastAsia="Arial" w:hAnsi="Arial"/>
          <w:sz w:val="17"/>
          <w:szCs w:val="17"/>
          <w:color w:val="auto"/>
        </w:rPr>
        <w:t>The FDA has a fast track program that is intended to expedite or facilitate the process for reviewing new drugs and biologics that meet certain criteria. Specifically, new drugs and biologics are eligible for fast track designation if they are intended to treat a serious or life threatening condition and preclinical or clinical data demonstrate the potential to address unmet medical needs for the condition. Fast track designation applies to both the product and the specific indication for which it is being studied. The sponsor can request the FDA to designate the product for fast track status any time before receiving NDA or BLA approval, but ideally no later than the pre-NDA or pre-BLA meeting.</w:t>
      </w:r>
    </w:p>
    <w:p>
      <w:pPr>
        <w:spacing w:after="0" w:line="68" w:lineRule="exact"/>
        <w:rPr>
          <w:sz w:val="20"/>
          <w:szCs w:val="20"/>
          <w:color w:val="auto"/>
        </w:rPr>
      </w:pPr>
    </w:p>
    <w:p>
      <w:pPr>
        <w:ind w:right="160" w:firstLine="541"/>
        <w:spacing w:after="0" w:line="311"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treats a serious or life-threatening condition and, if approved, would provide a significant improvement in safety and effectiveness compared to available therapies.</w:t>
      </w:r>
    </w:p>
    <w:p>
      <w:pPr>
        <w:spacing w:after="0" w:line="41" w:lineRule="exact"/>
        <w:rPr>
          <w:sz w:val="20"/>
          <w:szCs w:val="20"/>
          <w:color w:val="auto"/>
        </w:rPr>
      </w:pPr>
    </w:p>
    <w:p>
      <w:pPr>
        <w:ind w:right="40" w:firstLine="541"/>
        <w:spacing w:after="0" w:line="293" w:lineRule="auto"/>
        <w:rPr>
          <w:sz w:val="20"/>
          <w:szCs w:val="20"/>
          <w:color w:val="auto"/>
        </w:rPr>
      </w:pPr>
      <w:r>
        <w:rPr>
          <w:rFonts w:ascii="Arial" w:cs="Arial" w:eastAsia="Arial" w:hAnsi="Arial"/>
          <w:sz w:val="16"/>
          <w:szCs w:val="16"/>
          <w:color w:val="auto"/>
        </w:rPr>
        <w:t>A product may also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may require that a sponsor of a drug or biologic receiving accelerated approval perform adequate and well-controlled post-marketing clinical trials. If the FDA concludes that a drug or biologic shown to be effective can be safely used only if distribution or use is restricted, it may require such post-marketing restrictions, as it deems necessary to assure safe use of the product.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ind w:right="140" w:firstLine="541"/>
        <w:spacing w:after="0" w:line="255" w:lineRule="auto"/>
        <w:rPr>
          <w:sz w:val="20"/>
          <w:szCs w:val="20"/>
          <w:color w:val="auto"/>
        </w:rPr>
      </w:pPr>
      <w:r>
        <w:rPr>
          <w:rFonts w:ascii="Arial" w:cs="Arial" w:eastAsia="Arial" w:hAnsi="Arial"/>
          <w:sz w:val="18"/>
          <w:szCs w:val="18"/>
          <w:color w:val="auto"/>
        </w:rPr>
        <w:t>Additionally, a drug or biologic may be eligible for designation as a breakthrough therapy if the product is intended, alone or in combination with one or more other drugs or biologics, to treat a serious or life-threatening condition and preliminary clinical evidence indicates that the product may demonstrate substantial improvement over currently approved therapies on one or more clinically significant endpoints. The benefits of breakthrough therapy designation include the same benefits as fast track designation, plus intensive guidance from the FDA to ensure an efficient drug development program. Fast track designation, priority review, accelerated approval and breakthrough therapy designation do not change the standards for approval, but may expedite the development or approval process.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Abbreviated Licensure Pathway of Biological Products as Biosimilar or Interchangeable</w:t>
      </w:r>
    </w:p>
    <w:p>
      <w:pPr>
        <w:spacing w:after="0" w:line="117" w:lineRule="exact"/>
        <w:rPr>
          <w:sz w:val="20"/>
          <w:szCs w:val="20"/>
          <w:color w:val="auto"/>
        </w:rPr>
      </w:pPr>
    </w:p>
    <w:p>
      <w:pPr>
        <w:ind w:right="60" w:firstLine="541"/>
        <w:spacing w:after="0" w:line="257" w:lineRule="auto"/>
        <w:rPr>
          <w:sz w:val="20"/>
          <w:szCs w:val="20"/>
          <w:color w:val="auto"/>
        </w:rPr>
      </w:pPr>
      <w:r>
        <w:rPr>
          <w:rFonts w:ascii="Arial" w:cs="Arial" w:eastAsia="Arial" w:hAnsi="Arial"/>
          <w:sz w:val="18"/>
          <w:szCs w:val="18"/>
          <w:color w:val="auto"/>
        </w:rPr>
        <w:t>The Patient Protection and Affordable Care Act, or PPACA, or Affordable Care Act, or ACA, signed into law in 2010, includes a subtitle called the Biologics Price Competition and Innovation Act of 2009, or BPCIA, created an abbreviated approval pathway for biological products shown to be highly similar to an FDA-licensed reference biological product. The BPCIA attempts to minimize duplicative testing, and thereby lower development costs and increase patient access to affordable treatments. An application for licensure of a biosimilar product must include information demonstrating biosimilarity based upon the following, unless the FDA determines otherwise:</w:t>
      </w:r>
    </w:p>
    <w:p>
      <w:pPr>
        <w:spacing w:after="0" w:line="80" w:lineRule="exact"/>
        <w:rPr>
          <w:sz w:val="20"/>
          <w:szCs w:val="20"/>
          <w:color w:val="auto"/>
        </w:rPr>
      </w:pPr>
    </w:p>
    <w:p>
      <w:pPr>
        <w:ind w:left="660" w:right="80" w:hanging="11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analytical studies demonstrating that the proposed biosimilar product is highly similar to the approved product notwithstanding minor differences in clinically inactive components;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animal studies (including the assessment of toxicity); and</w:t>
      </w:r>
    </w:p>
    <w:p>
      <w:pPr>
        <w:spacing w:after="0" w:line="117" w:lineRule="exact"/>
        <w:rPr>
          <w:rFonts w:ascii="Arial" w:cs="Arial" w:eastAsia="Arial" w:hAnsi="Arial"/>
          <w:sz w:val="18"/>
          <w:szCs w:val="18"/>
          <w:color w:val="auto"/>
        </w:rPr>
      </w:pPr>
    </w:p>
    <w:p>
      <w:pPr>
        <w:ind w:left="660" w:right="260" w:hanging="11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clinical study or studies (including the assessment of immunogenicity and pharmacokinetics or pharmacodynamics) sufficient to demonstrate safety, purity and potency in one or more conditions for which the reference product is licensed and intended to be used.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addition, an application must include information demonstrating that:</w:t>
      </w:r>
    </w:p>
    <w:p>
      <w:pPr>
        <w:spacing w:after="0" w:line="117" w:lineRule="exact"/>
        <w:rPr>
          <w:sz w:val="20"/>
          <w:szCs w:val="20"/>
          <w:color w:val="auto"/>
        </w:rPr>
      </w:pPr>
    </w:p>
    <w:p>
      <w:pPr>
        <w:ind w:left="660" w:right="60" w:hanging="112"/>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proposed biosimilar product and reference product utilize the same mechanism of action for the condition(s) of use prescribed, recommended, or suggested in the proposed labeling, but only to the extent the mechanism(s) of action are known for the reference product;</w:t>
      </w:r>
    </w:p>
    <w:p>
      <w:pPr>
        <w:spacing w:after="0" w:line="15" w:lineRule="exact"/>
        <w:rPr>
          <w:rFonts w:ascii="Arial" w:cs="Arial" w:eastAsia="Arial" w:hAnsi="Arial"/>
          <w:sz w:val="16"/>
          <w:szCs w:val="16"/>
          <w:color w:val="auto"/>
        </w:rPr>
      </w:pPr>
    </w:p>
    <w:p>
      <w:pPr>
        <w:ind w:left="660" w:hanging="11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condition or conditions of use prescribed, recommended, or suggested in the labeling for the proposed biosimilar product have been previously approved for the reference product;</w:t>
      </w:r>
    </w:p>
    <w:p>
      <w:pPr>
        <w:spacing w:after="0" w:line="62" w:lineRule="exact"/>
        <w:rPr>
          <w:rFonts w:ascii="Arial" w:cs="Arial" w:eastAsia="Arial" w:hAnsi="Arial"/>
          <w:sz w:val="18"/>
          <w:szCs w:val="18"/>
          <w:color w:val="auto"/>
        </w:rPr>
      </w:pPr>
    </w:p>
    <w:p>
      <w:pPr>
        <w:ind w:left="660" w:right="180"/>
        <w:spacing w:after="0" w:line="277" w:lineRule="auto"/>
        <w:rPr>
          <w:rFonts w:ascii="Arial" w:cs="Arial" w:eastAsia="Arial" w:hAnsi="Arial"/>
          <w:sz w:val="18"/>
          <w:szCs w:val="18"/>
          <w:color w:val="auto"/>
        </w:rPr>
      </w:pPr>
      <w:r>
        <w:rPr>
          <w:rFonts w:ascii="Arial" w:cs="Arial" w:eastAsia="Arial" w:hAnsi="Arial"/>
          <w:sz w:val="18"/>
          <w:szCs w:val="18"/>
          <w:color w:val="auto"/>
        </w:rPr>
        <w:t>the route of administration, the dosage form, and the strength of the proposed biosimilar product are the same as those for the reference product; and</w:t>
      </w:r>
    </w:p>
    <w:p>
      <w:pPr>
        <w:spacing w:after="0" w:line="62" w:lineRule="exact"/>
        <w:rPr>
          <w:rFonts w:ascii="Arial" w:cs="Arial" w:eastAsia="Arial" w:hAnsi="Arial"/>
          <w:sz w:val="18"/>
          <w:szCs w:val="18"/>
          <w:color w:val="auto"/>
        </w:rPr>
      </w:pPr>
    </w:p>
    <w:p>
      <w:pPr>
        <w:ind w:left="660" w:right="440" w:hanging="112"/>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facility in which the biological product is manufactured, processed, packed or held meets standards designed to assure that the biological product continues to be safe, pure, and potent.</w:t>
      </w:r>
    </w:p>
    <w:p>
      <w:pPr>
        <w:spacing w:after="0" w:line="62" w:lineRule="exact"/>
        <w:rPr>
          <w:sz w:val="20"/>
          <w:szCs w:val="20"/>
          <w:color w:val="auto"/>
        </w:rPr>
      </w:pPr>
    </w:p>
    <w:p>
      <w:pPr>
        <w:ind w:right="100" w:firstLine="541"/>
        <w:spacing w:after="0" w:line="275" w:lineRule="auto"/>
        <w:rPr>
          <w:sz w:val="20"/>
          <w:szCs w:val="20"/>
          <w:color w:val="auto"/>
        </w:rPr>
      </w:pPr>
      <w:r>
        <w:rPr>
          <w:rFonts w:ascii="Arial" w:cs="Arial" w:eastAsia="Arial" w:hAnsi="Arial"/>
          <w:sz w:val="17"/>
          <w:szCs w:val="17"/>
          <w:color w:val="auto"/>
        </w:rPr>
        <w:t>Biosimilarity means that the biological product is highly similar to the reference product notwithstanding minor differences in clinically inactive components; and that there are no clinically meaningful differences between the biological product and the reference product in terms of the safety, purity, and potency of the product. In addition, the law provides for a designation of “interchangeability” between the reference and biosimilar products, whereby the biosimilar may be substituted for the reference product without the intervention of the health care provider who prescribed the reference product. The higher standard of interchangeability must be demonstrated by information sufficient to show that:</w:t>
      </w:r>
    </w:p>
    <w:p>
      <w:pPr>
        <w:spacing w:after="0" w:line="68" w:lineRule="exact"/>
        <w:rPr>
          <w:sz w:val="20"/>
          <w:szCs w:val="20"/>
          <w:color w:val="auto"/>
        </w:rPr>
      </w:pPr>
    </w:p>
    <w:p>
      <w:pPr>
        <w:ind w:left="660" w:hanging="11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proposed product is biosimilar to the reference product;</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proposed product is expected to produce the same clinical result as the reference product in any given patient; and</w:t>
      </w:r>
    </w:p>
    <w:p>
      <w:pPr>
        <w:spacing w:after="0" w:line="117" w:lineRule="exact"/>
        <w:rPr>
          <w:rFonts w:ascii="Arial" w:cs="Arial" w:eastAsia="Arial" w:hAnsi="Arial"/>
          <w:sz w:val="18"/>
          <w:szCs w:val="18"/>
          <w:color w:val="auto"/>
        </w:rPr>
      </w:pPr>
    </w:p>
    <w:p>
      <w:pPr>
        <w:ind w:left="660" w:right="60" w:hanging="112"/>
        <w:spacing w:after="0" w:line="263"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 a product that is administered more than once to an individual, the risk to the patient in terms of safety or diminished efficacy of alternating or switching between the biosimilar and the reference product is no greater than the risk of using the reference product without such alternation or switch.</w:t>
      </w:r>
    </w:p>
    <w:p>
      <w:pPr>
        <w:spacing w:after="0" w:line="76" w:lineRule="exact"/>
        <w:rPr>
          <w:sz w:val="20"/>
          <w:szCs w:val="20"/>
          <w:color w:val="auto"/>
        </w:rPr>
      </w:pPr>
    </w:p>
    <w:p>
      <w:pPr>
        <w:ind w:right="40" w:firstLine="541"/>
        <w:spacing w:after="0" w:line="259" w:lineRule="auto"/>
        <w:rPr>
          <w:sz w:val="20"/>
          <w:szCs w:val="20"/>
          <w:color w:val="auto"/>
        </w:rPr>
      </w:pPr>
      <w:r>
        <w:rPr>
          <w:rFonts w:ascii="Arial" w:cs="Arial" w:eastAsia="Arial" w:hAnsi="Arial"/>
          <w:sz w:val="18"/>
          <w:szCs w:val="18"/>
          <w:color w:val="auto"/>
        </w:rPr>
        <w:t>FDA approval is required before a biosimilar may be marketed in the United States. However, complexities associated with the large and intricate structures of biological products and the process by which such products are manufactured pose significant hurdles to the FDA’s implementation of the law that are still being worked out by the FDA. For example, the FDA has discretion over the kind and amount of scientific evidence—laboratory, preclinical and/or clinical—required to demonstrate biosimilarity to a licensed biological product.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1" w:name="page52"/>
    <w:bookmarkEnd w:id="51"/>
    <w:p>
      <w:pPr>
        <w:ind w:right="20" w:firstLine="541"/>
        <w:spacing w:after="0" w:line="254" w:lineRule="auto"/>
        <w:rPr>
          <w:sz w:val="20"/>
          <w:szCs w:val="20"/>
          <w:color w:val="auto"/>
        </w:rPr>
      </w:pPr>
      <w:r>
        <w:rPr>
          <w:rFonts w:ascii="Arial" w:cs="Arial" w:eastAsia="Arial" w:hAnsi="Arial"/>
          <w:sz w:val="18"/>
          <w:szCs w:val="18"/>
          <w:color w:val="auto"/>
        </w:rPr>
        <w:t>The FDA intends to consider the totality of the evidence, provided by a sponsor to support a demonstration of biosimilarity, and recommends that sponsors use a stepwise approach in the development of their biosimilar products. Biosimilar product applications thus may not be required to duplicate the entirety of preclinical and clinical testing used to establish the underlying safety and effectiveness of the reference product. However, the FDA may refuse to approve a biosimilar application if there is insufficient information to show that the active ingredients are the same or to demonstrate that any impurities or differences in active ingredients do not affect the safety, purity or potency of the biosimilar product. In addition, as with BLAs, biosimilar product applications will not be approved unless the product is manufactured in facilities designed to assure and preserve the biological product’s safety, purity and potency.</w:t>
      </w:r>
    </w:p>
    <w:p>
      <w:pPr>
        <w:spacing w:after="0" w:line="87" w:lineRule="exact"/>
        <w:rPr>
          <w:sz w:val="20"/>
          <w:szCs w:val="20"/>
          <w:color w:val="auto"/>
        </w:rPr>
      </w:pPr>
    </w:p>
    <w:p>
      <w:pPr>
        <w:ind w:right="20" w:firstLine="541"/>
        <w:spacing w:after="0" w:line="275" w:lineRule="auto"/>
        <w:rPr>
          <w:sz w:val="20"/>
          <w:szCs w:val="20"/>
          <w:color w:val="auto"/>
        </w:rPr>
      </w:pPr>
      <w:r>
        <w:rPr>
          <w:rFonts w:ascii="Arial" w:cs="Arial" w:eastAsia="Arial" w:hAnsi="Arial"/>
          <w:sz w:val="17"/>
          <w:szCs w:val="17"/>
          <w:color w:val="auto"/>
        </w:rPr>
        <w:t>The submission of a biosimilar application does not guarantee that the FDA will accept the application for filing and review, as the FDA may refuse to accept applications that it finds are insufficiently complete. The FDA will treat a biosimilar application or supplement as incomplete if, among other reasons, any applicable user fees assessed under the Biosimilar User Fee Act of 2012 have not been paid. In addition, the FDA may accept an application for filing but deny approval on the basis that the sponsor has not demonstrated biosimilarity, in which case the sponsor may choose to conduct further analytical, preclinical or clinical studies and submit a BLA for licensure as a new biological product.</w:t>
      </w:r>
    </w:p>
    <w:p>
      <w:pPr>
        <w:spacing w:after="0" w:line="68" w:lineRule="exact"/>
        <w:rPr>
          <w:sz w:val="20"/>
          <w:szCs w:val="20"/>
          <w:color w:val="auto"/>
        </w:rPr>
      </w:pPr>
    </w:p>
    <w:p>
      <w:pPr>
        <w:ind w:firstLine="541"/>
        <w:spacing w:after="0" w:line="269" w:lineRule="auto"/>
        <w:rPr>
          <w:sz w:val="20"/>
          <w:szCs w:val="20"/>
          <w:color w:val="auto"/>
        </w:rPr>
      </w:pPr>
      <w:r>
        <w:rPr>
          <w:rFonts w:ascii="Arial" w:cs="Arial" w:eastAsia="Arial" w:hAnsi="Arial"/>
          <w:sz w:val="17"/>
          <w:szCs w:val="17"/>
          <w:color w:val="auto"/>
        </w:rPr>
        <w:t>The timing of final FDA approval of a biosimilar for commercial distribution depends on a variety of factors, including whether the manufacturer of the branded product is entitled to one or more statutory exclusivity periods, during which time the FDA is prohibited from approving any products that are biosimilar to the branded product. The FDA cannot approve a biosimilar application for twelve years from the date of first licensure of the reference product. Additionally, a biosimilar product sponsor may not submit an application for four years from the date of first licensure of the reference product. A reference product may also be entitled to exclusivity under other statutory provisions. For example, a reference product designated for a rare disease or condition (an “orphan drug”) may be entitled to seven years of exclusivity, in which case no product that is biosimilar to the reference product may be approved until either the end of the twelve-year period provided under the biosimilarity statute or the end of the seven-year orphan drug exclusivity period, whichever occurs later. In certain circumstances, a regulatory exclusivity period can extend beyond the life of a patent, and thus block biosimilarity applications from being approved on or after the patent expiration date. In addition, the FDA may under certain circumstances extend the exclusivity period for the reference product by an additional six months if the FDA requests, and the manufacturer undertakes, studies on the effect of its product in children, a so-called pediatric extension.</w:t>
      </w:r>
    </w:p>
    <w:p>
      <w:pPr>
        <w:spacing w:after="0" w:line="74" w:lineRule="exact"/>
        <w:rPr>
          <w:sz w:val="20"/>
          <w:szCs w:val="20"/>
          <w:color w:val="auto"/>
        </w:rPr>
      </w:pPr>
    </w:p>
    <w:p>
      <w:pPr>
        <w:ind w:firstLine="541"/>
        <w:spacing w:after="0" w:line="254" w:lineRule="auto"/>
        <w:rPr>
          <w:sz w:val="20"/>
          <w:szCs w:val="20"/>
          <w:color w:val="auto"/>
        </w:rPr>
      </w:pPr>
      <w:r>
        <w:rPr>
          <w:rFonts w:ascii="Arial" w:cs="Arial" w:eastAsia="Arial" w:hAnsi="Arial"/>
          <w:sz w:val="18"/>
          <w:szCs w:val="18"/>
          <w:color w:val="auto"/>
        </w:rPr>
        <w:t>The first biological product determined to be interchangeable with a branded product for any condition of use is also entitled to a period of exclusivity, during which time the FDA may not determine that another product is interchangeable with the reference product for any condition of use. This exclusivity period extends until the earlier of: (1) one year after the first commercial marketing of the first interchangeable product; (2) 18 months after resolution of a patent infringement against the applicant that submitted the application for the first interchangeable product, based on a final court decision regarding all of the patents in the litigation or dismissal of the litigation with or without prejudice; (3) 42 months after approval of the first interchangeable product, if a patent infringement suit against the applicant that submitted the application for the first interchangeable product is still ongoing; or (4) 18 months after approval of the first interchangeable product if the applicant that submitted the application for the first interchangeable product has not been sued.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40" w:firstLine="541"/>
        <w:spacing w:after="0" w:line="254" w:lineRule="auto"/>
        <w:rPr>
          <w:sz w:val="20"/>
          <w:szCs w:val="20"/>
          <w:color w:val="auto"/>
        </w:rPr>
      </w:pPr>
      <w:r>
        <w:rPr>
          <w:rFonts w:ascii="Arial" w:cs="Arial" w:eastAsia="Arial" w:hAnsi="Arial"/>
          <w:sz w:val="18"/>
          <w:szCs w:val="18"/>
          <w:color w:val="auto"/>
        </w:rPr>
        <w:t>Following approval of a new product, the manufacturer and the approved product are subject to continuing regulation by the FDA, including, among other things, monitoring and record-keeping requirements, requirements to report adverse experiences, and comply with promotion and advertising requirements, which include restrictions on promoting drugs for unapproved uses or patient populations (known as “off-label use”) and limitations on industry-sponsored scientific and educational activities. Although physicians may prescribe legally available drugs for off-label uses, manufacturers may not market or promote such uses. Prescription drug promotional materials must be submitted to the FDA in conjunction with their first use. Further, if there are any modifications to the drug or biologic, including changes in indications, labeling or manufacturing processes or facilities, the applicant may be required to submit and obtain FDA approval of a new NDA/BLA or NDA/BLA supplement, which may require the development of additional data or preclinical studies and clinical trials.</w:t>
      </w:r>
    </w:p>
    <w:p>
      <w:pPr>
        <w:spacing w:after="0" w:line="84" w:lineRule="exact"/>
        <w:rPr>
          <w:sz w:val="20"/>
          <w:szCs w:val="20"/>
          <w:color w:val="auto"/>
        </w:rPr>
      </w:pPr>
    </w:p>
    <w:p>
      <w:pPr>
        <w:ind w:right="340" w:firstLine="541"/>
        <w:spacing w:after="0" w:line="257" w:lineRule="auto"/>
        <w:rPr>
          <w:sz w:val="20"/>
          <w:szCs w:val="20"/>
          <w:color w:val="auto"/>
        </w:rPr>
      </w:pPr>
      <w:r>
        <w:rPr>
          <w:rFonts w:ascii="Arial" w:cs="Arial" w:eastAsia="Arial" w:hAnsi="Arial"/>
          <w:sz w:val="18"/>
          <w:szCs w:val="18"/>
          <w:color w:val="auto"/>
        </w:rPr>
        <w:t>The FDA may also place other conditions on approvals including the requirement for a Risk Evaluation and Mitigation Strategy, or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2" w:name="page53"/>
    <w:bookmarkEnd w:id="52"/>
    <w:p>
      <w:pPr>
        <w:ind w:right="20" w:firstLine="541"/>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8" w:lineRule="exact"/>
        <w:rPr>
          <w:sz w:val="20"/>
          <w:szCs w:val="20"/>
          <w:color w:val="auto"/>
        </w:rPr>
      </w:pPr>
    </w:p>
    <w:p>
      <w:pPr>
        <w:ind w:left="660" w:hanging="11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applications, or suspension or revocation of product license approvals;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20" w:firstLine="541"/>
        <w:spacing w:after="0" w:line="259"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Drugs and biologics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Regulatory Matters</w:t>
      </w:r>
    </w:p>
    <w:p>
      <w:pPr>
        <w:spacing w:after="0" w:line="117" w:lineRule="exact"/>
        <w:rPr>
          <w:sz w:val="20"/>
          <w:szCs w:val="20"/>
          <w:color w:val="auto"/>
        </w:rPr>
      </w:pPr>
    </w:p>
    <w:p>
      <w:pPr>
        <w:jc w:val="both"/>
        <w:ind w:right="20" w:firstLine="541"/>
        <w:spacing w:after="0" w:line="301"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the United States in addition to the FDA, including the Centers for Medicare &amp; Medicaid Services,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49" w:lineRule="exact"/>
        <w:rPr>
          <w:sz w:val="20"/>
          <w:szCs w:val="20"/>
          <w:color w:val="auto"/>
        </w:rPr>
      </w:pPr>
    </w:p>
    <w:p>
      <w:pPr>
        <w:ind w:firstLine="541"/>
        <w:spacing w:after="0" w:line="269" w:lineRule="auto"/>
        <w:rPr>
          <w:sz w:val="20"/>
          <w:szCs w:val="20"/>
          <w:color w:val="auto"/>
        </w:rPr>
      </w:pPr>
      <w:r>
        <w:rPr>
          <w:rFonts w:ascii="Arial" w:cs="Arial" w:eastAsia="Arial" w:hAnsi="Arial"/>
          <w:sz w:val="17"/>
          <w:szCs w:val="17"/>
          <w:color w:val="auto"/>
        </w:rPr>
        <w:t>For example, in the United States, our business operations, including any sales, marketing and scientific and educational programs, also must comply with state and federal fraud and abuse laws, including the federal Anti-Kickback Statue and false claims laws; federal data privacy and security laws; and federal transparency laws related to payments and/or other transfers of value made to physicians and other healthcare professionals and teaching hospitals. The federal Anti-Kickback Statute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Moreover, the ACA provides that the government may assert that a claim including items or services resulting from a violation of the federal Anti-Kickback Statute constitutes a false or fraudulent claim for purposes of the False Claims Act. Federal false claims laws, including the False Claims Act,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spacing w:after="0" w:line="71" w:lineRule="exact"/>
        <w:rPr>
          <w:sz w:val="20"/>
          <w:szCs w:val="20"/>
          <w:color w:val="auto"/>
        </w:rPr>
      </w:pPr>
    </w:p>
    <w:p>
      <w:pPr>
        <w:ind w:right="60" w:firstLine="541"/>
        <w:spacing w:after="0" w:line="273" w:lineRule="auto"/>
        <w:rPr>
          <w:sz w:val="20"/>
          <w:szCs w:val="20"/>
          <w:color w:val="auto"/>
        </w:rPr>
      </w:pPr>
      <w:r>
        <w:rPr>
          <w:rFonts w:ascii="Arial" w:cs="Arial" w:eastAsia="Arial" w:hAnsi="Arial"/>
          <w:sz w:val="17"/>
          <w:szCs w:val="17"/>
          <w:color w:val="auto"/>
        </w:rPr>
        <w:t>Many states have similar laws and regulations that may differ from federal law in significant ways, thus complicating compliance efforts. For example, states have anti-kickback and false claims laws that may be broader in scope than analogous federal laws and may apply regardless of payer. In addition, state data privacy laws that protect the security of health information may differ from each other and may not be preempted by federal law. Moreover, several states have enacted legislation requiring pharmaceutical manufacturers to, among other things, establish marketing compliance programs, file periodic reports with the state, make periodic public disclosures on sales and marketing activities, report information related to drug pricing, require the registration of sales representatives, and prohibit certain other sales and marketing practices.</w:t>
      </w:r>
    </w:p>
    <w:p>
      <w:pPr>
        <w:spacing w:after="0" w:line="70" w:lineRule="exact"/>
        <w:rPr>
          <w:sz w:val="20"/>
          <w:szCs w:val="20"/>
          <w:color w:val="auto"/>
        </w:rPr>
      </w:pPr>
    </w:p>
    <w:p>
      <w:pPr>
        <w:jc w:val="both"/>
        <w:ind w:right="20" w:firstLine="541"/>
        <w:spacing w:after="0" w:line="301" w:lineRule="auto"/>
        <w:rPr>
          <w:sz w:val="20"/>
          <w:szCs w:val="20"/>
          <w:color w:val="auto"/>
        </w:rPr>
      </w:pPr>
      <w:r>
        <w:rPr>
          <w:rFonts w:ascii="Arial" w:cs="Arial" w:eastAsia="Arial" w:hAnsi="Arial"/>
          <w:sz w:val="16"/>
          <w:szCs w:val="16"/>
          <w:color w:val="auto"/>
        </w:rPr>
        <w:t>Pricing and rebate programs must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49" w:lineRule="exact"/>
        <w:rPr>
          <w:sz w:val="20"/>
          <w:szCs w:val="20"/>
          <w:color w:val="auto"/>
        </w:rPr>
      </w:pPr>
    </w:p>
    <w:p>
      <w:pPr>
        <w:ind w:right="100" w:firstLine="541"/>
        <w:spacing w:after="0" w:line="277" w:lineRule="auto"/>
        <w:rPr>
          <w:sz w:val="20"/>
          <w:szCs w:val="20"/>
          <w:color w:val="auto"/>
        </w:rPr>
      </w:pPr>
      <w:r>
        <w:rPr>
          <w:rFonts w:ascii="Arial" w:cs="Arial" w:eastAsia="Arial" w:hAnsi="Arial"/>
          <w:sz w:val="18"/>
          <w:szCs w:val="18"/>
          <w:color w:val="auto"/>
        </w:rPr>
        <w:t>The distribution of biologic and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3" w:name="page54"/>
    <w:bookmarkEnd w:id="53"/>
    <w:p>
      <w:pPr>
        <w:ind w:right="120" w:firstLine="541"/>
        <w:spacing w:after="0" w:line="291" w:lineRule="auto"/>
        <w:rPr>
          <w:sz w:val="20"/>
          <w:szCs w:val="20"/>
          <w:color w:val="auto"/>
        </w:rPr>
      </w:pPr>
      <w:r>
        <w:rPr>
          <w:rFonts w:ascii="Arial" w:cs="Arial" w:eastAsia="Arial" w:hAnsi="Arial"/>
          <w:sz w:val="16"/>
          <w:szCs w:val="16"/>
          <w:color w:val="auto"/>
        </w:rPr>
        <w:t>The failure to comply with any of these laws or regulatory requirements subjects firms to possible legal or regulatory action. Depending on the circumstances, failure to meet applicable regulatory requirements can result in significant penalties, including administrative, civil, and criminal penalties, fines, imprisonment, disgorgement, injunctions, exclusion from participation in federal healthcare programs, integrity oversight and reporting obligations, requests for recall,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Changes in regulations, statutes or the interpretation of existing regulations could impact our business in the future by requiring, for example: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 changes to our manufacturing arrangements; (2) additions or modifications to product labeling; (3) the recall or discontinuation of our products; or</w:t>
      </w:r>
    </w:p>
    <w:p>
      <w:pPr>
        <w:spacing w:after="0" w:line="21" w:lineRule="exact"/>
        <w:rPr>
          <w:sz w:val="20"/>
          <w:szCs w:val="20"/>
          <w:color w:val="auto"/>
        </w:rPr>
      </w:pPr>
    </w:p>
    <w:p>
      <w:pPr>
        <w:ind w:right="20" w:firstLine="8"/>
        <w:spacing w:after="0" w:line="285" w:lineRule="auto"/>
        <w:tabs>
          <w:tab w:leader="none" w:pos="25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additional record-keeping requirements. If any such changes were to be imposed, they could adversely affect the operation of our business. Further, the United States, there have been and continue to be a number of healthcare-related legislative initiatives that have significantly affected the healthcare industry. For example, there remain judicial challenges to certain aspects of the ACA. On December 14, 2018, a U.S. District Court Judge in the Northern District of Texas, ruled that the individual mandate is a critical and inseverable feature of the ACA, and therefore, because it was repealed as part of the Tax Act, the remaining provisions of the ACA are invalid as well. Additionally, on December 18, 2019, the U.S. Court of Appeals for the 5th Circuit upheld the District Court ruling that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is expected to occur in the fall. It is unclear how such litigation and other efforts to repeal and replace the ACA will impact the ACA. 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Patent-Term Restoration and Marketing Exclusivity</w:t>
      </w:r>
    </w:p>
    <w:p>
      <w:pPr>
        <w:spacing w:after="0" w:line="117" w:lineRule="exact"/>
        <w:rPr>
          <w:sz w:val="20"/>
          <w:szCs w:val="20"/>
          <w:color w:val="auto"/>
        </w:rPr>
      </w:pPr>
    </w:p>
    <w:p>
      <w:pPr>
        <w:ind w:firstLine="541"/>
        <w:spacing w:after="0" w:line="269" w:lineRule="auto"/>
        <w:rPr>
          <w:sz w:val="20"/>
          <w:szCs w:val="20"/>
          <w:color w:val="auto"/>
        </w:rPr>
      </w:pPr>
      <w:r>
        <w:rPr>
          <w:rFonts w:ascii="Arial" w:cs="Arial" w:eastAsia="Arial" w:hAnsi="Arial"/>
          <w:sz w:val="17"/>
          <w:szCs w:val="17"/>
          <w:color w:val="auto"/>
        </w:rPr>
        <w:t>Depending upon the timing, duration and specifics of FDA approval of any future product candidates, some of our U.S. patents may be eligible for limited patent term extension under the Drug Price Competition and Patent Term Restoration Act of 1984, commonly referred to as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patent-term restoration period is generally one-half the time between the effective date of an IND and the submission date of an NDA or BLA plus the time between the submission date of an NDA or BLA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 or BLA.</w:t>
      </w:r>
    </w:p>
    <w:p>
      <w:pPr>
        <w:spacing w:after="0" w:line="74" w:lineRule="exact"/>
        <w:rPr>
          <w:sz w:val="20"/>
          <w:szCs w:val="20"/>
          <w:color w:val="auto"/>
        </w:rPr>
      </w:pPr>
    </w:p>
    <w:p>
      <w:pPr>
        <w:ind w:right="20" w:firstLine="541"/>
        <w:spacing w:after="0" w:line="268" w:lineRule="auto"/>
        <w:rPr>
          <w:sz w:val="20"/>
          <w:szCs w:val="20"/>
          <w:color w:val="auto"/>
        </w:rPr>
      </w:pPr>
      <w:r>
        <w:rPr>
          <w:rFonts w:ascii="Arial" w:cs="Arial" w:eastAsia="Arial" w:hAnsi="Arial"/>
          <w:sz w:val="17"/>
          <w:szCs w:val="17"/>
          <w:color w:val="auto"/>
        </w:rPr>
        <w:t>Market exclusivity provisions under the FDCA also can delay the submission or the approval of certain applications. The FDCA provides a five-year period of non-patent marketing exclusivity within the United States to the first applicant to gain approval of a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78" w:lineRule="exact"/>
        <w:rPr>
          <w:sz w:val="20"/>
          <w:szCs w:val="20"/>
          <w:color w:val="auto"/>
        </w:rPr>
      </w:pPr>
    </w:p>
    <w:p>
      <w:pPr>
        <w:ind w:right="20" w:firstLine="541"/>
        <w:spacing w:after="0" w:line="275" w:lineRule="auto"/>
        <w:rPr>
          <w:sz w:val="20"/>
          <w:szCs w:val="20"/>
          <w:color w:val="auto"/>
        </w:rPr>
      </w:pPr>
      <w:r>
        <w:rPr>
          <w:rFonts w:ascii="Arial" w:cs="Arial" w:eastAsia="Arial" w:hAnsi="Arial"/>
          <w:sz w:val="17"/>
          <w:szCs w:val="17"/>
          <w:color w:val="auto"/>
        </w:rPr>
        <w:t>A reference biological product is granted twelve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ind w:right="40"/>
        <w:spacing w:after="0" w:line="273" w:lineRule="auto"/>
        <w:rPr>
          <w:sz w:val="20"/>
          <w:szCs w:val="20"/>
          <w:color w:val="auto"/>
        </w:rPr>
      </w:pPr>
      <w:r>
        <w:rPr>
          <w:rFonts w:ascii="Arial" w:cs="Arial" w:eastAsia="Arial" w:hAnsi="Arial"/>
          <w:sz w:val="17"/>
          <w:szCs w:val="17"/>
          <w:color w:val="auto"/>
        </w:rPr>
        <w:t>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117" w:lineRule="exact"/>
        <w:rPr>
          <w:sz w:val="20"/>
          <w:szCs w:val="20"/>
          <w:color w:val="auto"/>
        </w:rPr>
      </w:pPr>
    </w:p>
    <w:p>
      <w:pPr>
        <w:ind w:right="360" w:firstLine="541"/>
        <w:spacing w:after="0" w:line="277" w:lineRule="auto"/>
        <w:rPr>
          <w:sz w:val="20"/>
          <w:szCs w:val="20"/>
          <w:color w:val="auto"/>
        </w:rPr>
      </w:pPr>
      <w:r>
        <w:rPr>
          <w:rFonts w:ascii="Arial" w:cs="Arial" w:eastAsia="Arial" w:hAnsi="Arial"/>
          <w:sz w:val="18"/>
          <w:szCs w:val="18"/>
          <w:color w:val="auto"/>
        </w:rPr>
        <w:t>As in the United States, medicinal products can be marketed only if a marketing authorization from the competent regulatory agencies has been obtained.</w:t>
      </w:r>
    </w:p>
    <w:p>
      <w:pPr>
        <w:spacing w:after="0" w:line="62" w:lineRule="exact"/>
        <w:rPr>
          <w:sz w:val="20"/>
          <w:szCs w:val="20"/>
          <w:color w:val="auto"/>
        </w:rPr>
      </w:pPr>
    </w:p>
    <w:p>
      <w:pPr>
        <w:ind w:right="20" w:firstLine="541"/>
        <w:spacing w:after="0" w:line="272" w:lineRule="auto"/>
        <w:rPr>
          <w:sz w:val="20"/>
          <w:szCs w:val="20"/>
          <w:color w:val="auto"/>
        </w:rPr>
      </w:pPr>
      <w:r>
        <w:rPr>
          <w:rFonts w:ascii="Arial" w:cs="Arial" w:eastAsia="Arial" w:hAnsi="Arial"/>
          <w:sz w:val="17"/>
          <w:szCs w:val="17"/>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69" w:lineRule="exact"/>
        <w:rPr>
          <w:sz w:val="20"/>
          <w:szCs w:val="20"/>
          <w:color w:val="auto"/>
        </w:rPr>
      </w:pPr>
    </w:p>
    <w:p>
      <w:pPr>
        <w:ind w:firstLine="541"/>
        <w:spacing w:after="0" w:line="259" w:lineRule="auto"/>
        <w:rPr>
          <w:sz w:val="20"/>
          <w:szCs w:val="20"/>
          <w:color w:val="auto"/>
        </w:rPr>
      </w:pPr>
      <w:r>
        <w:rPr>
          <w:rFonts w:ascii="Arial" w:cs="Arial" w:eastAsia="Arial" w:hAnsi="Arial"/>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117" w:lineRule="exact"/>
        <w:rPr>
          <w:sz w:val="20"/>
          <w:szCs w:val="20"/>
          <w:color w:val="auto"/>
        </w:rPr>
      </w:pPr>
    </w:p>
    <w:p>
      <w:pPr>
        <w:ind w:right="20" w:firstLine="541"/>
        <w:spacing w:after="0" w:line="263" w:lineRule="auto"/>
        <w:rPr>
          <w:sz w:val="20"/>
          <w:szCs w:val="20"/>
          <w:color w:val="auto"/>
        </w:rPr>
      </w:pPr>
      <w:r>
        <w:rPr>
          <w:rFonts w:ascii="Arial" w:cs="Arial" w:eastAsia="Arial" w:hAnsi="Arial"/>
          <w:sz w:val="18"/>
          <w:szCs w:val="18"/>
          <w:color w:val="auto"/>
        </w:rPr>
        <w:t>In the European Economic Area, or EEA, which is comprised of the 27 Member States of the European Union (including Norway and excluding Croatia), Iceland and Liechtenstein, medicinal products can only be commercialized after obtaining a Marketing Authorization, or MA. There are two types of marketing authorizations.</w:t>
      </w:r>
    </w:p>
    <w:p>
      <w:pPr>
        <w:spacing w:after="0" w:line="76" w:lineRule="exact"/>
        <w:rPr>
          <w:sz w:val="20"/>
          <w:szCs w:val="20"/>
          <w:color w:val="auto"/>
        </w:rPr>
      </w:pPr>
    </w:p>
    <w:p>
      <w:pPr>
        <w:ind w:left="660" w:hanging="112"/>
        <w:spacing w:after="0" w:line="25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Community MA is issued by the European Commission through the Centralized Procedure,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83" w:lineRule="exact"/>
        <w:rPr>
          <w:rFonts w:ascii="Arial" w:cs="Arial" w:eastAsia="Arial" w:hAnsi="Arial"/>
          <w:sz w:val="18"/>
          <w:szCs w:val="18"/>
          <w:color w:val="auto"/>
        </w:rPr>
      </w:pPr>
    </w:p>
    <w:p>
      <w:pPr>
        <w:ind w:left="660" w:hanging="112"/>
        <w:spacing w:after="0" w:line="26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w:t>
      </w:r>
      <w:r>
        <w:rPr>
          <w:rFonts w:ascii="Arial" w:cs="Arial" w:eastAsia="Arial" w:hAnsi="Arial"/>
          <w:sz w:val="17"/>
          <w:szCs w:val="17"/>
          <w:i w:val="1"/>
          <w:iCs w:val="1"/>
          <w:color w:val="auto"/>
        </w:rPr>
        <w:t>i.e.,</w:t>
      </w:r>
      <w:r>
        <w:rPr>
          <w:rFonts w:ascii="Arial" w:cs="Arial" w:eastAsia="Arial" w:hAnsi="Arial"/>
          <w:sz w:val="17"/>
          <w:szCs w:val="17"/>
          <w:color w:val="auto"/>
        </w:rPr>
        <w:t xml:space="preserve"> in the RMS and the Member States Concerned).</w:t>
      </w:r>
    </w:p>
    <w:p>
      <w:pPr>
        <w:spacing w:after="0" w:line="74" w:lineRule="exact"/>
        <w:rPr>
          <w:sz w:val="20"/>
          <w:szCs w:val="20"/>
          <w:color w:val="auto"/>
        </w:rPr>
      </w:pPr>
    </w:p>
    <w:p>
      <w:pPr>
        <w:ind w:right="240" w:firstLine="541"/>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People’s Republic of China Drug Regulation</w:t>
      </w:r>
    </w:p>
    <w:p>
      <w:pPr>
        <w:spacing w:after="0" w:line="117" w:lineRule="exact"/>
        <w:rPr>
          <w:sz w:val="20"/>
          <w:szCs w:val="20"/>
          <w:color w:val="auto"/>
        </w:rPr>
      </w:pPr>
    </w:p>
    <w:p>
      <w:pPr>
        <w:ind w:right="280" w:firstLine="541"/>
        <w:spacing w:after="0" w:line="255" w:lineRule="auto"/>
        <w:rPr>
          <w:sz w:val="20"/>
          <w:szCs w:val="20"/>
          <w:color w:val="auto"/>
        </w:rPr>
      </w:pPr>
      <w:r>
        <w:rPr>
          <w:rFonts w:ascii="Arial" w:cs="Arial" w:eastAsia="Arial" w:hAnsi="Arial"/>
          <w:sz w:val="18"/>
          <w:szCs w:val="18"/>
          <w:color w:val="auto"/>
        </w:rPr>
        <w:t>China heavily regulates the development, approval, manufacturing and distribution of drugs, including biologics. The specific regulatory requirements applicable depend on whether the drug is made and finished in China, which is referred to as a domestically manufactured drug, or made abroad and imported into China in finished form, which is referred to as an imported drug, as well as the approval or “registration” category of the drug. For both imported and domestically manufactured drugs, China typically requires regulatory approval for a clinical trial, or CTA, prior to submitting an application for marketing approval. For a domestically manufactured drug, there is also a requirement for a drug manufacturing license for a facility in China.</w:t>
      </w:r>
    </w:p>
    <w:p>
      <w:pPr>
        <w:spacing w:after="0" w:line="84" w:lineRule="exact"/>
        <w:rPr>
          <w:sz w:val="20"/>
          <w:szCs w:val="20"/>
          <w:color w:val="auto"/>
        </w:rPr>
      </w:pPr>
    </w:p>
    <w:p>
      <w:pPr>
        <w:ind w:right="480" w:firstLine="541"/>
        <w:spacing w:after="0" w:line="279" w:lineRule="auto"/>
        <w:rPr>
          <w:sz w:val="20"/>
          <w:szCs w:val="20"/>
          <w:color w:val="auto"/>
        </w:rPr>
      </w:pPr>
      <w:r>
        <w:rPr>
          <w:rFonts w:ascii="Arial" w:cs="Arial" w:eastAsia="Arial" w:hAnsi="Arial"/>
          <w:sz w:val="17"/>
          <w:szCs w:val="17"/>
          <w:color w:val="auto"/>
        </w:rPr>
        <w:t>In 2017, the drug regulatory system entered a new and significant period of reform. The State Council and the China Communist Party jointly issued the Opinion on Deepening the Reform of the Regulatory Approval System to Encourage Innovation in Drugs and Medical Devices, or the Innovation Opinion. The expedited programs and other advantages under this and other recent reforms encourage drug manufacturers to seek market approval in China first, manufacture domestically, and develop drugs in high priority disease areas.</w:t>
      </w:r>
    </w:p>
    <w:p>
      <w:pPr>
        <w:spacing w:after="0" w:line="63" w:lineRule="exact"/>
        <w:rPr>
          <w:sz w:val="20"/>
          <w:szCs w:val="20"/>
          <w:color w:val="auto"/>
        </w:rPr>
      </w:pPr>
    </w:p>
    <w:p>
      <w:pPr>
        <w:ind w:firstLine="541"/>
        <w:spacing w:after="0" w:line="293" w:lineRule="auto"/>
        <w:rPr>
          <w:sz w:val="20"/>
          <w:szCs w:val="20"/>
          <w:color w:val="auto"/>
        </w:rPr>
      </w:pPr>
      <w:r>
        <w:rPr>
          <w:rFonts w:ascii="Arial" w:cs="Arial" w:eastAsia="Arial" w:hAnsi="Arial"/>
          <w:sz w:val="16"/>
          <w:szCs w:val="16"/>
          <w:color w:val="auto"/>
        </w:rPr>
        <w:t>To implement the regulatory reform introduced by the Innovation Opinion, the China Drug Authority, or CDA, is currently revising the fundamental laws, regulations and rules regulating pharmaceutical products and the industry, which include the framework law known as the PRC Drug Administration Law, or DAL. The DAL is also generally implemented by a set of regulations issued by the State Council referred to as the DAL Implementing Regulation. The CDA has its own set of regulations implementing the DAL; the primary one governing clinical trial applications, marketing approval, and license renewal and amendment is known as the Drug Registration Regulation. However, the implementing regulations for many of the reforms in the Innovation Opinion had not been announced, and therefore, the details in the implementation of the regulatory changes remained uncertain in some respects.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Authorities and Recent Government Reorganization</w:t>
      </w:r>
    </w:p>
    <w:p>
      <w:pPr>
        <w:spacing w:after="0" w:line="117" w:lineRule="exact"/>
        <w:rPr>
          <w:sz w:val="20"/>
          <w:szCs w:val="20"/>
          <w:color w:val="auto"/>
        </w:rPr>
      </w:pPr>
    </w:p>
    <w:p>
      <w:pPr>
        <w:ind w:right="120" w:firstLine="541"/>
        <w:spacing w:after="0" w:line="259" w:lineRule="auto"/>
        <w:rPr>
          <w:sz w:val="20"/>
          <w:szCs w:val="20"/>
          <w:color w:val="auto"/>
        </w:rPr>
      </w:pPr>
      <w:r>
        <w:rPr>
          <w:rFonts w:ascii="Arial" w:cs="Arial" w:eastAsia="Arial" w:hAnsi="Arial"/>
          <w:sz w:val="18"/>
          <w:szCs w:val="18"/>
          <w:color w:val="auto"/>
        </w:rPr>
        <w:t>In the PRC, the CDA is the primary regulator for pharmaceutical products and businesses. It regulates almost all of the key stages of the life-cycle of pharmaceutical products, including nonclinical studies, clinical trials, marketing approvals, manufacturing, advertising and promotion, distribution, and pharmacovigilance (</w:t>
      </w:r>
      <w:r>
        <w:rPr>
          <w:rFonts w:ascii="Arial" w:cs="Arial" w:eastAsia="Arial" w:hAnsi="Arial"/>
          <w:sz w:val="18"/>
          <w:szCs w:val="18"/>
          <w:i w:val="1"/>
          <w:iCs w:val="1"/>
          <w:color w:val="auto"/>
        </w:rPr>
        <w:t>i.e.,</w:t>
      </w:r>
      <w:r>
        <w:rPr>
          <w:rFonts w:ascii="Arial" w:cs="Arial" w:eastAsia="Arial" w:hAnsi="Arial"/>
          <w:sz w:val="18"/>
          <w:szCs w:val="18"/>
          <w:color w:val="auto"/>
        </w:rPr>
        <w:t xml:space="preserve"> post-marketing safety reporting obligations). The CDE, which is under the CDA, conducts the technical evaluation of each drug and biologic application for safety and effectiveness.</w:t>
      </w:r>
    </w:p>
    <w:p>
      <w:pPr>
        <w:spacing w:after="0" w:line="79" w:lineRule="exact"/>
        <w:rPr>
          <w:sz w:val="20"/>
          <w:szCs w:val="20"/>
          <w:color w:val="auto"/>
        </w:rPr>
      </w:pPr>
    </w:p>
    <w:p>
      <w:pPr>
        <w:ind w:right="60" w:firstLine="541"/>
        <w:spacing w:after="0" w:line="296" w:lineRule="auto"/>
        <w:rPr>
          <w:sz w:val="20"/>
          <w:szCs w:val="20"/>
          <w:color w:val="auto"/>
        </w:rPr>
      </w:pPr>
      <w:r>
        <w:rPr>
          <w:rFonts w:ascii="Arial" w:cs="Arial" w:eastAsia="Arial" w:hAnsi="Arial"/>
          <w:sz w:val="16"/>
          <w:szCs w:val="16"/>
          <w:color w:val="auto"/>
        </w:rPr>
        <w:t>The National Health and Family Planning Commission, or NHFPC, formerly known as the Ministry of Health, or MOH, is China’s chief healthcare regulator. It is primarily responsible for overseeing the operation of medical institutions, which also serve as clinical trial sites, and regulating the licensure of hospitals and other medical personnel. NHFPC plays a significant role in drug reimbursement. Furthermore, the NHFPC and its local counterparts at or below the provincial-level of local government also oversee and organize public medical institutions’ centralized bidding and procurement process for pharmaceutical products. This is the chief way that public hospitals and their internal pharmacies acquire drugs.</w:t>
      </w:r>
    </w:p>
    <w:p>
      <w:pPr>
        <w:spacing w:after="0" w:line="53" w:lineRule="exact"/>
        <w:rPr>
          <w:sz w:val="20"/>
          <w:szCs w:val="20"/>
          <w:color w:val="auto"/>
        </w:rPr>
      </w:pPr>
    </w:p>
    <w:p>
      <w:pPr>
        <w:ind w:right="80" w:firstLine="541"/>
        <w:spacing w:after="0" w:line="273" w:lineRule="auto"/>
        <w:rPr>
          <w:sz w:val="20"/>
          <w:szCs w:val="20"/>
          <w:color w:val="auto"/>
        </w:rPr>
      </w:pPr>
      <w:r>
        <w:rPr>
          <w:rFonts w:ascii="Arial" w:cs="Arial" w:eastAsia="Arial" w:hAnsi="Arial"/>
          <w:sz w:val="17"/>
          <w:szCs w:val="17"/>
          <w:color w:val="auto"/>
        </w:rPr>
        <w:t>China has recently reorganized the agencies that regulate drugs, healthcare, and the state health insurance plans, although it is still not entirely clear what effect on policy these changes will ultimately have in terms of making the drug approval process more efficient. The drug regulatory agency, CFDA, is merged into a State Administration on Market Regulation, or SAMR, along with other agencies that regulate consumer protection, product quality and anti-monopoly. The drug, device and cosmetic regulatory functions of CFDA is put under the CDA, which is subordinate to the SAMR. The National Health Commission, or the NHC, will be the healthcare regulator replacing the NHFPC, and a new, separate State Medical Insurance Bureau will focus on regulating reimbursement under the state-sponsored insurance plans.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and Clinical Development</w:t>
      </w:r>
    </w:p>
    <w:p>
      <w:pPr>
        <w:spacing w:after="0" w:line="117" w:lineRule="exact"/>
        <w:rPr>
          <w:sz w:val="20"/>
          <w:szCs w:val="20"/>
          <w:color w:val="auto"/>
        </w:rPr>
      </w:pPr>
    </w:p>
    <w:p>
      <w:pPr>
        <w:ind w:right="40" w:firstLine="541"/>
        <w:spacing w:after="0" w:line="259" w:lineRule="auto"/>
        <w:rPr>
          <w:sz w:val="20"/>
          <w:szCs w:val="20"/>
          <w:color w:val="auto"/>
        </w:rPr>
      </w:pPr>
      <w:r>
        <w:rPr>
          <w:rFonts w:ascii="Arial" w:cs="Arial" w:eastAsia="Arial" w:hAnsi="Arial"/>
          <w:sz w:val="18"/>
          <w:szCs w:val="18"/>
          <w:color w:val="auto"/>
        </w:rPr>
        <w:t>The CDA requires both pre-clinical and clinical data to support registration applications for imported and domestic drugs. Pre-clinical work, including pharmacology and toxicology studies, must meet the GLP, issued in July 2017. The CDA accredits GLP labs and requires that nonclinical studies on chemical drug substances and preparations and biologics that are not yet marketed in China be conducted there. There are no approvals required from the CDA to conduct pre-clinical studies.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Registration Categories</w:t>
      </w:r>
    </w:p>
    <w:p>
      <w:pPr>
        <w:spacing w:after="0" w:line="117" w:lineRule="exact"/>
        <w:rPr>
          <w:sz w:val="20"/>
          <w:szCs w:val="20"/>
          <w:color w:val="auto"/>
        </w:rPr>
      </w:pPr>
    </w:p>
    <w:p>
      <w:pPr>
        <w:ind w:right="20" w:firstLine="541"/>
        <w:spacing w:after="0" w:line="272" w:lineRule="auto"/>
        <w:rPr>
          <w:sz w:val="20"/>
          <w:szCs w:val="20"/>
          <w:color w:val="auto"/>
        </w:rPr>
      </w:pPr>
      <w:r>
        <w:rPr>
          <w:rFonts w:ascii="Arial" w:cs="Arial" w:eastAsia="Arial" w:hAnsi="Arial"/>
          <w:sz w:val="17"/>
          <w:szCs w:val="17"/>
          <w:color w:val="auto"/>
        </w:rPr>
        <w:t>Prior to engaging with the CDA on research and development and approval, an applicant will need to determine the registration category for its drug candidate (which will ultimately need to be confirmed with the CDA), which will determine the requirements for its clinical trial and marketing application. There are five categories for small molecule drugs: Category 1 (“innovative drugs”) refers to drugs that have a new chemical entity that has not been marketed anywhere in the world, Category 2 (“improved new drugs”) refers to drugs with a new indication, dosage form, route of administration, combination, or certain formulation changes not approved in the world, Categories 3 and 4 are for generics that reference an innovator drug (or certain well-known generic drugs) marketed either abroad or in China, respectively, and Category 5 refers to originator or generic drugs that have already been marketed abroad but are not yet approved in China (</w:t>
      </w:r>
      <w:r>
        <w:rPr>
          <w:rFonts w:ascii="Arial" w:cs="Arial" w:eastAsia="Arial" w:hAnsi="Arial"/>
          <w:sz w:val="17"/>
          <w:szCs w:val="17"/>
          <w:i w:val="1"/>
          <w:iCs w:val="1"/>
          <w:color w:val="auto"/>
        </w:rPr>
        <w:t>i.e.</w:t>
      </w:r>
      <w:r>
        <w:rPr>
          <w:rFonts w:ascii="Arial" w:cs="Arial" w:eastAsia="Arial" w:hAnsi="Arial"/>
          <w:sz w:val="17"/>
          <w:szCs w:val="17"/>
          <w:color w:val="auto"/>
        </w:rPr>
        <w:t>, many imported drugs).</w:t>
      </w:r>
    </w:p>
    <w:p>
      <w:pPr>
        <w:spacing w:after="0" w:line="69" w:lineRule="exact"/>
        <w:rPr>
          <w:sz w:val="20"/>
          <w:szCs w:val="20"/>
          <w:color w:val="auto"/>
        </w:rPr>
      </w:pPr>
    </w:p>
    <w:p>
      <w:pPr>
        <w:ind w:right="180" w:firstLine="541"/>
        <w:spacing w:after="0" w:line="279" w:lineRule="auto"/>
        <w:rPr>
          <w:sz w:val="20"/>
          <w:szCs w:val="20"/>
          <w:color w:val="auto"/>
        </w:rPr>
      </w:pPr>
      <w:r>
        <w:rPr>
          <w:rFonts w:ascii="Arial" w:cs="Arial" w:eastAsia="Arial" w:hAnsi="Arial"/>
          <w:sz w:val="17"/>
          <w:szCs w:val="17"/>
          <w:color w:val="auto"/>
        </w:rPr>
        <w:t>Therapeutic biologics follow a similar categorization, with Category 1 being new to the world, but with fifteen product-specific categories. Like with small molecule drugs, Category 1 for biologics is also for innovative biologics that have not been approved inside or outside of China. A clear regulatory pathway for biosimilars does not yet exist, but the CDA may soon develop one in its revision of implementing rules pursuant to the Innovation Opinion. We have not yet discussed with the CDA the categorization of any of our product candidates, including KSI-301.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Programs – Priority Evaluation and Approval Programs to Encourage Innovation</w:t>
      </w:r>
    </w:p>
    <w:p>
      <w:pPr>
        <w:spacing w:after="0" w:line="117" w:lineRule="exact"/>
        <w:rPr>
          <w:sz w:val="20"/>
          <w:szCs w:val="20"/>
          <w:color w:val="auto"/>
        </w:rPr>
      </w:pPr>
    </w:p>
    <w:p>
      <w:pPr>
        <w:ind w:firstLine="541"/>
        <w:spacing w:after="0" w:line="259" w:lineRule="auto"/>
        <w:rPr>
          <w:sz w:val="20"/>
          <w:szCs w:val="20"/>
          <w:color w:val="auto"/>
        </w:rPr>
      </w:pPr>
      <w:r>
        <w:rPr>
          <w:rFonts w:ascii="Arial" w:cs="Arial" w:eastAsia="Arial" w:hAnsi="Arial"/>
          <w:sz w:val="18"/>
          <w:szCs w:val="18"/>
          <w:color w:val="auto"/>
        </w:rPr>
        <w:t>The CDA has adopted several expedited review and approval mechanisms since 2009 and created additional expedited programs in recent years that are intended to encourage innovation. Applications for these expedited programs can be submitted after the CTA is admitted for review by the CDE. If admitted to one of these expedited programs, an applicant will be entitled to more frequent and timely communication with reviewers at the CDE, expedited review and approval, and more agency resources throughout the approval process.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 and Marketing Approval</w:t>
      </w:r>
    </w:p>
    <w:p>
      <w:pPr>
        <w:spacing w:after="0" w:line="117" w:lineRule="exact"/>
        <w:rPr>
          <w:sz w:val="20"/>
          <w:szCs w:val="20"/>
          <w:color w:val="auto"/>
        </w:rPr>
      </w:pPr>
    </w:p>
    <w:p>
      <w:pPr>
        <w:jc w:val="both"/>
        <w:ind w:right="480" w:firstLine="541"/>
        <w:spacing w:after="0" w:line="311" w:lineRule="auto"/>
        <w:rPr>
          <w:sz w:val="20"/>
          <w:szCs w:val="20"/>
          <w:color w:val="auto"/>
        </w:rPr>
      </w:pPr>
      <w:r>
        <w:rPr>
          <w:rFonts w:ascii="Arial" w:cs="Arial" w:eastAsia="Arial" w:hAnsi="Arial"/>
          <w:sz w:val="16"/>
          <w:szCs w:val="16"/>
          <w:color w:val="auto"/>
        </w:rPr>
        <w:t>Upon completion of pre-clinical studies, a sponsor typically needs to conduct clinical trials in China for registering a new drug in China. The materials required for this application and the data requirements are determined by the registration category. The CDA has taken a number of steps to increase efficiency for approving CTAs, and it has also significantly increased monitoring and enforcement of GCP to ensure data integrity.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Approval</w:t>
      </w:r>
    </w:p>
    <w:p>
      <w:pPr>
        <w:spacing w:after="0" w:line="117" w:lineRule="exact"/>
        <w:rPr>
          <w:sz w:val="20"/>
          <w:szCs w:val="20"/>
          <w:color w:val="auto"/>
        </w:rPr>
      </w:pPr>
    </w:p>
    <w:p>
      <w:pPr>
        <w:ind w:firstLine="541"/>
        <w:spacing w:after="0" w:line="257" w:lineRule="auto"/>
        <w:rPr>
          <w:sz w:val="20"/>
          <w:szCs w:val="20"/>
          <w:color w:val="auto"/>
        </w:rPr>
      </w:pPr>
      <w:r>
        <w:rPr>
          <w:rFonts w:ascii="Arial" w:cs="Arial" w:eastAsia="Arial" w:hAnsi="Arial"/>
          <w:sz w:val="18"/>
          <w:szCs w:val="18"/>
          <w:color w:val="auto"/>
        </w:rPr>
        <w:t>All clinical trials conducted in China must be approved and conducted at hospitals accredited by the CDA. For imported drugs, proof of foreign approval is required prior to the trial, unless the drug has never been approved anywhere in the world. In addition to a standalone China trial to support development, imported drug applicants may establish a site in China that is part of an international multicenter trial, or IMCT, at the outset of the global trial. Domestically manufactured drugs are not subject to foreign approval requirements, and in contrast to prior practice, the CDA has recently indicated its intent to permit those drugs to conduct development via an IMCT as well.</w:t>
      </w:r>
    </w:p>
    <w:p>
      <w:pPr>
        <w:spacing w:after="0" w:line="80" w:lineRule="exact"/>
        <w:rPr>
          <w:sz w:val="20"/>
          <w:szCs w:val="20"/>
          <w:color w:val="auto"/>
        </w:rPr>
      </w:pPr>
    </w:p>
    <w:p>
      <w:pPr>
        <w:ind w:right="140" w:firstLine="541"/>
        <w:spacing w:after="0" w:line="286" w:lineRule="auto"/>
        <w:rPr>
          <w:sz w:val="20"/>
          <w:szCs w:val="20"/>
          <w:color w:val="auto"/>
        </w:rPr>
      </w:pPr>
      <w:r>
        <w:rPr>
          <w:rFonts w:ascii="Arial" w:cs="Arial" w:eastAsia="Arial" w:hAnsi="Arial"/>
          <w:sz w:val="17"/>
          <w:szCs w:val="17"/>
          <w:color w:val="auto"/>
        </w:rPr>
        <w:t>In 2015, the CDA began to issue an umbrella approval for all phases (typically three) of a new drug clinical trial, instead of issuing approval phase by phase. For certain types of new drug candidates, clinical trial applications may be prioritized over other applications, and put in a separate expedited queue for approval. Other trials that are not part of these expedited lines could still wait up to a year for approval to conduct the trial.</w:t>
      </w:r>
    </w:p>
    <w:p>
      <w:pPr>
        <w:spacing w:after="0" w:line="57" w:lineRule="exact"/>
        <w:rPr>
          <w:sz w:val="20"/>
          <w:szCs w:val="20"/>
          <w:color w:val="auto"/>
        </w:rPr>
      </w:pPr>
    </w:p>
    <w:p>
      <w:pPr>
        <w:ind w:right="160" w:firstLine="541"/>
        <w:spacing w:after="0" w:line="296" w:lineRule="auto"/>
        <w:rPr>
          <w:sz w:val="20"/>
          <w:szCs w:val="20"/>
          <w:color w:val="auto"/>
        </w:rPr>
      </w:pPr>
      <w:r>
        <w:rPr>
          <w:rFonts w:ascii="Arial" w:cs="Arial" w:eastAsia="Arial" w:hAnsi="Arial"/>
          <w:sz w:val="16"/>
          <w:szCs w:val="16"/>
          <w:color w:val="auto"/>
        </w:rPr>
        <w:t>The Innovation Opinion also introduces a notification system for new drug clinical trial approval. In other words, trials can proceed if after certain fixed period of time (possibly 60 days), the applicant has not received any objections from the CDE, as opposed to the lengthier current clinical trial pre-approval process in which the applicant must wait for affirmative approval. The Innovation Opinion also promises to expand the number of trial sites by truncating the timeline for accreditation by converting it from a pre-approval procedure into a notification procedure. These reforms will require implementing law and regulations in order to proceed in practice. The CDA proposed implementing legislation in 2017 but it has not yet been finalized.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 Process and Good Clinical Practices</w:t>
      </w:r>
    </w:p>
    <w:p>
      <w:pPr>
        <w:spacing w:after="0" w:line="117" w:lineRule="exact"/>
        <w:rPr>
          <w:sz w:val="20"/>
          <w:szCs w:val="20"/>
          <w:color w:val="auto"/>
        </w:rPr>
      </w:pPr>
    </w:p>
    <w:p>
      <w:pPr>
        <w:ind w:firstLine="541"/>
        <w:spacing w:after="0" w:line="255" w:lineRule="auto"/>
        <w:rPr>
          <w:sz w:val="20"/>
          <w:szCs w:val="20"/>
          <w:color w:val="auto"/>
        </w:rPr>
      </w:pPr>
      <w:r>
        <w:rPr>
          <w:rFonts w:ascii="Arial" w:cs="Arial" w:eastAsia="Arial" w:hAnsi="Arial"/>
          <w:sz w:val="18"/>
          <w:szCs w:val="18"/>
          <w:color w:val="auto"/>
        </w:rPr>
        <w:t>Typically drug clinical trials in China have three phases. Phase 1 refers to the initial clinical pharmacology and human safety evaluation studies. Phase 2 refers to the preliminary evaluation of a drug candidate’s therapeutic efficacy and safety for target indication(s) in patients. Phase 3 (often the pivotal study) refers to clinical trials to further verify the drug candidate’s therapeutic efficacy and safety on patients with target indication(s) and ultimately provide sufficient evidence for the review of drug registration application. The CDA requires that the different phases of clinical trials in China receive ethics committee approval prior to approval of the CTA and comply with GCP. The CDA conducts inspections to assess GCP compliance and will cancel the CTA if it finds substantial issues.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ind w:right="120" w:firstLine="541"/>
        <w:spacing w:after="0" w:line="259" w:lineRule="auto"/>
        <w:rPr>
          <w:sz w:val="20"/>
          <w:szCs w:val="20"/>
          <w:color w:val="auto"/>
        </w:rPr>
      </w:pPr>
      <w:r>
        <w:rPr>
          <w:rFonts w:ascii="Arial" w:cs="Arial" w:eastAsia="Arial" w:hAnsi="Arial"/>
          <w:sz w:val="18"/>
          <w:szCs w:val="18"/>
          <w:color w:val="auto"/>
        </w:rPr>
        <w:t>The CDA may reduce requirements for trials and data, depending on the drug and the existing data. The CDA has granted waivers for all or part of trials, but it is now planning to take a more official position on the acceptance of foreign data to support an application. The foreign data must meet the CDA’s requirements, including, for drugs that have never been approved before in China, having sufficient Chinese ethnic data. The precise requirements are not yet clear.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Drug Application (NDA) and Approval</w:t>
      </w:r>
    </w:p>
    <w:p>
      <w:pPr>
        <w:spacing w:after="0" w:line="117" w:lineRule="exact"/>
        <w:rPr>
          <w:sz w:val="20"/>
          <w:szCs w:val="20"/>
          <w:color w:val="auto"/>
        </w:rPr>
      </w:pPr>
    </w:p>
    <w:p>
      <w:pPr>
        <w:jc w:val="both"/>
        <w:ind w:right="380" w:firstLine="541"/>
        <w:spacing w:after="0" w:line="263" w:lineRule="auto"/>
        <w:rPr>
          <w:sz w:val="20"/>
          <w:szCs w:val="20"/>
          <w:color w:val="auto"/>
        </w:rPr>
      </w:pPr>
      <w:r>
        <w:rPr>
          <w:rFonts w:ascii="Arial" w:cs="Arial" w:eastAsia="Arial" w:hAnsi="Arial"/>
          <w:sz w:val="18"/>
          <w:szCs w:val="18"/>
          <w:color w:val="auto"/>
        </w:rPr>
        <w:t>Upon completion of clinical trials, a sponsor may submit clinical trial data to support marketing approval for the drug. For imported drugs, this means issuance of an import license. Again, the applicant must submit evidence of foreign approval, unless it is an innovative drug that has never been approved anywhere in the world.</w:t>
      </w:r>
    </w:p>
    <w:p>
      <w:pPr>
        <w:spacing w:after="0" w:line="76" w:lineRule="exact"/>
        <w:rPr>
          <w:sz w:val="20"/>
          <w:szCs w:val="20"/>
          <w:color w:val="auto"/>
        </w:rPr>
      </w:pPr>
    </w:p>
    <w:p>
      <w:pPr>
        <w:ind w:right="80" w:firstLine="541"/>
        <w:spacing w:after="0" w:line="259" w:lineRule="auto"/>
        <w:rPr>
          <w:sz w:val="20"/>
          <w:szCs w:val="20"/>
          <w:color w:val="auto"/>
        </w:rPr>
      </w:pPr>
      <w:r>
        <w:rPr>
          <w:rFonts w:ascii="Arial" w:cs="Arial" w:eastAsia="Arial" w:hAnsi="Arial"/>
          <w:sz w:val="18"/>
          <w:szCs w:val="18"/>
          <w:color w:val="auto"/>
        </w:rPr>
        <w:t>Domestically manufactured drugs must similarly submit data in support of a drug approval number. Under the current regime, upon approval of the registration application, the CDA will first issue a new drug certificate to the applicant. Only when the applicant is equipped with relevant manufacturing capability will the CDA issue a Drug Approval Serial Number, which is effectively the marketing approval allowing the holder to market/commercialize the drug in China.</w:t>
      </w:r>
    </w:p>
    <w:p>
      <w:pPr>
        <w:spacing w:after="0" w:line="79" w:lineRule="exact"/>
        <w:rPr>
          <w:sz w:val="20"/>
          <w:szCs w:val="20"/>
          <w:color w:val="auto"/>
        </w:rPr>
      </w:pPr>
    </w:p>
    <w:p>
      <w:pPr>
        <w:ind w:firstLine="541"/>
        <w:spacing w:after="0" w:line="255" w:lineRule="auto"/>
        <w:rPr>
          <w:sz w:val="20"/>
          <w:szCs w:val="20"/>
          <w:color w:val="auto"/>
        </w:rPr>
      </w:pPr>
      <w:r>
        <w:rPr>
          <w:rFonts w:ascii="Arial" w:cs="Arial" w:eastAsia="Arial" w:hAnsi="Arial"/>
          <w:sz w:val="18"/>
          <w:szCs w:val="18"/>
          <w:color w:val="auto"/>
        </w:rPr>
        <w:t>Under the authorization of the Standing Committee of the National People’s Congress, the State Council issued the Pilot Plan for the Drug Marketing Authorization Holder Mechanism on May 26, 2016, which provided a detailed pilot plan for the marketing authorization holder system, or MAH pilot program. Domestically established research institutions (including domestic companies) could apply through an MAH pilot program if they were established in one of 10 designated provinces (including Beijing and Shanghai) in China. The MAH pilot program permitted research institutions and individuals to develop and hold the marketing approvals for drugs without holding a drug manufacturing license. The marketing authorization holders, or MAHs, could engage contract manufacturers and distributors.</w:t>
      </w:r>
    </w:p>
    <w:p>
      <w:pPr>
        <w:spacing w:after="0" w:line="84" w:lineRule="exact"/>
        <w:rPr>
          <w:sz w:val="20"/>
          <w:szCs w:val="20"/>
          <w:color w:val="auto"/>
        </w:rPr>
      </w:pPr>
    </w:p>
    <w:p>
      <w:pPr>
        <w:ind w:right="80" w:firstLine="541"/>
        <w:spacing w:after="0" w:line="254" w:lineRule="auto"/>
        <w:rPr>
          <w:sz w:val="20"/>
          <w:szCs w:val="20"/>
          <w:color w:val="auto"/>
        </w:rPr>
      </w:pPr>
      <w:r>
        <w:rPr>
          <w:rFonts w:ascii="Arial" w:cs="Arial" w:eastAsia="Arial" w:hAnsi="Arial"/>
          <w:sz w:val="18"/>
          <w:szCs w:val="18"/>
          <w:color w:val="auto"/>
        </w:rPr>
        <w:t>In August 2019, the DAL was revised to contain a dedicated chapter on the MAH system. Upon the enactment of the revised DAL, the MAH system was no longer be a pilot program and was implemented nationwide. Subject to approval by the National Medical Products Administration, MAHs will be allowed to transfer their marketing authorizations. It is not sure whether the transferability of MAH will offer more flexibility in structuring cross-border transactions. In addition, the implementation of the MAH system will be accompanied by a range of new requirements for the MAHs. For example, a MAH must establish a quality assurance system and be responsible for the whole process and all aspects of preclinical research, clinical trials, manufacturing and distribution, post-marketing research, adverse drug reaction monitoring and reporting. A foreign MAH will be required to engage a local agent to fulfill the MAH’s obligations and the foreign MAH shall be subject to joint and several liability in the event of any wrongdoing. It is unclear how the scope of such joint liability will be defined.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Drug Monitoring Period</w:t>
      </w:r>
    </w:p>
    <w:p>
      <w:pPr>
        <w:spacing w:after="0" w:line="117" w:lineRule="exact"/>
        <w:rPr>
          <w:sz w:val="20"/>
          <w:szCs w:val="20"/>
          <w:color w:val="auto"/>
        </w:rPr>
      </w:pPr>
    </w:p>
    <w:p>
      <w:pPr>
        <w:ind w:right="200" w:firstLine="541"/>
        <w:spacing w:after="0" w:line="301" w:lineRule="auto"/>
        <w:rPr>
          <w:sz w:val="20"/>
          <w:szCs w:val="20"/>
          <w:color w:val="auto"/>
        </w:rPr>
      </w:pPr>
      <w:r>
        <w:rPr>
          <w:rFonts w:ascii="Arial" w:cs="Arial" w:eastAsia="Arial" w:hAnsi="Arial"/>
          <w:sz w:val="16"/>
          <w:szCs w:val="16"/>
          <w:color w:val="auto"/>
        </w:rPr>
        <w:t>Currently, new varieties of domestically produced drugs approved under Categories 1 or 2 in China may be placed under a monitoring period for three to five years. Category 1 innovative drugs will be monitored for five years. During the monitoring period, the CDA will not approve another CTA from another applicant for the same type of drug, except if another sponsor has an approved CTA at the time that the monitoring period is initiated it may proceed with its trial and become part of the period. Therefore, by blocking other CTAs, the monitoring period can act as a type of market exclusivity.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Acceptance of Foreign Clinical Trial Studies</w:t>
      </w:r>
    </w:p>
    <w:p>
      <w:pPr>
        <w:spacing w:after="0" w:line="117" w:lineRule="exact"/>
        <w:rPr>
          <w:sz w:val="20"/>
          <w:szCs w:val="20"/>
          <w:color w:val="auto"/>
        </w:rPr>
      </w:pPr>
    </w:p>
    <w:p>
      <w:pPr>
        <w:ind w:right="60" w:firstLine="541"/>
        <w:spacing w:after="0" w:line="273" w:lineRule="auto"/>
        <w:rPr>
          <w:sz w:val="20"/>
          <w:szCs w:val="20"/>
          <w:color w:val="auto"/>
        </w:rPr>
      </w:pPr>
      <w:r>
        <w:rPr>
          <w:rFonts w:ascii="Arial" w:cs="Arial" w:eastAsia="Arial" w:hAnsi="Arial"/>
          <w:sz w:val="17"/>
          <w:szCs w:val="17"/>
          <w:color w:val="auto"/>
        </w:rPr>
        <w:t>On July 10, 2018, the CDA issued the Technical Guidance Principles on Accepting Foreign Drug Clinical Trial Data, or the Guidance Principles, as one of the implementing rules for the Innovation Opinion. According to the Guidance Principles, sponsors may use the data of foreign clinical trials to support drug registration in China, provided that sponsors must ensure the authenticity, completeness and accuracy of foreign clinical trial data and such data must be obtained consistent with the relevant requirements under the Good Clinical Trial Practice (GCP) of the International Conference on Harmonisation of Technical Requirements for Registration of Pharmaceuticals for Human Use (ICH). Sponsors must also comply with other relevant sections of the Drug Registration Regulation when applying for drug registrations in China using foreign clinical trial data.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Post-Marketing Surveillance</w:t>
      </w:r>
    </w:p>
    <w:p>
      <w:pPr>
        <w:spacing w:after="0" w:line="117" w:lineRule="exact"/>
        <w:rPr>
          <w:sz w:val="20"/>
          <w:szCs w:val="20"/>
          <w:color w:val="auto"/>
        </w:rPr>
      </w:pPr>
    </w:p>
    <w:p>
      <w:pPr>
        <w:ind w:right="120" w:firstLine="541"/>
        <w:spacing w:after="0" w:line="301" w:lineRule="auto"/>
        <w:rPr>
          <w:sz w:val="20"/>
          <w:szCs w:val="20"/>
          <w:color w:val="auto"/>
        </w:rPr>
      </w:pPr>
      <w:r>
        <w:rPr>
          <w:rFonts w:ascii="Arial" w:cs="Arial" w:eastAsia="Arial" w:hAnsi="Arial"/>
          <w:sz w:val="16"/>
          <w:szCs w:val="16"/>
          <w:color w:val="auto"/>
        </w:rPr>
        <w:t>The manufacturer or marketing authorization holder of marketing approval is primarily responsible for pharmacovigilance, including quality assurance, adverse reaction reporting and monitoring, and product recalls. Distributors and user entities (e.g., hospitals) are also required to report, in their respective roles, adverse reactions of the products they sell or use, and assist with the manufacturer of the product recall. A drug that is currently under the new drug monitoring period has to report all adverse drug reactions (as opposed to just serious adverse reactions) for that period.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Advertising and Promotion of Pharmaceutical Products</w:t>
      </w:r>
    </w:p>
    <w:p>
      <w:pPr>
        <w:spacing w:after="0" w:line="117" w:lineRule="exact"/>
        <w:rPr>
          <w:sz w:val="20"/>
          <w:szCs w:val="20"/>
          <w:color w:val="auto"/>
        </w:rPr>
      </w:pPr>
    </w:p>
    <w:p>
      <w:pPr>
        <w:ind w:right="240" w:firstLine="541"/>
        <w:spacing w:after="0" w:line="263" w:lineRule="auto"/>
        <w:rPr>
          <w:sz w:val="20"/>
          <w:szCs w:val="20"/>
          <w:color w:val="auto"/>
        </w:rPr>
      </w:pPr>
      <w:r>
        <w:rPr>
          <w:rFonts w:ascii="Arial" w:cs="Arial" w:eastAsia="Arial" w:hAnsi="Arial"/>
          <w:sz w:val="18"/>
          <w:szCs w:val="18"/>
          <w:color w:val="auto"/>
        </w:rPr>
        <w:t>China has a strict regime for the advertising of approved medicines. No unapproved medicines may be advertised. The definition of an advertisement is very broad, and does not exclude scientific exchange. It can be any media that directly or indirectly introduces the product to end users. There is no clear line between advertising and any other type of promotion.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PRC national- and provincial-level laws and regulations</w:t>
      </w:r>
    </w:p>
    <w:p>
      <w:pPr>
        <w:spacing w:after="0" w:line="117" w:lineRule="exact"/>
        <w:rPr>
          <w:sz w:val="20"/>
          <w:szCs w:val="20"/>
          <w:color w:val="auto"/>
        </w:rPr>
      </w:pPr>
    </w:p>
    <w:p>
      <w:pPr>
        <w:ind w:right="100" w:firstLine="541"/>
        <w:spacing w:after="0" w:line="257" w:lineRule="auto"/>
        <w:rPr>
          <w:sz w:val="20"/>
          <w:szCs w:val="20"/>
          <w:color w:val="auto"/>
        </w:rPr>
      </w:pPr>
      <w:r>
        <w:rPr>
          <w:rFonts w:ascii="Arial" w:cs="Arial" w:eastAsia="Arial" w:hAnsi="Arial"/>
          <w:sz w:val="18"/>
          <w:szCs w:val="18"/>
          <w:color w:val="auto"/>
        </w:rPr>
        <w:t>We are subject to changing regulations 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released by us to third parties. The privacy of human subjects in clinical trials is also protected under regulations, e.g., the case report forms must avoid disclosing names of the human subjects.</w:t>
      </w:r>
    </w:p>
    <w:p>
      <w:pPr>
        <w:spacing w:after="0" w:line="80" w:lineRule="exact"/>
        <w:rPr>
          <w:sz w:val="20"/>
          <w:szCs w:val="20"/>
          <w:color w:val="auto"/>
        </w:rPr>
      </w:pPr>
    </w:p>
    <w:p>
      <w:pPr>
        <w:ind w:right="100" w:firstLine="541"/>
        <w:spacing w:after="0" w:line="259" w:lineRule="auto"/>
        <w:rPr>
          <w:sz w:val="20"/>
          <w:szCs w:val="20"/>
          <w:color w:val="auto"/>
        </w:rPr>
      </w:pPr>
      <w:r>
        <w:rPr>
          <w:rFonts w:ascii="Arial" w:cs="Arial" w:eastAsia="Arial" w:hAnsi="Arial"/>
          <w:sz w:val="18"/>
          <w:szCs w:val="18"/>
          <w:color w:val="auto"/>
        </w:rPr>
        <w:t>These laws and regulations governing both the disclosure and the use of confidential patient medical information may become more restrictive in the future, including restrictions on transfer of healthcare data. The Cybersecurity Law that took effect in 2017 designates healthcare as a priority area that is part of critical information infrastructure, and China’s cyberspace administration is trying to finalize a draft rule on cross-border transfer of personal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firstLine="541"/>
        <w:spacing w:after="0" w:line="255"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or biological products exists. Accordingly, decisions regarding the extent of coverage and amount of reimbursement to be provided for any of our products will be made on a payor-by-payor basis.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84" w:lineRule="exact"/>
        <w:rPr>
          <w:sz w:val="20"/>
          <w:szCs w:val="20"/>
          <w:color w:val="auto"/>
        </w:rPr>
      </w:pPr>
    </w:p>
    <w:p>
      <w:pPr>
        <w:ind w:right="100" w:firstLine="541"/>
        <w:spacing w:after="0" w:line="254" w:lineRule="auto"/>
        <w:rPr>
          <w:sz w:val="20"/>
          <w:szCs w:val="20"/>
          <w:color w:val="auto"/>
        </w:rPr>
      </w:pPr>
      <w:r>
        <w:rPr>
          <w:rFonts w:ascii="Arial" w:cs="Arial" w:eastAsia="Arial" w:hAnsi="Arial"/>
          <w:sz w:val="18"/>
          <w:szCs w:val="18"/>
          <w:color w:val="auto"/>
        </w:rPr>
        <w:t>The U.S. government, state legislatures and foreign governments have shown significant interest in implementing cost containment programs to limit the growth of government-paid health care costs, including price-controls, restrictions on reimbursement and requirements for substitution of generic products for branded prescription drugs. For example, the ACA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Adoption of general controls and measures, coupled with the tightening of restrictive policies in jurisdictions with existing controls and measures, could limit payments for pharmaceutical drugs.</w:t>
      </w:r>
    </w:p>
    <w:p>
      <w:pPr>
        <w:spacing w:after="0" w:line="87" w:lineRule="exact"/>
        <w:rPr>
          <w:sz w:val="20"/>
          <w:szCs w:val="20"/>
          <w:color w:val="auto"/>
        </w:rPr>
      </w:pPr>
    </w:p>
    <w:p>
      <w:pPr>
        <w:ind w:firstLine="541"/>
        <w:spacing w:after="0" w:line="289" w:lineRule="auto"/>
        <w:rPr>
          <w:sz w:val="20"/>
          <w:szCs w:val="20"/>
          <w:color w:val="auto"/>
        </w:rPr>
      </w:pPr>
      <w:r>
        <w:rPr>
          <w:rFonts w:ascii="Arial" w:cs="Arial" w:eastAsia="Arial" w:hAnsi="Arial"/>
          <w:sz w:val="16"/>
          <w:szCs w:val="16"/>
          <w:color w:val="auto"/>
        </w:rPr>
        <w:t>The Medicaid Drug Rebate Program requires pharmaceutical manufacturers to enter into and have in effect a national rebate agreement with the Secretary of the Department of Health and Human Services as a condition for states to receive federal matching funds for the manufacturer’s outpatient drugs furnished to Medicaid patients. The ACA made several changes to the Medicaid Drug Rebate Program, including increasing pharmaceutical manufacturers’ rebate liability by raising the minimum basic Medicaid rebate on most branded prescription drugs from 15.1% of average manufacturer price, or AMP, to 23.1% of AMP and adding a new rebate calculation for “line extensions” (</w:t>
      </w:r>
      <w:r>
        <w:rPr>
          <w:rFonts w:ascii="Arial" w:cs="Arial" w:eastAsia="Arial" w:hAnsi="Arial"/>
          <w:sz w:val="16"/>
          <w:szCs w:val="16"/>
          <w:i w:val="1"/>
          <w:iCs w:val="1"/>
          <w:color w:val="auto"/>
        </w:rPr>
        <w:t>i.e.,</w:t>
      </w:r>
      <w:r>
        <w:rPr>
          <w:rFonts w:ascii="Arial" w:cs="Arial" w:eastAsia="Arial" w:hAnsi="Arial"/>
          <w:sz w:val="16"/>
          <w:szCs w:val="16"/>
          <w:color w:val="auto"/>
        </w:rPr>
        <w:t xml:space="preserve"> new formulations, such as extended release formulations) of solid oral dosage forms of branded products, as well as potentially impacting their rebate liability by modifying the statutory definition of AMP. The ACA also expanded the universe of Medicaid utilization subject to drug rebates by requiring pharmaceutical manufacturers to pay rebates on Medicaid managed care utilization and by enlarging the population potentially eligible for Medicaid drug benefits. The Centers for Medicare &amp; Medicaid Services, or CMS, have proposed to expand Medicaid rebate liability to the territories of the United States as well.</w:t>
      </w:r>
    </w:p>
    <w:p>
      <w:pPr>
        <w:spacing w:after="0" w:line="58" w:lineRule="exact"/>
        <w:rPr>
          <w:sz w:val="20"/>
          <w:szCs w:val="20"/>
          <w:color w:val="auto"/>
        </w:rPr>
      </w:pPr>
    </w:p>
    <w:p>
      <w:pPr>
        <w:ind w:right="100" w:firstLine="541"/>
        <w:spacing w:after="0" w:line="289" w:lineRule="auto"/>
        <w:rPr>
          <w:sz w:val="20"/>
          <w:szCs w:val="20"/>
          <w:color w:val="auto"/>
        </w:rPr>
      </w:pPr>
      <w:r>
        <w:rPr>
          <w:rFonts w:ascii="Arial" w:cs="Arial" w:eastAsia="Arial" w:hAnsi="Arial"/>
          <w:sz w:val="16"/>
          <w:szCs w:val="16"/>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9" w:name="page60"/>
    <w:bookmarkEnd w:id="59"/>
    <w:p>
      <w:pPr>
        <w:ind w:right="60"/>
        <w:spacing w:after="0" w:line="263" w:lineRule="auto"/>
        <w:rPr>
          <w:sz w:val="20"/>
          <w:szCs w:val="20"/>
          <w:color w:val="auto"/>
        </w:rPr>
      </w:pPr>
      <w:r>
        <w:rPr>
          <w:rFonts w:ascii="Arial" w:cs="Arial" w:eastAsia="Arial" w:hAnsi="Arial"/>
          <w:sz w:val="18"/>
          <w:szCs w:val="18"/>
          <w:color w:val="auto"/>
        </w:rPr>
        <w:t>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76" w:lineRule="exact"/>
        <w:rPr>
          <w:sz w:val="20"/>
          <w:szCs w:val="20"/>
          <w:color w:val="auto"/>
        </w:rPr>
      </w:pPr>
    </w:p>
    <w:p>
      <w:pPr>
        <w:ind w:firstLine="541"/>
        <w:spacing w:after="0" w:line="293" w:lineRule="auto"/>
        <w:rPr>
          <w:sz w:val="20"/>
          <w:szCs w:val="20"/>
          <w:color w:val="auto"/>
        </w:rPr>
      </w:pPr>
      <w:r>
        <w:rPr>
          <w:rFonts w:ascii="Arial" w:cs="Arial" w:eastAsia="Arial" w:hAnsi="Arial"/>
          <w:sz w:val="16"/>
          <w:szCs w:val="16"/>
          <w:color w:val="auto"/>
        </w:rPr>
        <w:t>For a drug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In 2010, the ACA expanded the types of entities eligible to receive discounted 340B pricing, although, under the current state of the law, with the exception of children’s hospitals, these newly eligible entities will not be eligible to receive discounted 340B pricing on orphan drugs. In addition, as 340B drug prices are determined based on AMP and Medicaid rebate data, the revisions to the Medicaid rebate formula and AMP definition described above could cause the required 340B discount to increase.</w:t>
      </w:r>
    </w:p>
    <w:p>
      <w:pPr>
        <w:spacing w:after="0" w:line="56" w:lineRule="exact"/>
        <w:rPr>
          <w:sz w:val="20"/>
          <w:szCs w:val="20"/>
          <w:color w:val="auto"/>
        </w:rPr>
      </w:pPr>
    </w:p>
    <w:p>
      <w:pPr>
        <w:ind w:right="160" w:firstLine="541"/>
        <w:spacing w:after="0" w:line="275" w:lineRule="auto"/>
        <w:rPr>
          <w:sz w:val="20"/>
          <w:szCs w:val="20"/>
          <w:color w:val="auto"/>
        </w:rPr>
      </w:pPr>
      <w:r>
        <w:rPr>
          <w:rFonts w:ascii="Arial" w:cs="Arial" w:eastAsia="Arial" w:hAnsi="Arial"/>
          <w:sz w:val="17"/>
          <w:szCs w:val="17"/>
          <w:color w:val="auto"/>
        </w:rPr>
        <w:t>As noted above, the marketability of any products for which we receive regulatory approval for commercial sale may suffer if the government and third-party payors fail to provide adequate coverage and reimbursement. An increasing emphasis on cost containment measures in the United States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68" w:lineRule="exact"/>
        <w:rPr>
          <w:sz w:val="20"/>
          <w:szCs w:val="20"/>
          <w:color w:val="auto"/>
        </w:rPr>
      </w:pPr>
    </w:p>
    <w:p>
      <w:pPr>
        <w:ind w:right="40" w:firstLine="541"/>
        <w:spacing w:after="0" w:line="254" w:lineRule="auto"/>
        <w:rPr>
          <w:sz w:val="20"/>
          <w:szCs w:val="20"/>
          <w:color w:val="auto"/>
        </w:rPr>
      </w:pPr>
      <w:r>
        <w:rPr>
          <w:rFonts w:ascii="Arial" w:cs="Arial" w:eastAsia="Arial" w:hAnsi="Arial"/>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firstLine="541"/>
        <w:spacing w:after="0" w:line="269" w:lineRule="auto"/>
        <w:rPr>
          <w:sz w:val="20"/>
          <w:szCs w:val="20"/>
          <w:color w:val="auto"/>
        </w:rPr>
      </w:pPr>
      <w:r>
        <w:rPr>
          <w:rFonts w:ascii="Arial" w:cs="Arial" w:eastAsia="Arial" w:hAnsi="Arial"/>
          <w:sz w:val="17"/>
          <w:szCs w:val="17"/>
          <w:color w:val="auto"/>
        </w:rPr>
        <w:t>We strive to protect and enhance the proprietary technology, inventions, and improvements that are commercially important to our business, including seeking, maintaining, and defending patent rights. We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and continuing innovation to develop, strengthen, and maintain our proprietary position in the field. Although we are not party to any material in-license agreements as of the date of this annual report, we may in the future pursue in-licensing opportunities to strengthen our proprietary position in the field. We additionally rely on data exclusivity, market exclusivity, and patent term extensions when available, and may seek and rely on regulatory protection afforded through orphan drug designations. Our commercial success may depend in part on our ability to obtain and maintain patent and other proprietary protection for our technology, inventions, and improvements; to preserve the confidentiality of our trade secrets; to defend and enforce our proprietary rights, including our patents; and to operate without infringing the valid and enforceable patents and other proprietary rights of third parties.</w:t>
      </w:r>
    </w:p>
    <w:p>
      <w:pPr>
        <w:spacing w:after="0" w:line="74" w:lineRule="exact"/>
        <w:rPr>
          <w:sz w:val="20"/>
          <w:szCs w:val="20"/>
          <w:color w:val="auto"/>
        </w:rPr>
      </w:pPr>
    </w:p>
    <w:p>
      <w:pPr>
        <w:ind w:right="60" w:firstLine="541"/>
        <w:spacing w:after="0" w:line="254" w:lineRule="auto"/>
        <w:rPr>
          <w:sz w:val="20"/>
          <w:szCs w:val="20"/>
          <w:color w:val="auto"/>
        </w:rPr>
      </w:pPr>
      <w:r>
        <w:rPr>
          <w:rFonts w:ascii="Arial" w:cs="Arial" w:eastAsia="Arial" w:hAnsi="Arial"/>
          <w:sz w:val="18"/>
          <w:szCs w:val="18"/>
          <w:color w:val="auto"/>
        </w:rPr>
        <w:t>We have prosecuted numerous patents and patent applications and possess know-how and trade secrets relating to the development and commercialization of our ABC Platform and product candidates, including related manufacturing processes and technology. As of December 31, 2019, we were the assignee of record for approximately four U.S. issued patents, and approximately twelve U.S. pending patent applications directed to certain of our proprietary technology, inventions, and improvements and our most advanced product candidates, as well as approximately 21 patents issued in jurisdictions outside of the United States and approximately 51 patent applications pending in jurisdictions outside of the United States that, in many cases, are counterparts to the foregoing U.S. patents and patent applications. We also have one pending PCT application. For example, these patents and patent applications include claims directed to:</w:t>
      </w:r>
    </w:p>
    <w:p>
      <w:pPr>
        <w:spacing w:after="0" w:line="87" w:lineRule="exact"/>
        <w:rPr>
          <w:sz w:val="20"/>
          <w:szCs w:val="20"/>
          <w:color w:val="auto"/>
        </w:rPr>
      </w:pPr>
    </w:p>
    <w:p>
      <w:pPr>
        <w:ind w:left="660" w:hanging="11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therapeutic proteins and biologically active agents conjugated to a biopolymer, which comprise our ABC Platform;</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specific therapeutics, including KSI-301;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components of our therapeutics.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ind w:right="120" w:firstLine="541"/>
        <w:spacing w:after="0" w:line="277" w:lineRule="auto"/>
        <w:rPr>
          <w:sz w:val="20"/>
          <w:szCs w:val="20"/>
          <w:color w:val="auto"/>
        </w:rPr>
      </w:pPr>
      <w:r>
        <w:rPr>
          <w:rFonts w:ascii="Arial" w:cs="Arial" w:eastAsia="Arial" w:hAnsi="Arial"/>
          <w:sz w:val="18"/>
          <w:szCs w:val="18"/>
          <w:color w:val="auto"/>
        </w:rPr>
        <w:t>The following patents and patent applications (including anticipated 20-year expiration dates, which could be altered by, for example, a disclaimer, patent term adjustment or patent term extension) relate to KSI-301 and/or ABC Platform:</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80" w:type="dxa"/>
            <w:vAlign w:val="bottom"/>
          </w:tcPr>
          <w:p>
            <w:pPr>
              <w:ind w:left="860"/>
              <w:spacing w:after="0"/>
              <w:rPr>
                <w:sz w:val="20"/>
                <w:szCs w:val="20"/>
                <w:color w:val="auto"/>
              </w:rPr>
            </w:pPr>
            <w:r>
              <w:rPr>
                <w:rFonts w:ascii="Arial" w:cs="Arial" w:eastAsia="Arial" w:hAnsi="Arial"/>
                <w:sz w:val="18"/>
                <w:szCs w:val="18"/>
                <w:b w:val="1"/>
                <w:bCs w:val="1"/>
                <w:color w:val="auto"/>
              </w:rPr>
              <w:t>Anticipated U.S.</w:t>
            </w: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Patent and Patent Application Numbers</w:t>
            </w:r>
          </w:p>
        </w:tc>
        <w:tc>
          <w:tcPr>
            <w:tcW w:w="140" w:type="dxa"/>
            <w:vAlign w:val="bottom"/>
          </w:tcPr>
          <w:p>
            <w:pPr>
              <w:spacing w:after="0"/>
              <w:rPr>
                <w:sz w:val="20"/>
                <w:szCs w:val="20"/>
                <w:color w:val="auto"/>
              </w:rPr>
            </w:pPr>
          </w:p>
        </w:tc>
        <w:tc>
          <w:tcPr>
            <w:tcW w:w="298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Expiration Date</w:t>
            </w:r>
          </w:p>
        </w:tc>
        <w:tc>
          <w:tcPr>
            <w:tcW w:w="120" w:type="dxa"/>
            <w:vAlign w:val="bottom"/>
          </w:tcPr>
          <w:p>
            <w:pPr>
              <w:spacing w:after="0"/>
              <w:rPr>
                <w:sz w:val="20"/>
                <w:szCs w:val="20"/>
                <w:color w:val="auto"/>
              </w:rPr>
            </w:pPr>
          </w:p>
        </w:tc>
        <w:tc>
          <w:tcPr>
            <w:tcW w:w="40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Description of Representative U.S. Claims</w:t>
            </w:r>
          </w:p>
        </w:tc>
      </w:tr>
      <w:tr>
        <w:trPr>
          <w:trHeight w:val="317"/>
        </w:trPr>
        <w:tc>
          <w:tcPr>
            <w:tcW w:w="4080" w:type="dxa"/>
            <w:vAlign w:val="bottom"/>
            <w:gridSpan w:val="2"/>
          </w:tcPr>
          <w:p>
            <w:pPr>
              <w:spacing w:after="0"/>
              <w:rPr>
                <w:sz w:val="20"/>
                <w:szCs w:val="20"/>
                <w:color w:val="auto"/>
              </w:rPr>
            </w:pPr>
            <w:r>
              <w:rPr>
                <w:rFonts w:ascii="Arial" w:cs="Arial" w:eastAsia="Arial" w:hAnsi="Arial"/>
                <w:sz w:val="18"/>
                <w:szCs w:val="18"/>
                <w:color w:val="auto"/>
              </w:rPr>
              <w:t>US 8,846,021, US Appl. No. 16/424265, EP Patent</w:t>
            </w:r>
          </w:p>
        </w:tc>
        <w:tc>
          <w:tcPr>
            <w:tcW w:w="2980" w:type="dxa"/>
            <w:vAlign w:val="bottom"/>
          </w:tcPr>
          <w:p>
            <w:pPr>
              <w:jc w:val="center"/>
              <w:spacing w:after="0"/>
              <w:rPr>
                <w:sz w:val="20"/>
                <w:szCs w:val="20"/>
                <w:color w:val="auto"/>
              </w:rPr>
            </w:pPr>
            <w:r>
              <w:rPr>
                <w:rFonts w:ascii="Arial" w:cs="Arial" w:eastAsia="Arial" w:hAnsi="Arial"/>
                <w:sz w:val="18"/>
                <w:szCs w:val="18"/>
                <w:color w:val="auto"/>
                <w:w w:val="89"/>
              </w:rPr>
              <w:t>2/28/2027</w:t>
            </w: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Representative claims include conjugates</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No. 1988910, JP Patent No. 5528710, JP Patent</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No. 5745009, and foreign applications in certain</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w w:val="96"/>
              </w:rPr>
              <w:t>jurisdictions claiming priority to PCT/US2007/005372</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23"/>
        </w:trPr>
        <w:tc>
          <w:tcPr>
            <w:tcW w:w="4080" w:type="dxa"/>
            <w:vAlign w:val="bottom"/>
            <w:gridSpan w:val="2"/>
          </w:tcPr>
          <w:p>
            <w:pPr>
              <w:spacing w:after="0"/>
              <w:rPr>
                <w:sz w:val="20"/>
                <w:szCs w:val="20"/>
                <w:color w:val="auto"/>
              </w:rPr>
            </w:pPr>
            <w:r>
              <w:rPr>
                <w:rFonts w:ascii="Arial" w:cs="Arial" w:eastAsia="Arial" w:hAnsi="Arial"/>
                <w:sz w:val="18"/>
                <w:szCs w:val="18"/>
                <w:color w:val="auto"/>
              </w:rPr>
              <w:t>US Appl. No. 15/368,376, AU Patent</w:t>
            </w:r>
          </w:p>
        </w:tc>
        <w:tc>
          <w:tcPr>
            <w:tcW w:w="2980" w:type="dxa"/>
            <w:vAlign w:val="bottom"/>
          </w:tcPr>
          <w:p>
            <w:pPr>
              <w:jc w:val="center"/>
              <w:spacing w:after="0"/>
              <w:rPr>
                <w:sz w:val="20"/>
                <w:szCs w:val="20"/>
                <w:color w:val="auto"/>
              </w:rPr>
            </w:pPr>
            <w:r>
              <w:rPr>
                <w:rFonts w:ascii="Arial" w:cs="Arial" w:eastAsia="Arial" w:hAnsi="Arial"/>
                <w:sz w:val="18"/>
                <w:szCs w:val="18"/>
                <w:color w:val="auto"/>
                <w:w w:val="89"/>
              </w:rPr>
              <w:t>4/15/2031</w:t>
            </w: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Representative claims include conjugates</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No. 2011239434, AU Patent No. 2017201930, CA</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Patent No. 2795667, EP Patent No. 2558538, JP</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Patent No. 6568748, MX Patent No. 365521, and</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foreign applications in certain jurisdictions claiming</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priority to PCT/US2011/032768</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23"/>
        </w:trPr>
        <w:tc>
          <w:tcPr>
            <w:tcW w:w="4080" w:type="dxa"/>
            <w:vAlign w:val="bottom"/>
            <w:gridSpan w:val="2"/>
          </w:tcPr>
          <w:p>
            <w:pPr>
              <w:spacing w:after="0"/>
              <w:rPr>
                <w:sz w:val="20"/>
                <w:szCs w:val="20"/>
                <w:color w:val="auto"/>
              </w:rPr>
            </w:pPr>
            <w:r>
              <w:rPr>
                <w:rFonts w:ascii="Arial" w:cs="Arial" w:eastAsia="Arial" w:hAnsi="Arial"/>
                <w:sz w:val="18"/>
                <w:szCs w:val="18"/>
                <w:color w:val="auto"/>
                <w:w w:val="98"/>
              </w:rPr>
              <w:t>US 8,765,432, US Appl. No. 15/099,234, AU Patent</w:t>
            </w:r>
          </w:p>
        </w:tc>
        <w:tc>
          <w:tcPr>
            <w:tcW w:w="2980" w:type="dxa"/>
            <w:vAlign w:val="bottom"/>
          </w:tcPr>
          <w:p>
            <w:pPr>
              <w:jc w:val="center"/>
              <w:spacing w:after="0"/>
              <w:rPr>
                <w:sz w:val="20"/>
                <w:szCs w:val="20"/>
                <w:color w:val="auto"/>
              </w:rPr>
            </w:pPr>
            <w:r>
              <w:rPr>
                <w:rFonts w:ascii="Arial" w:cs="Arial" w:eastAsia="Arial" w:hAnsi="Arial"/>
                <w:sz w:val="18"/>
                <w:szCs w:val="18"/>
                <w:color w:val="auto"/>
                <w:w w:val="89"/>
              </w:rPr>
              <w:t>5/10/2030</w:t>
            </w: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w w:val="90"/>
              </w:rPr>
              <w:t>Representative claims include copolymers and methods</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w w:val="95"/>
              </w:rPr>
              <w:t>No. 2010330727, CA Patent No. 2783615, EP Patent</w:t>
            </w:r>
          </w:p>
        </w:tc>
        <w:tc>
          <w:tcPr>
            <w:tcW w:w="298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of making copolymers (ABC Platform specifically)</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w w:val="97"/>
              </w:rPr>
              <w:t>No. 2512462, CN Patent No. ZL201080062252.7, IN</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w w:val="93"/>
              </w:rPr>
              <w:t>Patent No. 319269, JP Patent No. 5760007, JP Patent</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No. 5990629, JP Patent No. 6416832, MX Patent</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w w:val="97"/>
              </w:rPr>
              <w:t>No. 346423, KR Patent No. 10-1852044, MO Patent</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No. J/002943, and foreign applications in certain</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w w:val="96"/>
              </w:rPr>
              <w:t>jurisdictions claiming priority to PCT/US2010/061358</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23"/>
        </w:trPr>
        <w:tc>
          <w:tcPr>
            <w:tcW w:w="4080" w:type="dxa"/>
            <w:vAlign w:val="bottom"/>
            <w:gridSpan w:val="2"/>
          </w:tcPr>
          <w:p>
            <w:pPr>
              <w:spacing w:after="0"/>
              <w:rPr>
                <w:sz w:val="20"/>
                <w:szCs w:val="20"/>
                <w:color w:val="auto"/>
              </w:rPr>
            </w:pPr>
            <w:r>
              <w:rPr>
                <w:rFonts w:ascii="Arial" w:cs="Arial" w:eastAsia="Arial" w:hAnsi="Arial"/>
                <w:sz w:val="18"/>
                <w:szCs w:val="18"/>
                <w:color w:val="auto"/>
                <w:w w:val="93"/>
              </w:rPr>
              <w:t>US Appl. No. 14/916,180, JP Patent No. 6463361, and</w:t>
            </w: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9/8/2034</w:t>
            </w: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w w:val="92"/>
              </w:rPr>
              <w:t>Representative claims include polymers and method of</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foreign applications in certain jurisdictions claiming</w:t>
            </w:r>
          </w:p>
        </w:tc>
        <w:tc>
          <w:tcPr>
            <w:tcW w:w="298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making polymers</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priority to PCT/US2014/054622</w:t>
            </w:r>
          </w:p>
        </w:tc>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23"/>
        </w:trPr>
        <w:tc>
          <w:tcPr>
            <w:tcW w:w="4080" w:type="dxa"/>
            <w:vAlign w:val="bottom"/>
            <w:gridSpan w:val="2"/>
          </w:tcPr>
          <w:p>
            <w:pPr>
              <w:spacing w:after="0"/>
              <w:rPr>
                <w:sz w:val="20"/>
                <w:szCs w:val="20"/>
                <w:color w:val="auto"/>
              </w:rPr>
            </w:pPr>
            <w:r>
              <w:rPr>
                <w:rFonts w:ascii="Arial" w:cs="Arial" w:eastAsia="Arial" w:hAnsi="Arial"/>
                <w:sz w:val="18"/>
                <w:szCs w:val="18"/>
                <w:color w:val="auto"/>
                <w:w w:val="99"/>
              </w:rPr>
              <w:t>US Appl. No. 15/394500 and foreign applications in</w:t>
            </w:r>
          </w:p>
        </w:tc>
        <w:tc>
          <w:tcPr>
            <w:tcW w:w="2980" w:type="dxa"/>
            <w:vAlign w:val="bottom"/>
          </w:tcPr>
          <w:p>
            <w:pPr>
              <w:jc w:val="center"/>
              <w:spacing w:after="0"/>
              <w:rPr>
                <w:sz w:val="20"/>
                <w:szCs w:val="20"/>
                <w:color w:val="auto"/>
              </w:rPr>
            </w:pPr>
            <w:r>
              <w:rPr>
                <w:rFonts w:ascii="Arial" w:cs="Arial" w:eastAsia="Arial" w:hAnsi="Arial"/>
                <w:sz w:val="18"/>
                <w:szCs w:val="18"/>
                <w:color w:val="auto"/>
                <w:w w:val="90"/>
              </w:rPr>
              <w:t>12/29/2036</w:t>
            </w: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w w:val="96"/>
              </w:rPr>
              <w:t>Representative claims include antibody and antibody</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certain jurisdictions claiming priority to</w:t>
            </w:r>
          </w:p>
        </w:tc>
        <w:tc>
          <w:tcPr>
            <w:tcW w:w="2980" w:type="dxa"/>
            <w:vAlign w:val="bottom"/>
          </w:tcPr>
          <w:p>
            <w:pPr>
              <w:spacing w:after="0"/>
              <w:rPr>
                <w:sz w:val="18"/>
                <w:szCs w:val="18"/>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w w:val="97"/>
              </w:rPr>
              <w:t>conjugate claims, as well as methods of making and</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PCT/US2016/069336</w:t>
            </w:r>
          </w:p>
        </w:tc>
        <w:tc>
          <w:tcPr>
            <w:tcW w:w="2980" w:type="dxa"/>
            <w:vAlign w:val="bottom"/>
          </w:tcPr>
          <w:p>
            <w:pPr>
              <w:spacing w:after="0"/>
              <w:rPr>
                <w:sz w:val="20"/>
                <w:szCs w:val="20"/>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using the conjugates</w:t>
            </w:r>
          </w:p>
        </w:tc>
      </w:tr>
    </w:tbl>
    <w:p>
      <w:pPr>
        <w:spacing w:after="0" w:line="107" w:lineRule="exact"/>
        <w:rPr>
          <w:sz w:val="20"/>
          <w:szCs w:val="20"/>
          <w:color w:val="auto"/>
        </w:rPr>
      </w:pPr>
    </w:p>
    <w:p>
      <w:pPr>
        <w:ind w:right="20" w:firstLine="541"/>
        <w:spacing w:after="0" w:line="263" w:lineRule="auto"/>
        <w:rPr>
          <w:sz w:val="20"/>
          <w:szCs w:val="20"/>
          <w:color w:val="auto"/>
        </w:rPr>
      </w:pPr>
      <w:r>
        <w:rPr>
          <w:rFonts w:ascii="Arial" w:cs="Arial" w:eastAsia="Arial" w:hAnsi="Arial"/>
          <w:sz w:val="18"/>
          <w:szCs w:val="18"/>
          <w:color w:val="auto"/>
        </w:rPr>
        <w:t>In the normal course of business, we intend to pursue, when possible, composition, method of use, dosing and formulation patent protection, as well as manufacturing and drug development processes and technology. The patents and patent applications we have filed outside of the United States are in Europe, Japan, and various other jurisdictions.</w:t>
      </w:r>
    </w:p>
    <w:p>
      <w:pPr>
        <w:spacing w:after="0" w:line="76" w:lineRule="exact"/>
        <w:rPr>
          <w:sz w:val="20"/>
          <w:szCs w:val="20"/>
          <w:color w:val="auto"/>
        </w:rPr>
      </w:pPr>
    </w:p>
    <w:p>
      <w:pPr>
        <w:ind w:right="20" w:firstLine="541"/>
        <w:spacing w:after="0" w:line="273" w:lineRule="auto"/>
        <w:rPr>
          <w:sz w:val="20"/>
          <w:szCs w:val="20"/>
          <w:color w:val="auto"/>
        </w:rPr>
      </w:pPr>
      <w:r>
        <w:rPr>
          <w:rFonts w:ascii="Arial" w:cs="Arial" w:eastAsia="Arial" w:hAnsi="Arial"/>
          <w:sz w:val="17"/>
          <w:szCs w:val="17"/>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70" w:lineRule="exact"/>
        <w:rPr>
          <w:sz w:val="20"/>
          <w:szCs w:val="20"/>
          <w:color w:val="auto"/>
        </w:rPr>
      </w:pPr>
    </w:p>
    <w:p>
      <w:pPr>
        <w:ind w:right="40" w:firstLine="541"/>
        <w:spacing w:after="0" w:line="279" w:lineRule="auto"/>
        <w:rPr>
          <w:sz w:val="20"/>
          <w:szCs w:val="20"/>
          <w:color w:val="auto"/>
        </w:rPr>
      </w:pPr>
      <w:r>
        <w:rPr>
          <w:rFonts w:ascii="Arial" w:cs="Arial" w:eastAsia="Arial" w:hAnsi="Arial"/>
          <w:sz w:val="17"/>
          <w:szCs w:val="17"/>
          <w:color w:val="auto"/>
        </w:rPr>
        <w:t>Our issued U.S. patents will expire on dates ranging from 2027 to 2035. If patents are issued on our pending patent applications, the resulting patents are projected to expire on dates ranging from 2027 to 2040.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ind w:right="20" w:firstLine="541"/>
        <w:spacing w:after="0" w:line="268" w:lineRule="auto"/>
        <w:rPr>
          <w:sz w:val="20"/>
          <w:szCs w:val="20"/>
          <w:color w:val="auto"/>
        </w:rPr>
      </w:pPr>
      <w:r>
        <w:rPr>
          <w:rFonts w:ascii="Arial" w:cs="Arial" w:eastAsia="Arial" w:hAnsi="Arial"/>
          <w:sz w:val="17"/>
          <w:szCs w:val="17"/>
          <w:color w:val="auto"/>
        </w:rPr>
        <w:t>We have filed 26 trademark applications. These include three applications that have matured to registration in the United States, two of which have been cancelled. One application has been abandoned in the United States. Eleven of our applications have matured to registration, of which six are in China, and one is in each of Canada, the European Union, Japan, Singapore and Switzerland. We have eleven pending trademark applications, of which three are in the United States and eight are in China. We also may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proprietary technology, inventions, improvements and products, please see the section on “Risk Factors—Risks Related to Intellectual Property.”</w:t>
      </w:r>
    </w:p>
    <w:p>
      <w:pPr>
        <w:spacing w:after="0" w:line="78" w:lineRule="exact"/>
        <w:rPr>
          <w:sz w:val="20"/>
          <w:szCs w:val="20"/>
          <w:color w:val="auto"/>
        </w:rPr>
      </w:pPr>
    </w:p>
    <w:p>
      <w:pPr>
        <w:ind w:right="40" w:firstLine="541"/>
        <w:spacing w:after="0" w:line="255" w:lineRule="auto"/>
        <w:rPr>
          <w:sz w:val="20"/>
          <w:szCs w:val="20"/>
          <w:color w:val="auto"/>
        </w:rPr>
      </w:pPr>
      <w:r>
        <w:rPr>
          <w:rFonts w:ascii="Arial" w:cs="Arial" w:eastAsia="Arial" w:hAnsi="Arial"/>
          <w:sz w:val="18"/>
          <w:szCs w:val="18"/>
          <w:color w:val="auto"/>
        </w:rPr>
        <w:t>We are also a party to an assignment and license agreement with a former collaborator, whereby we were assigned and non-exclusively licensed certain intellectual property relating to KSI-201 and related technology. Under this agreement, we agreed to use commercially reasonable efforts to develop, obtain regulatory approval for and commercialize KSI-201, and will owe milestone payments to our former collaborator upon the achievement of certain milestones related to KSI-201, as well as a low single digit percentage royalty on net sales of KSI-201. The assignment and license agreement includes customary termination provisions, including the right of the company to terminate for convenience and the right of either party to terminate for cause.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60" w:firstLine="541"/>
        <w:spacing w:after="0" w:line="263" w:lineRule="auto"/>
        <w:rPr>
          <w:sz w:val="20"/>
          <w:szCs w:val="20"/>
          <w:color w:val="auto"/>
        </w:rPr>
      </w:pPr>
      <w:r>
        <w:rPr>
          <w:rFonts w:ascii="Arial" w:cs="Arial" w:eastAsia="Arial" w:hAnsi="Arial"/>
          <w:sz w:val="18"/>
          <w:szCs w:val="18"/>
          <w:color w:val="auto"/>
        </w:rPr>
        <w:t>As of March 6, 2020, we had 39 employees, all of whom were full-time. 31 employees were primarily engaged in research and development activities, of whom 12 hold a Ph.D. degree or M.D. (or equivalent) degree. Substantially all of our employees are located in Palo Alto, California. None of our employees are represented by a labor union or covered under a collective bargaining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180" w:firstLine="541"/>
        <w:spacing w:after="0" w:line="263" w:lineRule="auto"/>
        <w:rPr>
          <w:sz w:val="20"/>
          <w:szCs w:val="20"/>
          <w:color w:val="auto"/>
        </w:rPr>
      </w:pPr>
      <w:r>
        <w:rPr>
          <w:rFonts w:ascii="Arial" w:cs="Arial" w:eastAsia="Arial" w:hAnsi="Arial"/>
          <w:sz w:val="18"/>
          <w:szCs w:val="18"/>
          <w:color w:val="auto"/>
        </w:rPr>
        <w:t>As of the date of this annual report, we are not a party to any material legal proceedings. In the normal course of business, we may be named as a party to various legal claims, actions and complaints. We cannot predict whether any resulting liability would have a material adverse effect on our financial position, results of operations or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120" w:firstLine="541"/>
        <w:spacing w:after="0" w:line="257" w:lineRule="auto"/>
        <w:rPr>
          <w:sz w:val="20"/>
          <w:szCs w:val="20"/>
          <w:color w:val="auto"/>
        </w:rPr>
      </w:pPr>
      <w:r>
        <w:rPr>
          <w:rFonts w:ascii="Arial" w:cs="Arial" w:eastAsia="Arial" w:hAnsi="Arial"/>
          <w:sz w:val="18"/>
          <w:szCs w:val="18"/>
          <w:color w:val="auto"/>
        </w:rPr>
        <w:t>We were formed as a limited liability company on June 22, 2009 under the name Oligasis LLC, and subsequently changed our name to Kodiak Sciences Inc. and converted into a corporation which was incorporated in the state of Delaware on September 8, 2015. Our mailing address and executive offices are located at 2631 Hanover Street, Palo Alto, California. We maintain an internet website at the following address: https://kodiak.com. The information on our website is not incorporated by reference in this annual report on Form 10-K or in any other filings we make with the Securities and Exchange Commission, or SEC.</w:t>
      </w:r>
    </w:p>
    <w:p>
      <w:pPr>
        <w:spacing w:after="0" w:line="80" w:lineRule="exact"/>
        <w:rPr>
          <w:sz w:val="20"/>
          <w:szCs w:val="20"/>
          <w:color w:val="auto"/>
        </w:rPr>
      </w:pPr>
    </w:p>
    <w:p>
      <w:pPr>
        <w:ind w:firstLine="541"/>
        <w:spacing w:after="0" w:line="257" w:lineRule="auto"/>
        <w:rPr>
          <w:sz w:val="20"/>
          <w:szCs w:val="20"/>
          <w:color w:val="auto"/>
        </w:rPr>
      </w:pPr>
      <w:r>
        <w:rPr>
          <w:rFonts w:ascii="Arial" w:cs="Arial" w:eastAsia="Arial" w:hAnsi="Arial"/>
          <w:sz w:val="18"/>
          <w:szCs w:val="18"/>
          <w:color w:val="auto"/>
        </w:rPr>
        <w:t>We make available on or through our website certain reports and amendments to those reports that we file with or furnish to the SEC in accordance with the Securities Exchange Act of 1934, as amended.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541"/>
        <w:spacing w:after="0" w:line="296" w:lineRule="auto"/>
        <w:rPr>
          <w:sz w:val="20"/>
          <w:szCs w:val="20"/>
          <w:color w:val="auto"/>
        </w:rPr>
      </w:pPr>
      <w:r>
        <w:rPr>
          <w:rFonts w:ascii="Arial" w:cs="Arial" w:eastAsia="Arial" w:hAnsi="Arial"/>
          <w:sz w:val="16"/>
          <w:szCs w:val="16"/>
          <w:color w:val="auto"/>
        </w:rPr>
        <w:t>You should consider carefully the following risk factors, together with all the other information in this report, including the “Management’s Discussion and Analysis of Financial Condition and Results of Operations” section and our consolidated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we may make from time to time. You should consider all of the risk factors described when evaluating our 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Financial Condition and Capital Requirements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in the early clinical stage of drug development and have a very limited operating history and no products approved for commercial sale, which may make it difficult to evaluate our current business and predict our future success and viability.</w:t>
      </w:r>
    </w:p>
    <w:p>
      <w:pPr>
        <w:spacing w:after="0" w:line="62" w:lineRule="exact"/>
        <w:rPr>
          <w:sz w:val="20"/>
          <w:szCs w:val="20"/>
          <w:color w:val="auto"/>
        </w:rPr>
      </w:pPr>
    </w:p>
    <w:p>
      <w:pPr>
        <w:ind w:right="60" w:firstLine="541"/>
        <w:spacing w:after="0" w:line="269" w:lineRule="auto"/>
        <w:rPr>
          <w:sz w:val="20"/>
          <w:szCs w:val="20"/>
          <w:color w:val="auto"/>
        </w:rPr>
      </w:pPr>
      <w:r>
        <w:rPr>
          <w:rFonts w:ascii="Arial" w:cs="Arial" w:eastAsia="Arial" w:hAnsi="Arial"/>
          <w:sz w:val="17"/>
          <w:szCs w:val="17"/>
          <w:color w:val="auto"/>
        </w:rPr>
        <w:t>We are a clinical stage biopharmaceutical company specializing in novel therapeutics to treat chronic, high-prevalence retinal diseases. We commenced operations in June 2009, have no products approved for commercial sale and have not generated any revenue. Drug development is a highly uncertain undertaking and involves a substantial degree of risk. We have enrolled 121 patients with wet AMD, DME, or RVO in our Phase 1b multiple-dose clinical trial of KSI-301 and we are currently enrolling wet AMD patients in our pivotal ‘DAZZLE’ clinical trial of KSI-301. We have not initiated clinical trials for any of our other product candidates. To date, we have not completed a pivotal clinical trial, obtained marketing approval for any product candidates, manufactured a commercial scale product, or conducted sales and marketing activities necessary for successful product commercialization. Our limited operating history as a company and early stage of drug development make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have incurred significant net losses in each period since our inception and anticipate that we will continue to incur significant and increasing net losses for the foreseeable future.</w:t>
      </w:r>
    </w:p>
    <w:p>
      <w:pPr>
        <w:spacing w:after="0" w:line="62" w:lineRule="exact"/>
        <w:rPr>
          <w:sz w:val="20"/>
          <w:szCs w:val="20"/>
          <w:color w:val="auto"/>
        </w:rPr>
      </w:pPr>
    </w:p>
    <w:p>
      <w:pPr>
        <w:ind w:right="160" w:firstLine="541"/>
        <w:spacing w:after="0" w:line="342" w:lineRule="auto"/>
        <w:rPr>
          <w:sz w:val="20"/>
          <w:szCs w:val="20"/>
          <w:color w:val="auto"/>
        </w:rPr>
      </w:pPr>
      <w:r>
        <w:rPr>
          <w:rFonts w:ascii="Arial" w:cs="Arial" w:eastAsia="Arial" w:hAnsi="Arial"/>
          <w:sz w:val="16"/>
          <w:szCs w:val="16"/>
          <w:color w:val="auto"/>
        </w:rPr>
        <w:t>We have incurred net losses in each reporting period since our inception, including net losses of $47.4 million, $41.4 million and $27.9 million for the years ended December 31, 2019, 2018 and 2017, respectively. As of December 31, 2019, we had an accumulated deficit of $158.1 million.</w:t>
      </w:r>
    </w:p>
    <w:p>
      <w:pPr>
        <w:spacing w:after="0" w:line="16" w:lineRule="exact"/>
        <w:rPr>
          <w:sz w:val="20"/>
          <w:szCs w:val="20"/>
          <w:color w:val="auto"/>
        </w:rPr>
      </w:pPr>
    </w:p>
    <w:p>
      <w:pPr>
        <w:ind w:right="220" w:firstLine="541"/>
        <w:spacing w:after="0" w:line="301" w:lineRule="auto"/>
        <w:rPr>
          <w:sz w:val="20"/>
          <w:szCs w:val="20"/>
          <w:color w:val="auto"/>
        </w:rPr>
      </w:pPr>
      <w:r>
        <w:rPr>
          <w:rFonts w:ascii="Arial" w:cs="Arial" w:eastAsia="Arial" w:hAnsi="Arial"/>
          <w:sz w:val="16"/>
          <w:szCs w:val="16"/>
          <w:color w:val="auto"/>
        </w:rPr>
        <w:t>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 to quarter and year to year, such that a period-to-period comparison of our results of operations may not be a good indication of our future performance.</w:t>
      </w:r>
    </w:p>
    <w:p>
      <w:pPr>
        <w:spacing w:after="0" w:line="49" w:lineRule="exact"/>
        <w:rPr>
          <w:sz w:val="20"/>
          <w:szCs w:val="20"/>
          <w:color w:val="auto"/>
        </w:rPr>
      </w:pPr>
    </w:p>
    <w:p>
      <w:pPr>
        <w:ind w:right="220" w:firstLine="541"/>
        <w:spacing w:after="0" w:line="277" w:lineRule="auto"/>
        <w:rPr>
          <w:sz w:val="20"/>
          <w:szCs w:val="20"/>
          <w:color w:val="auto"/>
        </w:rPr>
      </w:pPr>
      <w:r>
        <w:rPr>
          <w:rFonts w:ascii="Arial" w:cs="Arial" w:eastAsia="Arial" w:hAnsi="Arial"/>
          <w:sz w:val="18"/>
          <w:szCs w:val="18"/>
          <w:color w:val="auto"/>
        </w:rPr>
        <w:t>We expect to continue to incur significant and increasingly higher expenses and operating losses for the foreseeable future. We anticipate that our expenses will increase substantially if and as we:</w:t>
      </w:r>
    </w:p>
    <w:p>
      <w:pPr>
        <w:spacing w:after="0" w:line="62" w:lineRule="exact"/>
        <w:rPr>
          <w:sz w:val="20"/>
          <w:szCs w:val="20"/>
          <w:color w:val="auto"/>
        </w:rPr>
      </w:pPr>
    </w:p>
    <w:p>
      <w:pPr>
        <w:ind w:left="660" w:hanging="11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progress our current and any future product candidates through preclinical and clinical development;</w:t>
      </w:r>
    </w:p>
    <w:p>
      <w:pPr>
        <w:spacing w:after="0" w:line="117" w:lineRule="exact"/>
        <w:rPr>
          <w:rFonts w:ascii="Arial" w:cs="Arial" w:eastAsia="Arial" w:hAnsi="Arial"/>
          <w:sz w:val="18"/>
          <w:szCs w:val="18"/>
          <w:color w:val="auto"/>
        </w:rPr>
      </w:pPr>
    </w:p>
    <w:p>
      <w:pPr>
        <w:ind w:left="660" w:right="120" w:hanging="112"/>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 with our contract manufacturers to scale up the manufacturing processes for our product candidates or, in the future, establish and operate a manufacturing facility;</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our research and discovery activities;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the development of our ABC Platform;</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initiate and conduct additional preclinical, clinical or other studies for our product candidates;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 or add additional contract manufacturers or suppliers;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regulatory approvals and marketing authorizations for our product candidates;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to commercialize any products for which we obtain approval;</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or in-license product candidates, intellectual property and technologies;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660" w:hanging="11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milestone, royalty or other payments due under any current or future collaboration or license agreements;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maintain, expand, protect and enforce our intellectual property portfolio;</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any delays or encounter other issues related to our operations;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meet the requirements and demands of being a public company;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defend against any product liability claims or other lawsuits related to our products.</w:t>
      </w:r>
    </w:p>
    <w:p>
      <w:pPr>
        <w:spacing w:after="0" w:line="117" w:lineRule="exact"/>
        <w:rPr>
          <w:sz w:val="20"/>
          <w:szCs w:val="20"/>
          <w:color w:val="auto"/>
        </w:rPr>
      </w:pPr>
    </w:p>
    <w:p>
      <w:pPr>
        <w:ind w:firstLine="541"/>
        <w:spacing w:after="0" w:line="263" w:lineRule="auto"/>
        <w:rPr>
          <w:sz w:val="20"/>
          <w:szCs w:val="20"/>
          <w:color w:val="auto"/>
        </w:rPr>
      </w:pPr>
      <w:r>
        <w:rPr>
          <w:rFonts w:ascii="Arial" w:cs="Arial" w:eastAsia="Arial" w:hAnsi="Arial"/>
          <w:sz w:val="18"/>
          <w:szCs w:val="18"/>
          <w:color w:val="auto"/>
        </w:rPr>
        <w:t>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w:t>
      </w:r>
    </w:p>
    <w:p>
      <w:pPr>
        <w:spacing w:after="0" w:line="76" w:lineRule="exact"/>
        <w:rPr>
          <w:sz w:val="20"/>
          <w:szCs w:val="20"/>
          <w:color w:val="auto"/>
        </w:rPr>
      </w:pPr>
    </w:p>
    <w:p>
      <w:pPr>
        <w:ind w:right="240" w:firstLine="541"/>
        <w:spacing w:after="0" w:line="277" w:lineRule="auto"/>
        <w:rPr>
          <w:sz w:val="20"/>
          <w:szCs w:val="20"/>
          <w:color w:val="auto"/>
        </w:rPr>
      </w:pPr>
      <w:r>
        <w:rPr>
          <w:rFonts w:ascii="Arial" w:cs="Arial" w:eastAsia="Arial" w:hAnsi="Arial"/>
          <w:sz w:val="18"/>
          <w:szCs w:val="18"/>
          <w:color w:val="auto"/>
        </w:rPr>
        <w:t>As of December 31, 2019, we had cash, cash equivalents and marketable securities of $348.2 million. We believe that our cash, cash equivalents and marketable securities will be sufficient to fund our projected operations for at least the next 12 months.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 We have never generated any revenue from product sales, and we may never generate revenue or be profitable.</w:t>
      </w:r>
    </w:p>
    <w:p>
      <w:pPr>
        <w:spacing w:after="0" w:line="62" w:lineRule="exact"/>
        <w:rPr>
          <w:sz w:val="20"/>
          <w:szCs w:val="20"/>
          <w:color w:val="auto"/>
        </w:rPr>
      </w:pPr>
    </w:p>
    <w:p>
      <w:pPr>
        <w:ind w:right="80" w:firstLine="541"/>
        <w:spacing w:after="0" w:line="263"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ability to generate revenue and achieve profitability depends significantly on many factors, including:</w:t>
      </w:r>
    </w:p>
    <w:p>
      <w:pPr>
        <w:spacing w:after="0" w:line="117" w:lineRule="exact"/>
        <w:rPr>
          <w:sz w:val="20"/>
          <w:szCs w:val="20"/>
          <w:color w:val="auto"/>
        </w:rPr>
      </w:pPr>
    </w:p>
    <w:p>
      <w:pPr>
        <w:ind w:left="660" w:hanging="11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completing research and preclinical and clinical development of our product candidates;</w:t>
      </w:r>
    </w:p>
    <w:p>
      <w:pPr>
        <w:spacing w:after="0" w:line="117" w:lineRule="exact"/>
        <w:rPr>
          <w:rFonts w:ascii="Arial" w:cs="Arial" w:eastAsia="Arial" w:hAnsi="Arial"/>
          <w:sz w:val="18"/>
          <w:szCs w:val="18"/>
          <w:color w:val="auto"/>
        </w:rPr>
      </w:pPr>
    </w:p>
    <w:p>
      <w:pPr>
        <w:ind w:left="660" w:right="20" w:hanging="11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w:t>
      </w:r>
    </w:p>
    <w:p>
      <w:pPr>
        <w:spacing w:after="0" w:line="62" w:lineRule="exact"/>
        <w:rPr>
          <w:rFonts w:ascii="Arial" w:cs="Arial" w:eastAsia="Arial" w:hAnsi="Arial"/>
          <w:sz w:val="18"/>
          <w:szCs w:val="18"/>
          <w:color w:val="auto"/>
        </w:rPr>
      </w:pPr>
    </w:p>
    <w:p>
      <w:pPr>
        <w:jc w:val="both"/>
        <w:ind w:left="660" w:right="260" w:hanging="11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w:t>
      </w:r>
    </w:p>
    <w:p>
      <w:pPr>
        <w:spacing w:after="0" w:line="75" w:lineRule="exact"/>
        <w:rPr>
          <w:rFonts w:ascii="Arial" w:cs="Arial" w:eastAsia="Arial" w:hAnsi="Arial"/>
          <w:sz w:val="18"/>
          <w:szCs w:val="18"/>
          <w:color w:val="auto"/>
        </w:rPr>
      </w:pPr>
    </w:p>
    <w:p>
      <w:pPr>
        <w:ind w:left="660" w:hanging="11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660" w:right="180" w:hanging="11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either by collaborating with a partner or, if launched independently, by establishing a sales, marketing and distribution infrastructure;</w:t>
      </w:r>
    </w:p>
    <w:p>
      <w:pPr>
        <w:spacing w:after="0" w:line="62" w:lineRule="exact"/>
        <w:rPr>
          <w:rFonts w:ascii="Arial" w:cs="Arial" w:eastAsia="Arial" w:hAnsi="Arial"/>
          <w:sz w:val="18"/>
          <w:szCs w:val="18"/>
          <w:color w:val="auto"/>
        </w:rPr>
      </w:pPr>
    </w:p>
    <w:p>
      <w:pPr>
        <w:ind w:left="660" w:right="60" w:hanging="112"/>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both in the United States and in foreign countries where our products are commercialized;</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 and</w:t>
      </w:r>
    </w:p>
    <w:p>
      <w:pPr>
        <w:spacing w:after="0" w:line="140" w:lineRule="exact"/>
        <w:rPr>
          <w:rFonts w:ascii="Arial" w:cs="Arial" w:eastAsia="Arial" w:hAnsi="Arial"/>
          <w:sz w:val="16"/>
          <w:szCs w:val="16"/>
          <w:color w:val="auto"/>
        </w:rPr>
      </w:pPr>
    </w:p>
    <w:p>
      <w:pPr>
        <w:ind w:left="660" w:hanging="11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ind w:right="20" w:firstLine="541"/>
        <w:spacing w:after="0" w:line="255" w:lineRule="auto"/>
        <w:rPr>
          <w:sz w:val="20"/>
          <w:szCs w:val="20"/>
          <w:color w:val="auto"/>
        </w:rPr>
      </w:pPr>
      <w:r>
        <w:rPr>
          <w:rFonts w:ascii="Arial" w:cs="Arial" w:eastAsia="Arial" w:hAnsi="Arial"/>
          <w:sz w:val="18"/>
          <w:szCs w:val="18"/>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4" w:name="page65"/>
    <w:bookmarkEnd w:id="64"/>
    <w:p>
      <w:pPr>
        <w:ind w:firstLine="541"/>
        <w:spacing w:after="0" w:line="254" w:lineRule="auto"/>
        <w:rPr>
          <w:sz w:val="20"/>
          <w:szCs w:val="20"/>
          <w:color w:val="auto"/>
        </w:rPr>
      </w:pPr>
      <w:r>
        <w:rPr>
          <w:rFonts w:ascii="Arial" w:cs="Arial" w:eastAsia="Arial" w:hAnsi="Arial"/>
          <w:sz w:val="18"/>
          <w:szCs w:val="18"/>
          <w:color w:val="auto"/>
        </w:rPr>
        <w:t>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w:t>
      </w:r>
    </w:p>
    <w:p>
      <w:pPr>
        <w:spacing w:after="0" w:line="84" w:lineRule="exact"/>
        <w:rPr>
          <w:sz w:val="20"/>
          <w:szCs w:val="20"/>
          <w:color w:val="auto"/>
        </w:rPr>
      </w:pPr>
    </w:p>
    <w:p>
      <w:pPr>
        <w:ind w:right="120" w:firstLine="541"/>
        <w:spacing w:after="0" w:line="263" w:lineRule="auto"/>
        <w:rPr>
          <w:sz w:val="20"/>
          <w:szCs w:val="20"/>
          <w:color w:val="auto"/>
        </w:rPr>
      </w:pPr>
      <w:r>
        <w:rPr>
          <w:rFonts w:ascii="Arial" w:cs="Arial" w:eastAsia="Arial" w:hAnsi="Arial"/>
          <w:sz w:val="18"/>
          <w:szCs w:val="18"/>
          <w:color w:val="auto"/>
        </w:rPr>
        <w:t>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obtain additional financing, we may be unable to complete the development and, if approved, commercialization of our product candidates.</w:t>
      </w:r>
    </w:p>
    <w:p>
      <w:pPr>
        <w:spacing w:after="0" w:line="152" w:lineRule="exact"/>
        <w:rPr>
          <w:sz w:val="20"/>
          <w:szCs w:val="20"/>
          <w:color w:val="auto"/>
        </w:rPr>
      </w:pPr>
    </w:p>
    <w:p>
      <w:pPr>
        <w:ind w:right="140" w:firstLine="541"/>
        <w:spacing w:after="0" w:line="259" w:lineRule="auto"/>
        <w:rPr>
          <w:sz w:val="20"/>
          <w:szCs w:val="20"/>
          <w:color w:val="auto"/>
        </w:rPr>
      </w:pPr>
      <w:r>
        <w:rPr>
          <w:rFonts w:ascii="Arial" w:cs="Arial" w:eastAsia="Arial" w:hAnsi="Arial"/>
          <w:sz w:val="18"/>
          <w:szCs w:val="18"/>
          <w:color w:val="auto"/>
        </w:rPr>
        <w:t>Our operations have required substantial amounts of cash since inception. To date, we have financed our operations primarily through the sale of equity securities. Developing our product candidates is expensive, and we expect to substantially increase our spending as we advance KSI-301 into Phase 3 clinical trials. Even if we are successful in developing our product candidates, obtaining regulatory approvals and launching and commercializing any product candidate will require substantial additional funding.</w:t>
      </w:r>
    </w:p>
    <w:p>
      <w:pPr>
        <w:spacing w:after="0" w:line="79" w:lineRule="exact"/>
        <w:rPr>
          <w:sz w:val="20"/>
          <w:szCs w:val="20"/>
          <w:color w:val="auto"/>
        </w:rPr>
      </w:pPr>
    </w:p>
    <w:p>
      <w:pPr>
        <w:ind w:right="120" w:firstLine="541"/>
        <w:spacing w:after="0" w:line="293" w:lineRule="auto"/>
        <w:rPr>
          <w:sz w:val="20"/>
          <w:szCs w:val="20"/>
          <w:color w:val="auto"/>
        </w:rPr>
      </w:pPr>
      <w:r>
        <w:rPr>
          <w:rFonts w:ascii="Arial" w:cs="Arial" w:eastAsia="Arial" w:hAnsi="Arial"/>
          <w:sz w:val="16"/>
          <w:szCs w:val="16"/>
          <w:color w:val="auto"/>
        </w:rPr>
        <w:t>As of December 31, 2019, we had cash, cash equivalents and marketable securities of $348.2 million. We believe that our cash, cash equivalents and marketable securities will be sufficient to fund our projected operations for at least the next 12 months. Our estimate as to how long we expect our existing cash, cash equivalents and marketable securities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56" w:lineRule="exact"/>
        <w:rPr>
          <w:sz w:val="20"/>
          <w:szCs w:val="20"/>
          <w:color w:val="auto"/>
        </w:rPr>
      </w:pPr>
    </w:p>
    <w:p>
      <w:pPr>
        <w:ind w:right="80" w:firstLine="541"/>
        <w:spacing w:after="0" w:line="255" w:lineRule="auto"/>
        <w:rPr>
          <w:sz w:val="20"/>
          <w:szCs w:val="20"/>
          <w:color w:val="auto"/>
        </w:rPr>
      </w:pPr>
      <w:r>
        <w:rPr>
          <w:rFonts w:ascii="Arial" w:cs="Arial" w:eastAsia="Arial" w:hAnsi="Arial"/>
          <w:sz w:val="18"/>
          <w:szCs w:val="18"/>
          <w:color w:val="auto"/>
        </w:rPr>
        <w:t>We will require additional capital for the further development and, if approved, commercialization of our product candidates. Additional capital may not be available when we need it, on terms acceptable to us or at all. We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and results of operations and cause the price of our common stock to decline.</w:t>
      </w:r>
    </w:p>
    <w:p>
      <w:pPr>
        <w:spacing w:after="0" w:line="19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p>
    <w:p>
      <w:pPr>
        <w:spacing w:after="0" w:line="79" w:lineRule="exact"/>
        <w:rPr>
          <w:sz w:val="20"/>
          <w:szCs w:val="20"/>
          <w:color w:val="auto"/>
        </w:rPr>
      </w:pPr>
    </w:p>
    <w:p>
      <w:pPr>
        <w:ind w:right="20" w:firstLine="541"/>
        <w:spacing w:after="0" w:line="287" w:lineRule="auto"/>
        <w:rPr>
          <w:sz w:val="20"/>
          <w:szCs w:val="20"/>
          <w:color w:val="auto"/>
        </w:rPr>
      </w:pPr>
      <w:r>
        <w:rPr>
          <w:rFonts w:ascii="Arial" w:cs="Arial" w:eastAsia="Arial" w:hAnsi="Arial"/>
          <w:sz w:val="16"/>
          <w:szCs w:val="16"/>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KSI-301, which is in the early stages of clinical development and is the only product candidate that we expect to be in clinical development in the near term.</w:t>
      </w:r>
    </w:p>
    <w:p>
      <w:pPr>
        <w:spacing w:after="0" w:line="62" w:lineRule="exact"/>
        <w:rPr>
          <w:sz w:val="20"/>
          <w:szCs w:val="20"/>
          <w:color w:val="auto"/>
        </w:rPr>
      </w:pPr>
    </w:p>
    <w:p>
      <w:pPr>
        <w:ind w:right="60" w:firstLine="541"/>
        <w:spacing w:after="0" w:line="273" w:lineRule="auto"/>
        <w:rPr>
          <w:sz w:val="20"/>
          <w:szCs w:val="20"/>
          <w:color w:val="auto"/>
        </w:rPr>
      </w:pPr>
      <w:r>
        <w:rPr>
          <w:rFonts w:ascii="Arial" w:cs="Arial" w:eastAsia="Arial" w:hAnsi="Arial"/>
          <w:sz w:val="17"/>
          <w:szCs w:val="17"/>
          <w:color w:val="auto"/>
        </w:rPr>
        <w:t>KSI-301 is our only product candidate that we expect to be in clinical studies in the near term. We initiated an ongoing Phase 1a clinical trial of KSI-301 in July 2018, reached the primary endpoint in September 2018, and we completed the last patient last visit of that Phase 1a portion in November 2018. The Phase 1b extension study dosed first patient in January 2019, is fully enrolled now at 121 patients, and patients continue to be followed towards an 18 month or longer duration of treatment. Patients are also now being enrolled in our DAZZLE wet AMD clinical study which we plan to submit as one of our required registrational studies. It may be years before DAZZLE and/or any other registrational type trial is completed, if at all. Further, we cannot be certain that either KSI-301 or any of our product candidates will be successful in clinical trials.</w:t>
      </w:r>
    </w:p>
    <w:p>
      <w:pPr>
        <w:spacing w:after="0" w:line="70" w:lineRule="exact"/>
        <w:rPr>
          <w:sz w:val="20"/>
          <w:szCs w:val="20"/>
          <w:color w:val="auto"/>
        </w:rPr>
      </w:pPr>
    </w:p>
    <w:p>
      <w:pPr>
        <w:ind w:right="120" w:firstLine="541"/>
        <w:spacing w:after="0" w:line="269" w:lineRule="auto"/>
        <w:rPr>
          <w:sz w:val="20"/>
          <w:szCs w:val="20"/>
          <w:color w:val="auto"/>
        </w:rPr>
      </w:pPr>
      <w:r>
        <w:rPr>
          <w:rFonts w:ascii="Arial" w:cs="Arial" w:eastAsia="Arial" w:hAnsi="Arial"/>
          <w:sz w:val="17"/>
          <w:szCs w:val="17"/>
          <w:color w:val="auto"/>
        </w:rPr>
        <w:t>Our early encouraging preclinical and Phase 1 clinical trial results for KSI-301 are not necessarily predictive of the results of our ongoing or future discovery programs or clinical studies. Our Phase 1 clinical trial was designed to evaluate safety and tolerability of KSI-301. Although it has yielded early evidence of bioactivity, it consisted of only nine subjects. The Phase 1b study is in a larger set of 121 subjects that has generated encouraging safety, efficacy and durability data, yet we expect that our Phase 2 and Phase 3 trials will have different design parameters and be compared against an active comparator agent such as Eylea. Notably, our Phase 1 trial did not evaluate durability of KSI-301 across the planned 12-, 16- or 20- week dosing intervals that we are evaluating in our ongoing DAZZLE trial in wet AMD patients, nor did it evaluate the dosing intervals we are planning for our pivotal trials in the other retinal disease indications. Promising results in preclinical studies and Phase 1 clinical trials of a drug candidate may not be predictive of similar results in later-stage preclinical studies or in humans during clinical studies. Many companies in the pharmaceutical and biotechnology industries have suffered significant setbacks in late-stage clinical studies after achieving positive results in early-stage development, including early-stage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adverse events.</w:t>
      </w:r>
    </w:p>
    <w:p>
      <w:pPr>
        <w:spacing w:after="0" w:line="71" w:lineRule="exact"/>
        <w:rPr>
          <w:sz w:val="20"/>
          <w:szCs w:val="20"/>
          <w:color w:val="auto"/>
        </w:rPr>
      </w:pPr>
    </w:p>
    <w:p>
      <w:pPr>
        <w:ind w:firstLine="541"/>
        <w:spacing w:after="0" w:line="257" w:lineRule="auto"/>
        <w:rPr>
          <w:sz w:val="20"/>
          <w:szCs w:val="20"/>
          <w:color w:val="auto"/>
        </w:rPr>
      </w:pPr>
      <w:r>
        <w:rPr>
          <w:rFonts w:ascii="Arial" w:cs="Arial" w:eastAsia="Arial" w:hAnsi="Arial"/>
          <w:sz w:val="18"/>
          <w:szCs w:val="18"/>
          <w:color w:val="auto"/>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w:t>
      </w:r>
    </w:p>
    <w:p>
      <w:pPr>
        <w:spacing w:after="0" w:line="80" w:lineRule="exact"/>
        <w:rPr>
          <w:sz w:val="20"/>
          <w:szCs w:val="20"/>
          <w:color w:val="auto"/>
        </w:rPr>
      </w:pPr>
    </w:p>
    <w:p>
      <w:pPr>
        <w:ind w:right="80" w:firstLine="541"/>
        <w:spacing w:after="0" w:line="263" w:lineRule="auto"/>
        <w:rPr>
          <w:sz w:val="20"/>
          <w:szCs w:val="20"/>
          <w:color w:val="auto"/>
        </w:rPr>
      </w:pPr>
      <w:r>
        <w:rPr>
          <w:rFonts w:ascii="Arial" w:cs="Arial" w:eastAsia="Arial" w:hAnsi="Arial"/>
          <w:sz w:val="18"/>
          <w:szCs w:val="18"/>
          <w:color w:val="auto"/>
        </w:rPr>
        <w:t>We may in the future advance product candidates into clinical trials and terminate such trials prior to their completion. While we have certain preclinical programs in development and intend to develop other product candidates, it will take additional investment and time for such programs to reach the same stage of development as KSI-301.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failure of KSI-301 in clinical development may require us to discontinue development of other product candidates based on our ABC Platform.</w:t>
      </w:r>
    </w:p>
    <w:p>
      <w:pPr>
        <w:spacing w:after="0" w:line="140" w:lineRule="exact"/>
        <w:rPr>
          <w:sz w:val="20"/>
          <w:szCs w:val="20"/>
          <w:color w:val="auto"/>
        </w:rPr>
      </w:pPr>
    </w:p>
    <w:p>
      <w:pPr>
        <w:jc w:val="both"/>
        <w:ind w:right="260" w:firstLine="541"/>
        <w:spacing w:after="0" w:line="311" w:lineRule="auto"/>
        <w:rPr>
          <w:sz w:val="20"/>
          <w:szCs w:val="20"/>
          <w:color w:val="auto"/>
        </w:rPr>
      </w:pPr>
      <w:r>
        <w:rPr>
          <w:rFonts w:ascii="Arial" w:cs="Arial" w:eastAsia="Arial" w:hAnsi="Arial"/>
          <w:sz w:val="16"/>
          <w:szCs w:val="16"/>
          <w:color w:val="auto"/>
        </w:rPr>
        <w:t>If KSI-301 fails in development as a result of any underlying problem with our platform, then we may discontinue development of some or all of our product candidates that are based on our ABC Platform. If we discontinue development of KSI-301, or if KSI-301 were to fail to receive regulatory approval or were to fail to achieve sufficient market acceptance, we could be prevented from or significantly delayed in achieving profitability.</w:t>
      </w:r>
    </w:p>
    <w:p>
      <w:pPr>
        <w:spacing w:after="0" w:line="14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Research and development of biopharmaceutical products is inherently risky. We cannot give any assurance that any of our product candidates will receive regulatory, including marketing, approval, which is necessary before they can be commercialized.</w:t>
      </w:r>
    </w:p>
    <w:p>
      <w:pPr>
        <w:spacing w:after="0" w:line="38" w:lineRule="exact"/>
        <w:rPr>
          <w:sz w:val="20"/>
          <w:szCs w:val="20"/>
          <w:color w:val="auto"/>
        </w:rPr>
      </w:pPr>
    </w:p>
    <w:p>
      <w:pPr>
        <w:ind w:right="180" w:firstLine="541"/>
        <w:spacing w:after="0" w:line="342" w:lineRule="auto"/>
        <w:rPr>
          <w:sz w:val="20"/>
          <w:szCs w:val="20"/>
          <w:color w:val="auto"/>
        </w:rPr>
      </w:pPr>
      <w:r>
        <w:rPr>
          <w:rFonts w:ascii="Arial" w:cs="Arial" w:eastAsia="Arial" w:hAnsi="Arial"/>
          <w:sz w:val="16"/>
          <w:szCs w:val="16"/>
          <w:color w:val="auto"/>
        </w:rPr>
        <w:t>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w:t>
      </w:r>
    </w:p>
    <w:p>
      <w:pPr>
        <w:spacing w:after="0" w:line="16" w:lineRule="exact"/>
        <w:rPr>
          <w:sz w:val="20"/>
          <w:szCs w:val="20"/>
          <w:color w:val="auto"/>
        </w:rPr>
      </w:pPr>
    </w:p>
    <w:p>
      <w:pPr>
        <w:ind w:left="660" w:hanging="11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product candidates may not successfully complete preclinical studies or clinical trials;</w:t>
      </w:r>
    </w:p>
    <w:p>
      <w:pPr>
        <w:spacing w:after="0" w:line="117" w:lineRule="exact"/>
        <w:rPr>
          <w:rFonts w:ascii="Arial" w:cs="Arial" w:eastAsia="Arial" w:hAnsi="Arial"/>
          <w:sz w:val="18"/>
          <w:szCs w:val="18"/>
          <w:color w:val="auto"/>
        </w:rPr>
      </w:pPr>
    </w:p>
    <w:p>
      <w:pPr>
        <w:ind w:left="660" w:right="20" w:hanging="11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may develop therapeutics that render our product candidates obsolete or less attractive;</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competitors may develop platform technologies that render our ABC Platform obsolete or less attractive;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ind w:left="660" w:right="240" w:hanging="11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product candidates and ABC Platform that we develop may not be sufficiently covered by intellectual property for which we hold exclusive rights or may be covered by third party patents or other intellectual property or exclusive rights;</w:t>
      </w:r>
    </w:p>
    <w:p>
      <w:pPr>
        <w:spacing w:after="0" w:line="62" w:lineRule="exact"/>
        <w:rPr>
          <w:rFonts w:ascii="Arial" w:cs="Arial" w:eastAsia="Arial" w:hAnsi="Arial"/>
          <w:sz w:val="18"/>
          <w:szCs w:val="18"/>
          <w:color w:val="auto"/>
        </w:rPr>
      </w:pPr>
    </w:p>
    <w:p>
      <w:pPr>
        <w:ind w:left="660" w:right="940" w:hanging="11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 for a product candidate may change so that the continued development of that product candidate is no longer reasonable or commercially attractive;</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117" w:lineRule="exact"/>
        <w:rPr>
          <w:rFonts w:ascii="Arial" w:cs="Arial" w:eastAsia="Arial" w:hAnsi="Arial"/>
          <w:sz w:val="18"/>
          <w:szCs w:val="18"/>
          <w:color w:val="auto"/>
        </w:rPr>
      </w:pPr>
    </w:p>
    <w:p>
      <w:pPr>
        <w:ind w:left="660" w:right="300" w:hanging="112"/>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product candidate obtains regulatory approval, we may be unable to establish sales and marketing capabilities, or successfully market such approved product candidate, to gain market acceptance; and</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patients, the medical community or third-party payors, if applicable.</w:t>
      </w:r>
    </w:p>
    <w:p>
      <w:pPr>
        <w:spacing w:after="0" w:line="129" w:lineRule="exact"/>
        <w:rPr>
          <w:sz w:val="20"/>
          <w:szCs w:val="20"/>
          <w:color w:val="auto"/>
        </w:rPr>
      </w:pPr>
    </w:p>
    <w:p>
      <w:pPr>
        <w:ind w:right="240" w:firstLine="541"/>
        <w:spacing w:after="0" w:line="279" w:lineRule="auto"/>
        <w:rPr>
          <w:sz w:val="20"/>
          <w:szCs w:val="20"/>
          <w:color w:val="auto"/>
        </w:rPr>
      </w:pPr>
      <w:r>
        <w:rPr>
          <w:rFonts w:ascii="Arial" w:cs="Arial" w:eastAsia="Arial" w:hAnsi="Arial"/>
          <w:sz w:val="17"/>
          <w:szCs w:val="17"/>
          <w:color w:val="auto"/>
        </w:rPr>
        <w:t>If any of these events occur,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an early stage of development, there is a relatively higher risk of failure and we may never succeed in developing marketable products or generating product revenue.</w:t>
      </w:r>
    </w:p>
    <w:p>
      <w:pPr>
        <w:spacing w:after="0" w:line="63" w:lineRule="exact"/>
        <w:rPr>
          <w:sz w:val="20"/>
          <w:szCs w:val="20"/>
          <w:color w:val="auto"/>
        </w:rPr>
      </w:pPr>
    </w:p>
    <w:p>
      <w:pPr>
        <w:ind w:firstLine="541"/>
        <w:spacing w:after="0" w:line="270" w:lineRule="auto"/>
        <w:rPr>
          <w:sz w:val="20"/>
          <w:szCs w:val="20"/>
          <w:color w:val="auto"/>
        </w:rPr>
      </w:pPr>
      <w:r>
        <w:rPr>
          <w:rFonts w:ascii="Arial" w:cs="Arial" w:eastAsia="Arial" w:hAnsi="Arial"/>
          <w:sz w:val="17"/>
          <w:szCs w:val="17"/>
          <w:color w:val="auto"/>
        </w:rPr>
        <w:t>We may not be successful in our efforts to further develop our ABC Platform and current product candidates.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the early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w:t>
      </w:r>
    </w:p>
    <w:p>
      <w:pPr>
        <w:spacing w:after="0" w:line="73" w:lineRule="exact"/>
        <w:rPr>
          <w:sz w:val="20"/>
          <w:szCs w:val="20"/>
          <w:color w:val="auto"/>
        </w:rPr>
      </w:pPr>
    </w:p>
    <w:p>
      <w:pPr>
        <w:ind w:right="20" w:firstLine="541"/>
        <w:spacing w:after="0" w:line="269" w:lineRule="auto"/>
        <w:rPr>
          <w:sz w:val="20"/>
          <w:szCs w:val="20"/>
          <w:color w:val="auto"/>
        </w:rPr>
      </w:pPr>
      <w:r>
        <w:rPr>
          <w:rFonts w:ascii="Arial" w:cs="Arial" w:eastAsia="Arial" w:hAnsi="Arial"/>
          <w:sz w:val="17"/>
          <w:szCs w:val="17"/>
          <w:color w:val="auto"/>
        </w:rPr>
        <w:t>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74" w:lineRule="exact"/>
        <w:rPr>
          <w:sz w:val="20"/>
          <w:szCs w:val="20"/>
          <w:color w:val="auto"/>
        </w:rPr>
      </w:pPr>
    </w:p>
    <w:p>
      <w:pPr>
        <w:ind w:firstLine="541"/>
        <w:spacing w:after="0" w:line="254" w:lineRule="auto"/>
        <w:rPr>
          <w:sz w:val="20"/>
          <w:szCs w:val="20"/>
          <w:color w:val="auto"/>
        </w:rPr>
      </w:pPr>
      <w:r>
        <w:rPr>
          <w:rFonts w:ascii="Arial" w:cs="Arial" w:eastAsia="Arial" w:hAnsi="Arial"/>
          <w:sz w:val="18"/>
          <w:szCs w:val="18"/>
          <w:color w:val="auto"/>
        </w:rPr>
        <w:t>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w:t>
      </w:r>
    </w:p>
    <w:p>
      <w:pPr>
        <w:spacing w:after="0" w:line="84" w:lineRule="exact"/>
        <w:rPr>
          <w:sz w:val="20"/>
          <w:szCs w:val="20"/>
          <w:color w:val="auto"/>
        </w:rPr>
      </w:pPr>
    </w:p>
    <w:p>
      <w:pPr>
        <w:ind w:right="20" w:firstLine="541"/>
        <w:spacing w:after="0" w:line="259" w:lineRule="auto"/>
        <w:rPr>
          <w:sz w:val="20"/>
          <w:szCs w:val="20"/>
          <w:color w:val="auto"/>
        </w:rPr>
      </w:pPr>
      <w:r>
        <w:rPr>
          <w:rFonts w:ascii="Arial" w:cs="Arial" w:eastAsia="Arial" w:hAnsi="Arial"/>
          <w:sz w:val="18"/>
          <w:szCs w:val="18"/>
          <w:color w:val="auto"/>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ind w:right="8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may not be able to conduct or complete our clinical trials on the timelines we expect, if at all.</w:t>
      </w:r>
    </w:p>
    <w:p>
      <w:pPr>
        <w:spacing w:after="0" w:line="62" w:lineRule="exact"/>
        <w:rPr>
          <w:sz w:val="20"/>
          <w:szCs w:val="20"/>
          <w:color w:val="auto"/>
        </w:rPr>
      </w:pPr>
    </w:p>
    <w:p>
      <w:pPr>
        <w:ind w:right="100" w:firstLine="541"/>
        <w:spacing w:after="0" w:line="255" w:lineRule="auto"/>
        <w:rPr>
          <w:sz w:val="20"/>
          <w:szCs w:val="20"/>
          <w:color w:val="auto"/>
        </w:rPr>
      </w:pPr>
      <w:r>
        <w:rPr>
          <w:rFonts w:ascii="Arial" w:cs="Arial" w:eastAsia="Arial" w:hAnsi="Arial"/>
          <w:sz w:val="18"/>
          <w:szCs w:val="18"/>
          <w:color w:val="auto"/>
        </w:rPr>
        <w:t>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the China Drug Authority, or CDA,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w:t>
      </w:r>
    </w:p>
    <w:p>
      <w:pPr>
        <w:spacing w:after="0" w:line="84" w:lineRule="exact"/>
        <w:rPr>
          <w:sz w:val="20"/>
          <w:szCs w:val="20"/>
          <w:color w:val="auto"/>
        </w:rPr>
      </w:pPr>
    </w:p>
    <w:p>
      <w:pPr>
        <w:ind w:left="660" w:hanging="112"/>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inability to generate sufficient preclinical, toxicology, or other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to support the initiation or continuation of clinical trials;</w:t>
      </w:r>
    </w:p>
    <w:p>
      <w:pPr>
        <w:spacing w:after="0" w:line="128" w:lineRule="exact"/>
        <w:rPr>
          <w:rFonts w:ascii="Arial" w:cs="Arial" w:eastAsia="Arial" w:hAnsi="Arial"/>
          <w:sz w:val="17"/>
          <w:szCs w:val="17"/>
          <w:color w:val="auto"/>
        </w:rPr>
      </w:pPr>
    </w:p>
    <w:p>
      <w:pPr>
        <w:ind w:left="660" w:hanging="11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or, in the case of China, the registration category for the drug candidate to be studied in the clinical trial;</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determination by the reviewing regulatory authority to require more costly or lengthy clinical trials than we currently anticipate;</w:t>
      </w:r>
    </w:p>
    <w:p>
      <w:pPr>
        <w:spacing w:after="0" w:line="117" w:lineRule="exact"/>
        <w:rPr>
          <w:rFonts w:ascii="Arial" w:cs="Arial" w:eastAsia="Arial" w:hAnsi="Arial"/>
          <w:sz w:val="18"/>
          <w:szCs w:val="18"/>
          <w:color w:val="auto"/>
        </w:rPr>
      </w:pPr>
    </w:p>
    <w:p>
      <w:pPr>
        <w:ind w:left="660" w:right="200" w:hanging="112"/>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delays in reaching agreement on acceptable terms with prospective clinical research organizations, or CROs, and clinical trial sites, the terms of which can be subject to extensive negotiation and may vary significantly among different CROs and clinical trial sites;</w:t>
      </w:r>
    </w:p>
    <w:p>
      <w:pPr>
        <w:spacing w:after="0" w:line="38" w:lineRule="exact"/>
        <w:rPr>
          <w:rFonts w:ascii="Arial" w:cs="Arial" w:eastAsia="Arial" w:hAnsi="Arial"/>
          <w:sz w:val="17"/>
          <w:szCs w:val="17"/>
          <w:color w:val="auto"/>
        </w:rPr>
      </w:pPr>
    </w:p>
    <w:p>
      <w:pPr>
        <w:ind w:left="660" w:hanging="11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trial site;</w:t>
      </w:r>
    </w:p>
    <w:p>
      <w:pPr>
        <w:spacing w:after="0" w:line="117" w:lineRule="exact"/>
        <w:rPr>
          <w:rFonts w:ascii="Arial" w:cs="Arial" w:eastAsia="Arial" w:hAnsi="Arial"/>
          <w:sz w:val="18"/>
          <w:szCs w:val="18"/>
          <w:color w:val="auto"/>
        </w:rPr>
      </w:pPr>
    </w:p>
    <w:p>
      <w:pPr>
        <w:ind w:left="660" w:hanging="112"/>
        <w:spacing w:after="0" w:line="25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CDA or any other regulatory authority concerns about risk to patients of the technology broadly; or if the FDA, EMA, CDA or any other regulatory authority finds that the investigational protocol or plan is clearly deficient to meet its stated objectives;</w:t>
      </w:r>
    </w:p>
    <w:p>
      <w:pPr>
        <w:spacing w:after="0" w:line="84" w:lineRule="exact"/>
        <w:rPr>
          <w:rFonts w:ascii="Arial" w:cs="Arial" w:eastAsia="Arial" w:hAnsi="Arial"/>
          <w:sz w:val="18"/>
          <w:szCs w:val="18"/>
          <w:color w:val="auto"/>
        </w:rPr>
      </w:pPr>
    </w:p>
    <w:p>
      <w:pPr>
        <w:ind w:left="660" w:right="60" w:hanging="11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identifying, recruiting and enrolling suitable patients to participate in our clinical trials, and delays caused by patients withdrawing from clinical trials or failing to return for post-treatment follow-up;</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requirements;</w:t>
      </w:r>
    </w:p>
    <w:p>
      <w:pPr>
        <w:spacing w:after="0" w:line="117" w:lineRule="exact"/>
        <w:rPr>
          <w:rFonts w:ascii="Arial" w:cs="Arial" w:eastAsia="Arial" w:hAnsi="Arial"/>
          <w:sz w:val="18"/>
          <w:szCs w:val="18"/>
          <w:color w:val="auto"/>
        </w:rPr>
      </w:pPr>
    </w:p>
    <w:p>
      <w:pPr>
        <w:ind w:left="660" w:right="320" w:hanging="11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perform in accordance with the FDA’s or any other regulatory authority’s current good clinical practices, or cGCPs, requirements, or applicable EMA, CDA or other regulatory guidelines in other countries;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660" w:right="40" w:hanging="11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62" w:lineRule="exact"/>
        <w:rPr>
          <w:rFonts w:ascii="Arial" w:cs="Arial" w:eastAsia="Arial" w:hAnsi="Arial"/>
          <w:sz w:val="18"/>
          <w:szCs w:val="18"/>
          <w:color w:val="auto"/>
        </w:rPr>
      </w:pPr>
    </w:p>
    <w:p>
      <w:pPr>
        <w:ind w:left="660" w:right="280" w:hanging="11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CMOs or by us, and delays or failure by our CMOs or us to make any necessary changes to such manufacturing process; and</w:t>
      </w:r>
    </w:p>
    <w:p>
      <w:pPr>
        <w:spacing w:after="0" w:line="62" w:lineRule="exact"/>
        <w:rPr>
          <w:rFonts w:ascii="Arial" w:cs="Arial" w:eastAsia="Arial" w:hAnsi="Arial"/>
          <w:sz w:val="18"/>
          <w:szCs w:val="18"/>
          <w:color w:val="auto"/>
        </w:rPr>
      </w:pPr>
    </w:p>
    <w:p>
      <w:pPr>
        <w:ind w:left="660" w:right="420" w:hanging="11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8" w:name="page69"/>
    <w:bookmarkEnd w:id="68"/>
    <w:p>
      <w:pPr>
        <w:ind w:right="80" w:firstLine="541"/>
        <w:spacing w:after="0" w:line="257"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80" w:lineRule="exact"/>
        <w:rPr>
          <w:sz w:val="20"/>
          <w:szCs w:val="20"/>
          <w:color w:val="auto"/>
        </w:rPr>
      </w:pPr>
    </w:p>
    <w:p>
      <w:pPr>
        <w:ind w:right="80" w:firstLine="541"/>
        <w:spacing w:after="0" w:line="254"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for such trial or by the FDA, EMA, CDA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CDA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87" w:lineRule="exact"/>
        <w:rPr>
          <w:sz w:val="20"/>
          <w:szCs w:val="20"/>
          <w:color w:val="auto"/>
        </w:rPr>
      </w:pPr>
    </w:p>
    <w:p>
      <w:pPr>
        <w:ind w:right="20" w:firstLine="541"/>
        <w:spacing w:after="0" w:line="259" w:lineRule="auto"/>
        <w:rPr>
          <w:sz w:val="20"/>
          <w:szCs w:val="20"/>
          <w:color w:val="auto"/>
        </w:rPr>
      </w:pPr>
      <w:r>
        <w:rPr>
          <w:rFonts w:ascii="Arial" w:cs="Arial" w:eastAsia="Arial" w:hAnsi="Arial"/>
          <w:sz w:val="18"/>
          <w:szCs w:val="18"/>
          <w:color w:val="auto"/>
        </w:rPr>
        <w:t>Delays in the commencement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halt their clinical development, prevent their regulatory approval, limit their commercial potential or result in significant negative consequences.</w:t>
      </w:r>
    </w:p>
    <w:p>
      <w:pPr>
        <w:spacing w:after="0" w:line="62" w:lineRule="exact"/>
        <w:rPr>
          <w:sz w:val="20"/>
          <w:szCs w:val="20"/>
          <w:color w:val="auto"/>
        </w:rPr>
      </w:pPr>
    </w:p>
    <w:p>
      <w:pPr>
        <w:jc w:val="both"/>
        <w:ind w:right="80" w:firstLine="541"/>
        <w:spacing w:after="0" w:line="263" w:lineRule="auto"/>
        <w:rPr>
          <w:sz w:val="20"/>
          <w:szCs w:val="20"/>
          <w:color w:val="auto"/>
        </w:rPr>
      </w:pPr>
      <w:r>
        <w:rPr>
          <w:rFonts w:ascii="Arial" w:cs="Arial" w:eastAsia="Arial" w:hAnsi="Arial"/>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EMA, CDA or other comparable foreign regulatory authorities.</w:t>
      </w:r>
    </w:p>
    <w:p>
      <w:pPr>
        <w:spacing w:after="0" w:line="76" w:lineRule="exact"/>
        <w:rPr>
          <w:sz w:val="20"/>
          <w:szCs w:val="20"/>
          <w:color w:val="auto"/>
        </w:rPr>
      </w:pPr>
    </w:p>
    <w:p>
      <w:pPr>
        <w:ind w:right="100" w:firstLine="541"/>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w:t>
      </w:r>
    </w:p>
    <w:p>
      <w:pPr>
        <w:spacing w:after="0" w:line="73" w:lineRule="exact"/>
        <w:rPr>
          <w:sz w:val="20"/>
          <w:szCs w:val="20"/>
          <w:color w:val="auto"/>
        </w:rPr>
      </w:pPr>
    </w:p>
    <w:p>
      <w:pPr>
        <w:ind w:firstLine="541"/>
        <w:spacing w:after="0" w:line="270" w:lineRule="auto"/>
        <w:rPr>
          <w:sz w:val="20"/>
          <w:szCs w:val="20"/>
          <w:color w:val="auto"/>
        </w:rPr>
      </w:pPr>
      <w:r>
        <w:rPr>
          <w:rFonts w:ascii="Arial" w:cs="Arial" w:eastAsia="Arial" w:hAnsi="Arial"/>
          <w:sz w:val="17"/>
          <w:szCs w:val="17"/>
          <w:color w:val="auto"/>
        </w:rPr>
        <w:t>Our most advanced product candidate, KSI-301, is an anti-VEGF biologic that we intend to study in wet AMD, DME/DR and RVO. There are some potential side effects associated with intravitreal anti-VEGF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However, anti-VEGF product candidates featuring higher molar dosages, including KSI-301, may heighten the risk of adverse effects associated with anti-VEGF treatments generally, both in the eye and in the rest of the body. There are risks inherent in the intravitreal injection procedure of drugs like KSI-301 which can cause injury to the eye and other complications including conjunctival hemorrhage, punctate keratitis, eye pain, conjunctival hyperemia, intra-ocular inflammation, and endophthalmitis.</w:t>
      </w:r>
    </w:p>
    <w:p>
      <w:pPr>
        <w:spacing w:after="0" w:line="73" w:lineRule="exact"/>
        <w:rPr>
          <w:sz w:val="20"/>
          <w:szCs w:val="20"/>
          <w:color w:val="auto"/>
        </w:rPr>
      </w:pPr>
    </w:p>
    <w:p>
      <w:pPr>
        <w:ind w:firstLine="541"/>
        <w:spacing w:after="0" w:line="272" w:lineRule="auto"/>
        <w:rPr>
          <w:sz w:val="20"/>
          <w:szCs w:val="20"/>
          <w:color w:val="auto"/>
        </w:rPr>
      </w:pPr>
      <w:r>
        <w:rPr>
          <w:rFonts w:ascii="Arial" w:cs="Arial" w:eastAsia="Arial" w:hAnsi="Arial"/>
          <w:sz w:val="17"/>
          <w:szCs w:val="17"/>
          <w:color w:val="auto"/>
        </w:rPr>
        <w:t>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ind w:right="540" w:firstLine="541"/>
        <w:spacing w:after="0" w:line="342" w:lineRule="auto"/>
        <w:rPr>
          <w:sz w:val="20"/>
          <w:szCs w:val="20"/>
          <w:color w:val="auto"/>
        </w:rPr>
      </w:pPr>
      <w:r>
        <w:rPr>
          <w:rFonts w:ascii="Arial" w:cs="Arial" w:eastAsia="Arial" w:hAnsi="Arial"/>
          <w:sz w:val="16"/>
          <w:szCs w:val="16"/>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 w:lineRule="exact"/>
        <w:rPr>
          <w:sz w:val="20"/>
          <w:szCs w:val="20"/>
          <w:color w:val="auto"/>
        </w:rPr>
      </w:pPr>
    </w:p>
    <w:p>
      <w:pPr>
        <w:ind w:left="660" w:hanging="11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7" w:lineRule="exact"/>
        <w:rPr>
          <w:rFonts w:ascii="Arial" w:cs="Arial" w:eastAsia="Arial" w:hAnsi="Arial"/>
          <w:sz w:val="18"/>
          <w:szCs w:val="18"/>
          <w:color w:val="auto"/>
        </w:rPr>
      </w:pPr>
    </w:p>
    <w:p>
      <w:pPr>
        <w:ind w:left="660" w:right="180" w:hanging="112"/>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38" w:lineRule="exact"/>
        <w:rPr>
          <w:rFonts w:ascii="Arial" w:cs="Arial" w:eastAsia="Arial" w:hAnsi="Arial"/>
          <w:sz w:val="17"/>
          <w:szCs w:val="17"/>
          <w:color w:val="auto"/>
        </w:rPr>
      </w:pPr>
    </w:p>
    <w:p>
      <w:pPr>
        <w:ind w:left="660" w:hanging="11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80" w:firstLine="5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encounter difficulties enrolling patients in our clinical trials, and our clinical development activities could thereby be delayed or otherwise adversely affected.</w:t>
      </w:r>
    </w:p>
    <w:p>
      <w:pPr>
        <w:spacing w:after="0" w:line="62" w:lineRule="exact"/>
        <w:rPr>
          <w:sz w:val="20"/>
          <w:szCs w:val="20"/>
          <w:color w:val="auto"/>
        </w:rPr>
      </w:pPr>
    </w:p>
    <w:p>
      <w:pPr>
        <w:ind w:right="120" w:firstLine="541"/>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76" w:lineRule="exact"/>
        <w:rPr>
          <w:sz w:val="20"/>
          <w:szCs w:val="20"/>
          <w:color w:val="auto"/>
        </w:rPr>
      </w:pPr>
    </w:p>
    <w:p>
      <w:pPr>
        <w:ind w:left="660" w:hanging="11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17" w:lineRule="exact"/>
        <w:rPr>
          <w:rFonts w:ascii="Arial" w:cs="Arial" w:eastAsia="Arial" w:hAnsi="Arial"/>
          <w:sz w:val="18"/>
          <w:szCs w:val="18"/>
          <w:color w:val="auto"/>
        </w:rPr>
      </w:pPr>
    </w:p>
    <w:p>
      <w:pPr>
        <w:ind w:left="660" w:right="60" w:hanging="112"/>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w:t>
      </w:r>
    </w:p>
    <w:p>
      <w:pPr>
        <w:spacing w:after="0" w:line="75" w:lineRule="exact"/>
        <w:rPr>
          <w:rFonts w:ascii="Arial" w:cs="Arial" w:eastAsia="Arial" w:hAnsi="Arial"/>
          <w:sz w:val="18"/>
          <w:szCs w:val="18"/>
          <w:color w:val="auto"/>
        </w:rPr>
      </w:pPr>
    </w:p>
    <w:p>
      <w:pPr>
        <w:ind w:left="660" w:hanging="11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proximity of patients to a trial site;</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competing clinical trials for similar therapies or targeting patient populations meeting our patient eligibility criteria;</w:t>
      </w:r>
    </w:p>
    <w:p>
      <w:pPr>
        <w:spacing w:after="0" w:line="117" w:lineRule="exact"/>
        <w:rPr>
          <w:rFonts w:ascii="Arial" w:cs="Arial" w:eastAsia="Arial" w:hAnsi="Arial"/>
          <w:sz w:val="18"/>
          <w:szCs w:val="18"/>
          <w:color w:val="auto"/>
        </w:rPr>
      </w:pPr>
    </w:p>
    <w:p>
      <w:pPr>
        <w:ind w:left="660" w:right="480" w:hanging="11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and product candidates;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such trials, for any reason.</w:t>
      </w:r>
    </w:p>
    <w:p>
      <w:pPr>
        <w:spacing w:after="0" w:line="117" w:lineRule="exact"/>
        <w:rPr>
          <w:sz w:val="20"/>
          <w:szCs w:val="20"/>
          <w:color w:val="auto"/>
        </w:rPr>
      </w:pPr>
    </w:p>
    <w:p>
      <w:pPr>
        <w:jc w:val="both"/>
        <w:ind w:firstLine="541"/>
        <w:spacing w:after="0" w:line="275" w:lineRule="auto"/>
        <w:rPr>
          <w:sz w:val="20"/>
          <w:szCs w:val="20"/>
          <w:color w:val="auto"/>
        </w:rPr>
      </w:pPr>
      <w:r>
        <w:rPr>
          <w:rFonts w:ascii="Arial" w:cs="Arial" w:eastAsia="Arial" w:hAnsi="Arial"/>
          <w:sz w:val="17"/>
          <w:szCs w:val="17"/>
          <w:color w:val="auto"/>
        </w:rPr>
        <w:t>For example, because patients with early stages of DR often lack symptoms, it may be challenging to identify and enroll patients at early stages of disease that may be required for a clinical trial. 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0" w:name="page71"/>
    <w:bookmarkEnd w:id="70"/>
    <w:p>
      <w:pPr>
        <w:ind w:right="10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substantial evidence of the safety and efficacy or durability of our product candidates, which would prevent, delay or limit the scope of regulatory approval and commercialization.</w:t>
      </w:r>
    </w:p>
    <w:p>
      <w:pPr>
        <w:spacing w:after="0" w:line="62" w:lineRule="exact"/>
        <w:rPr>
          <w:sz w:val="20"/>
          <w:szCs w:val="20"/>
          <w:color w:val="auto"/>
        </w:rPr>
      </w:pPr>
    </w:p>
    <w:p>
      <w:pPr>
        <w:ind w:firstLine="541"/>
        <w:spacing w:after="0" w:line="296" w:lineRule="auto"/>
        <w:rPr>
          <w:sz w:val="20"/>
          <w:szCs w:val="20"/>
          <w:color w:val="auto"/>
        </w:rPr>
      </w:pPr>
      <w:r>
        <w:rPr>
          <w:rFonts w:ascii="Arial" w:cs="Arial" w:eastAsia="Arial" w:hAnsi="Arial"/>
          <w:sz w:val="16"/>
          <w:szCs w:val="16"/>
          <w:color w:val="auto"/>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This is especially true for anti-VEGF biologic agents where Lucentis and Eylea are established products with accepted safety profiles.</w:t>
      </w:r>
    </w:p>
    <w:p>
      <w:pPr>
        <w:spacing w:after="0" w:line="53" w:lineRule="exact"/>
        <w:rPr>
          <w:sz w:val="20"/>
          <w:szCs w:val="20"/>
          <w:color w:val="auto"/>
        </w:rPr>
      </w:pPr>
    </w:p>
    <w:p>
      <w:pPr>
        <w:ind w:right="120" w:firstLine="541"/>
        <w:spacing w:after="0" w:line="269"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74" w:lineRule="exact"/>
        <w:rPr>
          <w:sz w:val="20"/>
          <w:szCs w:val="20"/>
          <w:color w:val="auto"/>
        </w:rPr>
      </w:pPr>
    </w:p>
    <w:p>
      <w:pPr>
        <w:ind w:right="140" w:firstLine="541"/>
        <w:spacing w:after="0" w:line="259" w:lineRule="auto"/>
        <w:rPr>
          <w:sz w:val="20"/>
          <w:szCs w:val="20"/>
          <w:color w:val="auto"/>
        </w:rPr>
      </w:pPr>
      <w:r>
        <w:rPr>
          <w:rFonts w:ascii="Arial" w:cs="Arial" w:eastAsia="Arial" w:hAnsi="Arial"/>
          <w:sz w:val="18"/>
          <w:szCs w:val="18"/>
          <w:color w:val="auto"/>
        </w:rPr>
        <w:t>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spacing w:after="0" w:line="79" w:lineRule="exact"/>
        <w:rPr>
          <w:sz w:val="20"/>
          <w:szCs w:val="20"/>
          <w:color w:val="auto"/>
        </w:rPr>
      </w:pPr>
    </w:p>
    <w:p>
      <w:pPr>
        <w:ind w:right="100" w:firstLine="541"/>
        <w:spacing w:after="0" w:line="255" w:lineRule="auto"/>
        <w:rPr>
          <w:sz w:val="20"/>
          <w:szCs w:val="20"/>
          <w:color w:val="auto"/>
        </w:rPr>
      </w:pPr>
      <w:r>
        <w:rPr>
          <w:rFonts w:ascii="Arial" w:cs="Arial" w:eastAsia="Arial" w:hAnsi="Arial"/>
          <w:sz w:val="18"/>
          <w:szCs w:val="18"/>
          <w:color w:val="auto"/>
        </w:rPr>
        <w:t>In addition, even if such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19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may not be successful in our efforts to continue to create a pipeline of product candidates or to develop commercially successful products. If we fail to successfully identify and develop additional product candidates, our commercial opportunity may be limited.</w:t>
      </w:r>
    </w:p>
    <w:p>
      <w:pPr>
        <w:spacing w:after="0" w:line="38" w:lineRule="exact"/>
        <w:rPr>
          <w:sz w:val="20"/>
          <w:szCs w:val="20"/>
          <w:color w:val="auto"/>
        </w:rPr>
      </w:pPr>
    </w:p>
    <w:p>
      <w:pPr>
        <w:ind w:right="60" w:firstLine="541"/>
        <w:spacing w:after="0" w:line="272" w:lineRule="auto"/>
        <w:rPr>
          <w:sz w:val="20"/>
          <w:szCs w:val="20"/>
          <w:color w:val="auto"/>
        </w:rPr>
      </w:pPr>
      <w:r>
        <w:rPr>
          <w:rFonts w:ascii="Arial" w:cs="Arial" w:eastAsia="Arial" w:hAnsi="Arial"/>
          <w:sz w:val="17"/>
          <w:szCs w:val="17"/>
          <w:color w:val="auto"/>
        </w:rPr>
        <w:t>One of our strategies is to identify and pursue clinical development of additional product candidates through our ABC Platform. Our ABC Platform may not produce a pipeline of viable product candidates, or our competitors may develop platform technologies that render our ABC Platform obsolete or less attractive. 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w:t>
      </w:r>
    </w:p>
    <w:p>
      <w:pPr>
        <w:spacing w:after="0" w:line="17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79" w:lineRule="exact"/>
        <w:rPr>
          <w:sz w:val="20"/>
          <w:szCs w:val="20"/>
          <w:color w:val="auto"/>
        </w:rPr>
      </w:pPr>
    </w:p>
    <w:p>
      <w:pPr>
        <w:ind w:right="100" w:firstLine="541"/>
        <w:spacing w:after="0" w:line="25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ind w:right="60" w:firstLine="541"/>
        <w:spacing w:after="0" w:line="271" w:lineRule="auto"/>
        <w:rPr>
          <w:sz w:val="20"/>
          <w:szCs w:val="20"/>
          <w:color w:val="auto"/>
        </w:rPr>
      </w:pPr>
      <w:r>
        <w:rPr>
          <w:rFonts w:ascii="Arial" w:cs="Arial" w:eastAsia="Arial" w:hAnsi="Arial"/>
          <w:sz w:val="17"/>
          <w:szCs w:val="17"/>
          <w:color w:val="auto"/>
        </w:rPr>
        <w:t>There are a number of large pharmaceutical and biotechnology companies that are currently pursuing the development of products for the treatment of the retinal disease indications for which we have product candidates, including wet AMD and DME/DR. Certain of our competitors have commercially approved products for the treatment of retinal diseases that we are pursuing or may pursue in the future, including Roche, Regeneron and Novartis for the treatment of wet AMD and DME/DR. These drugs are well established therapies and are widely accepted by physicians, patients and third-party payors, which may make it difficult to convince these parties to switch to KSI-301. Companies that we are aware are developing therapeutics in the retinal disease area include large companies with significant financial resources, such as Roche, Novartis, Bayer and Regeneron, Allergan, Mylan, Momenta, and Samsung Bioepis. In addition to competition from other companies targeting retinal indications, any products we may develop may also face competition from other types of therapies, such as gene-editing therapies and drug delivery devices.</w:t>
      </w:r>
    </w:p>
    <w:p>
      <w:pPr>
        <w:spacing w:after="0" w:line="70" w:lineRule="exact"/>
        <w:rPr>
          <w:sz w:val="20"/>
          <w:szCs w:val="20"/>
          <w:color w:val="auto"/>
        </w:rPr>
      </w:pPr>
    </w:p>
    <w:p>
      <w:pPr>
        <w:ind w:firstLine="541"/>
        <w:spacing w:after="0" w:line="268" w:lineRule="auto"/>
        <w:rPr>
          <w:sz w:val="20"/>
          <w:szCs w:val="20"/>
          <w:color w:val="auto"/>
        </w:rPr>
      </w:pPr>
      <w:r>
        <w:rPr>
          <w:rFonts w:ascii="Arial" w:cs="Arial" w:eastAsia="Arial" w:hAnsi="Arial"/>
          <w:sz w:val="17"/>
          <w:szCs w:val="17"/>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CDA or other regulatory approval for their products more rapidly than we may obtain approval for ours. Additionally, products or technologies developed by our competitors may render our potential product candidates uneconomical or obsolete, and we may not be successful in marketing any product candidates we may develop against competitors.</w:t>
      </w:r>
    </w:p>
    <w:p>
      <w:pPr>
        <w:spacing w:after="0" w:line="78" w:lineRule="exact"/>
        <w:rPr>
          <w:sz w:val="20"/>
          <w:szCs w:val="20"/>
          <w:color w:val="auto"/>
        </w:rPr>
      </w:pPr>
    </w:p>
    <w:p>
      <w:pPr>
        <w:ind w:right="120" w:firstLine="541"/>
        <w:spacing w:after="0" w:line="259"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report titled “Risks Related to Our Intellectual Property.”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manufacture of our product candidates is highly complex and requires substantial lead time to produce.</w:t>
      </w:r>
    </w:p>
    <w:p>
      <w:pPr>
        <w:spacing w:after="0" w:line="117" w:lineRule="exact"/>
        <w:rPr>
          <w:sz w:val="20"/>
          <w:szCs w:val="20"/>
          <w:color w:val="auto"/>
        </w:rPr>
      </w:pPr>
    </w:p>
    <w:p>
      <w:pPr>
        <w:ind w:right="100" w:firstLine="541"/>
        <w:spacing w:after="0" w:line="296" w:lineRule="auto"/>
        <w:rPr>
          <w:sz w:val="20"/>
          <w:szCs w:val="20"/>
          <w:color w:val="auto"/>
        </w:rPr>
      </w:pPr>
      <w:r>
        <w:rPr>
          <w:rFonts w:ascii="Arial" w:cs="Arial" w:eastAsia="Arial" w:hAnsi="Arial"/>
          <w:sz w:val="16"/>
          <w:szCs w:val="16"/>
          <w:color w:val="auto"/>
        </w:rPr>
        <w:t>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w:t>
      </w:r>
    </w:p>
    <w:p>
      <w:pPr>
        <w:spacing w:after="0" w:line="53" w:lineRule="exact"/>
        <w:rPr>
          <w:sz w:val="20"/>
          <w:szCs w:val="20"/>
          <w:color w:val="auto"/>
        </w:rPr>
      </w:pPr>
    </w:p>
    <w:p>
      <w:pPr>
        <w:ind w:right="160" w:firstLine="541"/>
        <w:spacing w:after="0" w:line="279" w:lineRule="auto"/>
        <w:rPr>
          <w:sz w:val="20"/>
          <w:szCs w:val="20"/>
          <w:color w:val="auto"/>
        </w:rPr>
      </w:pPr>
      <w:r>
        <w:rPr>
          <w:rFonts w:ascii="Arial" w:cs="Arial" w:eastAsia="Arial" w:hAnsi="Arial"/>
          <w:sz w:val="17"/>
          <w:szCs w:val="17"/>
          <w:color w:val="auto"/>
        </w:rPr>
        <w:t>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w:t>
      </w:r>
    </w:p>
    <w:p>
      <w:pPr>
        <w:spacing w:after="0" w:line="63" w:lineRule="exact"/>
        <w:rPr>
          <w:sz w:val="20"/>
          <w:szCs w:val="20"/>
          <w:color w:val="auto"/>
        </w:rPr>
      </w:pPr>
    </w:p>
    <w:p>
      <w:pPr>
        <w:ind w:right="40" w:firstLine="541"/>
        <w:spacing w:after="0" w:line="270" w:lineRule="auto"/>
        <w:rPr>
          <w:sz w:val="20"/>
          <w:szCs w:val="20"/>
          <w:color w:val="auto"/>
        </w:rPr>
      </w:pPr>
      <w:r>
        <w:rPr>
          <w:rFonts w:ascii="Arial" w:cs="Arial" w:eastAsia="Arial" w:hAnsi="Arial"/>
          <w:sz w:val="17"/>
          <w:szCs w:val="17"/>
          <w:color w:val="auto"/>
        </w:rPr>
        <w:t>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For example, currently any new large-scale batches of KSI-301 would require at least 12 months to manufacture. In the event of significant product loss and materials shortages, we may be unable to produce adequate amounts of our product candidates or products for our operational needs.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ind w:right="40" w:firstLine="541"/>
        <w:spacing w:after="0" w:line="279" w:lineRule="auto"/>
        <w:rPr>
          <w:sz w:val="20"/>
          <w:szCs w:val="20"/>
          <w:color w:val="auto"/>
        </w:rPr>
      </w:pPr>
      <w:r>
        <w:rPr>
          <w:rFonts w:ascii="Arial" w:cs="Arial" w:eastAsia="Arial" w:hAnsi="Arial"/>
          <w:sz w:val="17"/>
          <w:szCs w:val="17"/>
          <w:color w:val="auto"/>
        </w:rPr>
        <w:t>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w:t>
      </w:r>
    </w:p>
    <w:p>
      <w:pPr>
        <w:spacing w:after="0" w:line="63" w:lineRule="exact"/>
        <w:rPr>
          <w:sz w:val="20"/>
          <w:szCs w:val="20"/>
          <w:color w:val="auto"/>
        </w:rPr>
      </w:pPr>
    </w:p>
    <w:p>
      <w:pPr>
        <w:ind w:right="460" w:firstLine="541"/>
        <w:spacing w:after="0" w:line="277" w:lineRule="auto"/>
        <w:rPr>
          <w:sz w:val="20"/>
          <w:szCs w:val="20"/>
          <w:color w:val="auto"/>
        </w:rPr>
      </w:pPr>
      <w:r>
        <w:rPr>
          <w:rFonts w:ascii="Arial" w:cs="Arial" w:eastAsia="Arial" w:hAnsi="Arial"/>
          <w:sz w:val="18"/>
          <w:szCs w:val="18"/>
          <w:color w:val="auto"/>
        </w:rPr>
        <w:t>These challenges are magnified by the international nature of our supply chain, which, for KSI-301, requires drug substance and drug product sourced from single source suppliers from China, Japan, the United Kingdom, and Switzerland.</w:t>
      </w:r>
    </w:p>
    <w:p>
      <w:pPr>
        <w:spacing w:after="0" w:line="170"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We have no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products for patients, if approved, could be delayed or stopped, or we may be unable to establish a commercially viable cost structure.</w:t>
      </w:r>
    </w:p>
    <w:p>
      <w:pPr>
        <w:spacing w:after="0" w:line="23" w:lineRule="exact"/>
        <w:rPr>
          <w:sz w:val="20"/>
          <w:szCs w:val="20"/>
          <w:color w:val="auto"/>
        </w:rPr>
      </w:pPr>
    </w:p>
    <w:p>
      <w:pPr>
        <w:ind w:firstLine="541"/>
        <w:spacing w:after="0" w:line="269" w:lineRule="auto"/>
        <w:rPr>
          <w:sz w:val="20"/>
          <w:szCs w:val="20"/>
          <w:color w:val="auto"/>
        </w:rPr>
      </w:pPr>
      <w:r>
        <w:rPr>
          <w:rFonts w:ascii="Arial" w:cs="Arial" w:eastAsia="Arial" w:hAnsi="Arial"/>
          <w:sz w:val="17"/>
          <w:szCs w:val="17"/>
          <w:color w:val="auto"/>
        </w:rPr>
        <w:t>In order to conduct clinical trials of our product candidates, or supply commercial products, if approved, we will need to manufacture them in small and large quantities. Our third-party manufacturer has made only a limited number of lots of KSI-301 to date and has not made any commercial lots. The manufacturing processes for KSI-301 have never been tested at commercial scale and the process validation requirement (the requirement to consistently produce the active pharmaceutical ingredient used in KSI-301 in commercial quantities and of specified quality on a repeated basis and document its ability to do so) has not yet been satisfied. Our manufacturing partners may be unable to successfully increase the manufacturing capacity for any of our product candidates in a timely or cost-effective manner, or at all. In addition, quality issues may arise during scale-up activities. 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spacing w:after="0" w:line="77" w:lineRule="exact"/>
        <w:rPr>
          <w:sz w:val="20"/>
          <w:szCs w:val="20"/>
          <w:color w:val="auto"/>
        </w:rPr>
      </w:pPr>
    </w:p>
    <w:p>
      <w:pPr>
        <w:ind w:firstLine="541"/>
        <w:spacing w:after="0" w:line="269" w:lineRule="auto"/>
        <w:rPr>
          <w:sz w:val="20"/>
          <w:szCs w:val="20"/>
          <w:color w:val="auto"/>
        </w:rPr>
      </w:pPr>
      <w:r>
        <w:rPr>
          <w:rFonts w:ascii="Arial" w:cs="Arial" w:eastAsia="Arial" w:hAnsi="Arial"/>
          <w:sz w:val="17"/>
          <w:szCs w:val="17"/>
          <w:color w:val="auto"/>
        </w:rPr>
        <w:t>In addition, the manufacturing process for any products that we may develop is subject to FDA, EMA, CDA and foreign regulatory authority approval processes and continuous oversight. We will need to contract with manufacturers who can meet all applicable FDA, EMA, CDA and foreign regulatory authority requirements, including complying with current good manufacturing practices, or cGMPs, on an ongoing basis. If we or our third-party manufacturers are unable to reliably produce products to specifications acceptable to the FDA, EMA, CDA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CDA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spacing w:after="0" w:line="18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16" w:lineRule="exact"/>
        <w:rPr>
          <w:sz w:val="20"/>
          <w:szCs w:val="20"/>
          <w:color w:val="auto"/>
        </w:rPr>
      </w:pPr>
    </w:p>
    <w:p>
      <w:pPr>
        <w:ind w:right="360" w:firstLine="541"/>
        <w:spacing w:after="0" w:line="301" w:lineRule="auto"/>
        <w:rPr>
          <w:sz w:val="20"/>
          <w:szCs w:val="20"/>
          <w:color w:val="auto"/>
        </w:rPr>
      </w:pPr>
      <w:r>
        <w:rPr>
          <w:rFonts w:ascii="Arial" w:cs="Arial" w:eastAsia="Arial" w:hAnsi="Arial"/>
          <w:sz w:val="16"/>
          <w:szCs w:val="16"/>
          <w:color w:val="auto"/>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w:t>
      </w:r>
    </w:p>
    <w:p>
      <w:pPr>
        <w:spacing w:after="0" w:line="49" w:lineRule="exact"/>
        <w:rPr>
          <w:sz w:val="20"/>
          <w:szCs w:val="20"/>
          <w:color w:val="auto"/>
        </w:rPr>
      </w:pPr>
    </w:p>
    <w:p>
      <w:pPr>
        <w:ind w:right="20" w:firstLine="541"/>
        <w:spacing w:after="0" w:line="275" w:lineRule="auto"/>
        <w:rPr>
          <w:sz w:val="20"/>
          <w:szCs w:val="20"/>
          <w:color w:val="auto"/>
        </w:rPr>
      </w:pPr>
      <w:r>
        <w:rPr>
          <w:rFonts w:ascii="Arial" w:cs="Arial" w:eastAsia="Arial" w:hAnsi="Arial"/>
          <w:sz w:val="17"/>
          <w:szCs w:val="17"/>
          <w:color w:val="auto"/>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3" w:name="page74"/>
    <w:bookmarkEnd w:id="73"/>
    <w:p>
      <w:pPr>
        <w:ind w:left="540"/>
        <w:spacing w:after="0"/>
        <w:rPr>
          <w:sz w:val="20"/>
          <w:szCs w:val="20"/>
          <w:color w:val="auto"/>
        </w:rPr>
      </w:pPr>
      <w:r>
        <w:rPr>
          <w:rFonts w:ascii="Arial" w:cs="Arial" w:eastAsia="Arial" w:hAnsi="Arial"/>
          <w:sz w:val="18"/>
          <w:szCs w:val="18"/>
          <w:color w:val="auto"/>
        </w:rPr>
        <w:t>Factors that may inhibit our efforts to commercialize any approved product on our own include:</w:t>
      </w:r>
    </w:p>
    <w:p>
      <w:pPr>
        <w:spacing w:after="0" w:line="117" w:lineRule="exact"/>
        <w:rPr>
          <w:sz w:val="20"/>
          <w:szCs w:val="20"/>
          <w:color w:val="auto"/>
        </w:rPr>
      </w:pPr>
    </w:p>
    <w:p>
      <w:pPr>
        <w:ind w:left="660" w:right="420" w:hanging="11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marketing, reimbursement, customer service, medical affairs and other support personnel;</w:t>
      </w:r>
    </w:p>
    <w:p>
      <w:pPr>
        <w:spacing w:after="0" w:line="62" w:lineRule="exact"/>
        <w:rPr>
          <w:rFonts w:ascii="Arial" w:cs="Arial" w:eastAsia="Arial" w:hAnsi="Arial"/>
          <w:sz w:val="18"/>
          <w:szCs w:val="18"/>
          <w:color w:val="auto"/>
        </w:rPr>
      </w:pPr>
    </w:p>
    <w:p>
      <w:pPr>
        <w:ind w:left="660" w:right="100" w:hanging="11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benefits of prescribing any future approved products;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inability of reimbursement professionals to negotiate arrangements for formulary access, reimbursement, and other acceptance by payors;</w:t>
      </w:r>
    </w:p>
    <w:p>
      <w:pPr>
        <w:spacing w:after="0" w:line="140" w:lineRule="exact"/>
        <w:rPr>
          <w:rFonts w:ascii="Arial" w:cs="Arial" w:eastAsia="Arial" w:hAnsi="Arial"/>
          <w:sz w:val="16"/>
          <w:szCs w:val="16"/>
          <w:color w:val="auto"/>
        </w:rPr>
      </w:pPr>
    </w:p>
    <w:p>
      <w:pPr>
        <w:ind w:left="660" w:hanging="11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price our products at a sufficient price point to ensure an adequate and attractive level of profitability;</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restricted or closed distribution channels that make it difficult to distribute our products to segments of the patient population;</w:t>
      </w:r>
    </w:p>
    <w:p>
      <w:pPr>
        <w:spacing w:after="0" w:line="117" w:lineRule="exact"/>
        <w:rPr>
          <w:rFonts w:ascii="Arial" w:cs="Arial" w:eastAsia="Arial" w:hAnsi="Arial"/>
          <w:sz w:val="18"/>
          <w:szCs w:val="18"/>
          <w:color w:val="auto"/>
        </w:rPr>
      </w:pPr>
    </w:p>
    <w:p>
      <w:pPr>
        <w:ind w:left="660" w:right="140" w:hanging="112"/>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commercialization organization.</w:t>
      </w:r>
    </w:p>
    <w:p>
      <w:pPr>
        <w:spacing w:after="0" w:line="117" w:lineRule="exact"/>
        <w:rPr>
          <w:sz w:val="20"/>
          <w:szCs w:val="20"/>
          <w:color w:val="auto"/>
        </w:rPr>
      </w:pPr>
    </w:p>
    <w:p>
      <w:pPr>
        <w:ind w:firstLine="541"/>
        <w:spacing w:after="0" w:line="273" w:lineRule="auto"/>
        <w:rPr>
          <w:sz w:val="20"/>
          <w:szCs w:val="20"/>
          <w:color w:val="auto"/>
        </w:rPr>
      </w:pPr>
      <w:r>
        <w:rPr>
          <w:rFonts w:ascii="Arial" w:cs="Arial" w:eastAsia="Arial" w:hAnsi="Arial"/>
          <w:sz w:val="17"/>
          <w:szCs w:val="17"/>
          <w:color w:val="auto"/>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w:t>
      </w:r>
    </w:p>
    <w:p>
      <w:pPr>
        <w:spacing w:after="0" w:line="178"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Even if any product candidates we develop receive marketing approval, they may fail to achieve the degree of market acceptance by physicians, patients, healthcare payors and others in the medical community necessary for commercial success.</w:t>
      </w:r>
    </w:p>
    <w:p>
      <w:pPr>
        <w:spacing w:after="0" w:line="38" w:lineRule="exact"/>
        <w:rPr>
          <w:sz w:val="20"/>
          <w:szCs w:val="20"/>
          <w:color w:val="auto"/>
        </w:rPr>
      </w:pPr>
    </w:p>
    <w:p>
      <w:pPr>
        <w:ind w:firstLine="541"/>
        <w:spacing w:after="0" w:line="279" w:lineRule="auto"/>
        <w:rPr>
          <w:sz w:val="20"/>
          <w:szCs w:val="20"/>
          <w:color w:val="auto"/>
        </w:rPr>
      </w:pPr>
      <w:r>
        <w:rPr>
          <w:rFonts w:ascii="Arial" w:cs="Arial" w:eastAsia="Arial" w:hAnsi="Arial"/>
          <w:sz w:val="17"/>
          <w:szCs w:val="17"/>
          <w:color w:val="auto"/>
        </w:rPr>
        <w:t>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medical community. The degree of market acceptance of any product candidates we may develop, if approved for commercial sale, will depend on a number of factors, including:</w:t>
      </w:r>
    </w:p>
    <w:p>
      <w:pPr>
        <w:spacing w:after="0" w:line="63" w:lineRule="exact"/>
        <w:rPr>
          <w:sz w:val="20"/>
          <w:szCs w:val="20"/>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efficacy and safety of such product candidates as demonstrated in pivotal clinical trials and published in peer-reviewed journals;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and perceived advantages compared to alternative treatments;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offer our products for sale at competitive prices;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offer appropriate patient access programs, such as co-pay assistance;</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physicians recommend our products to their patients;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convenience and ease of dosing and administration compared to alternative treatments;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 by FDA, EMA, CDA or other regulatory agencies;</w:t>
      </w:r>
    </w:p>
    <w:p>
      <w:pPr>
        <w:spacing w:after="0" w:line="117" w:lineRule="exact"/>
        <w:rPr>
          <w:rFonts w:ascii="Arial" w:cs="Arial" w:eastAsia="Arial" w:hAnsi="Arial"/>
          <w:sz w:val="18"/>
          <w:szCs w:val="18"/>
          <w:color w:val="auto"/>
        </w:rPr>
      </w:pPr>
    </w:p>
    <w:p>
      <w:pPr>
        <w:ind w:left="660" w:right="620" w:hanging="112"/>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CDA or other comparable foreign regulatory authorities, including any limitations, contraindications or warnings contained in a product’s approved labeling;</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how the product is distributed;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market introduction of competitive products;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4" w:name="page75"/>
    <w:bookmarkEnd w:id="74"/>
    <w:p>
      <w:pPr>
        <w:ind w:firstLine="541"/>
        <w:spacing w:after="0" w:line="277" w:lineRule="auto"/>
        <w:rPr>
          <w:sz w:val="20"/>
          <w:szCs w:val="20"/>
          <w:color w:val="auto"/>
        </w:rPr>
      </w:pPr>
      <w:r>
        <w:rPr>
          <w:rFonts w:ascii="Arial" w:cs="Arial" w:eastAsia="Arial" w:hAnsi="Arial"/>
          <w:sz w:val="18"/>
          <w:szCs w:val="18"/>
          <w:color w:val="auto"/>
        </w:rPr>
        <w:t>If any product candidates we develop do not achieve an adequate level of acceptance, we may not generate significant product revenue, and we may not become profitable.</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62" w:lineRule="exact"/>
        <w:rPr>
          <w:sz w:val="20"/>
          <w:szCs w:val="20"/>
          <w:color w:val="auto"/>
        </w:rPr>
      </w:pPr>
    </w:p>
    <w:p>
      <w:pPr>
        <w:ind w:firstLine="541"/>
        <w:spacing w:after="0" w:line="271" w:lineRule="auto"/>
        <w:rPr>
          <w:sz w:val="20"/>
          <w:szCs w:val="20"/>
          <w:color w:val="auto"/>
        </w:rPr>
      </w:pPr>
      <w:r>
        <w:rPr>
          <w:rFonts w:ascii="Arial" w:cs="Arial" w:eastAsia="Arial" w:hAnsi="Arial"/>
          <w:sz w:val="17"/>
          <w:szCs w:val="17"/>
          <w:color w:val="auto"/>
        </w:rPr>
        <w:t>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70" w:lineRule="exact"/>
        <w:rPr>
          <w:sz w:val="20"/>
          <w:szCs w:val="20"/>
          <w:color w:val="auto"/>
        </w:rPr>
      </w:pPr>
    </w:p>
    <w:p>
      <w:pPr>
        <w:ind w:firstLine="541"/>
        <w:spacing w:after="0" w:line="269" w:lineRule="auto"/>
        <w:rPr>
          <w:sz w:val="20"/>
          <w:szCs w:val="20"/>
          <w:color w:val="auto"/>
        </w:rPr>
      </w:pPr>
      <w:r>
        <w:rPr>
          <w:rFonts w:ascii="Arial" w:cs="Arial" w:eastAsia="Arial" w:hAnsi="Arial"/>
          <w:sz w:val="17"/>
          <w:szCs w:val="17"/>
          <w:color w:val="auto"/>
        </w:rPr>
        <w:t>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w:t>
      </w:r>
    </w:p>
    <w:p>
      <w:pPr>
        <w:spacing w:after="0" w:line="77" w:lineRule="exact"/>
        <w:rPr>
          <w:sz w:val="20"/>
          <w:szCs w:val="20"/>
          <w:color w:val="auto"/>
        </w:rPr>
      </w:pPr>
    </w:p>
    <w:p>
      <w:pPr>
        <w:ind w:right="40" w:firstLine="541"/>
        <w:spacing w:after="0" w:line="254"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spacing w:after="0" w:line="84" w:lineRule="exact"/>
        <w:rPr>
          <w:sz w:val="20"/>
          <w:szCs w:val="20"/>
          <w:color w:val="auto"/>
        </w:rPr>
      </w:pPr>
    </w:p>
    <w:p>
      <w:pPr>
        <w:ind w:firstLine="541"/>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medicine is approved by the FDA, EMA, CDA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5" w:name="page76"/>
    <w:bookmarkEnd w:id="75"/>
    <w:p>
      <w:pPr>
        <w:ind w:right="100"/>
        <w:spacing w:after="0" w:line="277" w:lineRule="auto"/>
        <w:rPr>
          <w:sz w:val="20"/>
          <w:szCs w:val="20"/>
          <w:color w:val="auto"/>
        </w:rPr>
      </w:pPr>
      <w:r>
        <w:rPr>
          <w:rFonts w:ascii="Arial" w:cs="Arial" w:eastAsia="Arial" w:hAnsi="Arial"/>
          <w:sz w:val="18"/>
          <w:szCs w:val="18"/>
          <w:b w:val="1"/>
          <w:bCs w:val="1"/>
          <w:i w:val="1"/>
          <w:iCs w:val="1"/>
          <w:color w:val="auto"/>
        </w:rPr>
        <w:t>Our product candidates for which we intend to seek approval as biologic products may face competition from biological products that are biosimilar to or interchangeable with our product candidates sooner than anticipated.</w:t>
      </w:r>
    </w:p>
    <w:p>
      <w:pPr>
        <w:spacing w:after="0" w:line="62" w:lineRule="exact"/>
        <w:rPr>
          <w:sz w:val="20"/>
          <w:szCs w:val="20"/>
          <w:color w:val="auto"/>
        </w:rPr>
      </w:pPr>
    </w:p>
    <w:p>
      <w:pPr>
        <w:ind w:right="40" w:firstLine="541"/>
        <w:spacing w:after="0" w:line="254" w:lineRule="auto"/>
        <w:rPr>
          <w:sz w:val="20"/>
          <w:szCs w:val="20"/>
          <w:color w:val="auto"/>
        </w:rPr>
      </w:pPr>
      <w:r>
        <w:rPr>
          <w:rFonts w:ascii="Arial" w:cs="Arial" w:eastAsia="Arial" w:hAnsi="Arial"/>
          <w:sz w:val="18"/>
          <w:szCs w:val="18"/>
          <w:color w:val="auto"/>
        </w:rPr>
        <w:t>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ind w:right="60" w:firstLine="541"/>
        <w:spacing w:after="0" w:line="293" w:lineRule="auto"/>
        <w:rPr>
          <w:sz w:val="20"/>
          <w:szCs w:val="20"/>
          <w:color w:val="auto"/>
        </w:rPr>
      </w:pPr>
      <w:r>
        <w:rPr>
          <w:rFonts w:ascii="Arial" w:cs="Arial" w:eastAsia="Arial" w:hAnsi="Arial"/>
          <w:sz w:val="16"/>
          <w:szCs w:val="16"/>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6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20" w:firstLine="541"/>
        <w:spacing w:after="0" w:line="272"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w:t>
      </w:r>
    </w:p>
    <w:p>
      <w:pPr>
        <w:spacing w:after="0" w:line="69" w:lineRule="exact"/>
        <w:rPr>
          <w:sz w:val="20"/>
          <w:szCs w:val="20"/>
          <w:color w:val="auto"/>
        </w:rPr>
      </w:pPr>
    </w:p>
    <w:p>
      <w:pPr>
        <w:ind w:left="660" w:hanging="11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or interrupted demand for our products;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17" w:lineRule="exact"/>
        <w:rPr>
          <w:sz w:val="20"/>
          <w:szCs w:val="20"/>
          <w:color w:val="auto"/>
        </w:rPr>
      </w:pPr>
    </w:p>
    <w:p>
      <w:pPr>
        <w:ind w:firstLine="541"/>
        <w:spacing w:after="0" w:line="255"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EMA, CDA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6" w:lineRule="exact"/>
        <w:rPr>
          <w:sz w:val="20"/>
          <w:szCs w:val="20"/>
          <w:color w:val="auto"/>
        </w:rPr>
      </w:pPr>
    </w:p>
    <w:p>
      <w:pPr>
        <w:ind w:right="40" w:firstLine="541"/>
        <w:spacing w:after="0" w:line="254" w:lineRule="auto"/>
        <w:rPr>
          <w:sz w:val="20"/>
          <w:szCs w:val="20"/>
          <w:color w:val="auto"/>
        </w:rPr>
      </w:pPr>
      <w:r>
        <w:rPr>
          <w:rFonts w:ascii="Arial" w:cs="Arial" w:eastAsia="Arial" w:hAnsi="Arial"/>
          <w:sz w:val="18"/>
          <w:szCs w:val="18"/>
          <w:color w:val="auto"/>
        </w:rPr>
        <w:t>The time required to obtain approval by the FDA, EMA, CDA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29" w:lineRule="exact"/>
        <w:rPr>
          <w:sz w:val="20"/>
          <w:szCs w:val="20"/>
          <w:color w:val="auto"/>
        </w:rPr>
      </w:pPr>
    </w:p>
    <w:p>
      <w:pPr>
        <w:ind w:left="660" w:hanging="112"/>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FDA, EMA, CDA or comparable foreign regulatory authorities may disagree with the design, implementation or results of our clinical trials;</w:t>
      </w:r>
    </w:p>
    <w:p>
      <w:pPr>
        <w:spacing w:after="0" w:line="140" w:lineRule="exact"/>
        <w:rPr>
          <w:rFonts w:ascii="Arial" w:cs="Arial" w:eastAsia="Arial" w:hAnsi="Arial"/>
          <w:sz w:val="16"/>
          <w:szCs w:val="16"/>
          <w:color w:val="auto"/>
        </w:rPr>
      </w:pPr>
    </w:p>
    <w:p>
      <w:pPr>
        <w:ind w:left="660" w:right="340" w:hanging="112"/>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EMA, CDA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5" w:lineRule="exact"/>
        <w:rPr>
          <w:rFonts w:ascii="Arial" w:cs="Arial" w:eastAsia="Arial" w:hAnsi="Arial"/>
          <w:sz w:val="18"/>
          <w:szCs w:val="18"/>
          <w:color w:val="auto"/>
        </w:rPr>
      </w:pPr>
    </w:p>
    <w:p>
      <w:pPr>
        <w:ind w:left="660" w:right="200" w:hanging="11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2" w:lineRule="exact"/>
        <w:rPr>
          <w:rFonts w:ascii="Arial" w:cs="Arial" w:eastAsia="Arial" w:hAnsi="Arial"/>
          <w:sz w:val="18"/>
          <w:szCs w:val="18"/>
          <w:color w:val="auto"/>
        </w:rPr>
      </w:pPr>
    </w:p>
    <w:p>
      <w:pPr>
        <w:ind w:left="660" w:right="300" w:hanging="11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be unable to demonstrate to the FDA, EMA, CDA or comparable foreign regulatory authorities that a product candidate’s risk-benefit ratio for its proposed indication, when compared to the standard of care, is acceptable;</w:t>
      </w:r>
    </w:p>
    <w:p>
      <w:pPr>
        <w:spacing w:after="0" w:line="62" w:lineRule="exact"/>
        <w:rPr>
          <w:rFonts w:ascii="Arial" w:cs="Arial" w:eastAsia="Arial" w:hAnsi="Arial"/>
          <w:sz w:val="18"/>
          <w:szCs w:val="18"/>
          <w:color w:val="auto"/>
        </w:rPr>
      </w:pPr>
    </w:p>
    <w:p>
      <w:pPr>
        <w:ind w:left="660" w:hanging="11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FDA, EMA, CDA or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660" w:right="660" w:hanging="11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660" w:right="700" w:hanging="112"/>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FDA, EMA, CDA or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660" w:right="180" w:hanging="11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CDA or comparable foreign regulatory authorities may significantly change in a manner rendering our clinical data insufficient for approval.</w:t>
      </w:r>
    </w:p>
    <w:p>
      <w:pPr>
        <w:spacing w:after="0" w:line="62" w:lineRule="exact"/>
        <w:rPr>
          <w:sz w:val="20"/>
          <w:szCs w:val="20"/>
          <w:color w:val="auto"/>
        </w:rPr>
      </w:pPr>
    </w:p>
    <w:p>
      <w:pPr>
        <w:ind w:right="140" w:firstLine="541"/>
        <w:spacing w:after="0" w:line="308" w:lineRule="auto"/>
        <w:rPr>
          <w:sz w:val="20"/>
          <w:szCs w:val="20"/>
          <w:color w:val="auto"/>
        </w:rPr>
      </w:pPr>
      <w:r>
        <w:rPr>
          <w:rFonts w:ascii="Arial" w:cs="Arial" w:eastAsia="Arial" w:hAnsi="Arial"/>
          <w:sz w:val="17"/>
          <w:szCs w:val="17"/>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4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plan to conduct clinical trials for our product candidates outside the United States, and the FDA, EMA, CDA and applicable foreign regulatory authorities may not accept data from such trials.</w:t>
      </w:r>
    </w:p>
    <w:p>
      <w:pPr>
        <w:spacing w:after="0" w:line="62" w:lineRule="exact"/>
        <w:rPr>
          <w:sz w:val="20"/>
          <w:szCs w:val="20"/>
          <w:color w:val="auto"/>
        </w:rPr>
      </w:pPr>
    </w:p>
    <w:p>
      <w:pPr>
        <w:ind w:firstLine="541"/>
        <w:spacing w:after="0" w:line="269" w:lineRule="auto"/>
        <w:rPr>
          <w:sz w:val="20"/>
          <w:szCs w:val="20"/>
          <w:color w:val="auto"/>
        </w:rPr>
      </w:pPr>
      <w:r>
        <w:rPr>
          <w:rFonts w:ascii="Arial" w:cs="Arial" w:eastAsia="Arial" w:hAnsi="Arial"/>
          <w:sz w:val="17"/>
          <w:szCs w:val="17"/>
          <w:color w:val="auto"/>
        </w:rPr>
        <w:t>We plan to conduct one or more of our clinical trials outside the United States, including Europe, China and other foreign countries. The acceptance of study data from clinical trials conducted outside the United States or another jurisdiction by the FDA, EMA, CDA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CDA or any applicable foreign regulatory authority will accept data from trials conducted outside of the United States or the applicable jurisdiction, including any trials that we may conduct in China. If the FDA, EMA, CDA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7" w:name="page78"/>
    <w:bookmarkEnd w:id="77"/>
    <w:p>
      <w:pPr>
        <w:ind w:right="34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right="40" w:firstLine="541"/>
        <w:spacing w:after="0" w:line="272"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CDA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w:t>
      </w:r>
    </w:p>
    <w:p>
      <w:pPr>
        <w:spacing w:after="0" w:line="69" w:lineRule="exact"/>
        <w:rPr>
          <w:sz w:val="20"/>
          <w:szCs w:val="20"/>
          <w:color w:val="auto"/>
        </w:rPr>
      </w:pPr>
    </w:p>
    <w:p>
      <w:pPr>
        <w:ind w:right="20" w:firstLine="541"/>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extensive regulatory scrutiny.</w:t>
      </w:r>
    </w:p>
    <w:p>
      <w:pPr>
        <w:spacing w:after="0" w:line="117" w:lineRule="exact"/>
        <w:rPr>
          <w:sz w:val="20"/>
          <w:szCs w:val="20"/>
          <w:color w:val="auto"/>
        </w:rPr>
      </w:pPr>
    </w:p>
    <w:p>
      <w:pPr>
        <w:jc w:val="both"/>
        <w:ind w:right="400" w:firstLine="541"/>
        <w:spacing w:after="0" w:line="311" w:lineRule="auto"/>
        <w:rPr>
          <w:sz w:val="20"/>
          <w:szCs w:val="20"/>
          <w:color w:val="auto"/>
        </w:rPr>
      </w:pPr>
      <w:r>
        <w:rPr>
          <w:rFonts w:ascii="Arial" w:cs="Arial" w:eastAsia="Arial" w:hAnsi="Arial"/>
          <w:sz w:val="16"/>
          <w:szCs w:val="16"/>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41" w:lineRule="exact"/>
        <w:rPr>
          <w:sz w:val="20"/>
          <w:szCs w:val="20"/>
          <w:color w:val="auto"/>
        </w:rPr>
      </w:pPr>
    </w:p>
    <w:p>
      <w:pPr>
        <w:ind w:right="60" w:firstLine="541"/>
        <w:spacing w:after="0" w:line="275" w:lineRule="auto"/>
        <w:rPr>
          <w:sz w:val="20"/>
          <w:szCs w:val="20"/>
          <w:color w:val="auto"/>
        </w:rPr>
      </w:pPr>
      <w:r>
        <w:rPr>
          <w:rFonts w:ascii="Arial" w:cs="Arial" w:eastAsia="Arial" w:hAnsi="Arial"/>
          <w:sz w:val="17"/>
          <w:szCs w:val="17"/>
          <w:color w:val="auto"/>
        </w:rPr>
        <w:t>Manufacturers and manufacturers’ facilities are required to comply with extensive requirements imposed by the FDA, EMA, CDA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or MAA. Accordingly, we and others with whom we work must continue to expend time, money and effort in all areas of regulatory compliance, including manufacturing, production and quality control.</w:t>
      </w:r>
    </w:p>
    <w:p>
      <w:pPr>
        <w:spacing w:after="0" w:line="68" w:lineRule="exact"/>
        <w:rPr>
          <w:sz w:val="20"/>
          <w:szCs w:val="20"/>
          <w:color w:val="auto"/>
        </w:rPr>
      </w:pPr>
    </w:p>
    <w:p>
      <w:pPr>
        <w:ind w:firstLine="541"/>
        <w:spacing w:after="0" w:line="286"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EMA, CDA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63" w:lineRule="exact"/>
        <w:rPr>
          <w:sz w:val="20"/>
          <w:szCs w:val="20"/>
          <w:color w:val="auto"/>
        </w:rPr>
      </w:pPr>
    </w:p>
    <w:p>
      <w:pPr>
        <w:ind w:right="120" w:firstLine="541"/>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660" w:hanging="11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8" w:name="page79"/>
    <w:bookmarkEnd w:id="78"/>
    <w:p>
      <w:pPr>
        <w:ind w:left="660" w:hanging="11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117" w:lineRule="exact"/>
        <w:rPr>
          <w:sz w:val="20"/>
          <w:szCs w:val="20"/>
          <w:color w:val="auto"/>
        </w:rPr>
      </w:pPr>
    </w:p>
    <w:p>
      <w:pPr>
        <w:ind w:right="80" w:firstLine="541"/>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measures aimed at reducing healthcare costs may have a material adverse effect on our business and results of operations.</w:t>
      </w:r>
    </w:p>
    <w:p>
      <w:pPr>
        <w:spacing w:after="0" w:line="140" w:lineRule="exact"/>
        <w:rPr>
          <w:sz w:val="20"/>
          <w:szCs w:val="20"/>
          <w:color w:val="auto"/>
        </w:rPr>
      </w:pPr>
    </w:p>
    <w:p>
      <w:pPr>
        <w:ind w:right="20" w:firstLine="541"/>
        <w:spacing w:after="0" w:line="290" w:lineRule="auto"/>
        <w:rPr>
          <w:sz w:val="20"/>
          <w:szCs w:val="20"/>
          <w:color w:val="auto"/>
        </w:rPr>
      </w:pPr>
      <w:r>
        <w:rPr>
          <w:rFonts w:ascii="Arial" w:cs="Arial" w:eastAsia="Arial" w:hAnsi="Arial"/>
          <w:sz w:val="16"/>
          <w:szCs w:val="16"/>
          <w:color w:val="auto"/>
        </w:rPr>
        <w:t>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Affordable Care Act, or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w:t>
      </w:r>
    </w:p>
    <w:p>
      <w:pPr>
        <w:spacing w:after="0" w:line="57" w:lineRule="exact"/>
        <w:rPr>
          <w:sz w:val="20"/>
          <w:szCs w:val="20"/>
          <w:color w:val="auto"/>
        </w:rPr>
      </w:pPr>
    </w:p>
    <w:p>
      <w:pPr>
        <w:ind w:firstLine="541"/>
        <w:spacing w:after="0" w:line="287" w:lineRule="auto"/>
        <w:rPr>
          <w:sz w:val="20"/>
          <w:szCs w:val="20"/>
          <w:color w:val="auto"/>
        </w:rPr>
      </w:pPr>
      <w:r>
        <w:rPr>
          <w:rFonts w:ascii="Arial" w:cs="Arial" w:eastAsia="Arial" w:hAnsi="Arial"/>
          <w:sz w:val="16"/>
          <w:szCs w:val="16"/>
          <w:color w:val="auto"/>
        </w:rPr>
        <w:t>Since the ACA’s enactment, there have been, and continue to be, numerous challenges to the ACA. Since January 2017, President Trump has signed two Executive Orders and other directives designed to delay the implementation of certain provisions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Further, the 2020 federal spending package permanently eliminated, effective January 1, 2020, the ACA-mandated “Cadillac” tax on high-cost employer-sponsored health coverage and medical device tax and, effective January 1, 2021, also eliminates the health insurer tax. In addition, on December 14, 2018, a Texas U.S. District Court Judge ruled that the ACA is unconstitutional in its entirety because the “individual mandate” was repealed by Congress as part of the Tax Cuts and Jobs Act of 2017. Additionally, on December 18, 2019, the U.S. Court of Appeals for the 5</w:t>
      </w:r>
      <w:r>
        <w:rPr>
          <w:rFonts w:ascii="Arial" w:cs="Arial" w:eastAsia="Arial" w:hAnsi="Arial"/>
          <w:sz w:val="10"/>
          <w:szCs w:val="10"/>
          <w:color w:val="auto"/>
        </w:rPr>
        <w:t>th</w:t>
      </w:r>
      <w:r>
        <w:rPr>
          <w:rFonts w:ascii="Arial" w:cs="Arial" w:eastAsia="Arial" w:hAnsi="Arial"/>
          <w:sz w:val="16"/>
          <w:szCs w:val="16"/>
          <w:color w:val="auto"/>
        </w:rPr>
        <w:t xml:space="preserve"> Circuit ruled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 and our business.</w:t>
      </w:r>
    </w:p>
    <w:p>
      <w:pPr>
        <w:spacing w:after="0" w:line="60" w:lineRule="exact"/>
        <w:rPr>
          <w:sz w:val="20"/>
          <w:szCs w:val="20"/>
          <w:color w:val="auto"/>
        </w:rPr>
      </w:pPr>
    </w:p>
    <w:p>
      <w:pPr>
        <w:ind w:right="80" w:firstLine="541"/>
        <w:spacing w:after="0" w:line="254"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2013, and due to subsequent legislative amendments to the statute, will remain in effect through 2029 unless additional Congressional action is taken.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ind w:right="100" w:firstLine="541"/>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79" w:lineRule="exact"/>
        <w:rPr>
          <w:sz w:val="20"/>
          <w:szCs w:val="20"/>
          <w:color w:val="auto"/>
        </w:rPr>
      </w:pPr>
    </w:p>
    <w:p>
      <w:pPr>
        <w:ind w:left="660" w:hanging="11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products;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ind w:right="20" w:firstLine="541"/>
        <w:spacing w:after="0" w:line="270" w:lineRule="auto"/>
        <w:rPr>
          <w:sz w:val="20"/>
          <w:szCs w:val="20"/>
          <w:color w:val="auto"/>
        </w:rPr>
      </w:pPr>
      <w:r>
        <w:rPr>
          <w:rFonts w:ascii="Arial" w:cs="Arial" w:eastAsia="Arial" w:hAnsi="Arial"/>
          <w:sz w:val="17"/>
          <w:szCs w:val="17"/>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Trump administration’s budget proposal for fiscal 2021 includes a $135 billion allowance to support legislative proposals seeking to reduce drug prices, increase competition, lower out-of-pocket drug costs for patients, and increase patient access to lower-cost generic and biosimilar drugs. In addition,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started implementing some of these measures under its existing authority. For example, in May 2019, CMS issued a final rule to allow Medicare Advantage plans the option to use step therapy for Part B drugs beginning January 1, 2020. This final rule codified CMS’s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2" w:lineRule="exact"/>
        <w:rPr>
          <w:sz w:val="20"/>
          <w:szCs w:val="20"/>
          <w:color w:val="auto"/>
        </w:rPr>
      </w:pPr>
    </w:p>
    <w:p>
      <w:pPr>
        <w:ind w:firstLine="541"/>
        <w:spacing w:after="0" w:line="257"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ind w:right="48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p>
    <w:p>
      <w:pPr>
        <w:spacing w:after="0" w:line="1" w:lineRule="exact"/>
        <w:rPr>
          <w:sz w:val="20"/>
          <w:szCs w:val="20"/>
          <w:color w:val="auto"/>
        </w:rPr>
      </w:pPr>
    </w:p>
    <w:p>
      <w:pPr>
        <w:ind w:firstLine="541"/>
        <w:spacing w:after="0" w:line="286"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CDA and other comparable foreign regulatory authorities; provide true, complete and accurate information to the FDA, EMA, CDA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0" w:name="page81"/>
    <w:bookmarkEnd w:id="80"/>
    <w:p>
      <w:pPr>
        <w:ind w:firstLine="541"/>
        <w:spacing w:after="0" w:line="255" w:lineRule="auto"/>
        <w:rPr>
          <w:sz w:val="20"/>
          <w:szCs w:val="20"/>
          <w:color w:val="auto"/>
        </w:rPr>
      </w:pPr>
      <w:r>
        <w:rPr>
          <w:rFonts w:ascii="Arial" w:cs="Arial" w:eastAsia="Arial" w:hAnsi="Arial"/>
          <w:sz w:val="18"/>
          <w:szCs w:val="18"/>
          <w:color w:val="auto"/>
        </w:rPr>
        <w:t>In connection with our IPO, we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our business, operations and financial conditions could be adversely affected.</w:t>
      </w:r>
    </w:p>
    <w:p>
      <w:pPr>
        <w:spacing w:after="0" w:line="62" w:lineRule="exact"/>
        <w:rPr>
          <w:sz w:val="20"/>
          <w:szCs w:val="20"/>
          <w:color w:val="auto"/>
        </w:rPr>
      </w:pPr>
    </w:p>
    <w:p>
      <w:pPr>
        <w:ind w:right="60" w:firstLine="541"/>
        <w:spacing w:after="0" w:line="311" w:lineRule="auto"/>
        <w:rPr>
          <w:sz w:val="20"/>
          <w:szCs w:val="20"/>
          <w:color w:val="auto"/>
        </w:rPr>
      </w:pPr>
      <w:r>
        <w:rPr>
          <w:rFonts w:ascii="Arial" w:cs="Arial" w:eastAsia="Arial" w:hAnsi="Arial"/>
          <w:sz w:val="16"/>
          <w:szCs w:val="16"/>
          <w:color w:val="auto"/>
        </w:rPr>
        <w:t>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w:t>
      </w:r>
    </w:p>
    <w:p>
      <w:pPr>
        <w:spacing w:after="0" w:line="41" w:lineRule="exact"/>
        <w:rPr>
          <w:sz w:val="20"/>
          <w:szCs w:val="20"/>
          <w:color w:val="auto"/>
        </w:rPr>
      </w:pPr>
    </w:p>
    <w:p>
      <w:pPr>
        <w:ind w:left="660" w:right="160" w:hanging="112"/>
        <w:spacing w:after="0" w:line="272"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p>
    <w:p>
      <w:pPr>
        <w:spacing w:after="0" w:line="69" w:lineRule="exact"/>
        <w:rPr>
          <w:rFonts w:ascii="Arial" w:cs="Arial" w:eastAsia="Arial" w:hAnsi="Arial"/>
          <w:sz w:val="17"/>
          <w:szCs w:val="17"/>
          <w:color w:val="auto"/>
        </w:rPr>
      </w:pPr>
    </w:p>
    <w:p>
      <w:pPr>
        <w:ind w:left="660" w:hanging="112"/>
        <w:spacing w:after="0" w:line="25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w:t>
      </w:r>
    </w:p>
    <w:p>
      <w:pPr>
        <w:spacing w:after="0" w:line="84" w:lineRule="exact"/>
        <w:rPr>
          <w:rFonts w:ascii="Arial" w:cs="Arial" w:eastAsia="Arial" w:hAnsi="Arial"/>
          <w:sz w:val="18"/>
          <w:szCs w:val="18"/>
          <w:color w:val="auto"/>
        </w:rPr>
      </w:pPr>
    </w:p>
    <w:p>
      <w:pPr>
        <w:ind w:left="660" w:right="100" w:hanging="112"/>
        <w:spacing w:after="0" w:line="255"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84" w:lineRule="exact"/>
        <w:rPr>
          <w:rFonts w:ascii="Arial" w:cs="Arial" w:eastAsia="Arial" w:hAnsi="Arial"/>
          <w:sz w:val="18"/>
          <w:szCs w:val="18"/>
          <w:color w:val="auto"/>
        </w:rPr>
      </w:pPr>
    </w:p>
    <w:p>
      <w:pPr>
        <w:ind w:left="660" w:right="60" w:hanging="112"/>
        <w:spacing w:after="0" w:line="301"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w:t>
      </w:r>
    </w:p>
    <w:p>
      <w:pPr>
        <w:spacing w:after="0" w:line="49" w:lineRule="exact"/>
        <w:rPr>
          <w:rFonts w:ascii="Arial" w:cs="Arial" w:eastAsia="Arial" w:hAnsi="Arial"/>
          <w:sz w:val="16"/>
          <w:szCs w:val="16"/>
          <w:color w:val="auto"/>
        </w:rPr>
      </w:pPr>
    </w:p>
    <w:p>
      <w:pPr>
        <w:ind w:left="660" w:right="20" w:hanging="112"/>
        <w:spacing w:after="0" w:line="25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Centers for Medicare &amp; Medicaid Services under the Open Payments Program, information related to payments or other transfers of value made to physicians, as defined by such law, and teaching hospitals, as well as ownership and investment interests held by physicians and their immediate family members;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1" w:name="page82"/>
    <w:bookmarkEnd w:id="81"/>
    <w:p>
      <w:pPr>
        <w:ind w:left="660" w:right="580" w:hanging="11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660" w:right="100" w:hanging="112"/>
        <w:spacing w:after="0" w:line="269"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77" w:lineRule="exact"/>
        <w:rPr>
          <w:sz w:val="20"/>
          <w:szCs w:val="20"/>
          <w:color w:val="auto"/>
        </w:rPr>
      </w:pPr>
    </w:p>
    <w:p>
      <w:pPr>
        <w:ind w:right="40" w:firstLine="541"/>
        <w:spacing w:after="0" w:line="288"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spacing w:after="0" w:line="16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business is subject to complex and evolving U.S. and foreign laws and regulations relating to privacy and data protection. These laws and regulations are subject to change and uncertain interpretation, and could result in claims, changes to our business practices, or monetary penalties, and otherwise may harm our business.</w:t>
      </w:r>
    </w:p>
    <w:p>
      <w:pPr>
        <w:spacing w:after="0" w:line="76" w:lineRule="exact"/>
        <w:rPr>
          <w:sz w:val="20"/>
          <w:szCs w:val="20"/>
          <w:color w:val="auto"/>
        </w:rPr>
      </w:pPr>
    </w:p>
    <w:p>
      <w:pPr>
        <w:ind w:firstLine="541"/>
        <w:spacing w:after="0" w:line="269" w:lineRule="auto"/>
        <w:rPr>
          <w:sz w:val="20"/>
          <w:szCs w:val="20"/>
          <w:color w:val="auto"/>
        </w:rPr>
      </w:pPr>
      <w:r>
        <w:rPr>
          <w:rFonts w:ascii="Arial" w:cs="Arial" w:eastAsia="Arial" w:hAnsi="Arial"/>
          <w:sz w:val="17"/>
          <w:szCs w:val="17"/>
          <w:color w:val="auto"/>
        </w:rPr>
        <w:t>A wide variety of provincial, state, national, and international laws and regulations apply to the collection, use, retention, protection, disclosure, transfer and other processing of personal data. These data protection and privacy-related laws and regulations are evolving and may result in ever-increasing regulatory and public scrutiny and escalating levels of enforcement and sanctions. For example, the European Union General Data Protection Regulation, or GDPR, which became fully effective on May 25, 2018, imposes stringent data protection requirements and provides for penalties for noncompliance of up to the greater of 20 million euros or four percent of worldwide annual revenues. Additionally, California recently enacted legislation, the California Consumer Privacy Act, or CCPA, that, effective January 1, 2020, among other things, requires covered companies to provide new disclosures to California consumers, and afford such consumers new abilities to opt-out of certain sales of personal information. The GDPR, CCPA and many other laws and regulations relating to privacy and data protection are still being tested in courts, and they are subject to new and differing interpretations by courts and regulatory officials. We are working to comply with the GDPR, CCPA and other privacy and data protection laws and regulations that apply to us, and we anticipate needing to devote significant additional resources to complying with these laws and regulations. It is possible that the GDPR, CCPA or other laws and regulations relating to privacy and data protection may be interpreted and applied in a manner that is inconsistent from jurisdiction to jurisdiction or inconsistent with our current policies and practices.</w:t>
      </w:r>
    </w:p>
    <w:p>
      <w:pPr>
        <w:spacing w:after="0" w:line="71" w:lineRule="exact"/>
        <w:rPr>
          <w:sz w:val="20"/>
          <w:szCs w:val="20"/>
          <w:color w:val="auto"/>
        </w:rPr>
      </w:pPr>
    </w:p>
    <w:p>
      <w:pPr>
        <w:ind w:right="100" w:firstLine="541"/>
        <w:spacing w:after="0" w:line="259" w:lineRule="auto"/>
        <w:rPr>
          <w:sz w:val="20"/>
          <w:szCs w:val="20"/>
          <w:color w:val="auto"/>
        </w:rPr>
      </w:pPr>
      <w:r>
        <w:rPr>
          <w:rFonts w:ascii="Arial" w:cs="Arial" w:eastAsia="Arial" w:hAnsi="Arial"/>
          <w:sz w:val="18"/>
          <w:szCs w:val="18"/>
          <w:color w:val="auto"/>
        </w:rPr>
        <w:t>Our actual or perceived failure to adequately comply with applicable laws and regulations relating to privacy and data protection, or to protect personal data and other data we process or maintain, could result in regulatory fines, investigations and enforcement actions, penalties and other liabilities, claims for damages by affected individuals, and damage to our reputation, any of which could materially affect our business, financial condition, results of operations and growth prospects.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ind w:right="400"/>
        <w:spacing w:after="0" w:line="342" w:lineRule="auto"/>
        <w:rPr>
          <w:sz w:val="20"/>
          <w:szCs w:val="20"/>
          <w:color w:val="auto"/>
        </w:rPr>
      </w:pPr>
      <w:r>
        <w:rPr>
          <w:rFonts w:ascii="Arial" w:cs="Arial" w:eastAsia="Arial" w:hAnsi="Arial"/>
          <w:sz w:val="16"/>
          <w:szCs w:val="16"/>
          <w:b w:val="1"/>
          <w:bCs w:val="1"/>
          <w:i w:val="1"/>
          <w:iCs w:val="1"/>
          <w:color w:val="auto"/>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spacing w:after="0" w:line="16" w:lineRule="exact"/>
        <w:rPr>
          <w:sz w:val="20"/>
          <w:szCs w:val="20"/>
          <w:color w:val="auto"/>
        </w:rPr>
      </w:pPr>
    </w:p>
    <w:p>
      <w:pPr>
        <w:ind w:right="40" w:firstLine="541"/>
        <w:spacing w:after="0" w:line="253"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8" w:lineRule="exact"/>
        <w:rPr>
          <w:sz w:val="20"/>
          <w:szCs w:val="20"/>
          <w:color w:val="auto"/>
        </w:rPr>
      </w:pPr>
    </w:p>
    <w:p>
      <w:pPr>
        <w:ind w:firstLine="541"/>
        <w:spacing w:after="0" w:line="290" w:lineRule="auto"/>
        <w:rPr>
          <w:sz w:val="20"/>
          <w:szCs w:val="20"/>
          <w:color w:val="auto"/>
        </w:rPr>
      </w:pPr>
      <w:r>
        <w:rPr>
          <w:rFonts w:ascii="Arial" w:cs="Arial" w:eastAsia="Arial" w:hAnsi="Arial"/>
          <w:sz w:val="16"/>
          <w:szCs w:val="16"/>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or FCPA, and similar anti-bribery and anti-corruption laws.</w:t>
      </w:r>
    </w:p>
    <w:p>
      <w:pPr>
        <w:spacing w:after="0" w:line="129" w:lineRule="exact"/>
        <w:rPr>
          <w:sz w:val="20"/>
          <w:szCs w:val="20"/>
          <w:color w:val="auto"/>
        </w:rPr>
      </w:pPr>
    </w:p>
    <w:p>
      <w:pPr>
        <w:ind w:right="20" w:firstLine="541"/>
        <w:spacing w:after="0" w:line="268"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attract and retain employees, and our business, prospects,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38" w:lineRule="exact"/>
        <w:rPr>
          <w:sz w:val="20"/>
          <w:szCs w:val="20"/>
          <w:color w:val="auto"/>
        </w:rPr>
      </w:pPr>
    </w:p>
    <w:p>
      <w:pPr>
        <w:ind w:right="280" w:firstLine="541"/>
        <w:spacing w:after="0" w:line="259"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medical institutions and clinical investigators,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ind w:firstLine="541"/>
        <w:spacing w:after="0" w:line="273"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w:t>
      </w:r>
    </w:p>
    <w:p>
      <w:pPr>
        <w:spacing w:after="0" w:line="70" w:lineRule="exact"/>
        <w:rPr>
          <w:sz w:val="20"/>
          <w:szCs w:val="20"/>
          <w:color w:val="auto"/>
        </w:rPr>
      </w:pPr>
    </w:p>
    <w:p>
      <w:pPr>
        <w:ind w:right="120" w:firstLine="541"/>
        <w:spacing w:after="0" w:line="286" w:lineRule="auto"/>
        <w:rPr>
          <w:sz w:val="20"/>
          <w:szCs w:val="20"/>
          <w:color w:val="auto"/>
        </w:rPr>
      </w:pPr>
      <w:r>
        <w:rPr>
          <w:rFonts w:ascii="Arial" w:cs="Arial" w:eastAsia="Arial" w:hAnsi="Arial"/>
          <w:sz w:val="17"/>
          <w:szCs w:val="17"/>
          <w:color w:val="auto"/>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57" w:lineRule="exact"/>
        <w:rPr>
          <w:sz w:val="20"/>
          <w:szCs w:val="20"/>
          <w:color w:val="auto"/>
        </w:rPr>
      </w:pPr>
    </w:p>
    <w:p>
      <w:pPr>
        <w:ind w:right="240" w:firstLine="541"/>
        <w:spacing w:after="0" w:line="26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49" w:lineRule="exact"/>
        <w:rPr>
          <w:sz w:val="20"/>
          <w:szCs w:val="20"/>
          <w:color w:val="auto"/>
        </w:rPr>
      </w:pPr>
    </w:p>
    <w:p>
      <w:pPr>
        <w:jc w:val="both"/>
        <w:ind w:right="300" w:firstLine="541"/>
        <w:spacing w:after="0" w:line="263" w:lineRule="auto"/>
        <w:rPr>
          <w:sz w:val="20"/>
          <w:szCs w:val="20"/>
          <w:color w:val="auto"/>
        </w:rPr>
      </w:pPr>
      <w:r>
        <w:rPr>
          <w:rFonts w:ascii="Arial" w:cs="Arial" w:eastAsia="Arial" w:hAnsi="Arial"/>
          <w:sz w:val="18"/>
          <w:szCs w:val="18"/>
          <w:color w:val="auto"/>
        </w:rPr>
        <w:t>We do not have any manufacturing facilities. We currently rely exclusively on a third-party manufacturer, Lonza AG, for the manufacture of our materials for preclinical studies and clinical trials and expect to continue to do so for preclinical studies, clinical trials and for commercial supply of any product candidates that we may develop.</w:t>
      </w:r>
    </w:p>
    <w:p>
      <w:pPr>
        <w:spacing w:after="0" w:line="76" w:lineRule="exact"/>
        <w:rPr>
          <w:sz w:val="20"/>
          <w:szCs w:val="20"/>
          <w:color w:val="auto"/>
        </w:rPr>
      </w:pPr>
    </w:p>
    <w:p>
      <w:pPr>
        <w:ind w:right="600" w:firstLine="541"/>
        <w:spacing w:after="0" w:line="308" w:lineRule="auto"/>
        <w:rPr>
          <w:sz w:val="20"/>
          <w:szCs w:val="20"/>
          <w:color w:val="auto"/>
        </w:rPr>
      </w:pPr>
      <w:r>
        <w:rPr>
          <w:rFonts w:ascii="Arial" w:cs="Arial" w:eastAsia="Arial" w:hAnsi="Arial"/>
          <w:sz w:val="17"/>
          <w:szCs w:val="17"/>
          <w:color w:val="auto"/>
        </w:rPr>
        <w:t>We may be unable to establish any further agreements with third-party manufacturers or to do so on acceptable terms. Even if we are able to establish agreements with third-party manufacturers, reliance on third-party manufacturers entails additional risks, including:</w:t>
      </w:r>
    </w:p>
    <w:p>
      <w:pPr>
        <w:spacing w:after="0" w:line="38" w:lineRule="exact"/>
        <w:rPr>
          <w:sz w:val="20"/>
          <w:szCs w:val="20"/>
          <w:color w:val="auto"/>
        </w:rPr>
      </w:pPr>
    </w:p>
    <w:p>
      <w:pPr>
        <w:ind w:left="660" w:hanging="11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 or us;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possible early termination of the agreement by us at a time that requires us to pay a cancellation fee;</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assurance, safety and pharmacovigilance and related reporting;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inability to produce required volume in a timely manner and to quality standards.</w:t>
      </w:r>
    </w:p>
    <w:p>
      <w:pPr>
        <w:spacing w:after="0" w:line="117" w:lineRule="exact"/>
        <w:rPr>
          <w:sz w:val="20"/>
          <w:szCs w:val="20"/>
          <w:color w:val="auto"/>
        </w:rPr>
      </w:pPr>
    </w:p>
    <w:p>
      <w:pPr>
        <w:ind w:right="320" w:firstLine="541"/>
        <w:spacing w:after="0" w:line="27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w:t>
      </w:r>
    </w:p>
    <w:p>
      <w:pPr>
        <w:spacing w:after="0" w:line="68" w:lineRule="exact"/>
        <w:rPr>
          <w:sz w:val="20"/>
          <w:szCs w:val="20"/>
          <w:color w:val="auto"/>
        </w:rPr>
      </w:pPr>
    </w:p>
    <w:p>
      <w:pPr>
        <w:ind w:right="300" w:firstLine="541"/>
        <w:spacing w:after="0" w:line="308" w:lineRule="auto"/>
        <w:rPr>
          <w:sz w:val="20"/>
          <w:szCs w:val="20"/>
          <w:color w:val="auto"/>
        </w:rPr>
      </w:pPr>
      <w:r>
        <w:rPr>
          <w:rFonts w:ascii="Arial" w:cs="Arial" w:eastAsia="Arial" w:hAnsi="Arial"/>
          <w:sz w:val="17"/>
          <w:szCs w:val="17"/>
          <w:color w:val="auto"/>
        </w:rPr>
        <w:t>Any medicines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38" w:lineRule="exact"/>
        <w:rPr>
          <w:sz w:val="20"/>
          <w:szCs w:val="20"/>
          <w:color w:val="auto"/>
        </w:rPr>
      </w:pPr>
    </w:p>
    <w:p>
      <w:pPr>
        <w:ind w:right="360" w:firstLine="541"/>
        <w:spacing w:after="0" w:line="301"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w:t>
      </w:r>
    </w:p>
    <w:p>
      <w:pPr>
        <w:spacing w:after="0" w:line="49" w:lineRule="exact"/>
        <w:rPr>
          <w:sz w:val="20"/>
          <w:szCs w:val="20"/>
          <w:color w:val="auto"/>
        </w:rPr>
      </w:pPr>
    </w:p>
    <w:p>
      <w:pPr>
        <w:ind w:right="100" w:firstLine="541"/>
        <w:spacing w:after="0" w:line="342" w:lineRule="auto"/>
        <w:rPr>
          <w:sz w:val="20"/>
          <w:szCs w:val="20"/>
          <w:color w:val="auto"/>
        </w:rPr>
      </w:pPr>
      <w:r>
        <w:rPr>
          <w:rFonts w:ascii="Arial" w:cs="Arial" w:eastAsia="Arial" w:hAnsi="Arial"/>
          <w:sz w:val="16"/>
          <w:szCs w:val="16"/>
          <w:color w:val="auto"/>
        </w:rPr>
        <w:t>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4" w:name="page85"/>
    <w:bookmarkEnd w:id="84"/>
    <w:p>
      <w:pPr>
        <w:ind w:right="28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541"/>
        <w:spacing w:after="0" w:line="270" w:lineRule="auto"/>
        <w:rPr>
          <w:sz w:val="20"/>
          <w:szCs w:val="20"/>
          <w:color w:val="auto"/>
        </w:rPr>
      </w:pPr>
      <w:r>
        <w:rPr>
          <w:rFonts w:ascii="Arial" w:cs="Arial" w:eastAsia="Arial" w:hAnsi="Arial"/>
          <w:sz w:val="17"/>
          <w:szCs w:val="17"/>
          <w:color w:val="auto"/>
        </w:rPr>
        <w:t>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rely on third-party suppliers for key raw materials used in our manufacturing processes, and the loss of these third-party suppliers or their inability to supply us with adequate raw materials could harm our business.</w:t>
      </w:r>
    </w:p>
    <w:p>
      <w:pPr>
        <w:spacing w:after="0" w:line="62" w:lineRule="exact"/>
        <w:rPr>
          <w:sz w:val="20"/>
          <w:szCs w:val="20"/>
          <w:color w:val="auto"/>
        </w:rPr>
      </w:pPr>
    </w:p>
    <w:p>
      <w:pPr>
        <w:ind w:right="40" w:firstLine="541"/>
        <w:spacing w:after="0" w:line="270" w:lineRule="auto"/>
        <w:rPr>
          <w:sz w:val="20"/>
          <w:szCs w:val="20"/>
          <w:color w:val="auto"/>
        </w:rPr>
      </w:pPr>
      <w:r>
        <w:rPr>
          <w:rFonts w:ascii="Arial" w:cs="Arial" w:eastAsia="Arial" w:hAnsi="Arial"/>
          <w:sz w:val="17"/>
          <w:szCs w:val="17"/>
          <w:color w:val="auto"/>
        </w:rPr>
        <w:t>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6" w:lineRule="exact"/>
        <w:rPr>
          <w:sz w:val="20"/>
          <w:szCs w:val="20"/>
          <w:color w:val="auto"/>
        </w:rPr>
      </w:pPr>
    </w:p>
    <w:p>
      <w:pPr>
        <w:ind w:firstLine="541"/>
        <w:spacing w:after="0" w:line="254" w:lineRule="auto"/>
        <w:rPr>
          <w:sz w:val="20"/>
          <w:szCs w:val="20"/>
          <w:color w:val="auto"/>
        </w:rPr>
      </w:pPr>
      <w:r>
        <w:rPr>
          <w:rFonts w:ascii="Arial" w:cs="Arial" w:eastAsia="Arial" w:hAnsi="Arial"/>
          <w:sz w:val="18"/>
          <w:szCs w:val="18"/>
          <w:color w:val="auto"/>
        </w:rPr>
        <w:t>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Collaborations involving our product candidates we may develop, pose the following risks to us:</w:t>
      </w:r>
    </w:p>
    <w:p>
      <w:pPr>
        <w:spacing w:after="0" w:line="117" w:lineRule="exact"/>
        <w:rPr>
          <w:sz w:val="20"/>
          <w:szCs w:val="20"/>
          <w:color w:val="auto"/>
        </w:rPr>
      </w:pPr>
    </w:p>
    <w:p>
      <w:pPr>
        <w:ind w:left="660" w:hanging="112"/>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28" w:lineRule="exact"/>
        <w:rPr>
          <w:rFonts w:ascii="Arial" w:cs="Arial" w:eastAsia="Arial" w:hAnsi="Arial"/>
          <w:sz w:val="17"/>
          <w:szCs w:val="17"/>
          <w:color w:val="auto"/>
        </w:rPr>
      </w:pPr>
    </w:p>
    <w:p>
      <w:pPr>
        <w:ind w:left="660" w:right="80" w:hanging="11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75" w:lineRule="exact"/>
        <w:rPr>
          <w:rFonts w:ascii="Arial" w:cs="Arial" w:eastAsia="Arial" w:hAnsi="Arial"/>
          <w:sz w:val="18"/>
          <w:szCs w:val="18"/>
          <w:color w:val="auto"/>
        </w:rPr>
      </w:pPr>
    </w:p>
    <w:p>
      <w:pPr>
        <w:ind w:left="660" w:right="140" w:hanging="11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that result from our collaboration with them, and in such cases, we may not have the exclusive right to commercialize such intellectual property or such product candidates;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660" w:right="720" w:hanging="112"/>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5" w:name="page86"/>
    <w:bookmarkEnd w:id="85"/>
    <w:p>
      <w:pPr>
        <w:ind w:left="660" w:right="180" w:hanging="112"/>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5" w:lineRule="exact"/>
        <w:rPr>
          <w:rFonts w:ascii="Arial" w:cs="Arial" w:eastAsia="Arial" w:hAnsi="Arial"/>
          <w:sz w:val="16"/>
          <w:szCs w:val="16"/>
          <w:color w:val="auto"/>
        </w:rPr>
      </w:pPr>
    </w:p>
    <w:p>
      <w:pPr>
        <w:ind w:left="660" w:hanging="11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75" w:lineRule="exact"/>
        <w:rPr>
          <w:rFonts w:ascii="Arial" w:cs="Arial" w:eastAsia="Arial" w:hAnsi="Arial"/>
          <w:sz w:val="18"/>
          <w:szCs w:val="18"/>
          <w:color w:val="auto"/>
        </w:rPr>
      </w:pPr>
    </w:p>
    <w:p>
      <w:pPr>
        <w:ind w:left="660" w:right="20" w:hanging="11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jc w:val="both"/>
        <w:ind w:left="660" w:right="120" w:hanging="112"/>
        <w:spacing w:after="0" w:line="263"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660" w:right="160" w:hanging="11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117" w:lineRule="exact"/>
        <w:rPr>
          <w:rFonts w:ascii="Arial" w:cs="Arial" w:eastAsia="Arial" w:hAnsi="Arial"/>
          <w:sz w:val="18"/>
          <w:szCs w:val="18"/>
          <w:color w:val="auto"/>
        </w:rPr>
      </w:pPr>
    </w:p>
    <w:p>
      <w:pPr>
        <w:ind w:left="660" w:right="360" w:hanging="11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which is not in our best interest;</w:t>
      </w:r>
    </w:p>
    <w:p>
      <w:pPr>
        <w:spacing w:after="0" w:line="62" w:lineRule="exact"/>
        <w:rPr>
          <w:rFonts w:ascii="Arial" w:cs="Arial" w:eastAsia="Arial" w:hAnsi="Arial"/>
          <w:sz w:val="18"/>
          <w:szCs w:val="18"/>
          <w:color w:val="auto"/>
        </w:rPr>
      </w:pPr>
    </w:p>
    <w:p>
      <w:pPr>
        <w:ind w:left="660" w:right="940" w:hanging="112"/>
        <w:spacing w:after="0" w:line="342"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15" w:lineRule="exact"/>
        <w:rPr>
          <w:rFonts w:ascii="Arial" w:cs="Arial" w:eastAsia="Arial" w:hAnsi="Arial"/>
          <w:sz w:val="16"/>
          <w:szCs w:val="16"/>
          <w:color w:val="auto"/>
        </w:rPr>
      </w:pPr>
    </w:p>
    <w:p>
      <w:pPr>
        <w:ind w:left="660" w:right="440" w:hanging="112"/>
        <w:spacing w:after="0" w:line="308"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w:t>
      </w:r>
    </w:p>
    <w:p>
      <w:pPr>
        <w:spacing w:after="0" w:line="38" w:lineRule="exact"/>
        <w:rPr>
          <w:rFonts w:ascii="Arial" w:cs="Arial" w:eastAsia="Arial" w:hAnsi="Arial"/>
          <w:sz w:val="17"/>
          <w:szCs w:val="17"/>
          <w:color w:val="auto"/>
        </w:rPr>
      </w:pPr>
    </w:p>
    <w:p>
      <w:pPr>
        <w:ind w:left="660" w:hanging="11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7" w:lineRule="exact"/>
        <w:rPr>
          <w:rFonts w:ascii="Arial" w:cs="Arial" w:eastAsia="Arial" w:hAnsi="Arial"/>
          <w:sz w:val="18"/>
          <w:szCs w:val="18"/>
          <w:color w:val="auto"/>
        </w:rPr>
      </w:pPr>
    </w:p>
    <w:p>
      <w:pPr>
        <w:ind w:left="660" w:right="200" w:hanging="11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62" w:lineRule="exact"/>
        <w:rPr>
          <w:rFonts w:ascii="Arial" w:cs="Arial" w:eastAsia="Arial" w:hAnsi="Arial"/>
          <w:sz w:val="18"/>
          <w:szCs w:val="18"/>
          <w:color w:val="auto"/>
        </w:rPr>
      </w:pPr>
    </w:p>
    <w:p>
      <w:pPr>
        <w:ind w:left="660" w:right="1360" w:hanging="112"/>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or our ABC Platform; and</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129" w:lineRule="exact"/>
        <w:rPr>
          <w:sz w:val="20"/>
          <w:szCs w:val="20"/>
          <w:color w:val="auto"/>
        </w:rPr>
      </w:pPr>
    </w:p>
    <w:p>
      <w:pPr>
        <w:ind w:right="20" w:firstLine="541"/>
        <w:spacing w:after="0" w:line="271" w:lineRule="auto"/>
        <w:rPr>
          <w:sz w:val="20"/>
          <w:szCs w:val="20"/>
          <w:color w:val="auto"/>
        </w:rPr>
      </w:pPr>
      <w:r>
        <w:rPr>
          <w:rFonts w:ascii="Arial" w:cs="Arial" w:eastAsia="Arial" w:hAnsi="Arial"/>
          <w:sz w:val="17"/>
          <w:szCs w:val="17"/>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70" w:lineRule="exact"/>
        <w:rPr>
          <w:sz w:val="20"/>
          <w:szCs w:val="20"/>
          <w:color w:val="auto"/>
        </w:rPr>
      </w:pPr>
    </w:p>
    <w:p>
      <w:pPr>
        <w:ind w:right="120" w:firstLine="541"/>
        <w:spacing w:after="0" w:line="270" w:lineRule="auto"/>
        <w:rPr>
          <w:sz w:val="20"/>
          <w:szCs w:val="20"/>
          <w:color w:val="auto"/>
        </w:rPr>
      </w:pPr>
      <w:r>
        <w:rPr>
          <w:rFonts w:ascii="Arial" w:cs="Arial" w:eastAsia="Arial" w:hAnsi="Arial"/>
          <w:sz w:val="17"/>
          <w:szCs w:val="17"/>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p>
    <w:p>
      <w:pPr>
        <w:spacing w:after="0" w:line="76" w:lineRule="exact"/>
        <w:rPr>
          <w:sz w:val="20"/>
          <w:szCs w:val="20"/>
          <w:color w:val="auto"/>
        </w:rPr>
      </w:pPr>
    </w:p>
    <w:p>
      <w:pPr>
        <w:ind w:firstLine="541"/>
        <w:spacing w:after="0" w:line="285" w:lineRule="auto"/>
        <w:rPr>
          <w:sz w:val="20"/>
          <w:szCs w:val="20"/>
          <w:color w:val="auto"/>
        </w:rPr>
      </w:pPr>
      <w:r>
        <w:rPr>
          <w:rFonts w:ascii="Arial" w:cs="Arial" w:eastAsia="Arial" w:hAnsi="Arial"/>
          <w:sz w:val="16"/>
          <w:szCs w:val="16"/>
          <w:color w:val="auto"/>
        </w:rPr>
        <w:t>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any of our patent applications does not issue as a patent in any jurisdiction, we may not be able to compete effectively.</w:t>
      </w:r>
    </w:p>
    <w:p>
      <w:pPr>
        <w:spacing w:after="0" w:line="117" w:lineRule="exact"/>
        <w:rPr>
          <w:sz w:val="20"/>
          <w:szCs w:val="20"/>
          <w:color w:val="auto"/>
        </w:rPr>
      </w:pPr>
    </w:p>
    <w:p>
      <w:pPr>
        <w:ind w:right="20" w:firstLine="541"/>
        <w:spacing w:after="0" w:line="301" w:lineRule="auto"/>
        <w:rPr>
          <w:sz w:val="20"/>
          <w:szCs w:val="20"/>
          <w:color w:val="auto"/>
        </w:rPr>
      </w:pPr>
      <w:r>
        <w:rPr>
          <w:rFonts w:ascii="Arial" w:cs="Arial" w:eastAsia="Arial" w:hAnsi="Arial"/>
          <w:sz w:val="16"/>
          <w:szCs w:val="16"/>
          <w:color w:val="auto"/>
        </w:rPr>
        <w:t>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49" w:lineRule="exact"/>
        <w:rPr>
          <w:sz w:val="20"/>
          <w:szCs w:val="20"/>
          <w:color w:val="auto"/>
        </w:rPr>
      </w:pPr>
    </w:p>
    <w:p>
      <w:pPr>
        <w:ind w:firstLine="541"/>
        <w:spacing w:after="0" w:line="287" w:lineRule="auto"/>
        <w:rPr>
          <w:sz w:val="20"/>
          <w:szCs w:val="20"/>
          <w:color w:val="auto"/>
        </w:rPr>
      </w:pPr>
      <w:r>
        <w:rPr>
          <w:rFonts w:ascii="Arial" w:cs="Arial" w:eastAsia="Arial" w:hAnsi="Arial"/>
          <w:sz w:val="16"/>
          <w:szCs w:val="16"/>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w:t>
      </w:r>
    </w:p>
    <w:p>
      <w:pPr>
        <w:spacing w:after="0" w:line="172"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technology and product candidates would be adversely affected.</w:t>
      </w:r>
    </w:p>
    <w:p>
      <w:pPr>
        <w:spacing w:after="0" w:line="38" w:lineRule="exact"/>
        <w:rPr>
          <w:sz w:val="20"/>
          <w:szCs w:val="20"/>
          <w:color w:val="auto"/>
        </w:rPr>
      </w:pPr>
    </w:p>
    <w:p>
      <w:pPr>
        <w:ind w:right="240" w:firstLine="541"/>
        <w:spacing w:after="0" w:line="301"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87" w:name="page88"/>
    <w:bookmarkEnd w:id="87"/>
    <w:p>
      <w:pPr>
        <w:ind w:right="40" w:firstLine="541"/>
        <w:spacing w:after="0" w:line="291"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58" w:lineRule="exact"/>
        <w:rPr>
          <w:sz w:val="20"/>
          <w:szCs w:val="20"/>
          <w:color w:val="auto"/>
        </w:rPr>
      </w:pPr>
    </w:p>
    <w:p>
      <w:pPr>
        <w:ind w:right="80" w:firstLine="541"/>
        <w:spacing w:after="0" w:line="268"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w:t>
      </w:r>
    </w:p>
    <w:p>
      <w:pPr>
        <w:spacing w:after="0" w:line="78" w:lineRule="exact"/>
        <w:rPr>
          <w:sz w:val="20"/>
          <w:szCs w:val="20"/>
          <w:color w:val="auto"/>
        </w:rPr>
      </w:pPr>
    </w:p>
    <w:p>
      <w:pPr>
        <w:jc w:val="both"/>
        <w:ind w:right="360" w:firstLine="541"/>
        <w:spacing w:after="0" w:line="286"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117" w:lineRule="exact"/>
        <w:rPr>
          <w:sz w:val="20"/>
          <w:szCs w:val="20"/>
          <w:color w:val="auto"/>
        </w:rPr>
      </w:pPr>
    </w:p>
    <w:p>
      <w:pPr>
        <w:ind w:firstLine="541"/>
        <w:spacing w:after="0" w:line="272" w:lineRule="auto"/>
        <w:rPr>
          <w:sz w:val="20"/>
          <w:szCs w:val="20"/>
          <w:color w:val="auto"/>
        </w:rPr>
      </w:pPr>
      <w:r>
        <w:rPr>
          <w:rFonts w:ascii="Arial" w:cs="Arial" w:eastAsia="Arial" w:hAnsi="Arial"/>
          <w:sz w:val="17"/>
          <w:szCs w:val="17"/>
          <w:color w:val="auto"/>
        </w:rPr>
        <w:t>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69" w:lineRule="exact"/>
        <w:rPr>
          <w:sz w:val="20"/>
          <w:szCs w:val="20"/>
          <w:color w:val="auto"/>
        </w:rPr>
      </w:pPr>
    </w:p>
    <w:p>
      <w:pPr>
        <w:ind w:right="60" w:firstLine="541"/>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58" w:lineRule="exact"/>
        <w:rPr>
          <w:sz w:val="20"/>
          <w:szCs w:val="20"/>
          <w:color w:val="auto"/>
        </w:rPr>
      </w:pPr>
    </w:p>
    <w:p>
      <w:pPr>
        <w:ind w:right="40" w:firstLine="541"/>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8" w:name="page89"/>
    <w:bookmarkEnd w:id="88"/>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ind w:right="20" w:firstLine="541"/>
        <w:spacing w:after="0" w:line="269" w:lineRule="auto"/>
        <w:rPr>
          <w:sz w:val="20"/>
          <w:szCs w:val="20"/>
          <w:color w:val="auto"/>
        </w:rPr>
      </w:pPr>
      <w:r>
        <w:rPr>
          <w:rFonts w:ascii="Arial" w:cs="Arial" w:eastAsia="Arial" w:hAnsi="Arial"/>
          <w:sz w:val="17"/>
          <w:szCs w:val="17"/>
          <w:color w:val="auto"/>
        </w:rPr>
        <w:t>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KSI-301, if we rely on a different product, its development could involve the use of government funds, which can require additional compliance aspects to make certain all rights are transferred to or remain with us.</w:t>
      </w:r>
    </w:p>
    <w:p>
      <w:pPr>
        <w:spacing w:after="0" w:line="185"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Issued patents may be challenged or invalidated, and recent changes in U.S. patent law have diminished and may further diminish the value of patents in general. We rely on patents to protect our products, and any diminishment in the scope or value of our patents would adversely affect our business.</w:t>
      </w:r>
    </w:p>
    <w:p>
      <w:pPr>
        <w:spacing w:after="0" w:line="1" w:lineRule="exact"/>
        <w:rPr>
          <w:sz w:val="20"/>
          <w:szCs w:val="20"/>
          <w:color w:val="auto"/>
        </w:rPr>
      </w:pPr>
    </w:p>
    <w:p>
      <w:pPr>
        <w:ind w:firstLine="541"/>
        <w:spacing w:after="0" w:line="254" w:lineRule="auto"/>
        <w:rPr>
          <w:sz w:val="20"/>
          <w:szCs w:val="20"/>
          <w:color w:val="auto"/>
        </w:rPr>
      </w:pPr>
      <w:r>
        <w:rPr>
          <w:rFonts w:ascii="Arial" w:cs="Arial" w:eastAsia="Arial" w:hAnsi="Arial"/>
          <w:sz w:val="18"/>
          <w:szCs w:val="18"/>
          <w:color w:val="auto"/>
        </w:rPr>
        <w:t>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w:t>
      </w:r>
    </w:p>
    <w:p>
      <w:pPr>
        <w:spacing w:after="0" w:line="87" w:lineRule="exact"/>
        <w:rPr>
          <w:sz w:val="20"/>
          <w:szCs w:val="20"/>
          <w:color w:val="auto"/>
        </w:rPr>
      </w:pPr>
    </w:p>
    <w:p>
      <w:pPr>
        <w:ind w:right="80" w:firstLine="541"/>
        <w:spacing w:after="0" w:line="270" w:lineRule="auto"/>
        <w:rPr>
          <w:sz w:val="20"/>
          <w:szCs w:val="20"/>
          <w:color w:val="auto"/>
        </w:rPr>
      </w:pPr>
      <w:r>
        <w:rPr>
          <w:rFonts w:ascii="Arial" w:cs="Arial" w:eastAsia="Arial" w:hAnsi="Arial"/>
          <w:sz w:val="17"/>
          <w:szCs w:val="17"/>
          <w:color w:val="auto"/>
        </w:rPr>
        <w:t>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w:t>
      </w:r>
    </w:p>
    <w:p>
      <w:pPr>
        <w:spacing w:after="0" w:line="73" w:lineRule="exact"/>
        <w:rPr>
          <w:sz w:val="20"/>
          <w:szCs w:val="20"/>
          <w:color w:val="auto"/>
        </w:rPr>
      </w:pPr>
    </w:p>
    <w:p>
      <w:pPr>
        <w:ind w:right="20" w:firstLine="541"/>
        <w:spacing w:after="0" w:line="289" w:lineRule="auto"/>
        <w:rPr>
          <w:sz w:val="20"/>
          <w:szCs w:val="20"/>
          <w:color w:val="auto"/>
        </w:rPr>
      </w:pPr>
      <w:r>
        <w:rPr>
          <w:rFonts w:ascii="Arial" w:cs="Arial" w:eastAsia="Arial" w:hAnsi="Arial"/>
          <w:sz w:val="16"/>
          <w:szCs w:val="16"/>
          <w:color w:val="auto"/>
        </w:rPr>
        <w:t>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w:t>
      </w:r>
    </w:p>
    <w:p>
      <w:pPr>
        <w:spacing w:after="0" w:line="58" w:lineRule="exact"/>
        <w:rPr>
          <w:sz w:val="20"/>
          <w:szCs w:val="20"/>
          <w:color w:val="auto"/>
        </w:rPr>
      </w:pPr>
    </w:p>
    <w:p>
      <w:pPr>
        <w:ind w:right="60" w:firstLine="541"/>
        <w:spacing w:after="0" w:line="255" w:lineRule="auto"/>
        <w:rPr>
          <w:sz w:val="20"/>
          <w:szCs w:val="20"/>
          <w:color w:val="auto"/>
        </w:rPr>
      </w:pPr>
      <w:r>
        <w:rPr>
          <w:rFonts w:ascii="Arial" w:cs="Arial" w:eastAsia="Arial" w:hAnsi="Arial"/>
          <w:sz w:val="18"/>
          <w:szCs w:val="18"/>
          <w:color w:val="auto"/>
        </w:rPr>
        <w:t>As compared to intellectual property-reliant companies generally,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ind w:right="160" w:firstLine="541"/>
        <w:spacing w:after="0" w:line="255" w:lineRule="auto"/>
        <w:rPr>
          <w:sz w:val="20"/>
          <w:szCs w:val="20"/>
          <w:color w:val="auto"/>
        </w:rPr>
      </w:pPr>
      <w:r>
        <w:rPr>
          <w:rFonts w:ascii="Arial" w:cs="Arial" w:eastAsia="Arial" w:hAnsi="Arial"/>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84" w:lineRule="exact"/>
        <w:rPr>
          <w:sz w:val="20"/>
          <w:szCs w:val="20"/>
          <w:color w:val="auto"/>
        </w:rPr>
      </w:pPr>
    </w:p>
    <w:p>
      <w:pPr>
        <w:ind w:right="140" w:firstLine="541"/>
        <w:spacing w:after="0" w:line="257" w:lineRule="auto"/>
        <w:rPr>
          <w:sz w:val="20"/>
          <w:szCs w:val="20"/>
          <w:color w:val="auto"/>
        </w:rPr>
      </w:pPr>
      <w:r>
        <w:rPr>
          <w:rFonts w:ascii="Arial" w:cs="Arial" w:eastAsia="Arial" w:hAnsi="Arial"/>
          <w:sz w:val="18"/>
          <w:szCs w:val="18"/>
          <w:color w:val="auto"/>
        </w:rPr>
        <w:t>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product candidates we may develop, our business may be materially harmed.</w:t>
      </w:r>
    </w:p>
    <w:p>
      <w:pPr>
        <w:spacing w:after="0" w:line="140" w:lineRule="exact"/>
        <w:rPr>
          <w:sz w:val="20"/>
          <w:szCs w:val="20"/>
          <w:color w:val="auto"/>
        </w:rPr>
      </w:pPr>
    </w:p>
    <w:p>
      <w:pPr>
        <w:ind w:firstLine="541"/>
        <w:spacing w:after="0" w:line="269" w:lineRule="auto"/>
        <w:rPr>
          <w:sz w:val="20"/>
          <w:szCs w:val="20"/>
          <w:color w:val="auto"/>
        </w:rPr>
      </w:pPr>
      <w:r>
        <w:rPr>
          <w:rFonts w:ascii="Arial" w:cs="Arial" w:eastAsia="Arial" w:hAnsi="Arial"/>
          <w:sz w:val="17"/>
          <w:szCs w:val="17"/>
          <w:color w:val="auto"/>
        </w:rPr>
        <w:t>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60" w:firstLine="541"/>
        <w:spacing w:after="0" w:line="253"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60" w:firstLine="541"/>
        <w:spacing w:after="0" w:line="301" w:lineRule="auto"/>
        <w:rPr>
          <w:sz w:val="20"/>
          <w:szCs w:val="20"/>
          <w:color w:val="auto"/>
        </w:rPr>
      </w:pPr>
      <w:r>
        <w:rPr>
          <w:rFonts w:ascii="Arial" w:cs="Arial" w:eastAsia="Arial" w:hAnsi="Arial"/>
          <w:sz w:val="16"/>
          <w:szCs w:val="16"/>
          <w:color w:val="auto"/>
        </w:rPr>
        <w:t>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0" w:name="page91"/>
    <w:bookmarkEnd w:id="90"/>
    <w:p>
      <w:pPr>
        <w:ind w:firstLine="541"/>
        <w:spacing w:after="0" w:line="268" w:lineRule="auto"/>
        <w:rPr>
          <w:sz w:val="20"/>
          <w:szCs w:val="20"/>
          <w:color w:val="auto"/>
        </w:rPr>
      </w:pPr>
      <w:r>
        <w:rPr>
          <w:rFonts w:ascii="Arial" w:cs="Arial" w:eastAsia="Arial" w:hAnsi="Arial"/>
          <w:sz w:val="17"/>
          <w:szCs w:val="17"/>
          <w:color w:val="auto"/>
        </w:rPr>
        <w:t>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w:t>
      </w:r>
    </w:p>
    <w:p>
      <w:pPr>
        <w:spacing w:after="0" w:line="18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62" w:lineRule="exact"/>
        <w:rPr>
          <w:sz w:val="20"/>
          <w:szCs w:val="20"/>
          <w:color w:val="auto"/>
        </w:rPr>
      </w:pPr>
    </w:p>
    <w:p>
      <w:pPr>
        <w:ind w:right="20" w:firstLine="541"/>
        <w:spacing w:after="0" w:line="254" w:lineRule="auto"/>
        <w:rPr>
          <w:sz w:val="20"/>
          <w:szCs w:val="20"/>
          <w:color w:val="auto"/>
        </w:rPr>
      </w:pPr>
      <w:r>
        <w:rPr>
          <w:rFonts w:ascii="Arial" w:cs="Arial" w:eastAsia="Arial" w:hAnsi="Arial"/>
          <w:sz w:val="18"/>
          <w:szCs w:val="18"/>
          <w:color w:val="auto"/>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87" w:lineRule="exact"/>
        <w:rPr>
          <w:sz w:val="20"/>
          <w:szCs w:val="20"/>
          <w:color w:val="auto"/>
        </w:rPr>
      </w:pPr>
    </w:p>
    <w:p>
      <w:pPr>
        <w:ind w:right="80" w:firstLine="541"/>
        <w:spacing w:after="0" w:line="271"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or our collaborators may prevent or delay the development and commercialization of our ABC Platform, product candidates and other technologies.</w:t>
      </w:r>
    </w:p>
    <w:p>
      <w:pPr>
        <w:spacing w:after="0" w:line="62" w:lineRule="exact"/>
        <w:rPr>
          <w:sz w:val="20"/>
          <w:szCs w:val="20"/>
          <w:color w:val="auto"/>
        </w:rPr>
      </w:pPr>
    </w:p>
    <w:p>
      <w:pPr>
        <w:ind w:right="60" w:firstLine="541"/>
        <w:spacing w:after="0" w:line="259" w:lineRule="auto"/>
        <w:rPr>
          <w:sz w:val="20"/>
          <w:szCs w:val="20"/>
          <w:color w:val="auto"/>
        </w:rPr>
      </w:pPr>
      <w:r>
        <w:rPr>
          <w:rFonts w:ascii="Arial" w:cs="Arial" w:eastAsia="Arial" w:hAnsi="Arial"/>
          <w:sz w:val="18"/>
          <w:szCs w:val="18"/>
          <w:color w:val="auto"/>
        </w:rPr>
        <w:t>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w:t>
      </w:r>
    </w:p>
    <w:p>
      <w:pPr>
        <w:spacing w:after="0" w:line="79" w:lineRule="exact"/>
        <w:rPr>
          <w:sz w:val="20"/>
          <w:szCs w:val="20"/>
          <w:color w:val="auto"/>
        </w:rPr>
      </w:pPr>
    </w:p>
    <w:p>
      <w:pPr>
        <w:ind w:firstLine="541"/>
        <w:spacing w:after="0" w:line="273" w:lineRule="auto"/>
        <w:rPr>
          <w:sz w:val="20"/>
          <w:szCs w:val="20"/>
          <w:color w:val="auto"/>
        </w:rPr>
      </w:pPr>
      <w:r>
        <w:rPr>
          <w:rFonts w:ascii="Arial" w:cs="Arial" w:eastAsia="Arial" w:hAnsi="Arial"/>
          <w:sz w:val="17"/>
          <w:szCs w:val="17"/>
          <w:color w:val="auto"/>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post-grant review have been implemented. As stated above, this reform adds uncertainty to the possibility of challenge to our patents in the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91" w:name="page92"/>
    <w:bookmarkEnd w:id="91"/>
    <w:p>
      <w:pPr>
        <w:ind w:right="20" w:firstLine="541"/>
        <w:spacing w:after="0" w:line="269" w:lineRule="auto"/>
        <w:rPr>
          <w:sz w:val="20"/>
          <w:szCs w:val="20"/>
          <w:color w:val="auto"/>
        </w:rPr>
      </w:pPr>
      <w:r>
        <w:rPr>
          <w:rFonts w:ascii="Arial" w:cs="Arial" w:eastAsia="Arial" w:hAnsi="Arial"/>
          <w:sz w:val="17"/>
          <w:szCs w:val="17"/>
          <w:color w:val="auto"/>
        </w:rPr>
        <w:t>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w:t>
      </w:r>
    </w:p>
    <w:p>
      <w:pPr>
        <w:spacing w:after="0" w:line="71" w:lineRule="exact"/>
        <w:rPr>
          <w:sz w:val="20"/>
          <w:szCs w:val="20"/>
          <w:color w:val="auto"/>
        </w:rPr>
      </w:pPr>
    </w:p>
    <w:p>
      <w:pPr>
        <w:ind w:right="40" w:firstLine="541"/>
        <w:spacing w:after="0" w:line="288" w:lineRule="auto"/>
        <w:rPr>
          <w:sz w:val="20"/>
          <w:szCs w:val="20"/>
          <w:color w:val="auto"/>
        </w:rPr>
      </w:pPr>
      <w:r>
        <w:rPr>
          <w:rFonts w:ascii="Arial" w:cs="Arial" w:eastAsia="Arial" w:hAnsi="Arial"/>
          <w:sz w:val="16"/>
          <w:szCs w:val="16"/>
          <w:color w:val="auto"/>
        </w:rPr>
        <w:t>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block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w:t>
      </w:r>
    </w:p>
    <w:p>
      <w:pPr>
        <w:spacing w:after="0" w:line="60" w:lineRule="exact"/>
        <w:rPr>
          <w:sz w:val="20"/>
          <w:szCs w:val="20"/>
          <w:color w:val="auto"/>
        </w:rPr>
      </w:pPr>
    </w:p>
    <w:p>
      <w:pPr>
        <w:ind w:firstLine="541"/>
        <w:spacing w:after="0" w:line="296" w:lineRule="auto"/>
        <w:rPr>
          <w:sz w:val="20"/>
          <w:szCs w:val="20"/>
          <w:color w:val="auto"/>
        </w:rPr>
      </w:pPr>
      <w:r>
        <w:rPr>
          <w:rFonts w:ascii="Arial" w:cs="Arial" w:eastAsia="Arial" w:hAnsi="Arial"/>
          <w:sz w:val="16"/>
          <w:szCs w:val="16"/>
          <w:color w:val="auto"/>
        </w:rPr>
        <w:t>We are aware of a number of patents and applications that are directed to one or more aspects of KSI-301. Our intent is to maintain our development efforts under 35 U.S.C. Section 271(e)(1) (which provides a safe harbor from patent infringement claims related to certain drug development activities) through to at least the launch of any KSI-301 product. As such, we do not intend to launch KSI-301 when any valid patent is still in force. We are aware of at least one pending application with claims that are directed to some aspect of KSI-301, and that could, if issued, result in a patent term beyond our intended launch date of KSI-301. If this were to occur, we may challenge the validity of the claims, obtain a license, modify KSI-301, or delay launch.</w:t>
      </w:r>
    </w:p>
    <w:p>
      <w:pPr>
        <w:spacing w:after="0" w:line="53" w:lineRule="exact"/>
        <w:rPr>
          <w:sz w:val="20"/>
          <w:szCs w:val="20"/>
          <w:color w:val="auto"/>
        </w:rPr>
      </w:pPr>
    </w:p>
    <w:p>
      <w:pPr>
        <w:ind w:right="120" w:firstLine="541"/>
        <w:spacing w:after="0" w:line="263" w:lineRule="auto"/>
        <w:rPr>
          <w:sz w:val="20"/>
          <w:szCs w:val="20"/>
          <w:color w:val="auto"/>
        </w:rPr>
      </w:pPr>
      <w:r>
        <w:rPr>
          <w:rFonts w:ascii="Arial" w:cs="Arial" w:eastAsia="Arial" w:hAnsi="Arial"/>
          <w:sz w:val="18"/>
          <w:szCs w:val="18"/>
          <w:color w:val="auto"/>
        </w:rPr>
        <w:t>If we choose to further the pipeline and develop a different product, such a product would be delayed until the expiration of any valid patent that is still in force on such product. Alternatively, our options for addressing any such patents relating to these non-KSI-301 products would include the following: challenge the validity of the claims, obtain a license, or modify the non-KSI-301 product.</w:t>
      </w:r>
    </w:p>
    <w:p>
      <w:pPr>
        <w:spacing w:after="0" w:line="76" w:lineRule="exact"/>
        <w:rPr>
          <w:sz w:val="20"/>
          <w:szCs w:val="20"/>
          <w:color w:val="auto"/>
        </w:rPr>
      </w:pPr>
    </w:p>
    <w:p>
      <w:pPr>
        <w:ind w:right="20" w:firstLine="541"/>
        <w:spacing w:after="0" w:line="288" w:lineRule="auto"/>
        <w:rPr>
          <w:sz w:val="20"/>
          <w:szCs w:val="20"/>
          <w:color w:val="auto"/>
        </w:rPr>
      </w:pPr>
      <w:r>
        <w:rPr>
          <w:rFonts w:ascii="Arial" w:cs="Arial" w:eastAsia="Arial" w:hAnsi="Arial"/>
          <w:sz w:val="16"/>
          <w:szCs w:val="16"/>
          <w:color w:val="auto"/>
        </w:rPr>
        <w:t>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technology,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w:t>
      </w:r>
    </w:p>
    <w:p>
      <w:pPr>
        <w:spacing w:after="0" w:line="60" w:lineRule="exact"/>
        <w:rPr>
          <w:sz w:val="20"/>
          <w:szCs w:val="20"/>
          <w:color w:val="auto"/>
        </w:rPr>
      </w:pPr>
    </w:p>
    <w:p>
      <w:pPr>
        <w:ind w:right="100" w:firstLine="541"/>
        <w:spacing w:after="0" w:line="255" w:lineRule="auto"/>
        <w:rPr>
          <w:sz w:val="20"/>
          <w:szCs w:val="20"/>
          <w:color w:val="auto"/>
        </w:rPr>
      </w:pPr>
      <w:r>
        <w:rPr>
          <w:rFonts w:ascii="Arial" w:cs="Arial" w:eastAsia="Arial" w:hAnsi="Arial"/>
          <w:sz w:val="18"/>
          <w:szCs w:val="18"/>
          <w:color w:val="auto"/>
        </w:rPr>
        <w:t>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2" w:name="page93"/>
    <w:bookmarkEnd w:id="92"/>
    <w:p>
      <w:pPr>
        <w:ind w:right="8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62" w:lineRule="exact"/>
        <w:rPr>
          <w:sz w:val="20"/>
          <w:szCs w:val="20"/>
          <w:color w:val="auto"/>
        </w:rPr>
      </w:pPr>
    </w:p>
    <w:p>
      <w:pPr>
        <w:ind w:right="20" w:firstLine="541"/>
        <w:spacing w:after="0" w:line="270" w:lineRule="auto"/>
        <w:rPr>
          <w:sz w:val="20"/>
          <w:szCs w:val="20"/>
          <w:color w:val="auto"/>
        </w:rPr>
      </w:pPr>
      <w:r>
        <w:rPr>
          <w:rFonts w:ascii="Arial" w:cs="Arial" w:eastAsia="Arial" w:hAnsi="Arial"/>
          <w:sz w:val="17"/>
          <w:szCs w:val="17"/>
          <w:color w:val="auto"/>
        </w:rPr>
        <w:t>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73" w:lineRule="exact"/>
        <w:rPr>
          <w:sz w:val="20"/>
          <w:szCs w:val="20"/>
          <w:color w:val="auto"/>
        </w:rPr>
      </w:pPr>
    </w:p>
    <w:p>
      <w:pPr>
        <w:ind w:right="60" w:firstLine="541"/>
        <w:spacing w:after="0" w:line="270" w:lineRule="auto"/>
        <w:rPr>
          <w:sz w:val="20"/>
          <w:szCs w:val="20"/>
          <w:color w:val="auto"/>
        </w:rPr>
      </w:pPr>
      <w:r>
        <w:rPr>
          <w:rFonts w:ascii="Arial" w:cs="Arial" w:eastAsia="Arial" w:hAnsi="Arial"/>
          <w:sz w:val="17"/>
          <w:szCs w:val="17"/>
          <w:color w:val="auto"/>
        </w:rPr>
        <w:t>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firstLine="541"/>
        <w:spacing w:after="0" w:line="286" w:lineRule="auto"/>
        <w:rPr>
          <w:sz w:val="20"/>
          <w:szCs w:val="20"/>
          <w:color w:val="auto"/>
        </w:rPr>
      </w:pPr>
      <w:r>
        <w:rPr>
          <w:rFonts w:ascii="Arial" w:cs="Arial" w:eastAsia="Arial" w:hAnsi="Arial"/>
          <w:sz w:val="16"/>
          <w:szCs w:val="16"/>
          <w:color w:val="auto"/>
        </w:rPr>
        <w:t>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in the United States. The application for registration of the mark “KODIAK SCIENCES” in the United States has been allowed. Over the long term, if we are unable to establish name recognition based on our trademarks and trade names, then we may not be able to compete effectively and our business may be adversely affected. We engage a third party watching service to monitor use by third parties of names that are identical or similar to our name. We have identified at least two companies that are using names that we continue to monitor. We have sent a cease and desist letter to one of the companies. If we deem it appropriate, we may decide to take further action with respect to those companies.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7" w:lineRule="exact"/>
        <w:rPr>
          <w:sz w:val="20"/>
          <w:szCs w:val="20"/>
          <w:color w:val="auto"/>
        </w:rPr>
      </w:pPr>
    </w:p>
    <w:p>
      <w:pPr>
        <w:ind w:right="20" w:firstLine="5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660" w:right="120" w:hanging="11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or utilize similar technology but that are not covered by the claims of the patents that we may license or own;</w:t>
      </w:r>
    </w:p>
    <w:p>
      <w:pPr>
        <w:spacing w:after="0" w:line="62" w:lineRule="exact"/>
        <w:rPr>
          <w:rFonts w:ascii="Arial" w:cs="Arial" w:eastAsia="Arial" w:hAnsi="Arial"/>
          <w:sz w:val="18"/>
          <w:szCs w:val="18"/>
          <w:color w:val="auto"/>
        </w:rPr>
      </w:pPr>
    </w:p>
    <w:p>
      <w:pPr>
        <w:ind w:left="660" w:right="20" w:hanging="112"/>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the issued patent or pending patent application that we license or own now or in the future;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3" w:name="page94"/>
    <w:bookmarkEnd w:id="93"/>
    <w:p>
      <w:pPr>
        <w:ind w:left="660" w:right="440" w:hanging="11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file patent applications covering certain of our or their inventions;</w:t>
      </w:r>
    </w:p>
    <w:p>
      <w:pPr>
        <w:spacing w:after="0" w:line="62" w:lineRule="exact"/>
        <w:rPr>
          <w:rFonts w:ascii="Arial" w:cs="Arial" w:eastAsia="Arial" w:hAnsi="Arial"/>
          <w:sz w:val="18"/>
          <w:szCs w:val="18"/>
          <w:color w:val="auto"/>
        </w:rPr>
      </w:pPr>
    </w:p>
    <w:p>
      <w:pPr>
        <w:ind w:left="660" w:right="580" w:hanging="11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owned or licensed patent applications will not lead to issued patents;</w:t>
      </w:r>
    </w:p>
    <w:p>
      <w:pPr>
        <w:spacing w:after="0" w:line="117" w:lineRule="exact"/>
        <w:rPr>
          <w:rFonts w:ascii="Arial" w:cs="Arial" w:eastAsia="Arial" w:hAnsi="Arial"/>
          <w:sz w:val="18"/>
          <w:szCs w:val="18"/>
          <w:color w:val="auto"/>
        </w:rPr>
      </w:pPr>
    </w:p>
    <w:p>
      <w:pPr>
        <w:ind w:left="660" w:right="300" w:hanging="11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62" w:lineRule="exact"/>
        <w:rPr>
          <w:rFonts w:ascii="Arial" w:cs="Arial" w:eastAsia="Arial" w:hAnsi="Arial"/>
          <w:sz w:val="18"/>
          <w:szCs w:val="18"/>
          <w:color w:val="auto"/>
        </w:rPr>
      </w:pPr>
    </w:p>
    <w:p>
      <w:pPr>
        <w:ind w:left="660" w:right="80" w:hanging="112"/>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660" w:hanging="11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660" w:right="640" w:hanging="112"/>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Should any of these events occur, they could have a material adverse effect on our business, financial condition, results of operations and prospects.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firstLine="541"/>
        <w:spacing w:after="0" w:line="257"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80" w:lineRule="exact"/>
        <w:rPr>
          <w:sz w:val="20"/>
          <w:szCs w:val="20"/>
          <w:color w:val="auto"/>
        </w:rPr>
      </w:pPr>
    </w:p>
    <w:p>
      <w:pPr>
        <w:ind w:right="80" w:firstLine="541"/>
        <w:spacing w:after="0" w:line="259" w:lineRule="auto"/>
        <w:rPr>
          <w:sz w:val="20"/>
          <w:szCs w:val="20"/>
          <w:color w:val="auto"/>
        </w:rPr>
      </w:pPr>
      <w:r>
        <w:rPr>
          <w:rFonts w:ascii="Arial" w:cs="Arial" w:eastAsia="Arial" w:hAnsi="Arial"/>
          <w:sz w:val="18"/>
          <w:szCs w:val="18"/>
          <w:color w:val="auto"/>
        </w:rPr>
        <w:t>We conduct our operations at our facility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79" w:lineRule="exact"/>
        <w:rPr>
          <w:sz w:val="20"/>
          <w:szCs w:val="20"/>
          <w:color w:val="auto"/>
        </w:rPr>
      </w:pPr>
    </w:p>
    <w:p>
      <w:pPr>
        <w:ind w:right="80" w:firstLine="541"/>
        <w:spacing w:after="0" w:line="291" w:lineRule="auto"/>
        <w:rPr>
          <w:sz w:val="20"/>
          <w:szCs w:val="20"/>
          <w:color w:val="auto"/>
        </w:rPr>
      </w:pPr>
      <w:r>
        <w:rPr>
          <w:rFonts w:ascii="Arial" w:cs="Arial" w:eastAsia="Arial" w:hAnsi="Arial"/>
          <w:sz w:val="16"/>
          <w:szCs w:val="16"/>
          <w:color w:val="auto"/>
        </w:rPr>
        <w:t>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17" w:lineRule="exact"/>
        <w:rPr>
          <w:sz w:val="20"/>
          <w:szCs w:val="20"/>
          <w:color w:val="auto"/>
        </w:rPr>
      </w:pPr>
    </w:p>
    <w:p>
      <w:pPr>
        <w:ind w:right="40" w:firstLine="541"/>
        <w:spacing w:after="0" w:line="263" w:lineRule="auto"/>
        <w:rPr>
          <w:sz w:val="20"/>
          <w:szCs w:val="20"/>
          <w:color w:val="auto"/>
        </w:rPr>
      </w:pPr>
      <w:r>
        <w:rPr>
          <w:rFonts w:ascii="Arial" w:cs="Arial" w:eastAsia="Arial" w:hAnsi="Arial"/>
          <w:sz w:val="18"/>
          <w:szCs w:val="18"/>
          <w:color w:val="auto"/>
        </w:rPr>
        <w:t>As of March 6, 2020, we had 39 employees, all of whom were full-time. As our development plans and strategies develop, and as we transition into operating as a public company, we must add a significant number of additional managerial, operational, financial and other personnel. Future growth will impose significant added responsibilities on members of management, including:</w:t>
      </w:r>
    </w:p>
    <w:p>
      <w:pPr>
        <w:spacing w:after="0" w:line="76" w:lineRule="exact"/>
        <w:rPr>
          <w:sz w:val="20"/>
          <w:szCs w:val="20"/>
          <w:color w:val="auto"/>
        </w:rPr>
      </w:pPr>
    </w:p>
    <w:p>
      <w:pPr>
        <w:ind w:left="660" w:hanging="11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identifying, recruiting, integrating, retaining and motivating additional employees;</w:t>
      </w:r>
    </w:p>
    <w:p>
      <w:pPr>
        <w:spacing w:after="0" w:line="117" w:lineRule="exact"/>
        <w:rPr>
          <w:rFonts w:ascii="Arial" w:cs="Arial" w:eastAsia="Arial" w:hAnsi="Arial"/>
          <w:sz w:val="18"/>
          <w:szCs w:val="18"/>
          <w:color w:val="auto"/>
        </w:rPr>
      </w:pPr>
    </w:p>
    <w:p>
      <w:pPr>
        <w:ind w:left="660" w:right="780" w:hanging="112"/>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our current and future product candidates, while complying with our contractual obligations to contractors and other third parties;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4" w:name="page95"/>
    <w:bookmarkEnd w:id="94"/>
    <w:p>
      <w:pPr>
        <w:ind w:left="660" w:hanging="11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expanding our operational, financial and management controls, reporting systems and procedures;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managing increasing operational and managerial complexity.</w:t>
      </w:r>
    </w:p>
    <w:p>
      <w:pPr>
        <w:spacing w:after="0" w:line="117" w:lineRule="exact"/>
        <w:rPr>
          <w:sz w:val="20"/>
          <w:szCs w:val="20"/>
          <w:color w:val="auto"/>
        </w:rPr>
      </w:pPr>
    </w:p>
    <w:p>
      <w:pPr>
        <w:jc w:val="both"/>
        <w:ind w:firstLine="541"/>
        <w:spacing w:after="0" w:line="263" w:lineRule="auto"/>
        <w:rPr>
          <w:sz w:val="20"/>
          <w:szCs w:val="20"/>
          <w:color w:val="auto"/>
        </w:rPr>
      </w:pPr>
      <w:r>
        <w:rPr>
          <w:rFonts w:ascii="Arial" w:cs="Arial" w:eastAsia="Arial" w:hAnsi="Arial"/>
          <w:sz w:val="18"/>
          <w:szCs w:val="18"/>
          <w:color w:val="auto"/>
        </w:rPr>
        <w:t>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w:t>
      </w:r>
    </w:p>
    <w:p>
      <w:pPr>
        <w:spacing w:after="0" w:line="76" w:lineRule="exact"/>
        <w:rPr>
          <w:sz w:val="20"/>
          <w:szCs w:val="20"/>
          <w:color w:val="auto"/>
        </w:rPr>
      </w:pPr>
    </w:p>
    <w:p>
      <w:pPr>
        <w:ind w:right="20" w:firstLine="541"/>
        <w:spacing w:after="0" w:line="25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w:t>
      </w:r>
    </w:p>
    <w:p>
      <w:pPr>
        <w:spacing w:after="0" w:line="87" w:lineRule="exact"/>
        <w:rPr>
          <w:sz w:val="20"/>
          <w:szCs w:val="20"/>
          <w:color w:val="auto"/>
        </w:rPr>
      </w:pPr>
    </w:p>
    <w:p>
      <w:pPr>
        <w:ind w:firstLine="541"/>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w:t>
      </w:r>
    </w:p>
    <w:p>
      <w:pPr>
        <w:spacing w:after="0" w:line="184" w:lineRule="exact"/>
        <w:rPr>
          <w:sz w:val="20"/>
          <w:szCs w:val="20"/>
          <w:color w:val="auto"/>
        </w:rPr>
      </w:pPr>
    </w:p>
    <w:p>
      <w:pPr>
        <w:ind w:right="100"/>
        <w:spacing w:after="0" w:line="375" w:lineRule="auto"/>
        <w:rPr>
          <w:sz w:val="20"/>
          <w:szCs w:val="20"/>
          <w:color w:val="auto"/>
        </w:rPr>
      </w:pPr>
      <w:r>
        <w:rPr>
          <w:rFonts w:ascii="Arial" w:cs="Arial" w:eastAsia="Arial" w:hAnsi="Arial"/>
          <w:sz w:val="15"/>
          <w:szCs w:val="15"/>
          <w:b w:val="1"/>
          <w:bCs w:val="1"/>
          <w:i w:val="1"/>
          <w:iCs w:val="1"/>
          <w:color w:val="auto"/>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w:t>
      </w:r>
    </w:p>
    <w:p>
      <w:pPr>
        <w:spacing w:after="0" w:line="1" w:lineRule="exact"/>
        <w:rPr>
          <w:sz w:val="20"/>
          <w:szCs w:val="20"/>
          <w:color w:val="auto"/>
        </w:rPr>
      </w:pPr>
    </w:p>
    <w:p>
      <w:pPr>
        <w:ind w:right="80" w:firstLine="541"/>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consolidated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consolidated financial statements will not be prevented or detected on a timely basis.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we engage in acquisitions, in-licensing or strategic partnerships, this may increase our capital requirements, dilute our stockholders, cause us to incur debt or assume contingent liabilities and subject us to other risks.</w:t>
      </w:r>
    </w:p>
    <w:p>
      <w:pPr>
        <w:spacing w:after="0" w:line="62" w:lineRule="exact"/>
        <w:rPr>
          <w:sz w:val="20"/>
          <w:szCs w:val="20"/>
          <w:color w:val="auto"/>
        </w:rPr>
      </w:pPr>
    </w:p>
    <w:p>
      <w:pPr>
        <w:ind w:right="800" w:firstLine="541"/>
        <w:spacing w:after="0" w:line="342" w:lineRule="auto"/>
        <w:rPr>
          <w:sz w:val="20"/>
          <w:szCs w:val="20"/>
          <w:color w:val="auto"/>
        </w:rPr>
      </w:pPr>
      <w:r>
        <w:rPr>
          <w:rFonts w:ascii="Arial" w:cs="Arial" w:eastAsia="Arial" w:hAnsi="Arial"/>
          <w:sz w:val="16"/>
          <w:szCs w:val="16"/>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16" w:lineRule="exact"/>
        <w:rPr>
          <w:sz w:val="20"/>
          <w:szCs w:val="20"/>
          <w:color w:val="auto"/>
        </w:rPr>
      </w:pPr>
    </w:p>
    <w:p>
      <w:pPr>
        <w:ind w:left="660" w:hanging="11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117" w:lineRule="exact"/>
        <w:rPr>
          <w:rFonts w:ascii="Arial" w:cs="Arial" w:eastAsia="Arial" w:hAnsi="Arial"/>
          <w:sz w:val="18"/>
          <w:szCs w:val="18"/>
          <w:color w:val="auto"/>
        </w:rPr>
      </w:pPr>
    </w:p>
    <w:p>
      <w:pPr>
        <w:ind w:left="660" w:right="240" w:hanging="11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62" w:lineRule="exact"/>
        <w:rPr>
          <w:rFonts w:ascii="Arial" w:cs="Arial" w:eastAsia="Arial" w:hAnsi="Arial"/>
          <w:sz w:val="18"/>
          <w:szCs w:val="18"/>
          <w:color w:val="auto"/>
        </w:rPr>
      </w:pPr>
    </w:p>
    <w:p>
      <w:pPr>
        <w:ind w:left="660" w:right="500" w:hanging="11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660" w:right="340" w:hanging="11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62" w:lineRule="exact"/>
        <w:rPr>
          <w:rFonts w:ascii="Arial" w:cs="Arial" w:eastAsia="Arial" w:hAnsi="Arial"/>
          <w:sz w:val="18"/>
          <w:szCs w:val="18"/>
          <w:color w:val="auto"/>
        </w:rPr>
      </w:pPr>
    </w:p>
    <w:p>
      <w:pPr>
        <w:ind w:left="660" w:right="40" w:hanging="112"/>
        <w:spacing w:after="0" w:line="277"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62" w:lineRule="exact"/>
        <w:rPr>
          <w:sz w:val="20"/>
          <w:szCs w:val="20"/>
          <w:color w:val="auto"/>
        </w:rPr>
      </w:pPr>
    </w:p>
    <w:p>
      <w:pPr>
        <w:ind w:right="200" w:firstLine="541"/>
        <w:spacing w:after="0" w:line="277"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ind w:right="1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62" w:lineRule="exact"/>
        <w:rPr>
          <w:sz w:val="20"/>
          <w:szCs w:val="20"/>
          <w:color w:val="auto"/>
        </w:rPr>
      </w:pPr>
    </w:p>
    <w:p>
      <w:pPr>
        <w:ind w:right="60" w:firstLine="541"/>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may be vulnerable to damage from computer viruses and unauthorized access. Although to our knowledge, we have not experienced any such material system failure or security breach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third-party research institution collaborators, CROs, other contractors and consultants for many aspects of our business, including research and development activities and manufacturing of our product candidates, and similar events relating to their computer systems could also have a material adverse effect on our business.</w:t>
      </w:r>
    </w:p>
    <w:p>
      <w:pPr>
        <w:spacing w:after="0" w:line="84" w:lineRule="exact"/>
        <w:rPr>
          <w:sz w:val="20"/>
          <w:szCs w:val="20"/>
          <w:color w:val="auto"/>
        </w:rPr>
      </w:pPr>
    </w:p>
    <w:p>
      <w:pPr>
        <w:ind w:right="100" w:firstLine="541"/>
        <w:spacing w:after="0" w:line="301" w:lineRule="auto"/>
        <w:rPr>
          <w:sz w:val="20"/>
          <w:szCs w:val="20"/>
          <w:color w:val="auto"/>
        </w:rPr>
      </w:pPr>
      <w:r>
        <w:rPr>
          <w:rFonts w:ascii="Arial" w:cs="Arial" w:eastAsia="Arial" w:hAnsi="Arial"/>
          <w:sz w:val="16"/>
          <w:szCs w:val="16"/>
          <w:color w:val="auto"/>
        </w:rPr>
        <w:t>The secure maintenance of information is critical to our business and reputation. We believe that companies have been increasingly subject to a wide variety of security incidents, cyber-attacks and other attempts to gain unauthorized access. These threats can come from a variety of sources, ranging in sophistication from an individual hacker to a state-sponsored attack. Cyber threats may be generic, or they may be custom-crafted against our information systems. Over the past few years, cyber-attacks have become more prevalent and much harder to detect and defend against.</w:t>
      </w:r>
    </w:p>
    <w:p>
      <w:pPr>
        <w:spacing w:after="0" w:line="49" w:lineRule="exact"/>
        <w:rPr>
          <w:sz w:val="20"/>
          <w:szCs w:val="20"/>
          <w:color w:val="auto"/>
        </w:rPr>
      </w:pPr>
    </w:p>
    <w:p>
      <w:pPr>
        <w:ind w:firstLine="541"/>
        <w:spacing w:after="0" w:line="289" w:lineRule="auto"/>
        <w:rPr>
          <w:sz w:val="20"/>
          <w:szCs w:val="20"/>
          <w:color w:val="auto"/>
        </w:rPr>
      </w:pPr>
      <w:r>
        <w:rPr>
          <w:rFonts w:ascii="Arial" w:cs="Arial" w:eastAsia="Arial" w:hAnsi="Arial"/>
          <w:sz w:val="16"/>
          <w:szCs w:val="16"/>
          <w:color w:val="auto"/>
        </w:rPr>
        <w:t>Our network and storage applications and those of our collaborators, CROs and vendors may be subject to unauthorized access by hackers or breached due to operator error, malfeasance or other system disruptions. It is often difficult to anticipate or immediately detect such incidents and the damage caused by them. These data breaches and any unauthorized access or disclosure of our information or intellectual property could compromise our intellectual property and expose sensitive business information. A data security breach could also lead to public exposure of personal information of our employees. Cyber-attacks could cause us to incur significant remediation costs, disrupt key business operations and divert attention of management and key information technology resources. Our network security and data recovery measures and those of our collaborators, CROs and vendors may not be adequate to protect against such security breaches and disruptions. To the extent that any disruption or security breach were to result in a loss of, or damage to, our data or systems, or inappropriate disclosure of confidential or proprietary information, we could incur liability, our competitive position could be harmed, and the further development and commercialization of our product candidates could be delayed.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40" w:firstLine="541"/>
        <w:spacing w:after="0" w:line="287" w:lineRule="auto"/>
        <w:rPr>
          <w:sz w:val="20"/>
          <w:szCs w:val="20"/>
          <w:color w:val="auto"/>
        </w:rPr>
      </w:pPr>
      <w:r>
        <w:rPr>
          <w:rFonts w:ascii="Arial" w:cs="Arial" w:eastAsia="Arial" w:hAnsi="Arial"/>
          <w:sz w:val="16"/>
          <w:szCs w:val="16"/>
          <w:color w:val="auto"/>
        </w:rPr>
        <w:t>Our operations, and those of our CROs, CMOs,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For example, in December 2019, an outbreak of a novel strain of coronavirus, COVID-19, originated in Wuhan, China. Since the manufacturing facilities of some of our third-party CMOs are in China, an outbreak of communicable diseases in China or elsewhere, or the perception that such an outbreak could occur, and the measures taken by the governments of countries affected, could adversely affect our business, financial condition or results of operations by limiting our ability to manufacture product within or outside China, forcing temporary closure of facilities that we rely upon or increasing the costs associated with obtaining clinical supplies of our product candidates. The extent to which the coronavirus impacts our results will depend on future developments, which are highly uncertain and cannot be accurately predicted, including new information which may emerge concerning the severity of the coronavirus and the actions to contain the coronavirus or treat its impact, among others.</w:t>
      </w:r>
    </w:p>
    <w:p>
      <w:pPr>
        <w:spacing w:after="0" w:line="60" w:lineRule="exact"/>
        <w:rPr>
          <w:sz w:val="20"/>
          <w:szCs w:val="20"/>
          <w:color w:val="auto"/>
        </w:rPr>
      </w:pPr>
    </w:p>
    <w:p>
      <w:pPr>
        <w:ind w:right="180" w:firstLine="541"/>
        <w:spacing w:after="0" w:line="257" w:lineRule="auto"/>
        <w:rPr>
          <w:sz w:val="20"/>
          <w:szCs w:val="20"/>
          <w:color w:val="auto"/>
        </w:rPr>
      </w:pPr>
      <w:r>
        <w:rPr>
          <w:rFonts w:ascii="Arial" w:cs="Arial" w:eastAsia="Arial" w:hAnsi="Arial"/>
          <w:sz w:val="18"/>
          <w:szCs w:val="18"/>
          <w:color w:val="auto"/>
        </w:rPr>
        <w:t>All of our operations including our corporate headquarters are located in a single facility in Palo Alto,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80" w:lineRule="exact"/>
        <w:rPr>
          <w:sz w:val="20"/>
          <w:szCs w:val="20"/>
          <w:color w:val="auto"/>
        </w:rPr>
      </w:pPr>
    </w:p>
    <w:p>
      <w:pPr>
        <w:ind w:right="80" w:firstLine="541"/>
        <w:spacing w:after="0" w:line="259" w:lineRule="auto"/>
        <w:rPr>
          <w:sz w:val="20"/>
          <w:szCs w:val="20"/>
          <w:color w:val="auto"/>
        </w:rPr>
      </w:pPr>
      <w:r>
        <w:rPr>
          <w:rFonts w:ascii="Arial" w:cs="Arial" w:eastAsia="Arial" w:hAnsi="Arial"/>
          <w:sz w:val="18"/>
          <w:szCs w:val="18"/>
          <w:color w:val="auto"/>
        </w:rPr>
        <w:t>We recently implemented a new enterprise resource planning, or ERP, system as well as other systems as part of our ongoing technology and process improvements. Our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540" w:firstLine="541"/>
        <w:spacing w:after="0" w:line="277" w:lineRule="auto"/>
        <w:rPr>
          <w:sz w:val="20"/>
          <w:szCs w:val="20"/>
          <w:color w:val="auto"/>
        </w:rPr>
      </w:pPr>
      <w:r>
        <w:rPr>
          <w:rFonts w:ascii="Arial" w:cs="Arial" w:eastAsia="Arial" w:hAnsi="Arial"/>
          <w:sz w:val="18"/>
          <w:szCs w:val="18"/>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2" w:lineRule="exact"/>
        <w:rPr>
          <w:sz w:val="20"/>
          <w:szCs w:val="20"/>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pricing and reimbursement regimes in non-U.S. countries;</w:t>
      </w:r>
    </w:p>
    <w:p>
      <w:pPr>
        <w:spacing w:after="0" w:line="117" w:lineRule="exact"/>
        <w:rPr>
          <w:rFonts w:ascii="Arial" w:cs="Arial" w:eastAsia="Arial" w:hAnsi="Arial"/>
          <w:sz w:val="18"/>
          <w:szCs w:val="18"/>
          <w:color w:val="auto"/>
        </w:rPr>
      </w:pPr>
    </w:p>
    <w:p>
      <w:pPr>
        <w:ind w:left="660" w:right="780" w:hanging="112"/>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potential liability under the FCPA or comparable foreign laws;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117" w:lineRule="exact"/>
        <w:rPr>
          <w:sz w:val="20"/>
          <w:szCs w:val="20"/>
          <w:color w:val="auto"/>
        </w:rPr>
      </w:pPr>
    </w:p>
    <w:p>
      <w:pPr>
        <w:ind w:firstLine="541"/>
        <w:spacing w:after="0" w:line="254" w:lineRule="auto"/>
        <w:rPr>
          <w:sz w:val="20"/>
          <w:szCs w:val="20"/>
          <w:color w:val="auto"/>
        </w:rPr>
      </w:pPr>
      <w:r>
        <w:rPr>
          <w:rFonts w:ascii="Arial" w:cs="Arial" w:eastAsia="Arial" w:hAnsi="Arial"/>
          <w:sz w:val="18"/>
          <w:szCs w:val="18"/>
          <w:color w:val="auto"/>
        </w:rPr>
        <w:t>In June 2016, the United Kingdom, or UK, held a referendum in which voters approved an exit from the EU, commonly referred to as "Brexit." This referendum has created political and economic uncertainty, particularly in the UK and the EU, and this uncertainty may persist for years. The UK officially withdrew from the EU on January 31, 2020, however the effects of the departure on both the EU and the UK are still highly uncertain, as many details of the divorce have yet to be addressed. The withdrawal may cause increased economic volatility, affecting our operations and business. Brexit may adversely impact our ability to obtain regulatory approvals of our product candidates in the EU, result in restrictions or imposition of taxes and duties for importing our product candidates into the EU, and may require us to incur additional expenses in order to develop, manufacture and commercialize our product candidates in the EU.</w:t>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These and other risks associated with our planned international operations may materially adversely affect our ability to attain profitable operations.</w:t>
      </w:r>
    </w:p>
    <w:p>
      <w:pPr>
        <w:spacing w:after="0" w:line="140" w:lineRule="exact"/>
        <w:rPr>
          <w:sz w:val="20"/>
          <w:szCs w:val="20"/>
          <w:color w:val="auto"/>
        </w:rPr>
      </w:pPr>
    </w:p>
    <w:p>
      <w:pPr>
        <w:jc w:val="both"/>
        <w:ind w:right="400"/>
        <w:spacing w:after="0" w:line="327" w:lineRule="auto"/>
        <w:rPr>
          <w:sz w:val="20"/>
          <w:szCs w:val="20"/>
          <w:color w:val="auto"/>
        </w:rPr>
      </w:pPr>
      <w:r>
        <w:rPr>
          <w:rFonts w:ascii="Arial" w:cs="Arial" w:eastAsia="Arial" w:hAnsi="Arial"/>
          <w:sz w:val="15"/>
          <w:szCs w:val="15"/>
          <w:b w:val="1"/>
          <w:bCs w:val="1"/>
          <w:i w:val="1"/>
          <w:iCs w:val="1"/>
          <w:color w:val="auto"/>
        </w:rPr>
        <w:t>Our business could be adversely affected by the effects of health epidemics, including the recent COVID-19 outbreak, in regions where we or third parties on which we rely have significant manufacturing facilities, concentrations of clinical trial sites or other business operations. If COVID-19 becomes a worldwide pandemic, it could materially affect our operations, including at our headquarters in the San Francisco Bay Area and at our clinical trial sites, as well as the business or operations of our manufacturers, CROs or other third parties with whom we conduct business.</w:t>
      </w:r>
    </w:p>
    <w:p>
      <w:pPr>
        <w:spacing w:after="0" w:line="32" w:lineRule="exact"/>
        <w:rPr>
          <w:sz w:val="20"/>
          <w:szCs w:val="20"/>
          <w:color w:val="auto"/>
        </w:rPr>
      </w:pPr>
    </w:p>
    <w:p>
      <w:pPr>
        <w:ind w:right="60" w:firstLine="541"/>
        <w:spacing w:after="0" w:line="269" w:lineRule="auto"/>
        <w:rPr>
          <w:sz w:val="20"/>
          <w:szCs w:val="20"/>
          <w:color w:val="auto"/>
        </w:rPr>
      </w:pPr>
      <w:r>
        <w:rPr>
          <w:rFonts w:ascii="Arial" w:cs="Arial" w:eastAsia="Arial" w:hAnsi="Arial"/>
          <w:sz w:val="17"/>
          <w:szCs w:val="17"/>
          <w:color w:val="auto"/>
        </w:rPr>
        <w:t>Our business could be adversely affected by health epidemics in regions where we have concentrations of clinical trial sites or other business operations and could cause significant disruption in the operations of third party manufacturers and CROs upon whom we rely. For example, in December 2019, a novel strain of coronavirus was reported to have surfaced in Wuhan, China. Since then, the COVID-19 coronavirus has spread to multiple countries, including the United States and several European countries. Our headquarters is located in the San Francisco Bay Area. In March 2020, the State of California declared a state of emergency related to the spread of COVID-19, and the San Francisco Department of Public Health announced aggressive recommendations to reduce the spread of the disease, including recommendations to suspend nonessential travel, encourage telecommuting and cancel or postpone large gatherings. On March 10, 2020, the World Health Organization declared the COVID-19 outbreak a pandemic, and the U.S. government suspended all travel from Europe for a 30-day period. We continue to monitor our operations and government recommendations and may elect to temporarily close our office and/or laboratory space to protect our employees. There is a risk that other countries or regions may be less effective at containing COVID-19, or it may be more difficult to contain if the outbreak reaches a larger population or broader geography, in which case the risks described herein could be elevated significantly.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7" w:name="page98"/>
    <w:bookmarkEnd w:id="97"/>
    <w:p>
      <w:pPr>
        <w:ind w:right="20" w:firstLine="541"/>
        <w:spacing w:after="0" w:line="257" w:lineRule="auto"/>
        <w:rPr>
          <w:sz w:val="20"/>
          <w:szCs w:val="20"/>
          <w:color w:val="auto"/>
        </w:rPr>
      </w:pPr>
      <w:r>
        <w:rPr>
          <w:rFonts w:ascii="Arial" w:cs="Arial" w:eastAsia="Arial" w:hAnsi="Arial"/>
          <w:sz w:val="18"/>
          <w:szCs w:val="18"/>
          <w:color w:val="auto"/>
        </w:rPr>
        <w:t>Quarantines for COVID-19 or other viruses could impact personnel at third party manufacturing facilities in China, Switzerland and other countries, or the availability or cost of materials, which would disrupt our supply chain. In particular, some of our suppliers of certain materials used in the production of our drug products are located in China. While many of these materials may be obtained by more than one supplier, including suppliers outside of China, port closures and other restrictions resulting from the coronavirus outbreak in the region may disrupt our supply chain or limit our ability to obtain sufficient materials for our drug products.</w:t>
      </w:r>
    </w:p>
    <w:p>
      <w:pPr>
        <w:spacing w:after="0" w:line="80" w:lineRule="exact"/>
        <w:rPr>
          <w:sz w:val="20"/>
          <w:szCs w:val="20"/>
          <w:color w:val="auto"/>
        </w:rPr>
      </w:pPr>
    </w:p>
    <w:p>
      <w:pPr>
        <w:ind w:right="80" w:firstLine="541"/>
        <w:spacing w:after="0" w:line="271" w:lineRule="auto"/>
        <w:rPr>
          <w:sz w:val="20"/>
          <w:szCs w:val="20"/>
          <w:color w:val="auto"/>
        </w:rPr>
      </w:pPr>
      <w:r>
        <w:rPr>
          <w:rFonts w:ascii="Arial" w:cs="Arial" w:eastAsia="Arial" w:hAnsi="Arial"/>
          <w:sz w:val="17"/>
          <w:szCs w:val="17"/>
          <w:color w:val="auto"/>
        </w:rPr>
        <w:t>In addition, our current and future clinical trials may be affected by the COVID-19 outbreak. Site initiation and patient enrollment may be delayed due to prioritization of hospital resources toward the COVID-19 outbreak.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to COVID-19 and adversely impact our clinical trial operations. Kodiak staff and/or our CRO partners may not be able to travel to study sites, impacting further site initiations. Other Kodiak vendors on whom we depend, such as supply chain and logistics partners and our image reading centers may be disrupted, and our operations could be affected. Our clinical studies enroll patients who have underlying risk factors such as advanced age, hypertension and/or diabetes which could lead to higher than expected study discontinuation rates if these patients are adversely affected by the COVID-19 outbreak.</w:t>
      </w:r>
    </w:p>
    <w:p>
      <w:pPr>
        <w:spacing w:after="0" w:line="70" w:lineRule="exact"/>
        <w:rPr>
          <w:sz w:val="20"/>
          <w:szCs w:val="20"/>
          <w:color w:val="auto"/>
        </w:rPr>
      </w:pPr>
    </w:p>
    <w:p>
      <w:pPr>
        <w:jc w:val="both"/>
        <w:ind w:right="380" w:firstLine="541"/>
        <w:spacing w:after="0" w:line="259" w:lineRule="auto"/>
        <w:rPr>
          <w:sz w:val="20"/>
          <w:szCs w:val="20"/>
          <w:color w:val="auto"/>
        </w:rPr>
      </w:pPr>
      <w:r>
        <w:rPr>
          <w:rFonts w:ascii="Arial" w:cs="Arial" w:eastAsia="Arial" w:hAnsi="Arial"/>
          <w:sz w:val="18"/>
          <w:szCs w:val="18"/>
          <w:color w:val="auto"/>
        </w:rPr>
        <w:t>The global outbreak of COVID-19 continues to rapidly evolve. The ultimate impact of the COVID-19 outbreak or a similar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right="20" w:firstLine="541"/>
        <w:spacing w:after="0" w:line="271" w:lineRule="auto"/>
        <w:rPr>
          <w:sz w:val="20"/>
          <w:szCs w:val="20"/>
          <w:color w:val="auto"/>
        </w:rPr>
      </w:pPr>
      <w:r>
        <w:rPr>
          <w:rFonts w:ascii="Arial" w:cs="Arial" w:eastAsia="Arial" w:hAnsi="Arial"/>
          <w:sz w:val="17"/>
          <w:szCs w:val="17"/>
          <w:color w:val="auto"/>
        </w:rPr>
        <w:t>As of December 31, 2019, we had federal net operating loss carryforwards, or NOLs, of $31.8 million. A portion of the federal net operating loss carryforwards begin to expire in 2035.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We will be unable to use our NOLs if we do not attain profitability sufficient to offset our available NOLs prior to their expiration.</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62" w:lineRule="exact"/>
        <w:rPr>
          <w:sz w:val="20"/>
          <w:szCs w:val="20"/>
          <w:color w:val="auto"/>
        </w:rPr>
      </w:pPr>
    </w:p>
    <w:p>
      <w:pPr>
        <w:ind w:firstLine="541"/>
        <w:spacing w:after="0" w:line="259"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w:t>
      </w:r>
    </w:p>
    <w:p>
      <w:pPr>
        <w:spacing w:after="0" w:line="117" w:lineRule="exact"/>
        <w:rPr>
          <w:sz w:val="20"/>
          <w:szCs w:val="20"/>
          <w:color w:val="auto"/>
        </w:rPr>
      </w:pPr>
    </w:p>
    <w:p>
      <w:pPr>
        <w:ind w:right="220" w:firstLine="541"/>
        <w:spacing w:after="0" w:line="277" w:lineRule="auto"/>
        <w:rPr>
          <w:sz w:val="20"/>
          <w:szCs w:val="20"/>
          <w:color w:val="auto"/>
        </w:rPr>
      </w:pPr>
      <w:r>
        <w:rPr>
          <w:rFonts w:ascii="Arial" w:cs="Arial" w:eastAsia="Arial" w:hAnsi="Arial"/>
          <w:sz w:val="18"/>
          <w:szCs w:val="18"/>
          <w:color w:val="auto"/>
        </w:rPr>
        <w:t>The market price of our common stock may be volatile. As a result, you may not be able to sell your common stock at or above the price that you paid for such shares. Some of the factors that may cause the market price of our common stock to fluctuate include:</w:t>
      </w:r>
    </w:p>
    <w:p>
      <w:pPr>
        <w:spacing w:after="0" w:line="62" w:lineRule="exact"/>
        <w:rPr>
          <w:sz w:val="20"/>
          <w:szCs w:val="20"/>
          <w:color w:val="auto"/>
        </w:rPr>
      </w:pPr>
    </w:p>
    <w:p>
      <w:pPr>
        <w:ind w:left="660" w:hanging="11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candidates;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or discontinuation of any of our product candidates;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failure to develop our ABC Platform;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8" w:name="page99"/>
    <w:bookmarkEnd w:id="98"/>
    <w:p>
      <w:pPr>
        <w:ind w:left="660" w:hanging="112"/>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commencement of litigation;</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right="120" w:firstLine="541"/>
        <w:spacing w:after="0" w:line="293" w:lineRule="auto"/>
        <w:rPr>
          <w:sz w:val="20"/>
          <w:szCs w:val="20"/>
          <w:color w:val="auto"/>
        </w:rPr>
      </w:pPr>
      <w:r>
        <w:rPr>
          <w:rFonts w:ascii="Arial" w:cs="Arial" w:eastAsia="Arial" w:hAnsi="Arial"/>
          <w:sz w:val="16"/>
          <w:szCs w:val="16"/>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6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right="60" w:firstLine="541"/>
        <w:spacing w:after="0" w:line="311" w:lineRule="auto"/>
        <w:rPr>
          <w:sz w:val="20"/>
          <w:szCs w:val="20"/>
          <w:color w:val="auto"/>
        </w:rPr>
      </w:pPr>
      <w:r>
        <w:rPr>
          <w:rFonts w:ascii="Arial" w:cs="Arial" w:eastAsia="Arial" w:hAnsi="Arial"/>
          <w:sz w:val="16"/>
          <w:szCs w:val="16"/>
          <w:color w:val="auto"/>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in the public market could cause our share price to decline, even if our business is doing well.</w:t>
      </w:r>
    </w:p>
    <w:p>
      <w:pPr>
        <w:spacing w:after="0" w:line="117" w:lineRule="exact"/>
        <w:rPr>
          <w:sz w:val="20"/>
          <w:szCs w:val="20"/>
          <w:color w:val="auto"/>
        </w:rPr>
      </w:pPr>
    </w:p>
    <w:p>
      <w:pPr>
        <w:ind w:right="20" w:firstLine="541"/>
        <w:spacing w:after="0" w:line="270"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ind w:right="140"/>
        <w:spacing w:after="0" w:line="277" w:lineRule="auto"/>
        <w:rPr>
          <w:sz w:val="20"/>
          <w:szCs w:val="20"/>
          <w:color w:val="auto"/>
        </w:rPr>
      </w:pPr>
      <w:r>
        <w:rPr>
          <w:rFonts w:ascii="Arial" w:cs="Arial" w:eastAsia="Arial" w:hAnsi="Arial"/>
          <w:sz w:val="18"/>
          <w:szCs w:val="18"/>
          <w:color w:val="auto"/>
        </w:rPr>
        <w:t>securities. If any of these additional shares are sold, or if it is perceived that they will be sold, in the public market, the market price of our common stock could decline.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62" w:lineRule="exact"/>
        <w:rPr>
          <w:sz w:val="20"/>
          <w:szCs w:val="20"/>
          <w:color w:val="auto"/>
        </w:rPr>
      </w:pPr>
    </w:p>
    <w:p>
      <w:pPr>
        <w:ind w:firstLine="541"/>
        <w:spacing w:after="0" w:line="288" w:lineRule="auto"/>
        <w:rPr>
          <w:sz w:val="20"/>
          <w:szCs w:val="20"/>
          <w:color w:val="auto"/>
        </w:rPr>
      </w:pPr>
      <w:r>
        <w:rPr>
          <w:rFonts w:ascii="Arial" w:cs="Arial" w:eastAsia="Arial" w:hAnsi="Arial"/>
          <w:sz w:val="16"/>
          <w:szCs w:val="16"/>
          <w:color w:val="auto"/>
        </w:rPr>
        <w:t>We will seek additional capital through one or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w:t>
      </w:r>
    </w:p>
    <w:p>
      <w:pPr>
        <w:spacing w:after="0" w:line="1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common stock, which could limit your ability to affect the outcome of key transactions, including a change of control.</w:t>
      </w:r>
    </w:p>
    <w:p>
      <w:pPr>
        <w:spacing w:after="0" w:line="62" w:lineRule="exact"/>
        <w:rPr>
          <w:sz w:val="20"/>
          <w:szCs w:val="20"/>
          <w:color w:val="auto"/>
        </w:rPr>
      </w:pPr>
    </w:p>
    <w:p>
      <w:pPr>
        <w:ind w:right="100" w:firstLine="541"/>
        <w:spacing w:after="0" w:line="279" w:lineRule="auto"/>
        <w:rPr>
          <w:sz w:val="20"/>
          <w:szCs w:val="20"/>
          <w:color w:val="auto"/>
        </w:rPr>
      </w:pPr>
      <w:r>
        <w:rPr>
          <w:rFonts w:ascii="Arial" w:cs="Arial" w:eastAsia="Arial" w:hAnsi="Arial"/>
          <w:sz w:val="17"/>
          <w:szCs w:val="17"/>
          <w:color w:val="auto"/>
        </w:rPr>
        <w:t>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us may make our common stock less attractive to investors.</w:t>
      </w:r>
    </w:p>
    <w:p>
      <w:pPr>
        <w:spacing w:after="0" w:line="62" w:lineRule="exact"/>
        <w:rPr>
          <w:sz w:val="20"/>
          <w:szCs w:val="20"/>
          <w:color w:val="auto"/>
        </w:rPr>
      </w:pPr>
    </w:p>
    <w:p>
      <w:pPr>
        <w:ind w:right="80" w:firstLine="541"/>
        <w:spacing w:after="0" w:line="287" w:lineRule="auto"/>
        <w:rPr>
          <w:sz w:val="20"/>
          <w:szCs w:val="20"/>
          <w:color w:val="auto"/>
        </w:rPr>
      </w:pPr>
      <w:r>
        <w:rPr>
          <w:rFonts w:ascii="Arial" w:cs="Arial" w:eastAsia="Arial" w:hAnsi="Arial"/>
          <w:sz w:val="16"/>
          <w:szCs w:val="16"/>
          <w:color w:val="auto"/>
        </w:rPr>
        <w:t>We are an “emerging growth company,” as defined in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Section 404 of the Sarbanes-Oxley Act of 2002, or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In addition, to the extent that we continue to qualify as a "smaller reporting company," as defined in the Exchange Act, we may choose to provide the scaled disclosure available to smaller reporting companies. As a result, the information we provide stockholders may be different than the information that is available with respect to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62" w:lineRule="exact"/>
        <w:rPr>
          <w:sz w:val="20"/>
          <w:szCs w:val="20"/>
          <w:color w:val="auto"/>
        </w:rPr>
      </w:pPr>
    </w:p>
    <w:p>
      <w:pPr>
        <w:ind w:right="40" w:firstLine="541"/>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continue to incur significant legal, accounting, and other expenses that we did not incur as a private company. SOX,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continually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and governance practices.</w:t>
      </w:r>
    </w:p>
    <w:p>
      <w:pPr>
        <w:spacing w:after="0" w:line="117" w:lineRule="exact"/>
        <w:rPr>
          <w:sz w:val="20"/>
          <w:szCs w:val="20"/>
          <w:color w:val="auto"/>
        </w:rPr>
      </w:pPr>
    </w:p>
    <w:p>
      <w:pPr>
        <w:ind w:firstLine="541"/>
        <w:spacing w:after="0" w:line="270" w:lineRule="auto"/>
        <w:rPr>
          <w:sz w:val="20"/>
          <w:szCs w:val="20"/>
          <w:color w:val="auto"/>
        </w:rPr>
      </w:pPr>
      <w:r>
        <w:rPr>
          <w:rFonts w:ascii="Arial" w:cs="Arial" w:eastAsia="Arial" w:hAnsi="Arial"/>
          <w:sz w:val="17"/>
          <w:szCs w:val="17"/>
          <w:color w:val="auto"/>
        </w:rPr>
        <w:t>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SOX Section 404. If we identify one or more material weaknesses, it could result in an adverse reaction in the financial markets due to a loss of confidence in the reliability of our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effective internal controls, our business, financial position and results of operations could be adversely affected.</w:t>
      </w:r>
    </w:p>
    <w:p>
      <w:pPr>
        <w:spacing w:after="0" w:line="140" w:lineRule="exact"/>
        <w:rPr>
          <w:sz w:val="20"/>
          <w:szCs w:val="20"/>
          <w:color w:val="auto"/>
        </w:rPr>
      </w:pPr>
    </w:p>
    <w:p>
      <w:pPr>
        <w:jc w:val="both"/>
        <w:ind w:right="240" w:firstLine="541"/>
        <w:spacing w:after="0" w:line="277" w:lineRule="auto"/>
        <w:rPr>
          <w:sz w:val="20"/>
          <w:szCs w:val="20"/>
          <w:color w:val="auto"/>
        </w:rPr>
      </w:pPr>
      <w:r>
        <w:rPr>
          <w:rFonts w:ascii="Arial" w:cs="Arial" w:eastAsia="Arial" w:hAnsi="Arial"/>
          <w:sz w:val="18"/>
          <w:szCs w:val="18"/>
          <w:color w:val="auto"/>
        </w:rPr>
        <w:t>As a public company, we are subject to reporting and other obligations under the Exchange Act, including the requirements of SOX Section 404, which require annual management assessments of the effectiveness of our internal control over financial reporting.</w:t>
      </w:r>
    </w:p>
    <w:p>
      <w:pPr>
        <w:spacing w:after="0" w:line="62" w:lineRule="exact"/>
        <w:rPr>
          <w:sz w:val="20"/>
          <w:szCs w:val="20"/>
          <w:color w:val="auto"/>
        </w:rPr>
      </w:pPr>
    </w:p>
    <w:p>
      <w:pPr>
        <w:jc w:val="both"/>
        <w:ind w:right="240" w:firstLine="541"/>
        <w:spacing w:after="0" w:line="287" w:lineRule="auto"/>
        <w:rPr>
          <w:sz w:val="20"/>
          <w:szCs w:val="20"/>
          <w:color w:val="auto"/>
        </w:rPr>
      </w:pPr>
      <w:r>
        <w:rPr>
          <w:rFonts w:ascii="Arial" w:cs="Arial" w:eastAsia="Arial" w:hAnsi="Arial"/>
          <w:sz w:val="16"/>
          <w:szCs w:val="16"/>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w:t>
      </w:r>
    </w:p>
    <w:p>
      <w:pPr>
        <w:spacing w:after="0" w:line="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These reporting and other obligations place significant demands on our management and administrative and operational resources, including accounting resources.</w:t>
      </w:r>
    </w:p>
    <w:p>
      <w:pPr>
        <w:spacing w:after="0" w:line="77" w:lineRule="exact"/>
        <w:rPr>
          <w:sz w:val="20"/>
          <w:szCs w:val="20"/>
          <w:color w:val="auto"/>
        </w:rPr>
      </w:pPr>
    </w:p>
    <w:p>
      <w:pPr>
        <w:ind w:firstLine="541"/>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proceeds from any offering and may not use them effectively.</w:t>
      </w:r>
    </w:p>
    <w:p>
      <w:pPr>
        <w:spacing w:after="0" w:line="117" w:lineRule="exact"/>
        <w:rPr>
          <w:sz w:val="20"/>
          <w:szCs w:val="20"/>
          <w:color w:val="auto"/>
        </w:rPr>
      </w:pPr>
    </w:p>
    <w:p>
      <w:pPr>
        <w:ind w:firstLine="541"/>
        <w:spacing w:after="0" w:line="279" w:lineRule="auto"/>
        <w:rPr>
          <w:sz w:val="20"/>
          <w:szCs w:val="20"/>
          <w:color w:val="auto"/>
        </w:rPr>
      </w:pPr>
      <w:r>
        <w:rPr>
          <w:rFonts w:ascii="Arial" w:cs="Arial" w:eastAsia="Arial" w:hAnsi="Arial"/>
          <w:sz w:val="17"/>
          <w:szCs w:val="17"/>
          <w:color w:val="auto"/>
        </w:rPr>
        <w:t>Our management has broad discretion in the application of the net proceeds received from any offering. Our management may spend a portion or all of the net proceeds from any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any offering in a manner that does not produce income or that loses value.</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62" w:lineRule="exact"/>
        <w:rPr>
          <w:sz w:val="20"/>
          <w:szCs w:val="20"/>
          <w:color w:val="auto"/>
        </w:rPr>
      </w:pPr>
    </w:p>
    <w:p>
      <w:pPr>
        <w:ind w:right="100" w:firstLine="541"/>
        <w:spacing w:after="0" w:line="259"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9" w:lineRule="exact"/>
        <w:rPr>
          <w:sz w:val="20"/>
          <w:szCs w:val="20"/>
          <w:color w:val="auto"/>
        </w:rPr>
      </w:pPr>
    </w:p>
    <w:p>
      <w:pPr>
        <w:ind w:left="660" w:hanging="112"/>
        <w:spacing w:after="0"/>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128" w:lineRule="exact"/>
        <w:rPr>
          <w:rFonts w:ascii="Arial" w:cs="Arial" w:eastAsia="Arial" w:hAnsi="Arial"/>
          <w:sz w:val="17"/>
          <w:szCs w:val="17"/>
          <w:color w:val="auto"/>
        </w:rPr>
      </w:pPr>
    </w:p>
    <w:p>
      <w:pPr>
        <w:ind w:left="660" w:hanging="11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660" w:right="200" w:hanging="112"/>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01" w:name="page102"/>
    <w:bookmarkEnd w:id="101"/>
    <w:p>
      <w:pPr>
        <w:ind w:left="660" w:hanging="11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authorize our board of directors, by a majority vote, to amend the bylaws; and</w:t>
      </w:r>
    </w:p>
    <w:p>
      <w:pPr>
        <w:spacing w:after="0" w:line="117" w:lineRule="exact"/>
        <w:rPr>
          <w:rFonts w:ascii="Arial" w:cs="Arial" w:eastAsia="Arial" w:hAnsi="Arial"/>
          <w:sz w:val="18"/>
          <w:szCs w:val="18"/>
          <w:color w:val="auto"/>
        </w:rPr>
      </w:pPr>
    </w:p>
    <w:p>
      <w:pPr>
        <w:ind w:left="660" w:right="260" w:hanging="112"/>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62" w:lineRule="exact"/>
        <w:rPr>
          <w:sz w:val="20"/>
          <w:szCs w:val="20"/>
          <w:color w:val="auto"/>
        </w:rPr>
      </w:pPr>
    </w:p>
    <w:p>
      <w:pPr>
        <w:ind w:right="60" w:firstLine="541"/>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9" w:lineRule="exact"/>
        <w:rPr>
          <w:sz w:val="20"/>
          <w:szCs w:val="20"/>
          <w:color w:val="auto"/>
        </w:rPr>
      </w:pPr>
    </w:p>
    <w:p>
      <w:pPr>
        <w:jc w:val="both"/>
        <w:ind w:right="160" w:firstLine="541"/>
        <w:spacing w:after="0" w:line="263" w:lineRule="auto"/>
        <w:rPr>
          <w:sz w:val="20"/>
          <w:szCs w:val="20"/>
          <w:color w:val="auto"/>
        </w:rPr>
      </w:pPr>
      <w:r>
        <w:rPr>
          <w:rFonts w:ascii="Arial" w:cs="Arial" w:eastAsia="Arial" w:hAnsi="Arial"/>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84"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bylaws provide that the Court of Chancery of the State of Delaware will be the exclusive forum for:</w:t>
      </w:r>
    </w:p>
    <w:p>
      <w:pPr>
        <w:spacing w:after="0" w:line="117" w:lineRule="exact"/>
        <w:rPr>
          <w:sz w:val="20"/>
          <w:szCs w:val="20"/>
          <w:color w:val="auto"/>
        </w:rPr>
      </w:pPr>
    </w:p>
    <w:p>
      <w:pPr>
        <w:ind w:left="660" w:hanging="11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certificate of incorporation, or our bylaws;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117" w:lineRule="exact"/>
        <w:rPr>
          <w:sz w:val="20"/>
          <w:szCs w:val="20"/>
          <w:color w:val="auto"/>
        </w:rPr>
      </w:pPr>
    </w:p>
    <w:p>
      <w:pPr>
        <w:ind w:right="160" w:firstLine="541"/>
        <w:spacing w:after="0" w:line="277" w:lineRule="auto"/>
        <w:rPr>
          <w:sz w:val="20"/>
          <w:szCs w:val="20"/>
          <w:color w:val="auto"/>
        </w:rPr>
      </w:pPr>
      <w:r>
        <w:rPr>
          <w:rFonts w:ascii="Arial" w:cs="Arial" w:eastAsia="Arial" w:hAnsi="Arial"/>
          <w:sz w:val="18"/>
          <w:szCs w:val="18"/>
          <w:color w:val="auto"/>
        </w:rPr>
        <w:t>Our bylaws further provide that the U.S. federal district courts will be the exclusive forum for resolving any complaint asserting a cause of action arising under the Securities Act of 1933, as amended.</w:t>
      </w:r>
    </w:p>
    <w:p>
      <w:pPr>
        <w:spacing w:after="0" w:line="62" w:lineRule="exact"/>
        <w:rPr>
          <w:sz w:val="20"/>
          <w:szCs w:val="20"/>
          <w:color w:val="auto"/>
        </w:rPr>
      </w:pPr>
    </w:p>
    <w:p>
      <w:pPr>
        <w:ind w:firstLine="541"/>
        <w:spacing w:after="0" w:line="269" w:lineRule="auto"/>
        <w:rPr>
          <w:sz w:val="20"/>
          <w:szCs w:val="20"/>
          <w:color w:val="auto"/>
        </w:rPr>
      </w:pPr>
      <w:r>
        <w:rPr>
          <w:rFonts w:ascii="Arial" w:cs="Arial" w:eastAsia="Arial" w:hAnsi="Arial"/>
          <w:sz w:val="17"/>
          <w:szCs w:val="17"/>
          <w:color w:val="auto"/>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which we refer to as the Federal Forum Provision. However, on December 19, 2018, the Delaware Chancery Court issued an opinion in </w:t>
      </w:r>
      <w:r>
        <w:rPr>
          <w:rFonts w:ascii="Arial" w:cs="Arial" w:eastAsia="Arial" w:hAnsi="Arial"/>
          <w:sz w:val="17"/>
          <w:szCs w:val="17"/>
          <w:i w:val="1"/>
          <w:iCs w:val="1"/>
          <w:color w:val="auto"/>
        </w:rPr>
        <w:t>Sciabacucchi v.</w:t>
      </w:r>
      <w:r>
        <w:rPr>
          <w:rFonts w:ascii="Arial" w:cs="Arial" w:eastAsia="Arial" w:hAnsi="Arial"/>
          <w:sz w:val="17"/>
          <w:szCs w:val="17"/>
          <w:color w:val="auto"/>
        </w:rPr>
        <w:t xml:space="preserve"> </w:t>
      </w:r>
      <w:r>
        <w:rPr>
          <w:rFonts w:ascii="Arial" w:cs="Arial" w:eastAsia="Arial" w:hAnsi="Arial"/>
          <w:sz w:val="17"/>
          <w:szCs w:val="17"/>
          <w:i w:val="1"/>
          <w:iCs w:val="1"/>
          <w:color w:val="auto"/>
        </w:rPr>
        <w:t>Salzberg</w:t>
      </w:r>
      <w:r>
        <w:rPr>
          <w:rFonts w:ascii="Arial" w:cs="Arial" w:eastAsia="Arial" w:hAnsi="Arial"/>
          <w:sz w:val="17"/>
          <w:szCs w:val="17"/>
          <w:color w:val="auto"/>
        </w:rPr>
        <w:t>, C.A. No. 2017-0931-JTL, finding that provisions similar to the Federal Forum Provision are not valid under Delaware Law. As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disclosed in a Current Report on Form 8-K we filed on January 28, 2019, in light of the </w:t>
      </w:r>
      <w:r>
        <w:rPr>
          <w:rFonts w:ascii="Arial" w:cs="Arial" w:eastAsia="Arial" w:hAnsi="Arial"/>
          <w:sz w:val="17"/>
          <w:szCs w:val="17"/>
          <w:i w:val="1"/>
          <w:iCs w:val="1"/>
          <w:color w:val="auto"/>
        </w:rPr>
        <w:t>Sciabacucchi</w:t>
      </w:r>
      <w:r>
        <w:rPr>
          <w:rFonts w:ascii="Arial" w:cs="Arial" w:eastAsia="Arial" w:hAnsi="Arial"/>
          <w:sz w:val="17"/>
          <w:szCs w:val="17"/>
          <w:color w:val="auto"/>
        </w:rPr>
        <w:t xml:space="preserve"> decision, we do not currently intend to enforce the foregoing federal forum selection provision unless the </w:t>
      </w:r>
      <w:r>
        <w:rPr>
          <w:rFonts w:ascii="Arial" w:cs="Arial" w:eastAsia="Arial" w:hAnsi="Arial"/>
          <w:sz w:val="17"/>
          <w:szCs w:val="17"/>
          <w:i w:val="1"/>
          <w:iCs w:val="1"/>
          <w:color w:val="auto"/>
        </w:rPr>
        <w:t>Sciabacucchi</w:t>
      </w:r>
      <w:r>
        <w:rPr>
          <w:rFonts w:ascii="Arial" w:cs="Arial" w:eastAsia="Arial" w:hAnsi="Arial"/>
          <w:sz w:val="17"/>
          <w:szCs w:val="17"/>
          <w:color w:val="auto"/>
        </w:rPr>
        <w:t xml:space="preserve"> decision is reversed. If the Delaware Supreme Court affirms the Chancery Court’s decision, then we intend to amend the Bylaws to remove the invalid provision. Such amendment could cause us to incur additional costs, which could have an adverse effect on our business, financial condition or results of operations.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60" w:firstLine="541"/>
        <w:spacing w:after="0" w:line="301" w:lineRule="auto"/>
        <w:rPr>
          <w:sz w:val="20"/>
          <w:szCs w:val="20"/>
          <w:color w:val="auto"/>
        </w:rPr>
      </w:pPr>
      <w:r>
        <w:rPr>
          <w:rFonts w:ascii="Arial" w:cs="Arial" w:eastAsia="Arial" w:hAnsi="Arial"/>
          <w:sz w:val="16"/>
          <w:szCs w:val="16"/>
          <w:color w:val="auto"/>
        </w:rPr>
        <w:t>Our corporate headquarters are located in Palo Alto, California, where we lease approximately 11,000 square feet of office, research and development, engineering and laboratory space pursuant to a lease agreement which commenced in October 2013 and would expire in October 2018. In March 2016, we executed a third lease amendment agreement that became effective March 31, 2016 and extended the lease term until October 31, 2023. This facility houses substantially all of our personnel. We anticipate the need for additional space to accommodate our operational plans.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41"/>
        <w:spacing w:after="0" w:line="257" w:lineRule="auto"/>
        <w:rPr>
          <w:sz w:val="20"/>
          <w:szCs w:val="20"/>
          <w:color w:val="auto"/>
        </w:rPr>
      </w:pPr>
      <w:r>
        <w:rPr>
          <w:rFonts w:ascii="Arial" w:cs="Arial" w:eastAsia="Arial" w:hAnsi="Arial"/>
          <w:sz w:val="18"/>
          <w:szCs w:val="18"/>
          <w:color w:val="auto"/>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ind w:right="220" w:firstLine="541"/>
        <w:spacing w:after="0" w:line="277" w:lineRule="auto"/>
        <w:rPr>
          <w:sz w:val="20"/>
          <w:szCs w:val="20"/>
          <w:color w:val="auto"/>
        </w:rPr>
      </w:pPr>
      <w:r>
        <w:rPr>
          <w:rFonts w:ascii="Arial" w:cs="Arial" w:eastAsia="Arial" w:hAnsi="Arial"/>
          <w:sz w:val="18"/>
          <w:szCs w:val="18"/>
          <w:color w:val="auto"/>
        </w:rPr>
        <w:t>Our common stock has been listed on the Nasdaq Global Market under the symbol “KOD” since October 4, 2018. Prior to this date, there was no public market for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firstLine="541"/>
        <w:spacing w:after="0" w:line="263" w:lineRule="auto"/>
        <w:rPr>
          <w:sz w:val="20"/>
          <w:szCs w:val="20"/>
          <w:color w:val="auto"/>
        </w:rPr>
      </w:pPr>
      <w:r>
        <w:rPr>
          <w:rFonts w:ascii="Arial" w:cs="Arial" w:eastAsia="Arial" w:hAnsi="Arial"/>
          <w:sz w:val="18"/>
          <w:szCs w:val="18"/>
          <w:color w:val="auto"/>
        </w:rPr>
        <w:t>As of March 2, 2020, there were approximately 34 holders of record of our common stock. The approximate number of holders is based upon the actual number of holders registered in our records at such date and excludes holders in “street name” or persons, partnerships, associations, corporations, or other entities identified in security positions listings maintained by depository trust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cash dividends in the foreseeable future.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Public Offering of Common Stock</w:t>
      </w:r>
    </w:p>
    <w:p>
      <w:pPr>
        <w:spacing w:after="0" w:line="121" w:lineRule="exact"/>
        <w:rPr>
          <w:sz w:val="20"/>
          <w:szCs w:val="20"/>
          <w:color w:val="auto"/>
        </w:rPr>
      </w:pPr>
    </w:p>
    <w:p>
      <w:pPr>
        <w:ind w:right="20" w:firstLine="541"/>
        <w:spacing w:after="0" w:line="263" w:lineRule="auto"/>
        <w:rPr>
          <w:sz w:val="20"/>
          <w:szCs w:val="20"/>
          <w:color w:val="auto"/>
        </w:rPr>
      </w:pPr>
      <w:r>
        <w:rPr>
          <w:rFonts w:ascii="Arial" w:cs="Arial" w:eastAsia="Arial" w:hAnsi="Arial"/>
          <w:sz w:val="18"/>
          <w:szCs w:val="18"/>
          <w:color w:val="auto"/>
        </w:rPr>
        <w:t>On October 9, 2018, we closed our IPO, in which we sold and issued 9,000,000 shares of common stock at a price to the public of $10.00 per share. On November 6, 2018, we sold and issued an additional 400,000 shares of common stock at $10.00 per share to the underwriters of our IPO following the partial exercise of their over-allotment option.</w:t>
      </w:r>
    </w:p>
    <w:p>
      <w:pPr>
        <w:spacing w:after="0" w:line="76" w:lineRule="exact"/>
        <w:rPr>
          <w:sz w:val="20"/>
          <w:szCs w:val="20"/>
          <w:color w:val="auto"/>
        </w:rPr>
      </w:pPr>
    </w:p>
    <w:p>
      <w:pPr>
        <w:ind w:right="120" w:firstLine="541"/>
        <w:spacing w:after="0" w:line="254" w:lineRule="auto"/>
        <w:rPr>
          <w:sz w:val="20"/>
          <w:szCs w:val="20"/>
          <w:color w:val="auto"/>
        </w:rPr>
      </w:pPr>
      <w:r>
        <w:rPr>
          <w:rFonts w:ascii="Arial" w:cs="Arial" w:eastAsia="Arial" w:hAnsi="Arial"/>
          <w:sz w:val="18"/>
          <w:szCs w:val="18"/>
          <w:color w:val="auto"/>
        </w:rPr>
        <w:t>The offer and sale of all of the shares of our common stock in our IPO were registered under the Securities Act pursuant to a registration statement on Form S-1 (File No. 333-227237), which was declared effective by the SEC on October 3, 2018. Following the sale of the above shares, the offering terminated. We received aggregate gross proceeds from our IPO of $94.0 million, or aggregate net proceeds of $83.5 million, inclusive of the partial over-allotment option exercise, after deducting underwriting discounts and commissions and other offering costs. Morgan Stanley, BofA Merrill Lynch and Barclays acted as joint book-running managers and Chardan acted as lead manager. None of the underwriting discounts and commissions or offering expenses were incurred or paid, directly or indirectly, to (i) our directors or officers or their associates, (ii) persons owning 10% or more of our common stock or (iii) any of our affiliates.</w:t>
      </w:r>
    </w:p>
    <w:p>
      <w:pPr>
        <w:spacing w:after="0" w:line="87" w:lineRule="exact"/>
        <w:rPr>
          <w:sz w:val="20"/>
          <w:szCs w:val="20"/>
          <w:color w:val="auto"/>
        </w:rPr>
      </w:pPr>
    </w:p>
    <w:p>
      <w:pPr>
        <w:ind w:right="180" w:firstLine="541"/>
        <w:spacing w:after="0" w:line="277" w:lineRule="auto"/>
        <w:rPr>
          <w:sz w:val="20"/>
          <w:szCs w:val="20"/>
          <w:color w:val="auto"/>
        </w:rPr>
      </w:pPr>
      <w:r>
        <w:rPr>
          <w:rFonts w:ascii="Arial" w:cs="Arial" w:eastAsia="Arial" w:hAnsi="Arial"/>
          <w:sz w:val="18"/>
          <w:szCs w:val="18"/>
          <w:color w:val="auto"/>
        </w:rPr>
        <w:t>There has been no material change in our planned use of the net proceeds from our IPO as described in our final prospectus filed pursuant to Rule 424(b)(4) under the Securities Act with the SEC on October 5,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21" w:lineRule="exact"/>
        <w:rPr>
          <w:sz w:val="20"/>
          <w:szCs w:val="20"/>
          <w:color w:val="auto"/>
        </w:rPr>
      </w:pPr>
    </w:p>
    <w:p>
      <w:pPr>
        <w:ind w:right="300" w:firstLine="541"/>
        <w:spacing w:after="0" w:line="259" w:lineRule="auto"/>
        <w:rPr>
          <w:sz w:val="20"/>
          <w:szCs w:val="20"/>
          <w:color w:val="auto"/>
        </w:rPr>
      </w:pPr>
      <w:r>
        <w:rPr>
          <w:rFonts w:ascii="Arial" w:cs="Arial" w:eastAsia="Arial" w:hAnsi="Arial"/>
          <w:sz w:val="18"/>
          <w:szCs w:val="18"/>
          <w:color w:val="auto"/>
        </w:rPr>
        <w:t>You should read the selected historical financial data below in conjunction with the section titled “Management’s Discussion and Analysis of Financial Condition and Results of Operations” and the consolidated financial statements and related notes included elsewhere in this Annual Report on Form 10-K. The selected financial data set forth below is derived from our audited consolidated financial statements and may not be indicative of future operating results.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4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11,684</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7,581</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49,190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26,374</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(49,190)</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(5,519)</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net</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(4,688)</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Loss on extinguishment of debt</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(5,479)</w:t>
            </w: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(47,365)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72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11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196"/>
        </w:trPr>
        <w:tc>
          <w:tcPr>
            <w:tcW w:w="57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Weighted-average shares outstanding used in computing net loss</w:t>
            </w:r>
          </w:p>
        </w:tc>
        <w:tc>
          <w:tcPr>
            <w:tcW w:w="9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per share attributable to common stockholders, basic and diluted</w:t>
            </w:r>
          </w:p>
        </w:tc>
        <w:tc>
          <w:tcPr>
            <w:tcW w:w="9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37,853,616</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14,976,515</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7,515,336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5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2018</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5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87"/>
              </w:rPr>
              <w:t>(in thousands)</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2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348,177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88,254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327,519</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85,623</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(7,563)</w:t>
            </w:r>
          </w:p>
        </w:tc>
        <w:tc>
          <w:tcPr>
            <w:tcW w:w="20" w:type="dxa"/>
            <w:vAlign w:val="bottom"/>
          </w:tcPr>
          <w:p>
            <w:pPr>
              <w:spacing w:after="0"/>
              <w:rPr>
                <w:sz w:val="19"/>
                <w:szCs w:val="19"/>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358,866</w:t>
            </w:r>
          </w:p>
        </w:tc>
        <w:tc>
          <w:tcPr>
            <w:tcW w:w="260" w:type="dxa"/>
            <w:vAlign w:val="bottom"/>
          </w:tcPr>
          <w:p>
            <w:pPr>
              <w:spacing w:after="0"/>
              <w:rPr>
                <w:sz w:val="19"/>
                <w:szCs w:val="19"/>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92,189</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13,507</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5,356</w:t>
            </w:r>
          </w:p>
        </w:tc>
        <w:tc>
          <w:tcPr>
            <w:tcW w:w="3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4500" w:type="dxa"/>
            <w:vAlign w:val="bottom"/>
          </w:tcPr>
          <w:p>
            <w:pPr>
              <w:spacing w:after="0"/>
              <w:rPr>
                <w:sz w:val="20"/>
                <w:szCs w:val="20"/>
                <w:color w:val="auto"/>
              </w:rPr>
            </w:pPr>
            <w:r>
              <w:rPr>
                <w:rFonts w:ascii="Arial" w:cs="Arial" w:eastAsia="Arial" w:hAnsi="Arial"/>
                <w:sz w:val="18"/>
                <w:szCs w:val="18"/>
                <w:color w:val="auto"/>
              </w:rPr>
              <w:t>Accumulated deficit</w:t>
            </w:r>
          </w:p>
        </w:tc>
        <w:tc>
          <w:tcPr>
            <w:tcW w:w="2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(158,131)</w:t>
            </w:r>
          </w:p>
        </w:tc>
        <w:tc>
          <w:tcPr>
            <w:tcW w:w="26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(110,766)</w:t>
            </w:r>
          </w:p>
        </w:tc>
        <w:tc>
          <w:tcPr>
            <w:tcW w:w="3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(69,323)</w:t>
            </w:r>
          </w:p>
        </w:tc>
        <w:tc>
          <w:tcPr>
            <w:tcW w:w="20" w:type="dxa"/>
            <w:vAlign w:val="bottom"/>
          </w:tcPr>
          <w:p>
            <w:pPr>
              <w:spacing w:after="0"/>
              <w:rPr>
                <w:sz w:val="19"/>
                <w:szCs w:val="19"/>
                <w:color w:val="auto"/>
              </w:rPr>
            </w:pP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equity (deficit)</w:t>
            </w:r>
          </w:p>
        </w:tc>
        <w:tc>
          <w:tcPr>
            <w:tcW w:w="2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345,359</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86,833</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(68,738)</w:t>
            </w:r>
          </w:p>
        </w:tc>
        <w:tc>
          <w:tcPr>
            <w:tcW w:w="20" w:type="dxa"/>
            <w:vAlign w:val="bottom"/>
          </w:tcPr>
          <w:p>
            <w:pPr>
              <w:spacing w:after="0"/>
              <w:rPr>
                <w:sz w:val="19"/>
                <w:szCs w:val="19"/>
                <w:color w:val="auto"/>
              </w:rPr>
            </w:pPr>
          </w:p>
        </w:tc>
      </w:tr>
      <w:tr>
        <w:trPr>
          <w:trHeight w:val="554"/>
        </w:trPr>
        <w:tc>
          <w:tcPr>
            <w:tcW w:w="4500" w:type="dxa"/>
            <w:vAlign w:val="bottom"/>
          </w:tcPr>
          <w:p>
            <w:pPr>
              <w:spacing w:after="0"/>
              <w:rPr>
                <w:sz w:val="24"/>
                <w:szCs w:val="24"/>
                <w:color w:val="auto"/>
              </w:rPr>
            </w:pPr>
          </w:p>
        </w:tc>
        <w:tc>
          <w:tcPr>
            <w:tcW w:w="2140" w:type="dxa"/>
            <w:vAlign w:val="bottom"/>
          </w:tcPr>
          <w:p>
            <w:pPr>
              <w:jc w:val="right"/>
              <w:ind w:right="79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firstLine="541"/>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section titled “Selected Consolidated Financial Data” and our consolidated financial statements and the related notes included elsewhere in this report.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titled “Risk Factors” and elsewhere in this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00" w:firstLine="541"/>
        <w:spacing w:after="0" w:line="277" w:lineRule="auto"/>
        <w:rPr>
          <w:sz w:val="20"/>
          <w:szCs w:val="20"/>
          <w:color w:val="auto"/>
        </w:rPr>
      </w:pPr>
      <w:r>
        <w:rPr>
          <w:rFonts w:ascii="Arial" w:cs="Arial" w:eastAsia="Arial" w:hAnsi="Arial"/>
          <w:sz w:val="18"/>
          <w:szCs w:val="18"/>
          <w:color w:val="auto"/>
        </w:rPr>
        <w:t>Our goal is to prevent and treat the major causes of blindness by developing next-generation therapeutics for chronic, high-prevalence retinal diseases.</w:t>
      </w:r>
    </w:p>
    <w:p>
      <w:pPr>
        <w:spacing w:after="0" w:line="62" w:lineRule="exact"/>
        <w:rPr>
          <w:sz w:val="20"/>
          <w:szCs w:val="20"/>
          <w:color w:val="auto"/>
        </w:rPr>
      </w:pPr>
    </w:p>
    <w:p>
      <w:pPr>
        <w:ind w:firstLine="541"/>
        <w:spacing w:after="0" w:line="296" w:lineRule="auto"/>
        <w:rPr>
          <w:sz w:val="20"/>
          <w:szCs w:val="20"/>
          <w:color w:val="auto"/>
        </w:rPr>
      </w:pPr>
      <w:r>
        <w:rPr>
          <w:rFonts w:ascii="Arial" w:cs="Arial" w:eastAsia="Arial" w:hAnsi="Arial"/>
          <w:sz w:val="16"/>
          <w:szCs w:val="16"/>
          <w:color w:val="auto"/>
        </w:rPr>
        <w:t>Throughout 2019 and into 2020, we have generated clinical data with our most advanced product candidate, KSI-301, a biologic therapy built with our antibody biopolymer conjugate platform, or ABC Platform, which is designed to maintain potent and effective drug levels in ocular tissues for longer periods than the currently-marketed biologic medicines used to treat retinal diseases. To date, KSI-301 has been administered more than 500 times to over 200 patients. We believe that KSI-301, if approved, has the potential to be an important therapy to treat patients with wet age-related macular degeneration, or wet AMD, diabetic retinopathy, or DR, including diabetic macular edema, or DME, and macular edema due to retinal vein occlusion, or RVO.</w:t>
      </w:r>
    </w:p>
    <w:p>
      <w:pPr>
        <w:spacing w:after="0" w:line="53" w:lineRule="exact"/>
        <w:rPr>
          <w:sz w:val="20"/>
          <w:szCs w:val="20"/>
          <w:color w:val="auto"/>
        </w:rPr>
      </w:pPr>
    </w:p>
    <w:p>
      <w:pPr>
        <w:ind w:right="20" w:firstLine="541"/>
        <w:spacing w:after="0" w:line="273" w:lineRule="auto"/>
        <w:rPr>
          <w:sz w:val="20"/>
          <w:szCs w:val="20"/>
          <w:color w:val="auto"/>
        </w:rPr>
      </w:pPr>
      <w:r>
        <w:rPr>
          <w:rFonts w:ascii="Arial" w:cs="Arial" w:eastAsia="Arial" w:hAnsi="Arial"/>
          <w:sz w:val="17"/>
          <w:szCs w:val="17"/>
          <w:color w:val="auto"/>
        </w:rPr>
        <w:t>In our ongoing Phase 1b clinical study, we have completed enrollment and administered multiple doses of KSI-301 to treatment-naïve patients with wet AMD, DME or RVO, and we are observing promising safety, efficacy, and clinical durability in the emerging data in each of the retinal diseases under study. We believe the data support an acceleration of efforts to bring KSI-301 to the market in these retinal diseases and that the data lend confidence to the design of our current and planned pivotal studies of KSI-301, which studies we believe, if successful, may demonstrate a meaningfully differentiated clinical profile of KSI-301 as compared to current therapies. Based on this encouraging data, we are entering into the manufacturing-related commitments necessary for pre-commercial scale-up and BLA submission.</w:t>
      </w:r>
    </w:p>
    <w:p>
      <w:pPr>
        <w:spacing w:after="0" w:line="70" w:lineRule="exact"/>
        <w:rPr>
          <w:sz w:val="20"/>
          <w:szCs w:val="20"/>
          <w:color w:val="auto"/>
        </w:rPr>
      </w:pPr>
    </w:p>
    <w:p>
      <w:pPr>
        <w:ind w:right="80" w:firstLine="541"/>
        <w:spacing w:after="0" w:line="301" w:lineRule="auto"/>
        <w:rPr>
          <w:sz w:val="20"/>
          <w:szCs w:val="20"/>
          <w:color w:val="auto"/>
        </w:rPr>
      </w:pPr>
      <w:r>
        <w:rPr>
          <w:rFonts w:ascii="Arial" w:cs="Arial" w:eastAsia="Arial" w:hAnsi="Arial"/>
          <w:sz w:val="16"/>
          <w:szCs w:val="16"/>
          <w:color w:val="auto"/>
        </w:rPr>
        <w:t>We have completed an end of phase 2 meeting with the U.S. Food and Drug Administration, or FDA, where we agreed on the order and number of clinical studies required to support the licensure of KSI-301 in wet AMD, DME, RVO and DR (without DME). Two pivotal studies will be required in RVO and one study each in wet AMD, DME, and DR in order to support the potential U.S. approval of KSI-301 across these four indications. The pivotal study for wet AMD began recruiting patients in the third quarter of 2019, and we plan to initiate the pivotal studies in DME, RVO and DR in 2020.</w:t>
      </w:r>
    </w:p>
    <w:p>
      <w:pPr>
        <w:spacing w:after="0" w:line="49" w:lineRule="exact"/>
        <w:rPr>
          <w:sz w:val="20"/>
          <w:szCs w:val="20"/>
          <w:color w:val="auto"/>
        </w:rPr>
      </w:pPr>
    </w:p>
    <w:p>
      <w:pPr>
        <w:ind w:firstLine="541"/>
        <w:spacing w:after="0" w:line="279" w:lineRule="auto"/>
        <w:rPr>
          <w:sz w:val="20"/>
          <w:szCs w:val="20"/>
          <w:color w:val="auto"/>
        </w:rPr>
      </w:pPr>
      <w:r>
        <w:rPr>
          <w:rFonts w:ascii="Arial" w:cs="Arial" w:eastAsia="Arial" w:hAnsi="Arial"/>
          <w:sz w:val="17"/>
          <w:szCs w:val="17"/>
          <w:color w:val="auto"/>
        </w:rPr>
        <w:t>The ABC Platform and KSI-301 were developed at Kodiak, and we own worldwide rights to these assets. We have applied our ABC Platform to develop additional product candidates beyond KSI-301, including KSI-501, our bispecific anti-IL-6/VEGF bioconjugate, and we are expanding our early research pipeline to include ABC Platform-based triplet inhibitors for multifactorial retinal diseases such as dry AMD and the neurodegenerative aspects of glaucoma. We intend to progress these and other product candidates to address high-prevalence ophthalmic diseases.</w:t>
      </w:r>
    </w:p>
    <w:p>
      <w:pPr>
        <w:spacing w:after="0" w:line="63" w:lineRule="exact"/>
        <w:rPr>
          <w:sz w:val="20"/>
          <w:szCs w:val="20"/>
          <w:color w:val="auto"/>
        </w:rPr>
      </w:pPr>
    </w:p>
    <w:p>
      <w:pPr>
        <w:ind w:right="500" w:firstLine="541"/>
        <w:spacing w:after="0" w:line="277" w:lineRule="auto"/>
        <w:rPr>
          <w:sz w:val="20"/>
          <w:szCs w:val="20"/>
          <w:color w:val="auto"/>
        </w:rPr>
      </w:pPr>
      <w:r>
        <w:rPr>
          <w:rFonts w:ascii="Arial" w:cs="Arial" w:eastAsia="Arial" w:hAnsi="Arial"/>
          <w:sz w:val="18"/>
          <w:szCs w:val="18"/>
          <w:color w:val="auto"/>
        </w:rPr>
        <w:t>Our overall objective is to develop our product candidates, seek FDA and worldwide health authority marketing authorization approvals, and ultimately commercialize our product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60" w:firstLine="541"/>
        <w:spacing w:after="0" w:line="289" w:lineRule="auto"/>
        <w:rPr>
          <w:sz w:val="20"/>
          <w:szCs w:val="20"/>
          <w:color w:val="auto"/>
        </w:rPr>
      </w:pPr>
      <w:r>
        <w:rPr>
          <w:rFonts w:ascii="Arial" w:cs="Arial" w:eastAsia="Arial" w:hAnsi="Arial"/>
          <w:sz w:val="16"/>
          <w:szCs w:val="16"/>
          <w:color w:val="auto"/>
        </w:rPr>
        <w:t>On December 1, 2019, we and our subsidiary, Kodiak Sciences GmbH, entered into a funding agreement with Baker Bros. Advisors, or BBA, pursuant to which BBA purchased the right to receive a capped 4.5% royalty on future net sales of KSI-301 in exchange for $225,000,000 in committed development funding payable to us. Unless earlier terminated or re-purchased by us, the royalty terminates upon the date that BBA has received an aggregate amount equal to 4.5 times the funding amount paid to us. On February 4, 2020, BBA paid us the first $100,000,000 of the funding amount, and the remaining $125,000,000 of the funding amount will be paid following the achievement of 50% enrollment in each of (i) the planned Phase 3 clinical trial of KSI-301 for branch RVO and (ii) the planned Phase 3 clinical trial of KSI-301 for central RVO. We have the option, exercisable at any point during the term of the funding agreement, to repurchase from BBA 100% of the royalties due to BBA under the funding agreement for a purchase price equal to the funding amount paid to us as of such time times 4.5, less amounts paid by us to BBA. The funding agreement was the result of a competitive process overseen by independent and disinterested directors with the assistance of outside counsel. For further details, see the “Business” section above.</w:t>
      </w:r>
    </w:p>
    <w:p>
      <w:pPr>
        <w:spacing w:after="0" w:line="58" w:lineRule="exact"/>
        <w:rPr>
          <w:sz w:val="20"/>
          <w:szCs w:val="20"/>
          <w:color w:val="auto"/>
        </w:rPr>
      </w:pPr>
    </w:p>
    <w:p>
      <w:pPr>
        <w:ind w:right="160" w:firstLine="541"/>
        <w:spacing w:after="0" w:line="263" w:lineRule="auto"/>
        <w:rPr>
          <w:sz w:val="20"/>
          <w:szCs w:val="20"/>
          <w:color w:val="auto"/>
        </w:rPr>
      </w:pPr>
      <w:r>
        <w:rPr>
          <w:rFonts w:ascii="Arial" w:cs="Arial" w:eastAsia="Arial" w:hAnsi="Arial"/>
          <w:sz w:val="18"/>
          <w:szCs w:val="18"/>
          <w:color w:val="auto"/>
        </w:rPr>
        <w:t>On December 6, 2019, we completed a follow-on equity offering and issued and sold 6,900,000 shares of the Company’s common stock at a price to the public of $46.00 per share. The gross proceeds from this offering were $317.4 million, resulting in aggregate net proceeds of $297.6 million after deducting underwriting discounts and commissions and other offering costs payable by us.</w:t>
      </w:r>
    </w:p>
    <w:p>
      <w:pPr>
        <w:spacing w:after="0" w:line="76" w:lineRule="exact"/>
        <w:rPr>
          <w:sz w:val="20"/>
          <w:szCs w:val="20"/>
          <w:color w:val="auto"/>
        </w:rPr>
      </w:pPr>
    </w:p>
    <w:p>
      <w:pPr>
        <w:ind w:right="200" w:firstLine="541"/>
        <w:spacing w:after="0" w:line="257" w:lineRule="auto"/>
        <w:rPr>
          <w:sz w:val="20"/>
          <w:szCs w:val="20"/>
          <w:color w:val="auto"/>
        </w:rPr>
      </w:pPr>
      <w:r>
        <w:rPr>
          <w:rFonts w:ascii="Arial" w:cs="Arial" w:eastAsia="Arial" w:hAnsi="Arial"/>
          <w:sz w:val="18"/>
          <w:szCs w:val="18"/>
          <w:color w:val="auto"/>
        </w:rPr>
        <w:t>Proceeds from the royalty funding agreement together with our current cash, cash equivalents and marketable securities, which includes proceeds from the equity offering, are expected to advance the clinical programs for KSI-301 towards achieving our “2022 Vision” of a Biologics License Application, or BLA, of KSI-301 in 2022 for wet AMD, DME, RVO and potentially DR without DME, including the manufacturing activities necessary for BLA submission, as well as to advance our pipeline of drug candidates including KSI-501 and our triplet inhibitor drug candidates and for working capital and general corporate purposes.</w:t>
      </w:r>
    </w:p>
    <w:p>
      <w:pPr>
        <w:spacing w:after="0" w:line="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2019 and into the first quarter of 2020, highlights of our activities included:</w:t>
      </w:r>
    </w:p>
    <w:p>
      <w:pPr>
        <w:spacing w:after="0" w:line="117" w:lineRule="exact"/>
        <w:rPr>
          <w:sz w:val="20"/>
          <w:szCs w:val="20"/>
          <w:color w:val="auto"/>
        </w:rPr>
      </w:pPr>
    </w:p>
    <w:p>
      <w:pPr>
        <w:ind w:left="660" w:right="100" w:hanging="112"/>
        <w:spacing w:after="0" w:line="342"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Initiation of enrollment and on-going recruitment in our pivotal DAZZLE clinical trial of KSI-301 in patients with treatment naïve wet AMD. As of March 6, 2020, more than 175 patients have been enrolled in the study randomized 1:1 between KSI-301 and Eylea as active comparator;</w:t>
      </w:r>
    </w:p>
    <w:p>
      <w:pPr>
        <w:spacing w:after="0" w:line="15" w:lineRule="exact"/>
        <w:rPr>
          <w:rFonts w:ascii="Arial" w:cs="Arial" w:eastAsia="Arial" w:hAnsi="Arial"/>
          <w:sz w:val="16"/>
          <w:szCs w:val="16"/>
          <w:color w:val="auto"/>
        </w:rPr>
      </w:pPr>
    </w:p>
    <w:p>
      <w:pPr>
        <w:ind w:left="660" w:hanging="112"/>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Completion of recruitment into our ongoing Phase 1b study of KSI-301 in 121 treatment-naïve patients with wet AMD, DME and RVO;</w:t>
      </w:r>
    </w:p>
    <w:p>
      <w:pPr>
        <w:spacing w:after="0" w:line="128" w:lineRule="exact"/>
        <w:rPr>
          <w:rFonts w:ascii="Arial" w:cs="Arial" w:eastAsia="Arial" w:hAnsi="Arial"/>
          <w:sz w:val="17"/>
          <w:szCs w:val="17"/>
          <w:color w:val="auto"/>
        </w:rPr>
      </w:pPr>
    </w:p>
    <w:p>
      <w:pPr>
        <w:ind w:left="660" w:right="200" w:hanging="112"/>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Presentation of promising on-going clinical safety, efficacy and durability data at the American Society of Retina Specialists 2019 Annual Meeting, the Macula Society 2019 Annual Meeting, the American Academy of Ophthalmology 2019 Annual Meeting Retina Subspecialty Day, and the Angiogenesis, Exudation, and Degeneration 2020 Annual Meeting;</w:t>
      </w:r>
    </w:p>
    <w:p>
      <w:pPr>
        <w:spacing w:after="0" w:line="75" w:lineRule="exact"/>
        <w:rPr>
          <w:rFonts w:ascii="Arial" w:cs="Arial" w:eastAsia="Arial" w:hAnsi="Arial"/>
          <w:sz w:val="18"/>
          <w:szCs w:val="18"/>
          <w:color w:val="auto"/>
        </w:rPr>
      </w:pPr>
    </w:p>
    <w:p>
      <w:pPr>
        <w:ind w:left="660" w:hanging="11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Completion of a Type B (End of Phase 2 or EOP) meeting with the FDA where we discussed and agreed on:</w:t>
      </w:r>
    </w:p>
    <w:p>
      <w:pPr>
        <w:spacing w:after="0" w:line="117" w:lineRule="exact"/>
        <w:rPr>
          <w:rFonts w:ascii="Arial" w:cs="Arial" w:eastAsia="Arial" w:hAnsi="Arial"/>
          <w:sz w:val="18"/>
          <w:szCs w:val="18"/>
          <w:color w:val="auto"/>
        </w:rPr>
      </w:pPr>
    </w:p>
    <w:p>
      <w:pPr>
        <w:ind w:left="1180" w:hanging="119"/>
        <w:spacing w:after="0"/>
        <w:tabs>
          <w:tab w:leader="none" w:pos="11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Certain recommended clinical, non-clinical, and manufacturing activities to support the licensure of KSI-301, and</w:t>
      </w:r>
    </w:p>
    <w:p>
      <w:pPr>
        <w:spacing w:after="0" w:line="117" w:lineRule="exact"/>
        <w:rPr>
          <w:rFonts w:ascii="Arial" w:cs="Arial" w:eastAsia="Arial" w:hAnsi="Arial"/>
          <w:sz w:val="18"/>
          <w:szCs w:val="18"/>
          <w:color w:val="auto"/>
        </w:rPr>
      </w:pPr>
    </w:p>
    <w:p>
      <w:pPr>
        <w:ind w:left="1180" w:hanging="119"/>
        <w:spacing w:after="0"/>
        <w:tabs>
          <w:tab w:leader="none" w:pos="11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order and number of clinical studies required to support a BLA in wet AMD, DME, RVO and DR;</w:t>
      </w:r>
    </w:p>
    <w:p>
      <w:pPr>
        <w:spacing w:after="0" w:line="117" w:lineRule="exact"/>
        <w:rPr>
          <w:rFonts w:ascii="Arial" w:cs="Arial" w:eastAsia="Arial" w:hAnsi="Arial"/>
          <w:sz w:val="18"/>
          <w:szCs w:val="18"/>
          <w:color w:val="auto"/>
        </w:rPr>
      </w:pPr>
    </w:p>
    <w:p>
      <w:pPr>
        <w:ind w:left="660" w:hanging="112"/>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Announcement of an accelerated registration strategy for KSI-301 which includes: (i) running our pivotal clinical studies in the major retinal vascular disease indications in parallel (rather than in series), and (ii) engaging in BLA and pre-commercial manufacturing validation and scale-up activities;</w:t>
      </w:r>
    </w:p>
    <w:p>
      <w:pPr>
        <w:spacing w:after="0" w:line="75" w:lineRule="exact"/>
        <w:rPr>
          <w:rFonts w:ascii="Arial" w:cs="Arial" w:eastAsia="Arial" w:hAnsi="Arial"/>
          <w:sz w:val="18"/>
          <w:szCs w:val="18"/>
          <w:color w:val="auto"/>
        </w:rPr>
      </w:pPr>
    </w:p>
    <w:p>
      <w:pPr>
        <w:ind w:left="660" w:right="320" w:hanging="112"/>
        <w:spacing w:after="0" w:line="263"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Expansion of our Board of Directors with the appointment of Taiyin Yang, Ph.D., Executive Vice President, Pharmaceutical Development and Manufacturing of Gilead Sciences, who brings expertise and experience in the relevant pre-commercial areas of clinical and commercial manufacturing, quality and supply chain operations;</w:t>
      </w:r>
    </w:p>
    <w:p>
      <w:pPr>
        <w:spacing w:after="0" w:line="75" w:lineRule="exact"/>
        <w:rPr>
          <w:rFonts w:ascii="Arial" w:cs="Arial" w:eastAsia="Arial" w:hAnsi="Arial"/>
          <w:sz w:val="18"/>
          <w:szCs w:val="18"/>
          <w:color w:val="auto"/>
        </w:rPr>
      </w:pPr>
    </w:p>
    <w:p>
      <w:pPr>
        <w:ind w:left="660" w:right="700" w:hanging="112"/>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Entry into a royalty funding agreement with BBA in which we sold a capped, pre-payable 4.5% royalty on future net sales of KSI-301 in exchange for $225,000,000 in committed development funding payable to us.; and</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Closing of a $317.4 million follow-on offering of our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7" w:name="page108"/>
    <w:bookmarkEnd w:id="107"/>
    <w:p>
      <w:pPr>
        <w:ind w:right="400" w:firstLine="541"/>
        <w:spacing w:after="0" w:line="311" w:lineRule="auto"/>
        <w:rPr>
          <w:sz w:val="20"/>
          <w:szCs w:val="20"/>
          <w:color w:val="auto"/>
        </w:rPr>
      </w:pPr>
      <w:r>
        <w:rPr>
          <w:rFonts w:ascii="Arial" w:cs="Arial" w:eastAsia="Arial" w:hAnsi="Arial"/>
          <w:sz w:val="16"/>
          <w:szCs w:val="16"/>
          <w:color w:val="auto"/>
        </w:rPr>
        <w:t>Based on the emerging clinical data, our productive EOP meeting with the FDA, and our substantive financing events, we are accelerating our BLA- and pre-commercial manufacturing activities to match the clinical timelines for KSI-301, with the goal of demonstrating a meaningfully-differentiated (</w:t>
      </w:r>
      <w:r>
        <w:rPr>
          <w:rFonts w:ascii="Arial" w:cs="Arial" w:eastAsia="Arial" w:hAnsi="Arial"/>
          <w:sz w:val="16"/>
          <w:szCs w:val="16"/>
          <w:i w:val="1"/>
          <w:iCs w:val="1"/>
          <w:color w:val="auto"/>
        </w:rPr>
        <w:t>i.e.,</w:t>
      </w:r>
      <w:r>
        <w:rPr>
          <w:rFonts w:ascii="Arial" w:cs="Arial" w:eastAsia="Arial" w:hAnsi="Arial"/>
          <w:sz w:val="16"/>
          <w:szCs w:val="16"/>
          <w:color w:val="auto"/>
        </w:rPr>
        <w:t xml:space="preserve"> first line) clinical profile in each of wet AMD, DME, RVO, and DR as compared to currently-marketed medicines.</w:t>
      </w:r>
    </w:p>
    <w:p>
      <w:pPr>
        <w:spacing w:after="0" w:line="41" w:lineRule="exact"/>
        <w:rPr>
          <w:sz w:val="20"/>
          <w:szCs w:val="20"/>
          <w:color w:val="auto"/>
        </w:rPr>
      </w:pPr>
    </w:p>
    <w:p>
      <w:pPr>
        <w:ind w:firstLine="541"/>
        <w:spacing w:after="0" w:line="259" w:lineRule="auto"/>
        <w:rPr>
          <w:sz w:val="20"/>
          <w:szCs w:val="20"/>
          <w:color w:val="auto"/>
        </w:rPr>
      </w:pPr>
      <w:r>
        <w:rPr>
          <w:rFonts w:ascii="Arial" w:cs="Arial" w:eastAsia="Arial" w:hAnsi="Arial"/>
          <w:sz w:val="18"/>
          <w:szCs w:val="18"/>
          <w:color w:val="auto"/>
        </w:rPr>
        <w:t>Our current cash, cash equivalents and marketable securities which includes the net proceeds from the December 2019 public offering, and together with the royalty funding agreement, provide the resources for us to advance the KSI-301 program towards achieving our “2022 Vision,” and also to advance our pipeline of drug candidates including KSI-501 and our triplet inhibitor drug candidates, and for working capital and general corporate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Kodiak’s 2022 Vision and KSI-301 accelerated development strategy</w:t>
      </w:r>
    </w:p>
    <w:p>
      <w:pPr>
        <w:spacing w:after="0" w:line="121" w:lineRule="exact"/>
        <w:rPr>
          <w:sz w:val="20"/>
          <w:szCs w:val="20"/>
          <w:color w:val="auto"/>
        </w:rPr>
      </w:pPr>
    </w:p>
    <w:p>
      <w:pPr>
        <w:ind w:right="80" w:firstLine="541"/>
        <w:spacing w:after="0" w:line="254" w:lineRule="auto"/>
        <w:rPr>
          <w:sz w:val="20"/>
          <w:szCs w:val="20"/>
          <w:color w:val="auto"/>
        </w:rPr>
      </w:pPr>
      <w:r>
        <w:rPr>
          <w:rFonts w:ascii="Arial" w:cs="Arial" w:eastAsia="Arial" w:hAnsi="Arial"/>
          <w:sz w:val="18"/>
          <w:szCs w:val="18"/>
          <w:color w:val="auto"/>
        </w:rPr>
        <w:t>We believe that we can achieve our “2022 Vision” of a BLA submission and initial FDA approval for KSI-301 in wet AMD, DME, RVO and DR with a total of five pivotal trials— two in RVO, one in wet AMD, one in DME and one in DR without DME. Consequently, we now intend to initiate at least four US/EU-based pivotal trials in 2020 – one in DME, one in central RVO (CRVO), one in branch RVO (BRVO), and one in DR without DME. These studies, together with our ongoing pivotal study in wet AMD, will be the basis of our intended BLA and sBLA submissions. We currently expect to submit the wet AMD, DME, and RVO indications in a single initial BLA for KSI-301 and the DR indication in a supplemental BLA in the United States. We continue to invest in our science and our pipeline, including our bispecific ABC product candidate KSI-501 for retinal vascular diseases with a strong inflammatory component and our new triplet inhibitors for the high prevalence multifactorial retinal diseases dry AMD and the neurodegenerative aspects of glaucoma.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70485</wp:posOffset>
            </wp:positionV>
            <wp:extent cx="5751830" cy="32321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51830" cy="3232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08" w:name="page109"/>
    <w:bookmarkEnd w:id="108"/>
    <w:p>
      <w:pPr>
        <w:ind w:right="60" w:firstLine="541"/>
        <w:spacing w:after="0" w:line="277" w:lineRule="auto"/>
        <w:rPr>
          <w:sz w:val="20"/>
          <w:szCs w:val="20"/>
          <w:color w:val="auto"/>
        </w:rPr>
      </w:pPr>
      <w:r>
        <w:rPr>
          <w:rFonts w:ascii="Arial" w:cs="Arial" w:eastAsia="Arial" w:hAnsi="Arial"/>
          <w:sz w:val="18"/>
          <w:szCs w:val="18"/>
          <w:color w:val="auto"/>
        </w:rPr>
        <w:t>Our 2022 Vision includes the following potential catalysts and milestones in 2020, 2021 and 2022, along with the important milestones achieved in 2019 that support the accelerated development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57150</wp:posOffset>
            </wp:positionV>
            <wp:extent cx="5751830" cy="32315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51830"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Further details of our ongoing KSI-301 Phase 1b trial and our accelerating development strategy are described in the “Business” section above.</w:t>
      </w:r>
    </w:p>
    <w:p>
      <w:pPr>
        <w:spacing w:after="0" w:line="140" w:lineRule="exact"/>
        <w:rPr>
          <w:sz w:val="20"/>
          <w:szCs w:val="20"/>
          <w:color w:val="auto"/>
        </w:rPr>
      </w:pPr>
    </w:p>
    <w:p>
      <w:pPr>
        <w:ind w:right="100" w:firstLine="541"/>
        <w:spacing w:after="0" w:line="255" w:lineRule="auto"/>
        <w:rPr>
          <w:sz w:val="20"/>
          <w:szCs w:val="20"/>
          <w:color w:val="auto"/>
        </w:rPr>
      </w:pPr>
      <w:r>
        <w:rPr>
          <w:rFonts w:ascii="Arial" w:cs="Arial" w:eastAsia="Arial" w:hAnsi="Arial"/>
          <w:sz w:val="18"/>
          <w:szCs w:val="18"/>
          <w:color w:val="auto"/>
        </w:rPr>
        <w:t>Since inception in June 2009, we have devoted substantially all of our resources to discovering and developing product candidates and manufacturing processes, building our ABC Platform and assembling our core capabilities in drug development for ophthalmic disease. We plan to continue to use third-party contract research organizations, or CROs, to carry out our preclinical and clinical development. We rely on third-party contract manufacturing organizations, or CMOs, to manufacture and supply our preclinical and clinical materials to be used during the development of our product candidates. We are evaluating investments in commercial manufacturing capacity. We do not have any products approved for sale and have not generated any product revenue since inception.</w:t>
      </w:r>
    </w:p>
    <w:p>
      <w:pPr>
        <w:spacing w:after="0" w:line="84" w:lineRule="exact"/>
        <w:rPr>
          <w:sz w:val="20"/>
          <w:szCs w:val="20"/>
          <w:color w:val="auto"/>
        </w:rPr>
      </w:pPr>
    </w:p>
    <w:p>
      <w:pPr>
        <w:ind w:right="540" w:firstLine="541"/>
        <w:spacing w:after="0" w:line="277" w:lineRule="auto"/>
        <w:rPr>
          <w:sz w:val="20"/>
          <w:szCs w:val="20"/>
          <w:color w:val="auto"/>
        </w:rPr>
      </w:pPr>
      <w:r>
        <w:rPr>
          <w:rFonts w:ascii="Arial" w:cs="Arial" w:eastAsia="Arial" w:hAnsi="Arial"/>
          <w:sz w:val="18"/>
          <w:szCs w:val="18"/>
          <w:color w:val="auto"/>
        </w:rPr>
        <w:t>We have funded our operations primarily through the sale and issuance of equity securities. In October 2018, we completed our initial public offering, or IPO. In December 2019, we completed a follow-on offering.</w:t>
      </w:r>
    </w:p>
    <w:p>
      <w:pPr>
        <w:spacing w:after="0" w:line="62" w:lineRule="exact"/>
        <w:rPr>
          <w:sz w:val="20"/>
          <w:szCs w:val="20"/>
          <w:color w:val="auto"/>
        </w:rPr>
      </w:pPr>
    </w:p>
    <w:p>
      <w:pPr>
        <w:ind w:right="80" w:firstLine="541"/>
        <w:spacing w:after="0" w:line="255" w:lineRule="auto"/>
        <w:rPr>
          <w:sz w:val="20"/>
          <w:szCs w:val="20"/>
          <w:color w:val="auto"/>
        </w:rPr>
      </w:pPr>
      <w:r>
        <w:rPr>
          <w:rFonts w:ascii="Arial" w:cs="Arial" w:eastAsia="Arial" w:hAnsi="Arial"/>
          <w:sz w:val="18"/>
          <w:szCs w:val="18"/>
          <w:color w:val="auto"/>
        </w:rPr>
        <w:t>We have incurred significant operating losses to date and expect that our operating losses will increase significantly as we advance our product candidates, particularly KSI-301, through preclinical and clinical development, seek regulatory approval, prepare for and, if approved, proceed to commercialization; broaden and improve our platform; acquire, discover, validate and develop additional product candidates; obtain, maintain, protect and enforce our intellectual property portfolio; and hire additional personnel. In addition, we expect to incur additional costs associated with operating as a public company. Our net loss was $47.4 million, $41.4 million and $27.9 million for the years ended December 31, 2019, 2018 and 2017, respectively. As of December 31, 2019, we had an accumulated deficit of $158.1 million.</w:t>
      </w:r>
    </w:p>
    <w:p>
      <w:pPr>
        <w:spacing w:after="0" w:line="84" w:lineRule="exact"/>
        <w:rPr>
          <w:sz w:val="20"/>
          <w:szCs w:val="20"/>
          <w:color w:val="auto"/>
        </w:rPr>
      </w:pPr>
    </w:p>
    <w:p>
      <w:pPr>
        <w:ind w:firstLine="541"/>
        <w:spacing w:after="0" w:line="255" w:lineRule="auto"/>
        <w:rPr>
          <w:sz w:val="20"/>
          <w:szCs w:val="20"/>
          <w:color w:val="auto"/>
        </w:rPr>
      </w:pPr>
      <w:r>
        <w:rPr>
          <w:rFonts w:ascii="Arial" w:cs="Arial" w:eastAsia="Arial" w:hAnsi="Arial"/>
          <w:sz w:val="18"/>
          <w:szCs w:val="18"/>
          <w:color w:val="auto"/>
        </w:rPr>
        <w:t>Our ability to generate product revenue will depend on the successful development and eventual commercialization of one or more of our product candidates.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KSI-301 for wet AMD, RVO, DME or NPDR or delay our efforts to advance and expand our product pipeline.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9" w:name="page110"/>
    <w:bookmarkEnd w:id="109"/>
    <w:p>
      <w:pPr>
        <w:ind w:right="80" w:firstLine="541"/>
        <w:spacing w:after="0" w:line="255" w:lineRule="auto"/>
        <w:rPr>
          <w:sz w:val="20"/>
          <w:szCs w:val="20"/>
          <w:color w:val="auto"/>
        </w:rPr>
      </w:pPr>
      <w:r>
        <w:rPr>
          <w:rFonts w:ascii="Arial" w:cs="Arial" w:eastAsia="Arial" w:hAnsi="Arial"/>
          <w:sz w:val="18"/>
          <w:szCs w:val="18"/>
          <w:color w:val="auto"/>
        </w:rPr>
        <w:t>On November 1, 2019, we filed a shelf registration statement on Form S-3 (File No. 333-234443) with the SEC covering the offer and sale of up to $400.0 million of the Company’s securities for a period of up to three years from the date of effectiveness of the shelf registration statement. In December 2019, we completed a follow-on offering pursuant to the shelf registration on Form S-3 and issued and sold 6,900,000 shares of the Company’s common stock, including the underwriters’ full exercise of their over-allotment option, at a price to the public of $46.00 per share. The gross proceeds from this offering were $317.4 million, resulting in aggregate net proceeds of $297.6 million after deducting underwriting discounts and commissions and other offering costs payable by us.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December 31, 2019, we had cash, cash equivalents and marketable securities of $348.2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firstLine="541"/>
        <w:spacing w:after="0" w:line="271" w:lineRule="auto"/>
        <w:rPr>
          <w:sz w:val="20"/>
          <w:szCs w:val="20"/>
          <w:color w:val="auto"/>
        </w:rPr>
      </w:pPr>
      <w:r>
        <w:rPr>
          <w:rFonts w:ascii="Arial" w:cs="Arial" w:eastAsia="Arial" w:hAnsi="Arial"/>
          <w:sz w:val="17"/>
          <w:szCs w:val="17"/>
          <w:color w:val="auto"/>
        </w:rPr>
        <w:t>Substantially all of our research and development expenses consist of expenses incurred in connection with the development of our ABC Platform and product candidates. These expenses include certain payroll and personnel expenses, including stock-based compensation, for our research and product development employees; laboratory supplies and facility costs; consulting costs; contract manufacturing and fees paid to CROs to conduct certain research and development activities on our behalf; and allocated overhead, including rent, equipment,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Nonrefundable payments made prior to the receipt of goods or services that will be used or rendered for future research and development activities are deferred and capitalized. The capitalized amounts are recognized as expense as the goods are delivered or the related services are performed.</w:t>
      </w:r>
    </w:p>
    <w:p>
      <w:pPr>
        <w:spacing w:after="0" w:line="70" w:lineRule="exact"/>
        <w:rPr>
          <w:sz w:val="20"/>
          <w:szCs w:val="20"/>
          <w:color w:val="auto"/>
        </w:rPr>
      </w:pPr>
    </w:p>
    <w:p>
      <w:pPr>
        <w:ind w:right="40" w:firstLine="541"/>
        <w:spacing w:after="0" w:line="271" w:lineRule="auto"/>
        <w:rPr>
          <w:sz w:val="20"/>
          <w:szCs w:val="20"/>
          <w:color w:val="auto"/>
        </w:rPr>
      </w:pPr>
      <w:r>
        <w:rPr>
          <w:rFonts w:ascii="Arial" w:cs="Arial" w:eastAsia="Arial" w:hAnsi="Arial"/>
          <w:sz w:val="17"/>
          <w:szCs w:val="17"/>
          <w:color w:val="auto"/>
        </w:rPr>
        <w:t>We are focusing substantially all of our resources and development efforts on the development of our product candidates, in particular KSI-301. We expect our research and development expenses to increase substantially during the next few years as we initiate our Phase 3 studies, complete our clinical program, pursue regulatory approval of our drug candidates and prepare for a possible commercial launch.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140" w:firstLine="541"/>
        <w:spacing w:after="0" w:line="263"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stock-based compensation; professional fees for legal, consulting, accounting and tax services; allocated overhead, including rent, equipment, depreciation and utilities; and other general operating expenses not otherwise classified as research and development expenses.</w:t>
      </w:r>
    </w:p>
    <w:p>
      <w:pPr>
        <w:spacing w:after="0" w:line="76" w:lineRule="exact"/>
        <w:rPr>
          <w:sz w:val="20"/>
          <w:szCs w:val="20"/>
          <w:color w:val="auto"/>
        </w:rPr>
      </w:pPr>
    </w:p>
    <w:p>
      <w:pPr>
        <w:ind w:right="140" w:firstLine="541"/>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as a result of increased personnel costs, including stock-based compensation, expanded infrastructure and higher consulting, legal and accounting services associated with maintaining compliance with requirements of the stock exchange listing and Securities and Exchange Commission, or SEC, investor relations costs and director and officer insurance premiums associated with being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Interest income consists primarily of interest income earned on our cash,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60" w:firstLine="541"/>
        <w:spacing w:after="0" w:line="277" w:lineRule="auto"/>
        <w:rPr>
          <w:sz w:val="20"/>
          <w:szCs w:val="20"/>
          <w:color w:val="auto"/>
        </w:rPr>
      </w:pPr>
      <w:r>
        <w:rPr>
          <w:rFonts w:ascii="Arial" w:cs="Arial" w:eastAsia="Arial" w:hAnsi="Arial"/>
          <w:sz w:val="18"/>
          <w:szCs w:val="18"/>
          <w:color w:val="auto"/>
        </w:rPr>
        <w:t>Interest expense consists primarily of interest expense related to our convertible notes, including accretion of debt discount and debt issuance costs, which converted into shares of common stock upon the closing of our IPO.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200" w:firstLine="541"/>
        <w:spacing w:after="0" w:line="308" w:lineRule="auto"/>
        <w:rPr>
          <w:sz w:val="20"/>
          <w:szCs w:val="20"/>
          <w:color w:val="auto"/>
        </w:rPr>
      </w:pPr>
      <w:r>
        <w:rPr>
          <w:rFonts w:ascii="Arial" w:cs="Arial" w:eastAsia="Arial" w:hAnsi="Arial"/>
          <w:sz w:val="17"/>
          <w:szCs w:val="17"/>
          <w:color w:val="auto"/>
        </w:rPr>
        <w:t>Other income (expense), net consists primarily of accretion income on marketable debt securities in 2019 and primarily consists of changes in the fair value of warrants for Series B redeemable convertible preferred stock, changes in fair value of the derivative instruments in 2018.</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right="420" w:firstLine="541"/>
        <w:spacing w:after="0" w:line="277" w:lineRule="auto"/>
        <w:rPr>
          <w:sz w:val="20"/>
          <w:szCs w:val="20"/>
          <w:color w:val="auto"/>
        </w:rPr>
      </w:pPr>
      <w:r>
        <w:rPr>
          <w:rFonts w:ascii="Arial" w:cs="Arial" w:eastAsia="Arial" w:hAnsi="Arial"/>
          <w:sz w:val="18"/>
          <w:szCs w:val="18"/>
          <w:color w:val="auto"/>
        </w:rPr>
        <w:t>Loss on extinguishment of debt was recognized for the year ended December 31, 2018 related to the convertible notes issued in February 2018 which converted into shares of common stock upon closing of our IPO.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88"/>
              </w:rPr>
              <w:t>2019 vs 2018</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87"/>
              </w:rPr>
              <w:t>Change</w:t>
            </w: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Dollar</w:t>
            </w: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7"/>
              </w:rPr>
              <w:t>Percent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40" w:type="dxa"/>
            <w:vAlign w:val="bottom"/>
            <w:gridSpan w:val="10"/>
          </w:tcPr>
          <w:p>
            <w:pPr>
              <w:ind w:left="200"/>
              <w:spacing w:after="0"/>
              <w:rPr>
                <w:sz w:val="20"/>
                <w:szCs w:val="20"/>
                <w:color w:val="auto"/>
              </w:rPr>
            </w:pPr>
            <w:r>
              <w:rPr>
                <w:rFonts w:ascii="Arial" w:cs="Arial" w:eastAsia="Arial" w:hAnsi="Arial"/>
                <w:sz w:val="18"/>
                <w:szCs w:val="18"/>
                <w:b w:val="1"/>
                <w:bCs w:val="1"/>
                <w:color w:val="auto"/>
              </w:rPr>
              <w:t>(in thousands, except percentages)</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1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37,506</w:t>
            </w:r>
          </w:p>
        </w:tc>
        <w:tc>
          <w:tcPr>
            <w:tcW w:w="12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18,793</w:t>
            </w:r>
          </w:p>
        </w:tc>
        <w:tc>
          <w:tcPr>
            <w:tcW w:w="160" w:type="dxa"/>
            <w:vAlign w:val="bottom"/>
          </w:tcPr>
          <w:p>
            <w:pPr>
              <w:spacing w:after="0"/>
              <w:rPr>
                <w:sz w:val="19"/>
                <w:szCs w:val="19"/>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22,022</w:t>
            </w:r>
          </w:p>
        </w:tc>
        <w:tc>
          <w:tcPr>
            <w:tcW w:w="140" w:type="dxa"/>
            <w:vAlign w:val="bottom"/>
          </w:tcPr>
          <w:p>
            <w:pPr>
              <w:spacing w:after="0"/>
              <w:rPr>
                <w:sz w:val="19"/>
                <w:szCs w:val="19"/>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18,713</w:t>
            </w:r>
          </w:p>
        </w:tc>
        <w:tc>
          <w:tcPr>
            <w:tcW w:w="4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120" w:type="dxa"/>
            <w:vAlign w:val="bottom"/>
            <w:shd w:val="clear" w:color="auto" w:fill="CFF0FC"/>
          </w:tcPr>
          <w:p>
            <w:pPr>
              <w:spacing w:after="0"/>
              <w:rPr>
                <w:sz w:val="19"/>
                <w:szCs w:val="19"/>
                <w:color w:val="auto"/>
              </w:rPr>
            </w:pPr>
          </w:p>
        </w:tc>
        <w:tc>
          <w:tcPr>
            <w:tcW w:w="4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General and administrative</w:t>
            </w:r>
          </w:p>
        </w:tc>
        <w:tc>
          <w:tcPr>
            <w:tcW w:w="9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4,103</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(49,190)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(22,816)</w:t>
            </w:r>
          </w:p>
        </w:tc>
        <w:tc>
          <w:tcPr>
            <w:tcW w:w="4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w:t>
            </w:r>
          </w:p>
        </w:tc>
        <w:tc>
          <w:tcPr>
            <w:tcW w:w="4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5"/>
        </w:trPr>
        <w:tc>
          <w:tcPr>
            <w:tcW w:w="4300" w:type="dxa"/>
            <w:vAlign w:val="bottom"/>
            <w:gridSpan w:val="2"/>
          </w:tcPr>
          <w:p>
            <w:pPr>
              <w:spacing w:after="0"/>
              <w:rPr>
                <w:sz w:val="20"/>
                <w:szCs w:val="20"/>
                <w:color w:val="auto"/>
              </w:rPr>
            </w:pPr>
            <w:r>
              <w:rPr>
                <w:rFonts w:ascii="Arial" w:cs="Arial" w:eastAsia="Arial" w:hAnsi="Arial"/>
                <w:sz w:val="18"/>
                <w:szCs w:val="18"/>
                <w:color w:val="auto"/>
              </w:rPr>
              <w:t>Interest expense (includes $0, $3,030 and $914</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attributable to related parties for the years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ended December 31, 2019, 2018 and 2017,</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(5,519)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5,511</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 (includes $0,</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$2,736 and $1,008 attributable to related</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parties for the years ended December 31,</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2019, 2018 and 2017, respectively)</w:t>
            </w:r>
          </w:p>
        </w:tc>
        <w:tc>
          <w:tcPr>
            <w:tcW w:w="9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(4,688)</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4,953</w:t>
            </w:r>
          </w:p>
        </w:tc>
        <w:tc>
          <w:tcPr>
            <w:tcW w:w="4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gridSpan w:val="2"/>
          </w:tcPr>
          <w:p>
            <w:pPr>
              <w:spacing w:after="0"/>
              <w:rPr>
                <w:sz w:val="20"/>
                <w:szCs w:val="20"/>
                <w:color w:val="auto"/>
              </w:rPr>
            </w:pPr>
            <w:r>
              <w:rPr>
                <w:rFonts w:ascii="Arial" w:cs="Arial" w:eastAsia="Arial" w:hAnsi="Arial"/>
                <w:sz w:val="18"/>
                <w:szCs w:val="18"/>
                <w:color w:val="auto"/>
              </w:rPr>
              <w:t>Loss on extinguishment of debt (includes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$1,587 attributable to related parties for</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the year ended December 31, 2018)</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5,479</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(47,365)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(5,922)</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20" w:type="dxa"/>
            <w:vAlign w:val="bottom"/>
            <w:vMerge w:val="restart"/>
          </w:tcPr>
          <w:p>
            <w:pPr>
              <w:spacing w:after="0"/>
              <w:rPr>
                <w:sz w:val="20"/>
                <w:szCs w:val="20"/>
                <w:color w:val="auto"/>
              </w:rPr>
            </w:pPr>
            <w:r>
              <w:rPr>
                <w:rFonts w:ascii="Arial" w:cs="Arial" w:eastAsia="Arial" w:hAnsi="Arial"/>
                <w:sz w:val="18"/>
                <w:szCs w:val="18"/>
                <w:color w:val="auto"/>
              </w:rPr>
              <w:t>*</w:t>
            </w:r>
          </w:p>
        </w:tc>
        <w:tc>
          <w:tcPr>
            <w:tcW w:w="4180" w:type="dxa"/>
            <w:vAlign w:val="bottom"/>
            <w:vMerge w:val="restart"/>
          </w:tcPr>
          <w:p>
            <w:pPr>
              <w:ind w:left="420"/>
              <w:spacing w:after="0"/>
              <w:rPr>
                <w:sz w:val="20"/>
                <w:szCs w:val="20"/>
                <w:color w:val="auto"/>
              </w:rPr>
            </w:pPr>
            <w:r>
              <w:rPr>
                <w:rFonts w:ascii="Arial" w:cs="Arial" w:eastAsia="Arial" w:hAnsi="Arial"/>
                <w:sz w:val="18"/>
                <w:szCs w:val="18"/>
                <w:color w:val="auto"/>
              </w:rPr>
              <w:t>Percentage is not meaningful</w:t>
            </w: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 w:type="dxa"/>
            <w:vAlign w:val="bottom"/>
            <w:vMerge w:val="continue"/>
          </w:tcPr>
          <w:p>
            <w:pPr>
              <w:spacing w:after="0"/>
              <w:rPr>
                <w:sz w:val="24"/>
                <w:szCs w:val="24"/>
                <w:color w:val="auto"/>
              </w:rPr>
            </w:pPr>
          </w:p>
        </w:tc>
        <w:tc>
          <w:tcPr>
            <w:tcW w:w="41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Research and development expenses increased $18.7 million, or 100%, from the year ended December 31, 2018 to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Year Ended</w:t>
            </w: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4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December 31,</w:t>
            </w: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2019 vs 2018</w:t>
            </w:r>
          </w:p>
        </w:tc>
      </w:tr>
      <w:tr>
        <w:trPr>
          <w:trHeight w:val="223"/>
        </w:trPr>
        <w:tc>
          <w:tcPr>
            <w:tcW w:w="4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Change</w:t>
            </w:r>
          </w:p>
        </w:tc>
      </w:tr>
      <w:tr>
        <w:trPr>
          <w:trHeight w:val="223"/>
        </w:trPr>
        <w:tc>
          <w:tcPr>
            <w:tcW w:w="4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ABC Platform external expenses </w:t>
            </w:r>
            <w:r>
              <w:rPr>
                <w:rFonts w:ascii="Arial" w:cs="Arial" w:eastAsia="Arial" w:hAnsi="Arial"/>
                <w:sz w:val="15"/>
                <w:szCs w:val="15"/>
                <w:color w:val="auto"/>
              </w:rPr>
              <w:t>(1)</w:t>
            </w:r>
          </w:p>
        </w:tc>
        <w:tc>
          <w:tcPr>
            <w:tcW w:w="1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2,218</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w:t>
            </w:r>
          </w:p>
        </w:tc>
        <w:tc>
          <w:tcPr>
            <w:tcW w:w="26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FF0FC"/>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 xml:space="preserve">KSI-301 program external expenses </w:t>
            </w:r>
            <w:r>
              <w:rPr>
                <w:rFonts w:ascii="Arial" w:cs="Arial" w:eastAsia="Arial" w:hAnsi="Arial"/>
                <w:sz w:val="15"/>
                <w:szCs w:val="15"/>
                <w:color w:val="auto"/>
              </w:rPr>
              <w:t>(2)</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19,285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8,252</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11,033</w:t>
            </w:r>
          </w:p>
        </w:tc>
        <w:tc>
          <w:tcPr>
            <w:tcW w:w="12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KSI-501 program external expenses </w:t>
            </w:r>
            <w:r>
              <w:rPr>
                <w:rFonts w:ascii="Arial" w:cs="Arial" w:eastAsia="Arial" w:hAnsi="Arial"/>
                <w:sz w:val="15"/>
                <w:szCs w:val="15"/>
                <w:color w:val="auto"/>
              </w:rPr>
              <w:t>(3)</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FF0FC"/>
          </w:tcPr>
          <w:p>
            <w:pPr>
              <w:spacing w:after="0"/>
              <w:rPr>
                <w:sz w:val="19"/>
                <w:szCs w:val="19"/>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8"/>
                <w:szCs w:val="18"/>
                <w:color w:val="auto"/>
              </w:rPr>
              <w:t xml:space="preserve">Payroll and personnel expenses </w:t>
            </w:r>
            <w:r>
              <w:rPr>
                <w:rFonts w:ascii="Arial" w:cs="Arial" w:eastAsia="Arial" w:hAnsi="Arial"/>
                <w:sz w:val="15"/>
                <w:szCs w:val="15"/>
                <w:color w:val="auto"/>
              </w:rPr>
              <w:t>(4)</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11,978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6,825</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3,288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5,153</w:t>
            </w:r>
          </w:p>
        </w:tc>
        <w:tc>
          <w:tcPr>
            <w:tcW w:w="120" w:type="dxa"/>
            <w:vAlign w:val="bottom"/>
          </w:tcPr>
          <w:p>
            <w:pPr>
              <w:spacing w:after="0"/>
              <w:rPr>
                <w:sz w:val="19"/>
                <w:szCs w:val="19"/>
                <w:color w:val="auto"/>
              </w:rPr>
            </w:pP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research and development expenses </w:t>
            </w:r>
            <w:r>
              <w:rPr>
                <w:rFonts w:ascii="Arial" w:cs="Arial" w:eastAsia="Arial" w:hAnsi="Arial"/>
                <w:sz w:val="15"/>
                <w:szCs w:val="15"/>
                <w:color w:val="auto"/>
              </w:rPr>
              <w:t>(5)</w:t>
            </w:r>
          </w:p>
        </w:tc>
        <w:tc>
          <w:tcPr>
            <w:tcW w:w="10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2,837</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w:t>
            </w:r>
          </w:p>
        </w:tc>
        <w:tc>
          <w:tcPr>
            <w:tcW w:w="26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20" w:type="dxa"/>
            <w:vAlign w:val="bottom"/>
            <w:shd w:val="clear" w:color="auto" w:fill="CFF0FC"/>
          </w:tcPr>
          <w:p>
            <w:pPr>
              <w:spacing w:after="0"/>
              <w:rPr>
                <w:sz w:val="19"/>
                <w:szCs w:val="19"/>
                <w:color w:val="auto"/>
              </w:rPr>
            </w:pPr>
          </w:p>
        </w:tc>
      </w:tr>
      <w:tr>
        <w:trPr>
          <w:trHeight w:val="223"/>
        </w:trPr>
        <w:tc>
          <w:tcPr>
            <w:tcW w:w="4320" w:type="dxa"/>
            <w:vAlign w:val="bottom"/>
          </w:tcPr>
          <w:p>
            <w:pPr>
              <w:ind w:left="260"/>
              <w:spacing w:after="0"/>
              <w:rPr>
                <w:sz w:val="20"/>
                <w:szCs w:val="20"/>
                <w:color w:val="auto"/>
              </w:rPr>
            </w:pPr>
            <w:r>
              <w:rPr>
                <w:rFonts w:ascii="Arial" w:cs="Arial" w:eastAsia="Arial" w:hAnsi="Arial"/>
                <w:sz w:val="18"/>
                <w:szCs w:val="18"/>
                <w:color w:val="auto"/>
              </w:rPr>
              <w:t>Total research and development expenses</w:t>
            </w:r>
          </w:p>
        </w:tc>
        <w:tc>
          <w:tcPr>
            <w:tcW w:w="10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37,506</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18,793</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22,022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18,713</w:t>
            </w:r>
          </w:p>
        </w:tc>
        <w:tc>
          <w:tcPr>
            <w:tcW w:w="12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540" w:right="300" w:hanging="532"/>
        <w:spacing w:after="0" w:line="258"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ABC Platform external expenses primarily relates to manufacturing of biopolymer intermediate drug substance which can be used with multiple product candidates. These expenses are primarily for services provided by CMOs and CROs.</w:t>
      </w:r>
    </w:p>
    <w:p>
      <w:pPr>
        <w:spacing w:after="0" w:line="1" w:lineRule="exact"/>
        <w:rPr>
          <w:rFonts w:ascii="Arial" w:cs="Arial" w:eastAsia="Arial" w:hAnsi="Arial"/>
          <w:sz w:val="18"/>
          <w:szCs w:val="18"/>
          <w:color w:val="auto"/>
        </w:rPr>
      </w:pPr>
    </w:p>
    <w:p>
      <w:pPr>
        <w:ind w:left="540" w:right="600" w:hanging="532"/>
        <w:spacing w:after="0" w:line="260"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KSI-301 program external expenses relates to development of KSI-301, including manufacturing and clinical trial costs. These expenses are primarily for services provided by CMOs and CROs.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1" w:name="page112"/>
    <w:bookmarkEnd w:id="111"/>
    <w:p>
      <w:pPr>
        <w:ind w:left="540" w:hanging="532"/>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KSI-501 program external expenses relates to research and development of KSI-501.</w:t>
      </w:r>
    </w:p>
    <w:p>
      <w:pPr>
        <w:spacing w:after="0" w:line="23" w:lineRule="exact"/>
        <w:rPr>
          <w:rFonts w:ascii="Arial" w:cs="Arial" w:eastAsia="Arial" w:hAnsi="Arial"/>
          <w:sz w:val="18"/>
          <w:szCs w:val="18"/>
          <w:color w:val="auto"/>
        </w:rPr>
      </w:pPr>
    </w:p>
    <w:p>
      <w:pPr>
        <w:ind w:left="540" w:right="220" w:hanging="532"/>
        <w:spacing w:after="0" w:line="281" w:lineRule="auto"/>
        <w:tabs>
          <w:tab w:leader="none" w:pos="5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Payroll and personnel expenses includes salaries, benefits and stock-based compensation for our personnel involved in research and development activities. These expenses are separately classified and not allocated to specific programs because these expenses relate to multiple programs.</w:t>
      </w:r>
    </w:p>
    <w:p>
      <w:pPr>
        <w:spacing w:after="0" w:line="1" w:lineRule="exact"/>
        <w:rPr>
          <w:rFonts w:ascii="Arial" w:cs="Arial" w:eastAsia="Arial" w:hAnsi="Arial"/>
          <w:sz w:val="16"/>
          <w:szCs w:val="16"/>
          <w:color w:val="auto"/>
        </w:rPr>
      </w:pPr>
    </w:p>
    <w:p>
      <w:pPr>
        <w:ind w:left="540" w:hanging="532"/>
        <w:spacing w:after="0"/>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Other research and development expenses includes direct costs related to research and development activities other than those listed above.</w:t>
      </w:r>
    </w:p>
    <w:p>
      <w:pPr>
        <w:spacing w:after="0" w:line="114" w:lineRule="exact"/>
        <w:rPr>
          <w:sz w:val="20"/>
          <w:szCs w:val="20"/>
          <w:color w:val="auto"/>
        </w:rPr>
      </w:pPr>
    </w:p>
    <w:p>
      <w:pPr>
        <w:ind w:right="20" w:firstLine="541"/>
        <w:spacing w:after="0" w:line="277" w:lineRule="auto"/>
        <w:rPr>
          <w:sz w:val="20"/>
          <w:szCs w:val="20"/>
          <w:color w:val="auto"/>
        </w:rPr>
      </w:pPr>
      <w:r>
        <w:rPr>
          <w:rFonts w:ascii="Arial" w:cs="Arial" w:eastAsia="Arial" w:hAnsi="Arial"/>
          <w:sz w:val="18"/>
          <w:szCs w:val="18"/>
          <w:color w:val="auto"/>
        </w:rPr>
        <w:t>ABC Platform external expenses increased $0.8 million during the year ended December 31, 2019 as compared to 2018. The increase was primarily driven by manufacturing runs to support our product candidate pipeline.</w:t>
      </w:r>
    </w:p>
    <w:p>
      <w:pPr>
        <w:spacing w:after="0" w:line="62" w:lineRule="exact"/>
        <w:rPr>
          <w:sz w:val="20"/>
          <w:szCs w:val="20"/>
          <w:color w:val="auto"/>
        </w:rPr>
      </w:pPr>
    </w:p>
    <w:p>
      <w:pPr>
        <w:ind w:right="420" w:firstLine="541"/>
        <w:spacing w:after="0" w:line="277" w:lineRule="auto"/>
        <w:rPr>
          <w:sz w:val="20"/>
          <w:szCs w:val="20"/>
          <w:color w:val="auto"/>
        </w:rPr>
      </w:pPr>
      <w:r>
        <w:rPr>
          <w:rFonts w:ascii="Arial" w:cs="Arial" w:eastAsia="Arial" w:hAnsi="Arial"/>
          <w:sz w:val="18"/>
          <w:szCs w:val="18"/>
          <w:color w:val="auto"/>
        </w:rPr>
        <w:t>KSI-301 program external expenses increased $11.0 million during the year ended December 31, 2019 as compared to 2018. The increase was primarily due to clinical trial costs as well as manufacturing runs for KSI-301.</w:t>
      </w:r>
    </w:p>
    <w:p>
      <w:pPr>
        <w:spacing w:after="0" w:line="62" w:lineRule="exact"/>
        <w:rPr>
          <w:sz w:val="20"/>
          <w:szCs w:val="20"/>
          <w:color w:val="auto"/>
        </w:rPr>
      </w:pPr>
    </w:p>
    <w:p>
      <w:pPr>
        <w:ind w:right="100" w:firstLine="541"/>
        <w:spacing w:after="0" w:line="277" w:lineRule="auto"/>
        <w:rPr>
          <w:sz w:val="20"/>
          <w:szCs w:val="20"/>
          <w:color w:val="auto"/>
        </w:rPr>
      </w:pPr>
      <w:r>
        <w:rPr>
          <w:rFonts w:ascii="Arial" w:cs="Arial" w:eastAsia="Arial" w:hAnsi="Arial"/>
          <w:sz w:val="18"/>
          <w:szCs w:val="18"/>
          <w:color w:val="auto"/>
        </w:rPr>
        <w:t>KSI-501 program external expenses increased $1.2 million during the year ended December 31, 2019, due to ongoing research and development of KSI-501.</w:t>
      </w:r>
    </w:p>
    <w:p>
      <w:pPr>
        <w:spacing w:after="0" w:line="62" w:lineRule="exact"/>
        <w:rPr>
          <w:sz w:val="20"/>
          <w:szCs w:val="20"/>
          <w:color w:val="auto"/>
        </w:rPr>
      </w:pPr>
    </w:p>
    <w:p>
      <w:pPr>
        <w:ind w:right="80" w:firstLine="541"/>
        <w:spacing w:after="0" w:line="277" w:lineRule="auto"/>
        <w:rPr>
          <w:sz w:val="20"/>
          <w:szCs w:val="20"/>
          <w:color w:val="auto"/>
        </w:rPr>
      </w:pPr>
      <w:r>
        <w:rPr>
          <w:rFonts w:ascii="Arial" w:cs="Arial" w:eastAsia="Arial" w:hAnsi="Arial"/>
          <w:sz w:val="18"/>
          <w:szCs w:val="18"/>
          <w:color w:val="auto"/>
        </w:rPr>
        <w:t>Payroll and personnel expenses increased $5.2 million during the year ended December 31, 2019 as compared to 2018. The increase was a result of increased headcount and stock-based compensation expense.</w:t>
      </w:r>
    </w:p>
    <w:p>
      <w:pPr>
        <w:spacing w:after="0" w:line="62" w:lineRule="exact"/>
        <w:rPr>
          <w:sz w:val="20"/>
          <w:szCs w:val="20"/>
          <w:color w:val="auto"/>
        </w:rPr>
      </w:pPr>
    </w:p>
    <w:p>
      <w:pPr>
        <w:ind w:right="620" w:firstLine="541"/>
        <w:spacing w:after="0" w:line="308" w:lineRule="auto"/>
        <w:rPr>
          <w:sz w:val="20"/>
          <w:szCs w:val="20"/>
          <w:color w:val="auto"/>
        </w:rPr>
      </w:pPr>
      <w:r>
        <w:rPr>
          <w:rFonts w:ascii="Arial" w:cs="Arial" w:eastAsia="Arial" w:hAnsi="Arial"/>
          <w:sz w:val="17"/>
          <w:szCs w:val="17"/>
          <w:color w:val="auto"/>
        </w:rPr>
        <w:t>Other research and development expenses increased $0.5 million during the year ended December 31, 2019 as compared to 2018. Our other research and development expenses may fluctuate in future periods as we elect to develop other product candidates.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541"/>
        <w:spacing w:after="0" w:line="259" w:lineRule="auto"/>
        <w:rPr>
          <w:sz w:val="20"/>
          <w:szCs w:val="20"/>
          <w:color w:val="auto"/>
        </w:rPr>
      </w:pPr>
      <w:r>
        <w:rPr>
          <w:rFonts w:ascii="Arial" w:cs="Arial" w:eastAsia="Arial" w:hAnsi="Arial"/>
          <w:sz w:val="18"/>
          <w:szCs w:val="18"/>
          <w:color w:val="auto"/>
        </w:rPr>
        <w:t>General and administrative expenses increased $4.1 million, or 54%, from the year ended December 31, 2018 to the year ended December 31, 2019. The increase in general and administrative expenses was primarily attributable to an increase of $2.1 million in professional services related to accounting, audit, legal and consulting services and additional costs associated with operating as a public company, and an increase of $2.0 million in salaries, including stock-based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 w:firstLine="541"/>
        <w:spacing w:after="0" w:line="308" w:lineRule="auto"/>
        <w:rPr>
          <w:sz w:val="20"/>
          <w:szCs w:val="20"/>
          <w:color w:val="auto"/>
        </w:rPr>
      </w:pPr>
      <w:r>
        <w:rPr>
          <w:rFonts w:ascii="Arial" w:cs="Arial" w:eastAsia="Arial" w:hAnsi="Arial"/>
          <w:sz w:val="17"/>
          <w:szCs w:val="17"/>
          <w:color w:val="auto"/>
        </w:rPr>
        <w:t>Interest income increased $1.0 million from the year ended December 31, 2018 to the year ended December 31, 2019 which was mainly attributable to interest income earned on increased cash balances from our IPO in October 2018 and follow-on offering in December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40" w:firstLine="541"/>
        <w:spacing w:after="0" w:line="263" w:lineRule="auto"/>
        <w:rPr>
          <w:sz w:val="20"/>
          <w:szCs w:val="20"/>
          <w:color w:val="auto"/>
        </w:rPr>
      </w:pPr>
      <w:r>
        <w:rPr>
          <w:rFonts w:ascii="Arial" w:cs="Arial" w:eastAsia="Arial" w:hAnsi="Arial"/>
          <w:sz w:val="18"/>
          <w:szCs w:val="18"/>
          <w:color w:val="auto"/>
        </w:rPr>
        <w:t>Interest expense decreased $5.5 million from the year ended December 31, 2018 to the year ended December 31, 2019, which was mainly attributable to interest expense in 2018 on convertible notes issued in August 2017 and February 2018, including accretion of debt discount and issuance costs. The convertible notes converted into shares of common stock upon the closing of our IPO.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200" w:firstLine="541"/>
        <w:spacing w:after="0" w:line="279" w:lineRule="auto"/>
        <w:rPr>
          <w:sz w:val="20"/>
          <w:szCs w:val="20"/>
          <w:color w:val="auto"/>
        </w:rPr>
      </w:pPr>
      <w:r>
        <w:rPr>
          <w:rFonts w:ascii="Arial" w:cs="Arial" w:eastAsia="Arial" w:hAnsi="Arial"/>
          <w:sz w:val="17"/>
          <w:szCs w:val="17"/>
          <w:color w:val="auto"/>
        </w:rPr>
        <w:t>Other income (expense), net decreased $5.0 million from the year ended December 31, 2018 to the year ended December 31, 2019, which was mainly attributable to the movement in fair value of the redeemable convertible preferred stock warrant liability and derivative instrument related to the convertible notes issued in February 2018 prior to our IPO in 2018, offset by accretion income on marketable debt securities of $0.3 million in 2019. The preferred stock warrants converted into common stock warrants and the derivative liability was extinguished upon our IPO.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Loss on extinguishment of the convertible notes issued in February 2018 was $5.5 million for the year ended December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firstLine="541"/>
        <w:spacing w:after="0" w:line="277" w:lineRule="auto"/>
        <w:rPr>
          <w:sz w:val="20"/>
          <w:szCs w:val="20"/>
          <w:color w:val="auto"/>
        </w:rPr>
      </w:pPr>
      <w:r>
        <w:rPr>
          <w:rFonts w:ascii="Arial" w:cs="Arial" w:eastAsia="Arial" w:hAnsi="Arial"/>
          <w:sz w:val="18"/>
          <w:szCs w:val="18"/>
          <w:color w:val="auto"/>
        </w:rPr>
        <w:t>We have funded our operations primarily through the sale and issuance of common stock, redeemable convertible preferred stock, convertible notes and warrants. As of December 31, 2019, we had cash, cash equivalents and marketable securities of $348.2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2017 Convertible Notes</w:t>
      </w:r>
    </w:p>
    <w:p>
      <w:pPr>
        <w:spacing w:after="0" w:line="117" w:lineRule="exact"/>
        <w:rPr>
          <w:sz w:val="20"/>
          <w:szCs w:val="20"/>
          <w:color w:val="auto"/>
        </w:rPr>
      </w:pPr>
    </w:p>
    <w:p>
      <w:pPr>
        <w:ind w:right="320" w:firstLine="541"/>
        <w:spacing w:after="0" w:line="259" w:lineRule="auto"/>
        <w:rPr>
          <w:sz w:val="20"/>
          <w:szCs w:val="20"/>
          <w:color w:val="auto"/>
        </w:rPr>
      </w:pPr>
      <w:r>
        <w:rPr>
          <w:rFonts w:ascii="Arial" w:cs="Arial" w:eastAsia="Arial" w:hAnsi="Arial"/>
          <w:sz w:val="18"/>
          <w:szCs w:val="18"/>
          <w:color w:val="auto"/>
        </w:rPr>
        <w:t>In August 2017, we received $10.0 million in gross proceeds from the issuance of the 2017 convertible notes and warrants to purchase Series B redeemable convertible preferred stock. Upon the closing of our IPO, 500,000 redeemable convertible preferred stock warrants automatically converted into common stock warrants and 100,000 of such warrants were exercised immediately following the closing of our IPO. The 2017 convertible notes converted into 2,637,292 shares of common stock at the closing of our IPO.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Convertible Notes</w:t>
      </w:r>
    </w:p>
    <w:p>
      <w:pPr>
        <w:spacing w:after="0" w:line="117" w:lineRule="exact"/>
        <w:rPr>
          <w:sz w:val="20"/>
          <w:szCs w:val="20"/>
          <w:color w:val="auto"/>
        </w:rPr>
      </w:pPr>
    </w:p>
    <w:p>
      <w:pPr>
        <w:ind w:right="660" w:firstLine="541"/>
        <w:spacing w:after="0" w:line="277" w:lineRule="auto"/>
        <w:rPr>
          <w:sz w:val="20"/>
          <w:szCs w:val="20"/>
          <w:color w:val="auto"/>
        </w:rPr>
      </w:pPr>
      <w:r>
        <w:rPr>
          <w:rFonts w:ascii="Arial" w:cs="Arial" w:eastAsia="Arial" w:hAnsi="Arial"/>
          <w:sz w:val="18"/>
          <w:szCs w:val="18"/>
          <w:color w:val="auto"/>
        </w:rPr>
        <w:t>In February 2018, we received $33.0 million in gross proceeds from the issuance of the 2018 convertible notes. The 2018 convertible notes converted into 4,295,677 shares of common stock at the closing of our IPO.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w:t>
      </w:r>
    </w:p>
    <w:p>
      <w:pPr>
        <w:spacing w:after="0" w:line="117" w:lineRule="exact"/>
        <w:rPr>
          <w:sz w:val="20"/>
          <w:szCs w:val="20"/>
          <w:color w:val="auto"/>
        </w:rPr>
      </w:pPr>
    </w:p>
    <w:p>
      <w:pPr>
        <w:ind w:right="40" w:firstLine="541"/>
        <w:spacing w:after="0" w:line="263" w:lineRule="auto"/>
        <w:rPr>
          <w:sz w:val="20"/>
          <w:szCs w:val="20"/>
          <w:color w:val="auto"/>
        </w:rPr>
      </w:pPr>
      <w:r>
        <w:rPr>
          <w:rFonts w:ascii="Arial" w:cs="Arial" w:eastAsia="Arial" w:hAnsi="Arial"/>
          <w:sz w:val="18"/>
          <w:szCs w:val="18"/>
          <w:color w:val="auto"/>
        </w:rPr>
        <w:t>In October 2018, we completed our IPO. We sold and issued 9,400,000 shares of common stock at a price to the public of $10.00 per share. The aggregate net proceeds from our IPO, inclusive of the partial over-allotment option exercise, were $83.5 million after deducting underwriting discounts and commissions and other offering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17" w:lineRule="exact"/>
        <w:rPr>
          <w:sz w:val="20"/>
          <w:szCs w:val="20"/>
          <w:color w:val="auto"/>
        </w:rPr>
      </w:pPr>
    </w:p>
    <w:p>
      <w:pPr>
        <w:ind w:firstLine="541"/>
        <w:spacing w:after="0" w:line="263" w:lineRule="auto"/>
        <w:rPr>
          <w:sz w:val="20"/>
          <w:szCs w:val="20"/>
          <w:color w:val="auto"/>
        </w:rPr>
      </w:pPr>
      <w:r>
        <w:rPr>
          <w:rFonts w:ascii="Arial" w:cs="Arial" w:eastAsia="Arial" w:hAnsi="Arial"/>
          <w:sz w:val="18"/>
          <w:szCs w:val="18"/>
          <w:color w:val="auto"/>
        </w:rPr>
        <w:t>In December 2019, we completed a follow-on offering pursuant to the shelf registration on Form S-3 and issued and sold 6,900,000 shares of common stock at a price to the public of $46.00 per share. The gross proceeds from this offering were $317.4 million, resulting in aggregate net proceeds of $297.6 million after deducting underwriting discounts and commissions and other offering costs payable by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We have incurred net losses since our inception. For the years ended December 31, 2019, 2018 and 2017, we had net losses of $47.4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$41.4 million, and $27.9 million, respectively, and we expect to continue to incur additional losses in future periods. As of December 31, 2019, we had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accumulated deficit of $158.1 million. We currently plan to raise additional funding as required based on the status of its clinical trials and projected cash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flows, however based on our current business plan, we believe that our existing cash, cash equivalents and marketable securities are sufficient to fund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projected operations for at least the next 12 months.</w:t>
      </w:r>
    </w:p>
    <w:p>
      <w:pPr>
        <w:spacing w:after="0" w:line="103" w:lineRule="exact"/>
        <w:rPr>
          <w:sz w:val="20"/>
          <w:szCs w:val="20"/>
          <w:color w:val="auto"/>
        </w:rPr>
      </w:pPr>
    </w:p>
    <w:p>
      <w:pPr>
        <w:ind w:right="100" w:firstLine="541"/>
        <w:spacing w:after="0" w:line="254"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continue incurring additional costs associated with operating as a public company.</w:t>
      </w:r>
    </w:p>
    <w:p>
      <w:pPr>
        <w:spacing w:after="0" w:line="87" w:lineRule="exact"/>
        <w:rPr>
          <w:sz w:val="20"/>
          <w:szCs w:val="20"/>
          <w:color w:val="auto"/>
        </w:rPr>
      </w:pPr>
    </w:p>
    <w:p>
      <w:pPr>
        <w:ind w:right="140" w:firstLine="541"/>
        <w:spacing w:after="0" w:line="277" w:lineRule="auto"/>
        <w:rPr>
          <w:sz w:val="20"/>
          <w:szCs w:val="20"/>
          <w:color w:val="auto"/>
        </w:rPr>
      </w:pPr>
      <w:r>
        <w:rPr>
          <w:rFonts w:ascii="Arial" w:cs="Arial" w:eastAsia="Arial" w:hAnsi="Arial"/>
          <w:sz w:val="18"/>
          <w:szCs w:val="18"/>
          <w:color w:val="auto"/>
        </w:rPr>
        <w:t>We have based these estimates on assumptions that may prove to be wrong, and we could deplete our capital resources sooner than we expect. The timing and amount of our operating expenditures and capital requirements will depend on many factors, including:</w:t>
      </w:r>
    </w:p>
    <w:p>
      <w:pPr>
        <w:spacing w:after="0" w:line="62" w:lineRule="exact"/>
        <w:rPr>
          <w:sz w:val="20"/>
          <w:szCs w:val="20"/>
          <w:color w:val="auto"/>
        </w:rPr>
      </w:pPr>
    </w:p>
    <w:p>
      <w:pPr>
        <w:ind w:left="660" w:right="140" w:hanging="112"/>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preclinical development activities, laboratory testing and clinical trials for our product candidates;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scope and costs of manufacturing development and commercial manufacturing activities;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 timing and outcome of regulatory review of our product candidates;</w:t>
      </w:r>
    </w:p>
    <w:p>
      <w:pPr>
        <w:spacing w:after="0" w:line="117" w:lineRule="exact"/>
        <w:rPr>
          <w:rFonts w:ascii="Arial" w:cs="Arial" w:eastAsia="Arial" w:hAnsi="Arial"/>
          <w:sz w:val="18"/>
          <w:szCs w:val="18"/>
          <w:color w:val="auto"/>
        </w:rPr>
      </w:pPr>
    </w:p>
    <w:p>
      <w:pPr>
        <w:ind w:left="660" w:right="660" w:hanging="112"/>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3" w:name="page114"/>
    <w:bookmarkEnd w:id="113"/>
    <w:p>
      <w:pPr>
        <w:ind w:left="660" w:right="660" w:hanging="112"/>
        <w:spacing w:after="0" w:line="277"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w:t>
      </w:r>
    </w:p>
    <w:p>
      <w:pPr>
        <w:spacing w:after="0" w:line="62" w:lineRule="exact"/>
        <w:rPr>
          <w:rFonts w:ascii="Arial" w:cs="Arial" w:eastAsia="Arial" w:hAnsi="Arial"/>
          <w:sz w:val="18"/>
          <w:szCs w:val="18"/>
          <w:color w:val="auto"/>
        </w:rPr>
      </w:pPr>
    </w:p>
    <w:p>
      <w:pPr>
        <w:ind w:left="660" w:hanging="11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costs associated with being a public company; and</w:t>
      </w:r>
    </w:p>
    <w:p>
      <w:pPr>
        <w:spacing w:after="0" w:line="117" w:lineRule="exact"/>
        <w:rPr>
          <w:rFonts w:ascii="Arial" w:cs="Arial" w:eastAsia="Arial" w:hAnsi="Arial"/>
          <w:sz w:val="18"/>
          <w:szCs w:val="18"/>
          <w:color w:val="auto"/>
        </w:rPr>
      </w:pPr>
    </w:p>
    <w:p>
      <w:pPr>
        <w:ind w:left="660" w:hanging="112"/>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7" w:lineRule="exact"/>
        <w:rPr>
          <w:sz w:val="20"/>
          <w:szCs w:val="20"/>
          <w:color w:val="auto"/>
        </w:rPr>
      </w:pPr>
    </w:p>
    <w:p>
      <w:pPr>
        <w:ind w:right="40" w:firstLine="541"/>
        <w:spacing w:after="0" w:line="289" w:lineRule="auto"/>
        <w:rPr>
          <w:sz w:val="20"/>
          <w:szCs w:val="20"/>
          <w:color w:val="auto"/>
        </w:rPr>
      </w:pPr>
      <w:r>
        <w:rPr>
          <w:rFonts w:ascii="Arial" w:cs="Arial" w:eastAsia="Arial" w:hAnsi="Arial"/>
          <w:sz w:val="16"/>
          <w:szCs w:val="16"/>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rights to our product candidates in certain territories or indications to others that we would prefer to develop and commercialize ourselves.</w:t>
      </w:r>
    </w:p>
    <w:p>
      <w:pPr>
        <w:spacing w:after="0" w:line="58" w:lineRule="exact"/>
        <w:rPr>
          <w:sz w:val="20"/>
          <w:szCs w:val="20"/>
          <w:color w:val="auto"/>
        </w:rPr>
      </w:pPr>
    </w:p>
    <w:p>
      <w:pPr>
        <w:ind w:right="220" w:firstLine="541"/>
        <w:spacing w:after="0" w:line="263" w:lineRule="auto"/>
        <w:rPr>
          <w:sz w:val="20"/>
          <w:szCs w:val="20"/>
          <w:color w:val="auto"/>
        </w:rPr>
      </w:pPr>
      <w:r>
        <w:rPr>
          <w:rFonts w:ascii="Arial" w:cs="Arial" w:eastAsia="Arial" w:hAnsi="Arial"/>
          <w:sz w:val="18"/>
          <w:szCs w:val="18"/>
          <w:color w:val="auto"/>
        </w:rPr>
        <w:t>Adequate additional funding may not be available to us on acceptable terms or at all. Our failure to raise capital as and when needed could have a negative impact on our financial condition and our ability to pursue our business strategies. See the section titled “Risk Factors” for additional risks associated with our substantial capital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 Ended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r>
      <w:tr>
        <w:trPr>
          <w:trHeight w:val="223"/>
        </w:trPr>
        <w:tc>
          <w:tcPr>
            <w:tcW w:w="5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Operating activities</w:t>
            </w:r>
          </w:p>
        </w:tc>
        <w:tc>
          <w:tcPr>
            <w:tcW w:w="12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(39,146)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(29,031)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(17,655)</w:t>
            </w:r>
          </w:p>
        </w:tc>
      </w:tr>
      <w:tr>
        <w:trPr>
          <w:trHeight w:val="230"/>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2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(136,998)</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(209)</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Financing activities</w:t>
            </w:r>
          </w:p>
        </w:tc>
        <w:tc>
          <w:tcPr>
            <w:tcW w:w="12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299,687</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116,471</w:t>
            </w:r>
          </w:p>
        </w:tc>
        <w:tc>
          <w:tcPr>
            <w:tcW w:w="2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9,637</w:t>
            </w:r>
          </w:p>
        </w:tc>
        <w:tc>
          <w:tcPr>
            <w:tcW w:w="120" w:type="dxa"/>
            <w:vAlign w:val="bottom"/>
          </w:tcPr>
          <w:p>
            <w:pPr>
              <w:spacing w:after="0"/>
              <w:rPr>
                <w:sz w:val="19"/>
                <w:szCs w:val="19"/>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86,859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21" w:lineRule="exact"/>
        <w:rPr>
          <w:sz w:val="20"/>
          <w:szCs w:val="20"/>
          <w:color w:val="auto"/>
        </w:rPr>
      </w:pPr>
    </w:p>
    <w:p>
      <w:pPr>
        <w:ind w:right="120" w:firstLine="541"/>
        <w:spacing w:after="0" w:line="271" w:lineRule="auto"/>
        <w:rPr>
          <w:sz w:val="20"/>
          <w:szCs w:val="20"/>
          <w:color w:val="auto"/>
        </w:rPr>
      </w:pPr>
      <w:r>
        <w:rPr>
          <w:rFonts w:ascii="Arial" w:cs="Arial" w:eastAsia="Arial" w:hAnsi="Arial"/>
          <w:sz w:val="17"/>
          <w:szCs w:val="17"/>
          <w:color w:val="auto"/>
        </w:rPr>
        <w:t>Net cash used in operating activities was $39.1 million for year ended December 31, 2019. Cash used in operating activities was primarily due to the use of funds in our operations to continue to develop KSI-301 and in connection with our operations as a public company, resulting in a net loss of $47.4 million, adjusted by non-cash charges of $6.8 million offset by a change in operating assets and liabilities of $1.4 million. The non-cash charges consisted of $0.5 million of depreciation expense, $6.1 million of stock-based compensation, $0.2 million net accretion of discount on marketable securities, and $0.4 million amortization of the operating lease right-of-use asset. The change in net operating assets and liabilities was primarily due to an increase in accounts payable of $1.6 million due to timing of vendor payments, an increase in accrued liabilities of $4.9 million mainly related to an increase in accrued research and development expenses and an increase in accrued compensation expenses, and an increase in other assets of $4.5 million mainly due to an increase in advance payments.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21" w:lineRule="exact"/>
        <w:rPr>
          <w:sz w:val="20"/>
          <w:szCs w:val="20"/>
          <w:color w:val="auto"/>
        </w:rPr>
      </w:pPr>
    </w:p>
    <w:p>
      <w:pPr>
        <w:ind w:right="600" w:firstLine="541"/>
        <w:spacing w:after="0" w:line="277" w:lineRule="auto"/>
        <w:rPr>
          <w:sz w:val="20"/>
          <w:szCs w:val="20"/>
          <w:color w:val="auto"/>
        </w:rPr>
      </w:pPr>
      <w:r>
        <w:rPr>
          <w:rFonts w:ascii="Arial" w:cs="Arial" w:eastAsia="Arial" w:hAnsi="Arial"/>
          <w:sz w:val="18"/>
          <w:szCs w:val="18"/>
          <w:color w:val="auto"/>
        </w:rPr>
        <w:t>Net cash used in investing activities was $137.0 million for year ended December 31, 2019 and primarily related to purchases of marketable securities, net of maturities.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21" w:lineRule="exact"/>
        <w:rPr>
          <w:sz w:val="20"/>
          <w:szCs w:val="20"/>
          <w:color w:val="auto"/>
        </w:rPr>
      </w:pPr>
    </w:p>
    <w:p>
      <w:pPr>
        <w:ind w:right="80" w:firstLine="541"/>
        <w:spacing w:after="0" w:line="277" w:lineRule="auto"/>
        <w:rPr>
          <w:sz w:val="20"/>
          <w:szCs w:val="20"/>
          <w:color w:val="auto"/>
        </w:rPr>
      </w:pPr>
      <w:r>
        <w:rPr>
          <w:rFonts w:ascii="Arial" w:cs="Arial" w:eastAsia="Arial" w:hAnsi="Arial"/>
          <w:sz w:val="18"/>
          <w:szCs w:val="18"/>
          <w:color w:val="auto"/>
        </w:rPr>
        <w:t>Net cash provided in financing activities was $299.7 million for year ended December 31, 2019, which consisted primarily of $297.6 million of net proceeds from our follow-on offering, and $2.3 million of proceeds from the exercise of stock options.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Contractual Obligations and Commitments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400" w:type="dxa"/>
            <w:vAlign w:val="bottom"/>
            <w:gridSpan w:val="7"/>
          </w:tcPr>
          <w:p>
            <w:pPr>
              <w:jc w:val="right"/>
              <w:ind w:right="570"/>
              <w:spacing w:after="0"/>
              <w:rPr>
                <w:sz w:val="20"/>
                <w:szCs w:val="20"/>
                <w:color w:val="auto"/>
              </w:rPr>
            </w:pPr>
            <w:r>
              <w:rPr>
                <w:rFonts w:ascii="Arial" w:cs="Arial" w:eastAsia="Arial" w:hAnsi="Arial"/>
                <w:sz w:val="18"/>
                <w:szCs w:val="18"/>
                <w:color w:val="auto"/>
                <w:w w:val="98"/>
              </w:rPr>
              <w:t>The following table summarizes our contractual obligations as of December 31, 2019: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4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9"/>
          </w:tcPr>
          <w:p>
            <w:pPr>
              <w:jc w:val="center"/>
              <w:ind w:right="420"/>
              <w:spacing w:after="0"/>
              <w:rPr>
                <w:sz w:val="20"/>
                <w:szCs w:val="20"/>
                <w:color w:val="auto"/>
              </w:rPr>
            </w:pPr>
            <w:r>
              <w:rPr>
                <w:rFonts w:ascii="Arial" w:cs="Arial" w:eastAsia="Arial" w:hAnsi="Arial"/>
                <w:sz w:val="18"/>
                <w:szCs w:val="18"/>
                <w:b w:val="1"/>
                <w:bCs w:val="1"/>
                <w:color w:val="auto"/>
                <w:w w:val="89"/>
              </w:rPr>
              <w:t>Payments Due by Period</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4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8"/>
              </w:rPr>
              <w:t>Less than</w:t>
            </w:r>
          </w:p>
        </w:tc>
        <w:tc>
          <w:tcPr>
            <w:tcW w:w="200" w:type="dxa"/>
            <w:vAlign w:val="bottom"/>
          </w:tcPr>
          <w:p>
            <w:pPr>
              <w:spacing w:after="0"/>
              <w:rPr>
                <w:sz w:val="17"/>
                <w:szCs w:val="17"/>
                <w:color w:val="auto"/>
              </w:rPr>
            </w:pPr>
          </w:p>
        </w:tc>
        <w:tc>
          <w:tcPr>
            <w:tcW w:w="800" w:type="dxa"/>
            <w:vAlign w:val="bottom"/>
          </w:tcPr>
          <w:p>
            <w:pPr>
              <w:jc w:val="right"/>
              <w:ind w:right="210"/>
              <w:spacing w:after="0" w:line="205" w:lineRule="exact"/>
              <w:rPr>
                <w:sz w:val="20"/>
                <w:szCs w:val="20"/>
                <w:color w:val="auto"/>
              </w:rPr>
            </w:pPr>
            <w:r>
              <w:rPr>
                <w:rFonts w:ascii="Arial" w:cs="Arial" w:eastAsia="Arial" w:hAnsi="Arial"/>
                <w:sz w:val="18"/>
                <w:szCs w:val="18"/>
                <w:b w:val="1"/>
                <w:bCs w:val="1"/>
                <w:color w:val="auto"/>
              </w:rPr>
              <w:t>1 to 3</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9"/>
              </w:rPr>
              <w:t>3 to 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320"/>
              <w:spacing w:after="0" w:line="205" w:lineRule="exact"/>
              <w:rPr>
                <w:sz w:val="20"/>
                <w:szCs w:val="20"/>
                <w:color w:val="auto"/>
              </w:rPr>
            </w:pPr>
            <w:r>
              <w:rPr>
                <w:rFonts w:ascii="Arial" w:cs="Arial" w:eastAsia="Arial" w:hAnsi="Arial"/>
                <w:sz w:val="18"/>
                <w:szCs w:val="18"/>
                <w:b w:val="1"/>
                <w:bCs w:val="1"/>
                <w:color w:val="auto"/>
                <w:w w:val="92"/>
              </w:rPr>
              <w:t>More than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1 year</w:t>
            </w: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years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5 years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23"/>
        </w:trPr>
        <w:tc>
          <w:tcPr>
            <w:tcW w:w="4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4"/>
          </w:tcPr>
          <w:p>
            <w:pPr>
              <w:jc w:val="center"/>
              <w:ind w:lef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w:t>
            </w:r>
          </w:p>
        </w:tc>
        <w:tc>
          <w:tcPr>
            <w:tcW w:w="4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FF0FC"/>
          </w:tcPr>
          <w:p>
            <w:pPr>
              <w:spacing w:after="0"/>
              <w:rPr>
                <w:sz w:val="19"/>
                <w:szCs w:val="19"/>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Manufacturing agreements</w:t>
            </w:r>
            <w:r>
              <w:rPr>
                <w:rFonts w:ascii="Arial" w:cs="Arial" w:eastAsia="Arial" w:hAnsi="Arial"/>
                <w:sz w:val="15"/>
                <w:szCs w:val="15"/>
                <w:color w:val="auto"/>
              </w:rPr>
              <w:t>(2)</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5,329</w:t>
            </w:r>
          </w:p>
        </w:tc>
        <w:tc>
          <w:tcPr>
            <w:tcW w:w="10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Tenant improvement obligations</w:t>
            </w:r>
            <w:r>
              <w:rPr>
                <w:rFonts w:ascii="Arial" w:cs="Arial" w:eastAsia="Arial" w:hAnsi="Arial"/>
                <w:sz w:val="15"/>
                <w:szCs w:val="15"/>
                <w:color w:val="auto"/>
              </w:rPr>
              <w:t>(3)</w:t>
            </w:r>
          </w:p>
        </w:tc>
        <w:tc>
          <w:tcPr>
            <w:tcW w:w="9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FF0FC"/>
          </w:tcPr>
          <w:p>
            <w:pPr>
              <w:spacing w:after="0"/>
              <w:rPr>
                <w:sz w:val="19"/>
                <w:szCs w:val="19"/>
                <w:color w:val="auto"/>
              </w:rPr>
            </w:pPr>
          </w:p>
        </w:tc>
      </w:tr>
      <w:tr>
        <w:trPr>
          <w:trHeight w:val="223"/>
        </w:trPr>
        <w:tc>
          <w:tcPr>
            <w:tcW w:w="4260" w:type="dxa"/>
            <w:vAlign w:val="bottom"/>
          </w:tcPr>
          <w:p>
            <w:pPr>
              <w:ind w:left="26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7,938</w:t>
            </w:r>
          </w:p>
        </w:tc>
        <w:tc>
          <w:tcPr>
            <w:tcW w:w="10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40" w:right="180" w:hanging="532"/>
        <w:spacing w:after="0" w:line="287" w:lineRule="auto"/>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lease our facility under a non-cancelable operating lease. In January 2013, we entered into a lease for our current laboratory and office space that commenced in October 2013 and expired in October 2018. In March 2016, we entered into a lease amendment that extended the lease term to October 2023. The minimum lease payments above do not include any related common area maintenance charges or real estate taxes.</w:t>
      </w:r>
    </w:p>
    <w:p>
      <w:pPr>
        <w:spacing w:after="0" w:line="2" w:lineRule="exact"/>
        <w:rPr>
          <w:rFonts w:ascii="Arial" w:cs="Arial" w:eastAsia="Arial" w:hAnsi="Arial"/>
          <w:sz w:val="16"/>
          <w:szCs w:val="16"/>
          <w:color w:val="auto"/>
        </w:rPr>
      </w:pPr>
    </w:p>
    <w:p>
      <w:pPr>
        <w:ind w:left="540" w:right="80" w:hanging="532"/>
        <w:spacing w:after="0" w:line="265" w:lineRule="auto"/>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have entered into service agreements with a third-party CMO, pursuant to which the CMO agreed to perform activities in connection with the manufacturing process of certain compounds. Such agreements, and related amendments, state that planned activities that are included in some signed work orders are, in some cases, binding and, hence, obligate us to pay the full price of the work order upon satisfactory delivery of products and services. Per the terms of the agreements, we have the option to cancel signed orders at any time upon written notice, which may or may not be subject to payment of a cancellation fee depending on the timing of the written notice in relation to the commencement date of the work, with the maximum cancellation fee equal to the full price of the work order. Although the payment of the cancellation fee will generally be due at the scheduled commencement date, we may record the manufacturing expense and related obligation as an accrued liability at the time of cancellation. In the normal course of business, we have entered into purchase commitments to support research and development activities that cannot be terminated without incurring cancellation fees. The level of cancellation fees may vary and are generally based on the passage of time within a 12-month period.</w:t>
      </w:r>
    </w:p>
    <w:p>
      <w:pPr>
        <w:spacing w:after="0" w:line="1" w:lineRule="exact"/>
        <w:rPr>
          <w:rFonts w:ascii="Arial" w:cs="Arial" w:eastAsia="Arial" w:hAnsi="Arial"/>
          <w:sz w:val="17"/>
          <w:szCs w:val="17"/>
          <w:color w:val="auto"/>
        </w:rPr>
      </w:pPr>
    </w:p>
    <w:p>
      <w:pPr>
        <w:ind w:left="540" w:hanging="532"/>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have tenant improvement obligations under our facilities lease agreements, which are required to be paid over the contractually agreed period.</w:t>
      </w:r>
    </w:p>
    <w:p>
      <w:pPr>
        <w:spacing w:after="0" w:line="126" w:lineRule="exact"/>
        <w:rPr>
          <w:sz w:val="20"/>
          <w:szCs w:val="20"/>
          <w:color w:val="auto"/>
        </w:rPr>
      </w:pPr>
    </w:p>
    <w:p>
      <w:pPr>
        <w:ind w:right="360" w:firstLine="541"/>
        <w:spacing w:after="0" w:line="286" w:lineRule="auto"/>
        <w:rPr>
          <w:sz w:val="20"/>
          <w:szCs w:val="20"/>
          <w:color w:val="auto"/>
        </w:rPr>
      </w:pPr>
      <w:r>
        <w:rPr>
          <w:rFonts w:ascii="Arial" w:cs="Arial" w:eastAsia="Arial" w:hAnsi="Arial"/>
          <w:sz w:val="17"/>
          <w:szCs w:val="17"/>
          <w:color w:val="auto"/>
        </w:rPr>
        <w:t>We enter into contracts in the normal course of business with third party contract organizations for preclinical and clinical studies and testing, manufacturing, and providing other services and products for operating purposes. These contracts generally provide for termination following a certain period after notice, and therefore we believe that our non-cancelable obligations under these agreements are not 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80" w:firstLine="541"/>
        <w:spacing w:after="0" w:line="254" w:lineRule="auto"/>
        <w:rPr>
          <w:sz w:val="20"/>
          <w:szCs w:val="20"/>
          <w:color w:val="auto"/>
        </w:rPr>
      </w:pPr>
      <w:r>
        <w:rPr>
          <w:rFonts w:ascii="Arial" w:cs="Arial" w:eastAsia="Arial" w:hAnsi="Arial"/>
          <w:sz w:val="18"/>
          <w:szCs w:val="18"/>
          <w:color w:val="auto"/>
        </w:rPr>
        <w:t>Our consolidated financial statements have been prepared in accordance with U.S. generally accepted accounting principles, or GAAP. The preparation of these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w:t>
      </w:r>
    </w:p>
    <w:p>
      <w:pPr>
        <w:spacing w:after="0" w:line="117" w:lineRule="exact"/>
        <w:rPr>
          <w:sz w:val="20"/>
          <w:szCs w:val="20"/>
          <w:color w:val="auto"/>
        </w:rPr>
      </w:pPr>
    </w:p>
    <w:p>
      <w:pPr>
        <w:ind w:right="20" w:firstLine="541"/>
        <w:spacing w:after="0" w:line="291" w:lineRule="auto"/>
        <w:rPr>
          <w:sz w:val="20"/>
          <w:szCs w:val="20"/>
          <w:color w:val="auto"/>
        </w:rPr>
      </w:pPr>
      <w:r>
        <w:rPr>
          <w:rFonts w:ascii="Arial" w:cs="Arial" w:eastAsia="Arial" w:hAnsi="Arial"/>
          <w:sz w:val="16"/>
          <w:szCs w:val="16"/>
          <w:color w:val="auto"/>
        </w:rPr>
        <w:t>Our preclinical and clinical accruals are a component of research and development expenses and are based on patient enrollment and related costs as well as estimates for the services received and efforts expended pursuant to contracts with multiple research institutions and CROs. We estimate research and development accruals, including preclinical and clinical expenses, based on the level of services performed, progress of the studies, including the phase or completion of events, and contracted costs. The estimated costs of research and development provided, but not yet invoiced, are included in accrued liabilities and other current liabilities on the consolidated balance sheets. If the actual timing of the performance of services or the level of effort varies from the original estimates, we will adjust the accrual accordingly. Payments made to CROs or CMOs under these arrangements in advance of the performance of the related services are recorded as prepaid expenses and other current assets until the services are rendered.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80" w:firstLine="541"/>
        <w:spacing w:after="0" w:line="224" w:lineRule="exact"/>
        <w:rPr>
          <w:sz w:val="20"/>
          <w:szCs w:val="20"/>
          <w:color w:val="auto"/>
        </w:rPr>
      </w:pPr>
      <w:r>
        <w:rPr>
          <w:rFonts w:ascii="Arial" w:cs="Arial" w:eastAsia="Arial" w:hAnsi="Arial"/>
          <w:sz w:val="17"/>
          <w:szCs w:val="17"/>
          <w:color w:val="auto"/>
        </w:rPr>
        <w:t>We measure and recognize compensation expense for all stock</w:t>
      </w:r>
      <w:r>
        <w:rPr>
          <w:rFonts w:ascii="MS PGothic" w:cs="MS PGothic" w:eastAsia="MS PGothic" w:hAnsi="MS PGothic"/>
          <w:sz w:val="17"/>
          <w:szCs w:val="17"/>
          <w:color w:val="auto"/>
        </w:rPr>
        <w:t>‑</w:t>
      </w:r>
      <w:r>
        <w:rPr>
          <w:rFonts w:ascii="Arial" w:cs="Arial" w:eastAsia="Arial" w:hAnsi="Arial"/>
          <w:sz w:val="17"/>
          <w:szCs w:val="17"/>
          <w:color w:val="auto"/>
        </w:rPr>
        <w:t>based awards made to employees, directors and non</w:t>
      </w:r>
      <w:r>
        <w:rPr>
          <w:rFonts w:ascii="MS PGothic" w:cs="MS PGothic" w:eastAsia="MS PGothic" w:hAnsi="MS PGothic"/>
          <w:sz w:val="17"/>
          <w:szCs w:val="17"/>
          <w:color w:val="auto"/>
        </w:rPr>
        <w:t>‑</w:t>
      </w:r>
      <w:r>
        <w:rPr>
          <w:rFonts w:ascii="Arial" w:cs="Arial" w:eastAsia="Arial" w:hAnsi="Arial"/>
          <w:sz w:val="17"/>
          <w:szCs w:val="17"/>
          <w:color w:val="auto"/>
        </w:rPr>
        <w:t>employees, based on estimated fair values of the awards on the grant date and recognized using the straight</w:t>
      </w:r>
      <w:r>
        <w:rPr>
          <w:rFonts w:ascii="MS PGothic" w:cs="MS PGothic" w:eastAsia="MS PGothic" w:hAnsi="MS PGothic"/>
          <w:sz w:val="17"/>
          <w:szCs w:val="17"/>
          <w:color w:val="auto"/>
        </w:rPr>
        <w:t>‑</w:t>
      </w:r>
      <w:r>
        <w:rPr>
          <w:rFonts w:ascii="Arial" w:cs="Arial" w:eastAsia="Arial" w:hAnsi="Arial"/>
          <w:sz w:val="17"/>
          <w:szCs w:val="17"/>
          <w:color w:val="auto"/>
        </w:rPr>
        <w:t>line method over the requisite service period.</w:t>
      </w:r>
    </w:p>
    <w:p>
      <w:pPr>
        <w:spacing w:after="0" w:line="94" w:lineRule="exact"/>
        <w:rPr>
          <w:sz w:val="20"/>
          <w:szCs w:val="20"/>
          <w:color w:val="auto"/>
        </w:rPr>
      </w:pPr>
    </w:p>
    <w:p>
      <w:pPr>
        <w:ind w:left="540"/>
        <w:spacing w:after="0" w:line="196" w:lineRule="exact"/>
        <w:rPr>
          <w:sz w:val="20"/>
          <w:szCs w:val="20"/>
          <w:color w:val="auto"/>
        </w:rPr>
      </w:pPr>
      <w:r>
        <w:rPr>
          <w:rFonts w:ascii="Arial" w:cs="Arial" w:eastAsia="Arial" w:hAnsi="Arial"/>
          <w:sz w:val="17"/>
          <w:szCs w:val="17"/>
          <w:color w:val="auto"/>
        </w:rPr>
        <w:t>The fair value of options is estimated on the grant date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valuation model. The calculation of stock</w:t>
      </w:r>
      <w:r>
        <w:rPr>
          <w:rFonts w:ascii="MS PGothic" w:cs="MS PGothic" w:eastAsia="MS PGothic" w:hAnsi="MS PGothic"/>
          <w:sz w:val="17"/>
          <w:szCs w:val="17"/>
          <w:color w:val="auto"/>
        </w:rPr>
        <w:t>‑</w:t>
      </w:r>
      <w:r>
        <w:rPr>
          <w:rFonts w:ascii="Arial" w:cs="Arial" w:eastAsia="Arial" w:hAnsi="Arial"/>
          <w:sz w:val="17"/>
          <w:szCs w:val="17"/>
          <w:color w:val="auto"/>
        </w:rPr>
        <w:t>based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compensation expense requires that we make certain assumptions and judgments about a number of complex and subjective variables used in the</w:t>
      </w:r>
    </w:p>
    <w:p>
      <w:pPr>
        <w:spacing w:after="0" w:line="2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Black</w:t>
      </w:r>
      <w:r>
        <w:rPr>
          <w:rFonts w:ascii="MS PGothic" w:cs="MS PGothic" w:eastAsia="MS PGothic" w:hAnsi="MS PGothic"/>
          <w:sz w:val="16"/>
          <w:szCs w:val="16"/>
          <w:color w:val="auto"/>
        </w:rPr>
        <w:t>‑</w:t>
      </w:r>
      <w:r>
        <w:rPr>
          <w:rFonts w:ascii="Arial" w:cs="Arial" w:eastAsia="Arial" w:hAnsi="Arial"/>
          <w:sz w:val="16"/>
          <w:szCs w:val="16"/>
          <w:color w:val="auto"/>
        </w:rPr>
        <w:t>Scholes model, including the expected term, expected volatility of the underlying common stock and risk</w:t>
      </w:r>
      <w:r>
        <w:rPr>
          <w:rFonts w:ascii="MS PGothic" w:cs="MS PGothic" w:eastAsia="MS PGothic" w:hAnsi="MS PGothic"/>
          <w:sz w:val="16"/>
          <w:szCs w:val="16"/>
          <w:color w:val="auto"/>
        </w:rPr>
        <w:t>‑</w:t>
      </w:r>
      <w:r>
        <w:rPr>
          <w:rFonts w:ascii="Arial" w:cs="Arial" w:eastAsia="Arial" w:hAnsi="Arial"/>
          <w:sz w:val="16"/>
          <w:szCs w:val="16"/>
          <w:color w:val="auto"/>
        </w:rPr>
        <w:t>free interest rate. Our stock-based awards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either service or performance-based vesting conditions. We evaluate whether achievement of the performance conditions is probable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 expense over the appropriate service period based on this assessment.</w:t>
      </w:r>
    </w:p>
    <w:p>
      <w:pPr>
        <w:spacing w:after="0" w:line="103" w:lineRule="exact"/>
        <w:rPr>
          <w:sz w:val="20"/>
          <w:szCs w:val="20"/>
          <w:color w:val="auto"/>
        </w:rPr>
      </w:pPr>
    </w:p>
    <w:p>
      <w:pPr>
        <w:ind w:right="40" w:firstLine="541"/>
        <w:spacing w:after="0" w:line="277" w:lineRule="auto"/>
        <w:rPr>
          <w:sz w:val="20"/>
          <w:szCs w:val="20"/>
          <w:color w:val="auto"/>
        </w:rPr>
      </w:pPr>
      <w:r>
        <w:rPr>
          <w:rFonts w:ascii="Arial" w:cs="Arial" w:eastAsia="Arial" w:hAnsi="Arial"/>
          <w:sz w:val="18"/>
          <w:szCs w:val="18"/>
          <w:color w:val="auto"/>
        </w:rPr>
        <w:t>Changes in these assumptions can materially affect the fair value and ultimately how much stock-based compensation expense is recognized. These inputs are subjective and generally require significant analysis and judgment to develop.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41"/>
        <w:spacing w:after="0" w:line="275" w:lineRule="auto"/>
        <w:rPr>
          <w:sz w:val="20"/>
          <w:szCs w:val="20"/>
          <w:color w:val="auto"/>
        </w:rPr>
      </w:pPr>
      <w:r>
        <w:rPr>
          <w:rFonts w:ascii="Arial" w:cs="Arial" w:eastAsia="Arial" w:hAnsi="Arial"/>
          <w:sz w:val="17"/>
          <w:szCs w:val="17"/>
          <w:color w:val="auto"/>
        </w:rPr>
        <w:t>We provide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bases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of the tax benefits will not be realized.</w:t>
      </w:r>
    </w:p>
    <w:p>
      <w:pPr>
        <w:spacing w:after="0" w:line="68" w:lineRule="exact"/>
        <w:rPr>
          <w:sz w:val="20"/>
          <w:szCs w:val="20"/>
          <w:color w:val="auto"/>
        </w:rPr>
      </w:pPr>
    </w:p>
    <w:p>
      <w:pPr>
        <w:ind w:right="180" w:firstLine="541"/>
        <w:spacing w:after="0" w:line="311" w:lineRule="auto"/>
        <w:rPr>
          <w:sz w:val="20"/>
          <w:szCs w:val="20"/>
          <w:color w:val="auto"/>
        </w:rPr>
      </w:pPr>
      <w:r>
        <w:rPr>
          <w:rFonts w:ascii="Arial" w:cs="Arial" w:eastAsia="Arial" w:hAnsi="Arial"/>
          <w:sz w:val="16"/>
          <w:szCs w:val="16"/>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w:t>
      </w:r>
    </w:p>
    <w:p>
      <w:pPr>
        <w:spacing w:after="0" w:line="41" w:lineRule="exact"/>
        <w:rPr>
          <w:sz w:val="20"/>
          <w:szCs w:val="20"/>
          <w:color w:val="auto"/>
        </w:rPr>
      </w:pPr>
    </w:p>
    <w:p>
      <w:pPr>
        <w:ind w:right="60" w:firstLine="541"/>
        <w:spacing w:after="0" w:line="275" w:lineRule="auto"/>
        <w:rPr>
          <w:sz w:val="20"/>
          <w:szCs w:val="20"/>
          <w:color w:val="auto"/>
        </w:rPr>
      </w:pPr>
      <w:r>
        <w:rPr>
          <w:rFonts w:ascii="Arial" w:cs="Arial" w:eastAsia="Arial" w:hAnsi="Arial"/>
          <w:sz w:val="17"/>
          <w:szCs w:val="17"/>
          <w:color w:val="auto"/>
        </w:rPr>
        <w:t>As of each balance sheet date, unresolved uncertain tax positions must be reassessed, and we will determine whether (1) the factors underlying the sustainability assertion have changed and (2) the amount of the recognized tax benefit is still appropriate. The recognition and measurement of tax benefits requires significant judgment. Judgments concerning the recognition and measurement of a tax benefit might change as new information becomes available.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68" w:lineRule="exact"/>
        <w:rPr>
          <w:sz w:val="20"/>
          <w:szCs w:val="20"/>
          <w:color w:val="auto"/>
        </w:rPr>
      </w:pPr>
    </w:p>
    <w:p>
      <w:pPr>
        <w:ind w:firstLine="541"/>
        <w:spacing w:after="0" w:line="293" w:lineRule="auto"/>
        <w:rPr>
          <w:sz w:val="20"/>
          <w:szCs w:val="20"/>
          <w:color w:val="auto"/>
        </w:rPr>
      </w:pPr>
      <w:r>
        <w:rPr>
          <w:rFonts w:ascii="Arial" w:cs="Arial" w:eastAsia="Arial" w:hAnsi="Arial"/>
          <w:sz w:val="16"/>
          <w:szCs w:val="16"/>
          <w:color w:val="auto"/>
        </w:rPr>
        <w:t>Net operating loss carryforwards, or NOLs, and tax credit carryforwards are subject to review and possible adjustment by the Internal Revenue Service, or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our value immediately prior to the ownership change. Subsequent ownership changes may further affect the limitation in future years. We have completed a Section 382 study through December 31, 2019 which concluded no such ownership change had occurred through December 31, 2019.</w:t>
      </w:r>
    </w:p>
    <w:p>
      <w:pPr>
        <w:spacing w:after="0" w:line="56" w:lineRule="exact"/>
        <w:rPr>
          <w:sz w:val="20"/>
          <w:szCs w:val="20"/>
          <w:color w:val="auto"/>
        </w:rPr>
      </w:pPr>
    </w:p>
    <w:p>
      <w:pPr>
        <w:ind w:right="720" w:firstLine="541"/>
        <w:spacing w:after="0" w:line="342" w:lineRule="auto"/>
        <w:rPr>
          <w:sz w:val="20"/>
          <w:szCs w:val="20"/>
          <w:color w:val="auto"/>
        </w:rPr>
      </w:pPr>
      <w:r>
        <w:rPr>
          <w:rFonts w:ascii="Arial" w:cs="Arial" w:eastAsia="Arial" w:hAnsi="Arial"/>
          <w:sz w:val="16"/>
          <w:szCs w:val="16"/>
          <w:color w:val="auto"/>
        </w:rPr>
        <w:t>As of December 31, 2019 and 2018, we had unrecognized tax benefits, all of which would affect income tax expense if recognized, before consideration of our valuation allowance. We do not expect that our uncertain tax positions will materially change in the next twelve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Since our inception, we have not engaged in any off-balance sheet arrangements, as defined in the rules and regulations of the SEC.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140" w:firstLine="541"/>
        <w:spacing w:after="0" w:line="273" w:lineRule="auto"/>
        <w:rPr>
          <w:sz w:val="20"/>
          <w:szCs w:val="20"/>
          <w:color w:val="auto"/>
        </w:rPr>
      </w:pPr>
      <w:r>
        <w:rPr>
          <w:rFonts w:ascii="Arial" w:cs="Arial" w:eastAsia="Arial" w:hAnsi="Arial"/>
          <w:sz w:val="17"/>
          <w:szCs w:val="17"/>
          <w:color w:val="auto"/>
        </w:rPr>
        <w:t>The Jumpstart Our Business Startups Act of 2012, or JOBS Act, permits an “emerging growth company” such as us to take advantage of an extended transition period to comply with new or revised accounting standards applicable to public companies until such pronouncements are made applicable to private companies, unless we otherwise irrevocably elect not to avail ourselves of this exemption. However, we have chosen to irrevocably “opt out”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541"/>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discussed under Note 2 to our consolidated financial statements included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21" w:lineRule="exact"/>
        <w:rPr>
          <w:sz w:val="20"/>
          <w:szCs w:val="20"/>
          <w:color w:val="auto"/>
        </w:rPr>
      </w:pPr>
    </w:p>
    <w:p>
      <w:pPr>
        <w:ind w:right="40" w:firstLine="541"/>
        <w:spacing w:after="0" w:line="255" w:lineRule="auto"/>
        <w:rPr>
          <w:sz w:val="20"/>
          <w:szCs w:val="20"/>
          <w:color w:val="auto"/>
        </w:rPr>
      </w:pPr>
      <w:r>
        <w:rPr>
          <w:rFonts w:ascii="Arial" w:cs="Arial" w:eastAsia="Arial" w:hAnsi="Arial"/>
          <w:sz w:val="18"/>
          <w:szCs w:val="18"/>
          <w:color w:val="auto"/>
        </w:rPr>
        <w:t>We are exposed to market risk related to changes in interest rates. As of December 31, 2019, we had cash, cash equivalents and marketable securities of $348.2 million, primarily invested in money market funds, overnight repurchase agreements, U.S. treasury securities, commercial paper and corporate notes. As of December 31, 2018, we had cash and cash equivalents of $88.3 million, invested in money market funds. Changes in the general level of interest rates can affect the fair value of our investment portfolio. If market interest rates were to increase immediately and uniformly by 100 basis points, or one percentage point, from levels at December 31, 2019, the net fair value of our interest-sensitive marketable securities would have resulted in a hypothetical decline of $0.9 million.</w:t>
      </w:r>
    </w:p>
    <w:p>
      <w:pPr>
        <w:spacing w:after="0" w:line="84" w:lineRule="exact"/>
        <w:rPr>
          <w:sz w:val="20"/>
          <w:szCs w:val="20"/>
          <w:color w:val="auto"/>
        </w:rPr>
      </w:pPr>
    </w:p>
    <w:p>
      <w:pPr>
        <w:ind w:right="380" w:firstLine="541"/>
        <w:spacing w:after="0" w:line="277" w:lineRule="auto"/>
        <w:rPr>
          <w:sz w:val="20"/>
          <w:szCs w:val="20"/>
          <w:color w:val="auto"/>
        </w:rPr>
      </w:pPr>
      <w:r>
        <w:rPr>
          <w:rFonts w:ascii="Arial" w:cs="Arial" w:eastAsia="Arial" w:hAnsi="Arial"/>
          <w:sz w:val="18"/>
          <w:szCs w:val="18"/>
          <w:color w:val="auto"/>
        </w:rPr>
        <w:t>We do not believe that other market risks, like foreign currency exchange rate risk, had a significant impact on our results of operations for any periods presented herein.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946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0" w:type="dxa"/>
            <w:vAlign w:val="bottom"/>
          </w:tcPr>
          <w:p>
            <w:pPr>
              <w:spacing w:after="0"/>
              <w:rPr>
                <w:sz w:val="20"/>
                <w:szCs w:val="20"/>
                <w:color w:val="auto"/>
              </w:rPr>
            </w:pPr>
          </w:p>
        </w:tc>
      </w:tr>
      <w:tr>
        <w:trPr>
          <w:trHeight w:val="648"/>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00" w:type="dxa"/>
            <w:vAlign w:val="bottom"/>
            <w:gridSpan w:val="4"/>
          </w:tcPr>
          <w:p>
            <w:pPr>
              <w:ind w:left="12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4"/>
                <w:szCs w:val="24"/>
                <w:color w:val="auto"/>
              </w:rPr>
            </w:pPr>
          </w:p>
        </w:tc>
      </w:tr>
      <w:tr>
        <w:trPr>
          <w:trHeight w:val="391"/>
        </w:trPr>
        <w:tc>
          <w:tcPr>
            <w:tcW w:w="9460" w:type="dxa"/>
            <w:vAlign w:val="bottom"/>
            <w:gridSpan w:val="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2"/>
        </w:trPr>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Consolidated Financial Statements</w:t>
            </w:r>
          </w:p>
        </w:tc>
        <w:tc>
          <w:tcPr>
            <w:tcW w:w="5240" w:type="dxa"/>
            <w:vAlign w:val="bottom"/>
            <w:gridSpan w:val="3"/>
          </w:tcPr>
          <w:p>
            <w:pPr>
              <w:spacing w:after="0"/>
              <w:rPr>
                <w:sz w:val="19"/>
                <w:szCs w:val="19"/>
                <w:color w:val="auto"/>
              </w:rPr>
            </w:pPr>
          </w:p>
        </w:tc>
        <w:tc>
          <w:tcPr>
            <w:tcW w:w="1800" w:type="dxa"/>
            <w:vAlign w:val="bottom"/>
          </w:tcPr>
          <w:p>
            <w:pPr>
              <w:spacing w:after="0"/>
              <w:rPr>
                <w:sz w:val="19"/>
                <w:szCs w:val="19"/>
                <w:color w:val="auto"/>
              </w:rPr>
            </w:pPr>
          </w:p>
        </w:tc>
      </w:tr>
      <w:tr>
        <w:trPr>
          <w:trHeight w:val="190"/>
        </w:trPr>
        <w:tc>
          <w:tcPr>
            <w:tcW w:w="2100" w:type="dxa"/>
            <w:vAlign w:val="bottom"/>
            <w:tcBorders>
              <w:bottom w:val="single" w:sz="8" w:color="0000EE"/>
            </w:tcBorders>
          </w:tcPr>
          <w:p>
            <w:pPr>
              <w:spacing w:after="0" w:line="190"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Consolidated Balance Sheets</w:t>
              </w:r>
            </w:hyperlink>
          </w:p>
        </w:tc>
        <w:tc>
          <w:tcPr>
            <w:tcW w:w="7360" w:type="dxa"/>
            <w:vAlign w:val="bottom"/>
            <w:gridSpan w:val="6"/>
          </w:tcPr>
          <w:p>
            <w:pPr>
              <w:spacing w:after="0"/>
              <w:rPr>
                <w:sz w:val="16"/>
                <w:szCs w:val="16"/>
                <w:color w:val="auto"/>
              </w:rPr>
            </w:pPr>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116</w:t>
            </w:r>
          </w:p>
        </w:tc>
      </w:tr>
      <w:tr>
        <w:trPr>
          <w:trHeight w:val="196"/>
        </w:trPr>
        <w:tc>
          <w:tcPr>
            <w:tcW w:w="9460" w:type="dxa"/>
            <w:vAlign w:val="bottom"/>
            <w:gridSpan w:val="7"/>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Consolidated Statements of Operations and Comprehensive Loss</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460" w:type="dxa"/>
            <w:vAlign w:val="bottom"/>
            <w:gridSpan w:val="7"/>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Consolidated Statements of Redeemable Convertible Preferred Stock and Stockholders’ Equity (Deficit)</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23">
              <w:r>
                <w:rPr>
                  <w:rFonts w:ascii="Arial" w:cs="Arial" w:eastAsia="Arial" w:hAnsi="Arial"/>
                  <w:sz w:val="18"/>
                  <w:szCs w:val="18"/>
                  <w:color w:val="0000EE"/>
                  <w:w w:val="89"/>
                </w:rPr>
                <w:t>Consolidated Statements of Cash Flows</w:t>
              </w:r>
            </w:hyperlink>
          </w:p>
        </w:tc>
        <w:tc>
          <w:tcPr>
            <w:tcW w:w="4640" w:type="dxa"/>
            <w:vAlign w:val="bottom"/>
            <w:tcBorders>
              <w:top w:val="single" w:sz="8" w:color="0000EE"/>
            </w:tcBorders>
            <w:gridSpan w:val="4"/>
          </w:tcPr>
          <w:p>
            <w:pPr>
              <w:spacing w:after="0"/>
              <w:rPr>
                <w:sz w:val="17"/>
                <w:szCs w:val="17"/>
                <w:color w:val="auto"/>
              </w:rPr>
            </w:pPr>
          </w:p>
        </w:tc>
        <w:tc>
          <w:tcPr>
            <w:tcW w:w="194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Notes to Consolidated Financial Statements</w:t>
              </w:r>
            </w:hyperlink>
          </w:p>
        </w:tc>
        <w:tc>
          <w:tcPr>
            <w:tcW w:w="630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669"/>
        </w:trPr>
        <w:tc>
          <w:tcPr>
            <w:tcW w:w="7520" w:type="dxa"/>
            <w:vAlign w:val="bottom"/>
            <w:gridSpan w:val="6"/>
          </w:tcPr>
          <w:p>
            <w:pPr>
              <w:ind w:left="5500"/>
              <w:spacing w:after="0"/>
              <w:rPr>
                <w:sz w:val="20"/>
                <w:szCs w:val="20"/>
                <w:color w:val="auto"/>
              </w:rPr>
            </w:pPr>
            <w:r>
              <w:rPr>
                <w:rFonts w:ascii="Arial" w:cs="Arial" w:eastAsia="Arial" w:hAnsi="Arial"/>
                <w:sz w:val="18"/>
                <w:szCs w:val="18"/>
                <w:color w:val="auto"/>
              </w:rPr>
              <w:t>114</w:t>
            </w:r>
          </w:p>
        </w:tc>
        <w:tc>
          <w:tcPr>
            <w:tcW w:w="19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8" w:name="page119"/>
    <w:bookmarkEnd w:id="11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Kodiak Sciences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Kodiak Sciences Inc. and its subsidiaries (the “Company”) as of December 31, 2019 and 2018, and the related consolidated statements of operations and comprehensive loss, of redeemable convertible preferred stock and stockholders' equity (deficit) and of cash flows for each of the three years in the period ended December 31, 2019,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6520" w:type="dxa"/>
            <w:vAlign w:val="bottom"/>
            <w:tcBorders>
              <w:bottom w:val="single" w:sz="8" w:color="CFF0FC"/>
            </w:tcBorders>
          </w:tcPr>
          <w:p>
            <w:pPr>
              <w:spacing w:after="0"/>
              <w:rPr>
                <w:sz w:val="20"/>
                <w:szCs w:val="20"/>
                <w:color w:val="auto"/>
              </w:rPr>
            </w:pPr>
          </w:p>
        </w:tc>
        <w:tc>
          <w:tcPr>
            <w:tcW w:w="120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Current assets: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211,797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88,254</w:t>
            </w: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124,684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20" w:type="dxa"/>
            <w:vAlign w:val="bottom"/>
            <w:shd w:val="clear" w:color="auto" w:fill="CFF0FC"/>
          </w:tcPr>
          <w:p>
            <w:pPr>
              <w:spacing w:after="0"/>
              <w:rPr>
                <w:sz w:val="19"/>
                <w:szCs w:val="19"/>
                <w:color w:val="auto"/>
              </w:rPr>
            </w:pPr>
          </w:p>
        </w:tc>
      </w:tr>
      <w:tr>
        <w:trPr>
          <w:trHeight w:val="223"/>
        </w:trPr>
        <w:tc>
          <w:tcPr>
            <w:tcW w:w="65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339,230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90,449</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Restricted cash</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1,790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5,014</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120" w:type="dxa"/>
            <w:vAlign w:val="bottom"/>
            <w:shd w:val="clear" w:color="auto" w:fill="CFF0FC"/>
          </w:tcPr>
          <w:p>
            <w:pPr>
              <w:spacing w:after="0"/>
              <w:rPr>
                <w:sz w:val="19"/>
                <w:szCs w:val="19"/>
                <w:color w:val="auto"/>
              </w:rPr>
            </w:pPr>
          </w:p>
        </w:tc>
      </w:tr>
      <w:tr>
        <w:trPr>
          <w:trHeight w:val="263"/>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120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358,866</w:t>
            </w:r>
          </w:p>
        </w:tc>
        <w:tc>
          <w:tcPr>
            <w:tcW w:w="30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92,189</w:t>
            </w:r>
          </w:p>
        </w:tc>
        <w:tc>
          <w:tcPr>
            <w:tcW w:w="120" w:type="dxa"/>
            <w:vAlign w:val="bottom"/>
            <w:tcBorders>
              <w:bottom w:val="single" w:sz="8" w:color="CFF0FC"/>
            </w:tcBorders>
          </w:tcPr>
          <w:p>
            <w:pPr>
              <w:spacing w:after="0"/>
              <w:rPr>
                <w:sz w:val="22"/>
                <w:szCs w:val="22"/>
                <w:color w:val="auto"/>
              </w:rPr>
            </w:pPr>
          </w:p>
        </w:tc>
      </w:tr>
      <w:tr>
        <w:trPr>
          <w:trHeight w:val="210"/>
        </w:trPr>
        <w:tc>
          <w:tcPr>
            <w:tcW w:w="65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2,619</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r>
      <w:tr>
        <w:trPr>
          <w:trHeight w:val="229"/>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8,658</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w:t>
            </w:r>
          </w:p>
        </w:tc>
        <w:tc>
          <w:tcPr>
            <w:tcW w:w="120" w:type="dxa"/>
            <w:vAlign w:val="bottom"/>
            <w:shd w:val="clear" w:color="auto" w:fill="CFF0FC"/>
          </w:tcPr>
          <w:p>
            <w:pPr>
              <w:spacing w:after="0"/>
              <w:rPr>
                <w:sz w:val="19"/>
                <w:szCs w:val="19"/>
                <w:color w:val="auto"/>
              </w:rPr>
            </w:pPr>
          </w:p>
        </w:tc>
      </w:tr>
      <w:tr>
        <w:trPr>
          <w:trHeight w:val="230"/>
        </w:trPr>
        <w:tc>
          <w:tcPr>
            <w:tcW w:w="652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11,711</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FF0FC"/>
          </w:tcPr>
          <w:p>
            <w:pPr>
              <w:spacing w:after="0"/>
              <w:rPr>
                <w:sz w:val="19"/>
                <w:szCs w:val="19"/>
                <w:color w:val="auto"/>
              </w:rPr>
            </w:pPr>
          </w:p>
        </w:tc>
      </w:tr>
      <w:tr>
        <w:trPr>
          <w:trHeight w:val="223"/>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13,507</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120" w:type="dxa"/>
            <w:vAlign w:val="bottom"/>
            <w:tcBorders>
              <w:bottom w:val="single" w:sz="8" w:color="CFF0FC"/>
            </w:tcBorders>
          </w:tcPr>
          <w:p>
            <w:pPr>
              <w:spacing w:after="0"/>
              <w:rPr>
                <w:sz w:val="19"/>
                <w:szCs w:val="19"/>
                <w:color w:val="auto"/>
              </w:rPr>
            </w:pPr>
          </w:p>
        </w:tc>
      </w:tr>
      <w:tr>
        <w:trPr>
          <w:trHeight w:val="223"/>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Stockholders’ equity:</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5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 shares authorized;</w:t>
            </w: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0 shares issued and outstanding at December 31, 2019 and 2018</w:t>
            </w:r>
          </w:p>
        </w:tc>
        <w:tc>
          <w:tcPr>
            <w:tcW w:w="1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260"/>
              <w:spacing w:after="0"/>
              <w:rPr>
                <w:sz w:val="20"/>
                <w:szCs w:val="20"/>
                <w:color w:val="auto"/>
              </w:rPr>
            </w:pPr>
            <w:r>
              <w:rPr>
                <w:rFonts w:ascii="Arial" w:cs="Arial" w:eastAsia="Arial" w:hAnsi="Arial"/>
                <w:sz w:val="18"/>
                <w:szCs w:val="18"/>
                <w:color w:val="auto"/>
              </w:rPr>
              <w:t>Common stock, $0.0001 par value, 490,000,000 shares authorized at</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520" w:type="dxa"/>
            <w:vAlign w:val="bottom"/>
          </w:tcPr>
          <w:p>
            <w:pPr>
              <w:ind w:left="380"/>
              <w:spacing w:after="0"/>
              <w:rPr>
                <w:sz w:val="20"/>
                <w:szCs w:val="20"/>
                <w:color w:val="auto"/>
              </w:rPr>
            </w:pPr>
            <w:r>
              <w:rPr>
                <w:rFonts w:ascii="Arial" w:cs="Arial" w:eastAsia="Arial" w:hAnsi="Arial"/>
                <w:sz w:val="18"/>
                <w:szCs w:val="18"/>
                <w:color w:val="auto"/>
              </w:rPr>
              <w:t>December 31, 2019 and 2018; 44,413,404 and 36,829,857 shares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6520" w:type="dxa"/>
            <w:vAlign w:val="bottom"/>
          </w:tcPr>
          <w:p>
            <w:pPr>
              <w:ind w:left="380"/>
              <w:spacing w:after="0"/>
              <w:rPr>
                <w:sz w:val="20"/>
                <w:szCs w:val="20"/>
                <w:color w:val="auto"/>
              </w:rPr>
            </w:pPr>
            <w:r>
              <w:rPr>
                <w:rFonts w:ascii="Arial" w:cs="Arial" w:eastAsia="Arial" w:hAnsi="Arial"/>
                <w:sz w:val="18"/>
                <w:szCs w:val="18"/>
                <w:color w:val="auto"/>
              </w:rPr>
              <w:t>issued and outstanding at December 31, 2019 and 2018, respectively</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503,475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197,595</w:t>
            </w:r>
          </w:p>
        </w:tc>
        <w:tc>
          <w:tcPr>
            <w:tcW w:w="120" w:type="dxa"/>
            <w:vAlign w:val="bottom"/>
            <w:shd w:val="clear" w:color="auto" w:fill="CFF0FC"/>
          </w:tcPr>
          <w:p>
            <w:pPr>
              <w:spacing w:after="0"/>
              <w:rPr>
                <w:sz w:val="19"/>
                <w:szCs w:val="19"/>
                <w:color w:val="auto"/>
              </w:rPr>
            </w:pPr>
          </w:p>
        </w:tc>
      </w:tr>
      <w:tr>
        <w:trPr>
          <w:trHeight w:val="229"/>
        </w:trPr>
        <w:tc>
          <w:tcPr>
            <w:tcW w:w="652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(158,131)</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(110,766)</w:t>
            </w:r>
          </w:p>
        </w:tc>
      </w:tr>
      <w:tr>
        <w:trPr>
          <w:trHeight w:val="223"/>
        </w:trPr>
        <w:tc>
          <w:tcPr>
            <w:tcW w:w="65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12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345,359</w:t>
            </w:r>
          </w:p>
        </w:tc>
        <w:tc>
          <w:tcPr>
            <w:tcW w:w="3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86,833</w:t>
            </w:r>
          </w:p>
        </w:tc>
        <w:tc>
          <w:tcPr>
            <w:tcW w:w="120" w:type="dxa"/>
            <w:vAlign w:val="bottom"/>
            <w:tcBorders>
              <w:bottom w:val="single" w:sz="8" w:color="CFF0FC"/>
            </w:tcBorders>
          </w:tcPr>
          <w:p>
            <w:pPr>
              <w:spacing w:after="0"/>
              <w:rPr>
                <w:sz w:val="19"/>
                <w:szCs w:val="19"/>
                <w:color w:val="auto"/>
              </w:rPr>
            </w:pPr>
          </w:p>
        </w:tc>
      </w:tr>
      <w:tr>
        <w:trPr>
          <w:trHeight w:val="223"/>
        </w:trPr>
        <w:tc>
          <w:tcPr>
            <w:tcW w:w="6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1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358,866</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92,189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572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37,506</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18,793</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11,684</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7,581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49,190</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(includes $0, $3,030 and $914 attributable to</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related parties for the years ended December 31, 2019, 2018</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2017, respectively)</w:t>
            </w: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(5,519)</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15"/>
        </w:trPr>
        <w:tc>
          <w:tcPr>
            <w:tcW w:w="5720" w:type="dxa"/>
            <w:vAlign w:val="bottom"/>
          </w:tcPr>
          <w:p>
            <w:pPr>
              <w:ind w:left="260"/>
              <w:spacing w:after="0"/>
              <w:rPr>
                <w:sz w:val="20"/>
                <w:szCs w:val="20"/>
                <w:color w:val="auto"/>
              </w:rPr>
            </w:pPr>
            <w:r>
              <w:rPr>
                <w:rFonts w:ascii="Arial" w:cs="Arial" w:eastAsia="Arial" w:hAnsi="Arial"/>
                <w:sz w:val="18"/>
                <w:szCs w:val="18"/>
                <w:color w:val="auto"/>
              </w:rPr>
              <w:t>Other income (expense), net (includes $0, $2,736 and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80"/>
              <w:spacing w:after="0"/>
              <w:rPr>
                <w:sz w:val="20"/>
                <w:szCs w:val="20"/>
                <w:color w:val="auto"/>
              </w:rPr>
            </w:pPr>
            <w:r>
              <w:rPr>
                <w:rFonts w:ascii="Arial" w:cs="Arial" w:eastAsia="Arial" w:hAnsi="Arial"/>
                <w:sz w:val="18"/>
                <w:szCs w:val="18"/>
                <w:color w:val="auto"/>
              </w:rPr>
              <w:t>$1,008 attributable to related parties for the years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ind w:left="380"/>
              <w:spacing w:after="0"/>
              <w:rPr>
                <w:sz w:val="20"/>
                <w:szCs w:val="20"/>
                <w:color w:val="auto"/>
              </w:rPr>
            </w:pPr>
            <w:r>
              <w:rPr>
                <w:rFonts w:ascii="Arial" w:cs="Arial" w:eastAsia="Arial" w:hAnsi="Arial"/>
                <w:sz w:val="18"/>
                <w:szCs w:val="18"/>
                <w:color w:val="auto"/>
              </w:rPr>
              <w:t>December 31, 2019, 2018 and 2017, respectively)</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15"/>
        </w:trPr>
        <w:tc>
          <w:tcPr>
            <w:tcW w:w="5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extinguishment of debt (includes $1,587 attributable to</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related parties for the year ended December 31, 2018)</w:t>
            </w: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(5,479)</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92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(47,365)</w:t>
            </w:r>
          </w:p>
        </w:tc>
        <w:tc>
          <w:tcPr>
            <w:tcW w:w="2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(41,443)</w:t>
            </w: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basic and diluted</w:t>
            </w: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Weighted-average common shares outstanding used in computing</w:t>
            </w: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net loss per common share, basic and diluted</w:t>
            </w:r>
          </w:p>
        </w:tc>
        <w:tc>
          <w:tcPr>
            <w:tcW w:w="9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37,853,616</w:t>
            </w:r>
          </w:p>
        </w:tc>
        <w:tc>
          <w:tcPr>
            <w:tcW w:w="28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14,976,515</w:t>
            </w:r>
          </w:p>
        </w:tc>
        <w:tc>
          <w:tcPr>
            <w:tcW w:w="2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7,515,336</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20" w:type="dxa"/>
            <w:vAlign w:val="bottom"/>
          </w:tcPr>
          <w:p>
            <w:pPr>
              <w:ind w:left="260"/>
              <w:spacing w:after="0"/>
              <w:rPr>
                <w:sz w:val="20"/>
                <w:szCs w:val="20"/>
                <w:color w:val="auto"/>
              </w:rPr>
            </w:pPr>
            <w:r>
              <w:rPr>
                <w:rFonts w:ascii="Arial" w:cs="Arial" w:eastAsia="Arial" w:hAnsi="Arial"/>
                <w:sz w:val="18"/>
                <w:szCs w:val="18"/>
                <w:color w:val="auto"/>
              </w:rPr>
              <w:t>Change in unrealized gains related to available-for-sale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debt securities, net of tax</w:t>
            </w:r>
          </w:p>
        </w:tc>
        <w:tc>
          <w:tcPr>
            <w:tcW w:w="9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comprehensive income</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Comprehensive loss</w:t>
            </w:r>
          </w:p>
        </w:tc>
        <w:tc>
          <w:tcPr>
            <w:tcW w:w="9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(47,355)</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(41,443)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ectPr>
          <w:pgSz w:w="11900" w:h="16838" w:orient="portrait"/>
          <w:cols w:equalWidth="0" w:num="1">
            <w:col w:w="11220"/>
          </w:cols>
          <w:pgMar w:left="320" w:top="121" w:right="359" w:bottom="1440" w:gutter="0" w:footer="0" w:header="0"/>
        </w:sectPr>
      </w:pP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8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w w:val="89"/>
              </w:rPr>
              <w:t>Redeemable</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80" w:type="dxa"/>
            <w:vAlign w:val="bottom"/>
            <w:gridSpan w:val="4"/>
          </w:tcPr>
          <w:p>
            <w:pPr>
              <w:jc w:val="center"/>
              <w:ind w:left="388"/>
              <w:spacing w:after="0" w:line="149" w:lineRule="exact"/>
              <w:rPr>
                <w:sz w:val="20"/>
                <w:szCs w:val="20"/>
                <w:color w:val="auto"/>
              </w:rPr>
            </w:pPr>
            <w:r>
              <w:rPr>
                <w:rFonts w:ascii="Arial" w:cs="Arial" w:eastAsia="Arial" w:hAnsi="Arial"/>
                <w:sz w:val="14"/>
                <w:szCs w:val="14"/>
                <w:b w:val="1"/>
                <w:bCs w:val="1"/>
                <w:color w:val="auto"/>
                <w:w w:val="96"/>
              </w:rPr>
              <w:t>Convertible</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80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Preferred Stock</w:t>
            </w:r>
          </w:p>
        </w:tc>
        <w:tc>
          <w:tcPr>
            <w:tcW w:w="0" w:type="dxa"/>
            <w:vAlign w:val="bottom"/>
          </w:tcPr>
          <w:p>
            <w:pPr>
              <w:spacing w:after="0"/>
              <w:rPr>
                <w:sz w:val="1"/>
                <w:szCs w:val="1"/>
                <w:color w:val="auto"/>
              </w:rPr>
            </w:pPr>
          </w:p>
        </w:tc>
      </w:tr>
      <w:tr>
        <w:trPr>
          <w:trHeight w:val="156"/>
        </w:trPr>
        <w:tc>
          <w:tcPr>
            <w:tcW w:w="3240" w:type="dxa"/>
            <w:vAlign w:val="bottom"/>
            <w:vMerge w:val="restart"/>
          </w:tcPr>
          <w:p>
            <w:pPr>
              <w:spacing w:after="0"/>
              <w:rPr>
                <w:sz w:val="20"/>
                <w:szCs w:val="20"/>
                <w:color w:val="auto"/>
              </w:rPr>
            </w:pPr>
            <w:r>
              <w:rPr>
                <w:rFonts w:ascii="Arial" w:cs="Arial" w:eastAsia="Arial" w:hAnsi="Arial"/>
                <w:sz w:val="14"/>
                <w:szCs w:val="14"/>
                <w:color w:val="auto"/>
              </w:rPr>
              <w:t>Balance at December 31, 2016</w:t>
            </w:r>
          </w:p>
        </w:tc>
        <w:tc>
          <w:tcPr>
            <w:tcW w:w="1040" w:type="dxa"/>
            <w:vAlign w:val="bottom"/>
            <w:tcBorders>
              <w:top w:val="single" w:sz="8" w:color="auto"/>
            </w:tcBorders>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240" w:type="dxa"/>
            <w:vAlign w:val="bottom"/>
            <w:vMerge w:val="continue"/>
          </w:tcPr>
          <w:p>
            <w:pPr>
              <w:spacing w:after="0"/>
              <w:rPr>
                <w:sz w:val="13"/>
                <w:szCs w:val="13"/>
                <w:color w:val="auto"/>
              </w:rPr>
            </w:pPr>
          </w:p>
        </w:tc>
        <w:tc>
          <w:tcPr>
            <w:tcW w:w="8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12,385,154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50,017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60"/>
              <w:spacing w:after="0" w:line="149" w:lineRule="exact"/>
              <w:rPr>
                <w:sz w:val="20"/>
                <w:szCs w:val="20"/>
                <w:color w:val="auto"/>
              </w:rPr>
            </w:pPr>
            <w:r>
              <w:rPr>
                <w:rFonts w:ascii="Arial" w:cs="Arial" w:eastAsia="Arial" w:hAnsi="Arial"/>
                <w:sz w:val="14"/>
                <w:szCs w:val="14"/>
                <w:color w:val="auto"/>
              </w:rPr>
              <w:t>Issuance of common stock upon</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40" w:type="dxa"/>
            <w:vAlign w:val="bottom"/>
          </w:tcPr>
          <w:p>
            <w:pPr>
              <w:ind w:left="260"/>
              <w:spacing w:after="0"/>
              <w:rPr>
                <w:sz w:val="20"/>
                <w:szCs w:val="20"/>
                <w:color w:val="auto"/>
              </w:rPr>
            </w:pPr>
            <w:r>
              <w:rPr>
                <w:rFonts w:ascii="Arial" w:cs="Arial" w:eastAsia="Arial" w:hAnsi="Arial"/>
                <w:sz w:val="14"/>
                <w:szCs w:val="14"/>
                <w:color w:val="auto"/>
              </w:rPr>
              <w:t>Vesting of early exercised stock options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4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2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3240" w:type="dxa"/>
            <w:vAlign w:val="bottom"/>
          </w:tcPr>
          <w:p>
            <w:pPr>
              <w:spacing w:after="0" w:line="151" w:lineRule="exact"/>
              <w:rPr>
                <w:sz w:val="20"/>
                <w:szCs w:val="20"/>
                <w:color w:val="auto"/>
              </w:rPr>
            </w:pPr>
            <w:r>
              <w:rPr>
                <w:rFonts w:ascii="Arial" w:cs="Arial" w:eastAsia="Arial" w:hAnsi="Arial"/>
                <w:sz w:val="14"/>
                <w:szCs w:val="14"/>
                <w:color w:val="auto"/>
              </w:rPr>
              <w:t>Balance at December 31, 2017</w:t>
            </w:r>
          </w:p>
        </w:tc>
        <w:tc>
          <w:tcPr>
            <w:tcW w:w="8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12,385,154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50,017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60"/>
              <w:spacing w:after="0" w:line="149" w:lineRule="exact"/>
              <w:rPr>
                <w:sz w:val="20"/>
                <w:szCs w:val="20"/>
                <w:color w:val="auto"/>
              </w:rPr>
            </w:pPr>
            <w:r>
              <w:rPr>
                <w:rFonts w:ascii="Arial" w:cs="Arial" w:eastAsia="Arial" w:hAnsi="Arial"/>
                <w:sz w:val="14"/>
                <w:szCs w:val="14"/>
                <w:color w:val="auto"/>
              </w:rPr>
              <w:t>Issuance of common stock upon</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40" w:type="dxa"/>
            <w:vAlign w:val="bottom"/>
          </w:tcPr>
          <w:p>
            <w:pPr>
              <w:ind w:left="260"/>
              <w:spacing w:after="0"/>
              <w:rPr>
                <w:sz w:val="20"/>
                <w:szCs w:val="20"/>
                <w:color w:val="auto"/>
              </w:rPr>
            </w:pPr>
            <w:r>
              <w:rPr>
                <w:rFonts w:ascii="Arial" w:cs="Arial" w:eastAsia="Arial" w:hAnsi="Arial"/>
                <w:sz w:val="14"/>
                <w:szCs w:val="14"/>
                <w:color w:val="auto"/>
              </w:rPr>
              <w:t>Issuance of restricted stock awards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tcPr>
          <w:p>
            <w:pPr>
              <w:ind w:left="260"/>
              <w:spacing w:after="0" w:line="149" w:lineRule="exact"/>
              <w:rPr>
                <w:sz w:val="20"/>
                <w:szCs w:val="20"/>
                <w:color w:val="auto"/>
              </w:rPr>
            </w:pPr>
            <w:r>
              <w:rPr>
                <w:rFonts w:ascii="Arial" w:cs="Arial" w:eastAsia="Arial" w:hAnsi="Arial"/>
                <w:sz w:val="14"/>
                <w:szCs w:val="14"/>
                <w:color w:val="auto"/>
              </w:rPr>
              <w:t>Conversion of redeemable convertible</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4"/>
                <w:szCs w:val="14"/>
                <w:color w:val="auto"/>
              </w:rPr>
              <w:t>preferred stock into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(12,385,154)</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w w:val="95"/>
              </w:rPr>
              <w:t>(50,017)</w:t>
            </w:r>
          </w:p>
        </w:tc>
        <w:tc>
          <w:tcPr>
            <w:tcW w:w="0" w:type="dxa"/>
            <w:vAlign w:val="bottom"/>
          </w:tcPr>
          <w:p>
            <w:pPr>
              <w:spacing w:after="0"/>
              <w:rPr>
                <w:sz w:val="1"/>
                <w:szCs w:val="1"/>
                <w:color w:val="auto"/>
              </w:rPr>
            </w:pPr>
          </w:p>
        </w:tc>
      </w:tr>
      <w:tr>
        <w:trPr>
          <w:trHeight w:val="148"/>
        </w:trPr>
        <w:tc>
          <w:tcPr>
            <w:tcW w:w="3240" w:type="dxa"/>
            <w:vAlign w:val="bottom"/>
          </w:tcPr>
          <w:p>
            <w:pPr>
              <w:ind w:left="260"/>
              <w:spacing w:after="0" w:line="149" w:lineRule="exact"/>
              <w:rPr>
                <w:sz w:val="20"/>
                <w:szCs w:val="20"/>
                <w:color w:val="auto"/>
              </w:rPr>
            </w:pPr>
            <w:r>
              <w:rPr>
                <w:rFonts w:ascii="Arial" w:cs="Arial" w:eastAsia="Arial" w:hAnsi="Arial"/>
                <w:sz w:val="14"/>
                <w:szCs w:val="14"/>
                <w:color w:val="auto"/>
              </w:rPr>
              <w:t>Conversion of redeemable convertible</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360"/>
              <w:spacing w:after="0" w:line="149" w:lineRule="exact"/>
              <w:rPr>
                <w:sz w:val="20"/>
                <w:szCs w:val="20"/>
                <w:color w:val="auto"/>
              </w:rPr>
            </w:pPr>
            <w:r>
              <w:rPr>
                <w:rFonts w:ascii="Arial" w:cs="Arial" w:eastAsia="Arial" w:hAnsi="Arial"/>
                <w:sz w:val="14"/>
                <w:szCs w:val="14"/>
                <w:color w:val="auto"/>
              </w:rPr>
              <w:t>preferred stock warrants into common</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4"/>
                <w:szCs w:val="14"/>
                <w:color w:val="auto"/>
              </w:rPr>
              <w:t>stock warrants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tcPr>
          <w:p>
            <w:pPr>
              <w:ind w:left="260"/>
              <w:spacing w:after="0" w:line="149" w:lineRule="exact"/>
              <w:rPr>
                <w:sz w:val="20"/>
                <w:szCs w:val="20"/>
                <w:color w:val="auto"/>
              </w:rPr>
            </w:pPr>
            <w:r>
              <w:rPr>
                <w:rFonts w:ascii="Arial" w:cs="Arial" w:eastAsia="Arial" w:hAnsi="Arial"/>
                <w:sz w:val="14"/>
                <w:szCs w:val="14"/>
                <w:color w:val="auto"/>
              </w:rPr>
              <w:t>Issuance of common stock upon</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4"/>
                <w:szCs w:val="14"/>
                <w:color w:val="auto"/>
              </w:rPr>
              <w:t>exercise of common stock warrants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tcPr>
          <w:p>
            <w:pPr>
              <w:ind w:left="260"/>
              <w:spacing w:after="0" w:line="149" w:lineRule="exact"/>
              <w:rPr>
                <w:sz w:val="20"/>
                <w:szCs w:val="20"/>
                <w:color w:val="auto"/>
              </w:rPr>
            </w:pPr>
            <w:r>
              <w:rPr>
                <w:rFonts w:ascii="Arial" w:cs="Arial" w:eastAsia="Arial" w:hAnsi="Arial"/>
                <w:sz w:val="14"/>
                <w:szCs w:val="14"/>
                <w:color w:val="auto"/>
              </w:rPr>
              <w:t>Conversion of 2017 and 2018 convertible</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4"/>
                <w:szCs w:val="14"/>
                <w:color w:val="auto"/>
              </w:rPr>
              <w:t>notes into common stock</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tcPr>
          <w:p>
            <w:pPr>
              <w:ind w:left="260"/>
              <w:spacing w:after="0" w:line="149" w:lineRule="exact"/>
              <w:rPr>
                <w:sz w:val="20"/>
                <w:szCs w:val="20"/>
                <w:color w:val="auto"/>
              </w:rPr>
            </w:pPr>
            <w:r>
              <w:rPr>
                <w:rFonts w:ascii="Arial" w:cs="Arial" w:eastAsia="Arial" w:hAnsi="Arial"/>
                <w:sz w:val="14"/>
                <w:szCs w:val="14"/>
                <w:color w:val="auto"/>
              </w:rPr>
              <w:t>Issuance of common stock upon</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360"/>
              <w:spacing w:after="0" w:line="149" w:lineRule="exact"/>
              <w:rPr>
                <w:sz w:val="20"/>
                <w:szCs w:val="20"/>
                <w:color w:val="auto"/>
              </w:rPr>
            </w:pPr>
            <w:r>
              <w:rPr>
                <w:rFonts w:ascii="Arial" w:cs="Arial" w:eastAsia="Arial" w:hAnsi="Arial"/>
                <w:sz w:val="14"/>
                <w:szCs w:val="14"/>
                <w:color w:val="auto"/>
              </w:rPr>
              <w:t>initial public offering, net of</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4"/>
                <w:szCs w:val="14"/>
                <w:color w:val="auto"/>
              </w:rPr>
              <w:t>issuance cost of $10,542</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4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2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3240" w:type="dxa"/>
            <w:vAlign w:val="bottom"/>
          </w:tcPr>
          <w:p>
            <w:pPr>
              <w:spacing w:after="0" w:line="151" w:lineRule="exact"/>
              <w:rPr>
                <w:sz w:val="20"/>
                <w:szCs w:val="20"/>
                <w:color w:val="auto"/>
              </w:rPr>
            </w:pPr>
            <w:r>
              <w:rPr>
                <w:rFonts w:ascii="Arial" w:cs="Arial" w:eastAsia="Arial" w:hAnsi="Arial"/>
                <w:sz w:val="14"/>
                <w:szCs w:val="14"/>
                <w:color w:val="auto"/>
              </w:rPr>
              <w:t>Balance at December 31, 2018</w:t>
            </w:r>
          </w:p>
        </w:tc>
        <w:tc>
          <w:tcPr>
            <w:tcW w:w="8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260"/>
              <w:spacing w:after="0" w:line="149" w:lineRule="exact"/>
              <w:rPr>
                <w:sz w:val="20"/>
                <w:szCs w:val="20"/>
                <w:color w:val="auto"/>
              </w:rPr>
            </w:pPr>
            <w:r>
              <w:rPr>
                <w:rFonts w:ascii="Arial" w:cs="Arial" w:eastAsia="Arial" w:hAnsi="Arial"/>
                <w:sz w:val="14"/>
                <w:szCs w:val="14"/>
                <w:color w:val="auto"/>
              </w:rPr>
              <w:t>Issuance of common stock upon</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4"/>
                <w:szCs w:val="14"/>
                <w:color w:val="auto"/>
              </w:rPr>
              <w:t>exercise of stock options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tcPr>
          <w:p>
            <w:pPr>
              <w:ind w:left="260"/>
              <w:spacing w:after="0" w:line="149" w:lineRule="exact"/>
              <w:rPr>
                <w:sz w:val="20"/>
                <w:szCs w:val="20"/>
                <w:color w:val="auto"/>
              </w:rPr>
            </w:pPr>
            <w:r>
              <w:rPr>
                <w:rFonts w:ascii="Arial" w:cs="Arial" w:eastAsia="Arial" w:hAnsi="Arial"/>
                <w:sz w:val="14"/>
                <w:szCs w:val="14"/>
                <w:color w:val="auto"/>
              </w:rPr>
              <w:t>Vesting of restricted stock units, net of</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4"/>
                <w:szCs w:val="14"/>
                <w:color w:val="auto"/>
              </w:rPr>
              <w:t>taxes withheld</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tcPr>
          <w:p>
            <w:pPr>
              <w:ind w:left="260"/>
              <w:spacing w:after="0" w:line="149" w:lineRule="exact"/>
              <w:rPr>
                <w:sz w:val="20"/>
                <w:szCs w:val="20"/>
                <w:color w:val="auto"/>
              </w:rPr>
            </w:pPr>
            <w:r>
              <w:rPr>
                <w:rFonts w:ascii="Arial" w:cs="Arial" w:eastAsia="Arial" w:hAnsi="Arial"/>
                <w:sz w:val="14"/>
                <w:szCs w:val="14"/>
                <w:color w:val="auto"/>
              </w:rPr>
              <w:t>Issuance of common stock upon</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4"/>
                <w:szCs w:val="14"/>
                <w:color w:val="auto"/>
              </w:rPr>
              <w:t>exercise of common stock warrants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40" w:type="dxa"/>
            <w:vAlign w:val="bottom"/>
          </w:tcPr>
          <w:p>
            <w:pPr>
              <w:ind w:left="260"/>
              <w:spacing w:after="0" w:line="149" w:lineRule="exact"/>
              <w:rPr>
                <w:sz w:val="20"/>
                <w:szCs w:val="20"/>
                <w:color w:val="auto"/>
              </w:rPr>
            </w:pPr>
            <w:r>
              <w:rPr>
                <w:rFonts w:ascii="Arial" w:cs="Arial" w:eastAsia="Arial" w:hAnsi="Arial"/>
                <w:sz w:val="14"/>
                <w:szCs w:val="14"/>
                <w:color w:val="auto"/>
              </w:rPr>
              <w:t>Issuance of common stock upon</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ind w:left="360"/>
              <w:spacing w:after="0" w:line="149" w:lineRule="exact"/>
              <w:rPr>
                <w:sz w:val="20"/>
                <w:szCs w:val="20"/>
                <w:color w:val="auto"/>
              </w:rPr>
            </w:pPr>
            <w:r>
              <w:rPr>
                <w:rFonts w:ascii="Arial" w:cs="Arial" w:eastAsia="Arial" w:hAnsi="Arial"/>
                <w:sz w:val="14"/>
                <w:szCs w:val="14"/>
                <w:color w:val="auto"/>
              </w:rPr>
              <w:t>follow-on offering, net of</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40" w:type="dxa"/>
            <w:vAlign w:val="bottom"/>
          </w:tcPr>
          <w:p>
            <w:pPr>
              <w:ind w:left="360"/>
              <w:spacing w:after="0"/>
              <w:rPr>
                <w:sz w:val="20"/>
                <w:szCs w:val="20"/>
                <w:color w:val="auto"/>
              </w:rPr>
            </w:pPr>
            <w:r>
              <w:rPr>
                <w:rFonts w:ascii="Arial" w:cs="Arial" w:eastAsia="Arial" w:hAnsi="Arial"/>
                <w:sz w:val="14"/>
                <w:szCs w:val="14"/>
                <w:color w:val="auto"/>
              </w:rPr>
              <w:t>issuance cost of $19,784</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40" w:type="dxa"/>
            <w:vAlign w:val="bottom"/>
          </w:tcPr>
          <w:p>
            <w:pPr>
              <w:ind w:left="26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40" w:type="dxa"/>
            <w:vAlign w:val="bottom"/>
          </w:tcPr>
          <w:p>
            <w:pPr>
              <w:ind w:left="260"/>
              <w:spacing w:after="0"/>
              <w:rPr>
                <w:sz w:val="20"/>
                <w:szCs w:val="20"/>
                <w:color w:val="auto"/>
              </w:rPr>
            </w:pPr>
            <w:r>
              <w:rPr>
                <w:rFonts w:ascii="Arial" w:cs="Arial" w:eastAsia="Arial" w:hAnsi="Arial"/>
                <w:sz w:val="14"/>
                <w:szCs w:val="14"/>
                <w:color w:val="auto"/>
              </w:rPr>
              <w:t>Other comprehensive income</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24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240" w:type="dxa"/>
            <w:vAlign w:val="bottom"/>
          </w:tcPr>
          <w:p>
            <w:pPr>
              <w:spacing w:after="0" w:line="155" w:lineRule="exact"/>
              <w:rPr>
                <w:sz w:val="20"/>
                <w:szCs w:val="20"/>
                <w:color w:val="auto"/>
              </w:rPr>
            </w:pPr>
            <w:r>
              <w:rPr>
                <w:rFonts w:ascii="Arial" w:cs="Arial" w:eastAsia="Arial" w:hAnsi="Arial"/>
                <w:sz w:val="14"/>
                <w:szCs w:val="14"/>
                <w:color w:val="auto"/>
              </w:rPr>
              <w:t>Balance at December 31, 2019</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Additional</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700" w:type="dxa"/>
            <w:vAlign w:val="bottom"/>
            <w:gridSpan w:val="4"/>
            <w:vMerge w:val="restart"/>
          </w:tcPr>
          <w:p>
            <w:pPr>
              <w:jc w:val="right"/>
              <w:ind w:right="308"/>
              <w:spacing w:after="0"/>
              <w:rPr>
                <w:sz w:val="20"/>
                <w:szCs w:val="20"/>
                <w:color w:val="auto"/>
              </w:rPr>
            </w:pPr>
            <w:r>
              <w:rPr>
                <w:rFonts w:ascii="Arial" w:cs="Arial" w:eastAsia="Arial" w:hAnsi="Arial"/>
                <w:sz w:val="14"/>
                <w:szCs w:val="14"/>
                <w:b w:val="1"/>
                <w:bCs w:val="1"/>
                <w:color w:val="auto"/>
              </w:rPr>
              <w:t>Common Stock</w:t>
            </w:r>
          </w:p>
        </w:tc>
        <w:tc>
          <w:tcPr>
            <w:tcW w:w="10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6"/>
              </w:rPr>
              <w:t>Other</w:t>
            </w:r>
          </w:p>
        </w:tc>
        <w:tc>
          <w:tcPr>
            <w:tcW w:w="126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Accumulated</w:t>
            </w: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6"/>
        </w:trPr>
        <w:tc>
          <w:tcPr>
            <w:tcW w:w="170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Paid-In</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2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56"/>
        </w:trPr>
        <w:tc>
          <w:tcPr>
            <w:tcW w:w="98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3"/>
                <w:szCs w:val="13"/>
                <w:color w:val="auto"/>
              </w:rPr>
            </w:pPr>
          </w:p>
        </w:tc>
        <w:tc>
          <w:tcPr>
            <w:tcW w:w="640" w:type="dxa"/>
            <w:vAlign w:val="bottom"/>
          </w:tcPr>
          <w:p>
            <w:pPr>
              <w:jc w:val="right"/>
              <w:ind w:right="48"/>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4"/>
              </w:rPr>
              <w:t>Capital</w:t>
            </w:r>
          </w:p>
        </w:tc>
        <w:tc>
          <w:tcPr>
            <w:tcW w:w="96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2"/>
              </w:rPr>
              <w:t>Income (Loss)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48"/>
              <w:spacing w:after="0" w:line="155"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78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9"/>
              </w:rPr>
              <w:t>(Deficit)</w:t>
            </w:r>
          </w:p>
        </w:tc>
        <w:tc>
          <w:tcPr>
            <w:tcW w:w="0" w:type="dxa"/>
            <w:vAlign w:val="bottom"/>
          </w:tcPr>
          <w:p>
            <w:pPr>
              <w:spacing w:after="0"/>
              <w:rPr>
                <w:sz w:val="1"/>
                <w:szCs w:val="1"/>
                <w:color w:val="auto"/>
              </w:rPr>
            </w:pPr>
          </w:p>
        </w:tc>
      </w:tr>
      <w:tr>
        <w:trPr>
          <w:trHeight w:val="176"/>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7,930,831</w:t>
            </w:r>
          </w:p>
        </w:tc>
        <w:tc>
          <w:tcPr>
            <w:tcW w:w="22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303</w:t>
            </w:r>
          </w:p>
        </w:tc>
        <w:tc>
          <w:tcPr>
            <w:tcW w:w="2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(41,387)</w:t>
            </w:r>
          </w:p>
        </w:tc>
        <w:tc>
          <w:tcPr>
            <w:tcW w:w="2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(41,083)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760" w:type="dxa"/>
            <w:vAlign w:val="bottom"/>
          </w:tcPr>
          <w:p>
            <w:pPr>
              <w:jc w:val="right"/>
              <w:spacing w:after="0"/>
              <w:rPr>
                <w:sz w:val="20"/>
                <w:szCs w:val="20"/>
                <w:color w:val="auto"/>
              </w:rPr>
            </w:pPr>
            <w:r>
              <w:rPr>
                <w:rFonts w:ascii="Arial" w:cs="Arial" w:eastAsia="Arial" w:hAnsi="Arial"/>
                <w:sz w:val="14"/>
                <w:szCs w:val="14"/>
                <w:color w:val="auto"/>
              </w:rPr>
              <w:t>5,603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(27,936)</w:t>
            </w: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(27,936)</w:t>
            </w:r>
          </w:p>
        </w:tc>
        <w:tc>
          <w:tcPr>
            <w:tcW w:w="0" w:type="dxa"/>
            <w:vAlign w:val="bottom"/>
          </w:tcPr>
          <w:p>
            <w:pPr>
              <w:spacing w:after="0"/>
              <w:rPr>
                <w:sz w:val="1"/>
                <w:szCs w:val="1"/>
                <w:color w:val="auto"/>
              </w:rPr>
            </w:pPr>
          </w:p>
        </w:tc>
      </w:tr>
      <w:tr>
        <w:trPr>
          <w:trHeight w:val="176"/>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7,936,434</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584</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(69,323)</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(68,738)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760" w:type="dxa"/>
            <w:vAlign w:val="bottom"/>
          </w:tcPr>
          <w:p>
            <w:pPr>
              <w:jc w:val="right"/>
              <w:spacing w:after="0"/>
              <w:rPr>
                <w:sz w:val="20"/>
                <w:szCs w:val="20"/>
                <w:color w:val="auto"/>
              </w:rPr>
            </w:pPr>
            <w:r>
              <w:rPr>
                <w:rFonts w:ascii="Arial" w:cs="Arial" w:eastAsia="Arial" w:hAnsi="Arial"/>
                <w:sz w:val="14"/>
                <w:szCs w:val="14"/>
                <w:color w:val="auto"/>
              </w:rPr>
              <w:t>47,800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60" w:type="dxa"/>
            <w:vAlign w:val="bottom"/>
          </w:tcPr>
          <w:p>
            <w:pPr>
              <w:jc w:val="right"/>
              <w:spacing w:after="0"/>
              <w:rPr>
                <w:sz w:val="20"/>
                <w:szCs w:val="20"/>
                <w:color w:val="auto"/>
              </w:rPr>
            </w:pPr>
            <w:r>
              <w:rPr>
                <w:rFonts w:ascii="Arial" w:cs="Arial" w:eastAsia="Arial" w:hAnsi="Arial"/>
                <w:sz w:val="14"/>
                <w:szCs w:val="14"/>
                <w:color w:val="auto"/>
              </w:rPr>
              <w:t>27,500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760" w:type="dxa"/>
            <w:vAlign w:val="bottom"/>
          </w:tcPr>
          <w:p>
            <w:pPr>
              <w:jc w:val="right"/>
              <w:spacing w:after="0"/>
              <w:rPr>
                <w:sz w:val="20"/>
                <w:szCs w:val="20"/>
                <w:color w:val="auto"/>
              </w:rPr>
            </w:pPr>
            <w:r>
              <w:rPr>
                <w:rFonts w:ascii="Arial" w:cs="Arial" w:eastAsia="Arial" w:hAnsi="Arial"/>
                <w:sz w:val="14"/>
                <w:szCs w:val="14"/>
                <w:color w:val="auto"/>
              </w:rPr>
              <w:t>12,385,154</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50,016</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60" w:type="dxa"/>
            <w:vAlign w:val="bottom"/>
          </w:tcPr>
          <w:p>
            <w:pPr>
              <w:jc w:val="right"/>
              <w:spacing w:after="0"/>
              <w:rPr>
                <w:sz w:val="20"/>
                <w:szCs w:val="20"/>
                <w:color w:val="auto"/>
              </w:rPr>
            </w:pPr>
            <w:r>
              <w:rPr>
                <w:rFonts w:ascii="Arial" w:cs="Arial" w:eastAsia="Arial" w:hAnsi="Arial"/>
                <w:sz w:val="14"/>
                <w:szCs w:val="14"/>
                <w:color w:val="auto"/>
              </w:rPr>
              <w:t>100,000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1"/>
        </w:trPr>
        <w:tc>
          <w:tcPr>
            <w:tcW w:w="760" w:type="dxa"/>
            <w:vAlign w:val="bottom"/>
          </w:tcPr>
          <w:p>
            <w:pPr>
              <w:jc w:val="right"/>
              <w:spacing w:after="0"/>
              <w:rPr>
                <w:sz w:val="20"/>
                <w:szCs w:val="20"/>
                <w:color w:val="auto"/>
              </w:rPr>
            </w:pPr>
            <w:r>
              <w:rPr>
                <w:rFonts w:ascii="Arial" w:cs="Arial" w:eastAsia="Arial" w:hAnsi="Arial"/>
                <w:sz w:val="14"/>
                <w:szCs w:val="14"/>
                <w:color w:val="auto"/>
              </w:rPr>
              <w:t>6,932,969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55,732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55,733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60" w:type="dxa"/>
            <w:vAlign w:val="bottom"/>
          </w:tcPr>
          <w:p>
            <w:pPr>
              <w:jc w:val="right"/>
              <w:spacing w:after="0"/>
              <w:rPr>
                <w:sz w:val="20"/>
                <w:szCs w:val="20"/>
                <w:color w:val="auto"/>
              </w:rPr>
            </w:pPr>
            <w:r>
              <w:rPr>
                <w:rFonts w:ascii="Arial" w:cs="Arial" w:eastAsia="Arial" w:hAnsi="Arial"/>
                <w:sz w:val="14"/>
                <w:szCs w:val="14"/>
                <w:color w:val="auto"/>
              </w:rPr>
              <w:t>9,400,000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83,458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83,459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2,756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(41,443)</w:t>
            </w: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(41,443)</w:t>
            </w:r>
          </w:p>
        </w:tc>
        <w:tc>
          <w:tcPr>
            <w:tcW w:w="0" w:type="dxa"/>
            <w:vAlign w:val="bottom"/>
          </w:tcPr>
          <w:p>
            <w:pPr>
              <w:spacing w:after="0"/>
              <w:rPr>
                <w:sz w:val="1"/>
                <w:szCs w:val="1"/>
                <w:color w:val="auto"/>
              </w:rPr>
            </w:pPr>
          </w:p>
        </w:tc>
      </w:tr>
      <w:tr>
        <w:trPr>
          <w:trHeight w:val="176"/>
        </w:trPr>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36,829,857</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197,595</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(110,766)</w:t>
            </w: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86,833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5"/>
        </w:trPr>
        <w:tc>
          <w:tcPr>
            <w:tcW w:w="760" w:type="dxa"/>
            <w:vAlign w:val="bottom"/>
          </w:tcPr>
          <w:p>
            <w:pPr>
              <w:jc w:val="right"/>
              <w:spacing w:after="0"/>
              <w:rPr>
                <w:sz w:val="20"/>
                <w:szCs w:val="20"/>
                <w:color w:val="auto"/>
              </w:rPr>
            </w:pPr>
            <w:r>
              <w:rPr>
                <w:rFonts w:ascii="Arial" w:cs="Arial" w:eastAsia="Arial" w:hAnsi="Arial"/>
                <w:sz w:val="14"/>
                <w:szCs w:val="14"/>
                <w:color w:val="auto"/>
              </w:rPr>
              <w:t>662,079</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2,287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2,287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60" w:type="dxa"/>
            <w:vAlign w:val="bottom"/>
          </w:tcPr>
          <w:p>
            <w:pPr>
              <w:jc w:val="right"/>
              <w:spacing w:after="0"/>
              <w:rPr>
                <w:sz w:val="20"/>
                <w:szCs w:val="20"/>
                <w:color w:val="auto"/>
              </w:rPr>
            </w:pPr>
            <w:r>
              <w:rPr>
                <w:rFonts w:ascii="Arial" w:cs="Arial" w:eastAsia="Arial" w:hAnsi="Arial"/>
                <w:sz w:val="14"/>
                <w:szCs w:val="14"/>
                <w:color w:val="auto"/>
              </w:rPr>
              <w:t>21,467</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(132)</w:t>
            </w: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310"/>
        </w:trPr>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39"/>
        </w:trPr>
        <w:tc>
          <w:tcPr>
            <w:tcW w:w="760" w:type="dxa"/>
            <w:vAlign w:val="bottom"/>
          </w:tcPr>
          <w:p>
            <w:pPr>
              <w:jc w:val="right"/>
              <w:spacing w:after="0"/>
              <w:rPr>
                <w:sz w:val="20"/>
                <w:szCs w:val="20"/>
                <w:color w:val="auto"/>
              </w:rPr>
            </w:pPr>
            <w:r>
              <w:rPr>
                <w:rFonts w:ascii="Arial" w:cs="Arial" w:eastAsia="Arial" w:hAnsi="Arial"/>
                <w:sz w:val="14"/>
                <w:szCs w:val="14"/>
                <w:color w:val="auto"/>
              </w:rPr>
              <w:t>6,900,000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297,615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297,616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6,110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6,110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89"/>
              </w:rPr>
              <w:t>10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tcPr>
          <w:p>
            <w:pPr>
              <w:ind w:left="620"/>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88"/>
              <w:spacing w:after="0"/>
              <w:rPr>
                <w:sz w:val="20"/>
                <w:szCs w:val="20"/>
                <w:color w:val="auto"/>
              </w:rPr>
            </w:pPr>
            <w:r>
              <w:rPr>
                <w:rFonts w:ascii="Arial" w:cs="Arial" w:eastAsia="Arial" w:hAnsi="Arial"/>
                <w:sz w:val="14"/>
                <w:szCs w:val="14"/>
                <w:color w:val="auto"/>
              </w:rPr>
              <w:t>(47,365)</w:t>
            </w: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(47,365)</w:t>
            </w:r>
          </w:p>
        </w:tc>
        <w:tc>
          <w:tcPr>
            <w:tcW w:w="0" w:type="dxa"/>
            <w:vAlign w:val="bottom"/>
          </w:tcPr>
          <w:p>
            <w:pPr>
              <w:spacing w:after="0"/>
              <w:rPr>
                <w:sz w:val="1"/>
                <w:szCs w:val="1"/>
                <w:color w:val="auto"/>
              </w:rPr>
            </w:pPr>
          </w:p>
        </w:tc>
      </w:tr>
      <w:tr>
        <w:trPr>
          <w:trHeight w:val="156"/>
        </w:trPr>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44,413,404</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503,475</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ind w:left="620"/>
              <w:spacing w:after="0" w:line="155" w:lineRule="exact"/>
              <w:rPr>
                <w:sz w:val="20"/>
                <w:szCs w:val="20"/>
                <w:color w:val="auto"/>
              </w:rPr>
            </w:pPr>
            <w:r>
              <w:rPr>
                <w:rFonts w:ascii="Arial" w:cs="Arial" w:eastAsia="Arial" w:hAnsi="Arial"/>
                <w:sz w:val="14"/>
                <w:szCs w:val="14"/>
                <w:color w:val="auto"/>
                <w:w w:val="89"/>
              </w:rPr>
              <w:t>10</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(158,131</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345,359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-4251325</wp:posOffset>
            </wp:positionV>
            <wp:extent cx="7132320" cy="42519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425196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040" w:space="280"/>
            <w:col w:w="5900"/>
          </w:cols>
          <w:pgMar w:left="320" w:top="121"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Year Ended</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FF0FC"/>
            </w:tcBorders>
          </w:tcPr>
          <w:p>
            <w:pPr>
              <w:spacing w:after="0"/>
              <w:rPr>
                <w:sz w:val="14"/>
                <w:szCs w:val="14"/>
                <w:color w:val="auto"/>
              </w:rPr>
            </w:pPr>
          </w:p>
        </w:tc>
        <w:tc>
          <w:tcPr>
            <w:tcW w:w="10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6"/>
              </w:rPr>
              <w:t>2018</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(47,365)</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(41,443)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(27,936)</w:t>
            </w: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538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62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Non-cash interest expense and amortization of debt discount</w:t>
            </w: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2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and issuance cost</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5,482</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620" w:type="dxa"/>
            <w:vAlign w:val="bottom"/>
          </w:tcPr>
          <w:p>
            <w:pPr>
              <w:ind w:left="260"/>
              <w:spacing w:after="0" w:line="143" w:lineRule="exact"/>
              <w:rPr>
                <w:sz w:val="20"/>
                <w:szCs w:val="20"/>
                <w:color w:val="auto"/>
              </w:rPr>
            </w:pPr>
            <w:r>
              <w:rPr>
                <w:rFonts w:ascii="Arial" w:cs="Arial" w:eastAsia="Arial" w:hAnsi="Arial"/>
                <w:sz w:val="14"/>
                <w:szCs w:val="14"/>
                <w:color w:val="auto"/>
              </w:rPr>
              <w:t>Change in fair value of redeemable convertible preferred</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20" w:type="dxa"/>
            <w:vAlign w:val="bottom"/>
          </w:tcPr>
          <w:p>
            <w:pPr>
              <w:ind w:left="360"/>
              <w:spacing w:after="0"/>
              <w:rPr>
                <w:sz w:val="20"/>
                <w:szCs w:val="20"/>
                <w:color w:val="auto"/>
              </w:rPr>
            </w:pPr>
            <w:r>
              <w:rPr>
                <w:rFonts w:ascii="Arial" w:cs="Arial" w:eastAsia="Arial" w:hAnsi="Arial"/>
                <w:sz w:val="14"/>
                <w:szCs w:val="14"/>
                <w:color w:val="auto"/>
              </w:rPr>
              <w:t>stock warrant liability</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derivative instrument</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1,988</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rPr>
                <w:sz w:val="20"/>
                <w:szCs w:val="20"/>
                <w:color w:val="auto"/>
              </w:rPr>
            </w:pPr>
            <w:r>
              <w:rPr>
                <w:rFonts w:ascii="Arial" w:cs="Arial" w:eastAsia="Arial" w:hAnsi="Arial"/>
                <w:sz w:val="14"/>
                <w:szCs w:val="14"/>
                <w:color w:val="auto"/>
              </w:rPr>
              <w:t>Extinguishment of debt</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5,479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rPr>
                <w:sz w:val="20"/>
                <w:szCs w:val="20"/>
                <w:color w:val="auto"/>
              </w:rPr>
            </w:pPr>
            <w:r>
              <w:rPr>
                <w:rFonts w:ascii="Arial" w:cs="Arial" w:eastAsia="Arial" w:hAnsi="Arial"/>
                <w:sz w:val="14"/>
                <w:szCs w:val="14"/>
                <w:color w:val="auto"/>
              </w:rPr>
              <w:t>Amortization (accretion) of premium (discount) on marketable securities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(241)</w:t>
            </w:r>
          </w:p>
        </w:tc>
        <w:tc>
          <w:tcPr>
            <w:tcW w:w="14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operating lease right-of-use asset</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tcPr>
          <w:p>
            <w:pPr>
              <w:ind w:left="260"/>
              <w:spacing w:after="0"/>
              <w:rPr>
                <w:sz w:val="20"/>
                <w:szCs w:val="20"/>
                <w:color w:val="auto"/>
              </w:rPr>
            </w:pPr>
            <w:r>
              <w:rPr>
                <w:rFonts w:ascii="Arial" w:cs="Arial" w:eastAsia="Arial" w:hAnsi="Arial"/>
                <w:sz w:val="14"/>
                <w:szCs w:val="14"/>
                <w:color w:val="auto"/>
              </w:rPr>
              <w:t>Changes in assets and liabilities: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Prepaid expense and other current assets</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(168)</w:t>
            </w: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(1,995)</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500"/>
              <w:spacing w:after="0"/>
              <w:rPr>
                <w:sz w:val="20"/>
                <w:szCs w:val="20"/>
                <w:color w:val="auto"/>
              </w:rPr>
            </w:pPr>
            <w:r>
              <w:rPr>
                <w:rFonts w:ascii="Arial" w:cs="Arial" w:eastAsia="Arial" w:hAnsi="Arial"/>
                <w:sz w:val="14"/>
                <w:szCs w:val="14"/>
                <w:color w:val="auto"/>
              </w:rPr>
              <w:t>Other assets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(4,511)</w:t>
            </w:r>
          </w:p>
        </w:tc>
        <w:tc>
          <w:tcPr>
            <w:tcW w:w="14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Accounts payable</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1,569</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(2,323)</w:t>
            </w: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ind w:left="500"/>
              <w:spacing w:after="0"/>
              <w:rPr>
                <w:sz w:val="20"/>
                <w:szCs w:val="20"/>
                <w:color w:val="auto"/>
              </w:rPr>
            </w:pPr>
            <w:r>
              <w:rPr>
                <w:rFonts w:ascii="Arial" w:cs="Arial" w:eastAsia="Arial" w:hAnsi="Arial"/>
                <w:sz w:val="14"/>
                <w:szCs w:val="14"/>
                <w:color w:val="auto"/>
              </w:rPr>
              <w:t>Accrued and other current liabilities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4,932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(2,105)</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Operating lease liability</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(383)</w:t>
            </w: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tcPr>
          <w:p>
            <w:pPr>
              <w:ind w:left="500"/>
              <w:spacing w:after="0"/>
              <w:rPr>
                <w:sz w:val="20"/>
                <w:szCs w:val="20"/>
                <w:color w:val="auto"/>
              </w:rPr>
            </w:pPr>
            <w:r>
              <w:rPr>
                <w:rFonts w:ascii="Arial" w:cs="Arial" w:eastAsia="Arial" w:hAnsi="Arial"/>
                <w:sz w:val="14"/>
                <w:szCs w:val="14"/>
                <w:color w:val="auto"/>
              </w:rPr>
              <w:t>Other liabilities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2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10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(39,146)</w:t>
            </w: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(29,031)</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(17,655)</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(437)</w:t>
            </w: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(78)</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Deposits on property and equipment</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(503)</w:t>
            </w:r>
          </w:p>
        </w:tc>
        <w:tc>
          <w:tcPr>
            <w:tcW w:w="1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color w:val="auto"/>
              </w:rPr>
              <w:t>Purchases of marketable securities</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(150,961)</w:t>
            </w: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Maturities of marketable securities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14,400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62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Net cash used in investing activities</w:t>
            </w:r>
          </w:p>
        </w:tc>
        <w:tc>
          <w:tcPr>
            <w:tcW w:w="10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(136,998)</w:t>
            </w: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(581)</w:t>
            </w:r>
          </w:p>
        </w:tc>
        <w:tc>
          <w:tcPr>
            <w:tcW w:w="26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1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(209)</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common stock, net of offering costs</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297,616</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83,755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Proceeds from issuance of common stock upon option exercise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2,287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color w:val="auto"/>
              </w:rPr>
              <w:t>Payments for restricted stock units, net of taxes withheld</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(132)</w:t>
            </w: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620" w:type="dxa"/>
            <w:vAlign w:val="bottom"/>
          </w:tcPr>
          <w:p>
            <w:pPr>
              <w:spacing w:after="0" w:line="143" w:lineRule="exact"/>
              <w:rPr>
                <w:sz w:val="20"/>
                <w:szCs w:val="20"/>
                <w:color w:val="auto"/>
              </w:rPr>
            </w:pPr>
            <w:r>
              <w:rPr>
                <w:rFonts w:ascii="Arial" w:cs="Arial" w:eastAsia="Arial" w:hAnsi="Arial"/>
                <w:sz w:val="14"/>
                <w:szCs w:val="14"/>
                <w:color w:val="auto"/>
              </w:rPr>
              <w:t>Proceeds from issuance of convertible notes (includes $9,560 and $8,000 from</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20" w:type="dxa"/>
            <w:vAlign w:val="bottom"/>
          </w:tcPr>
          <w:p>
            <w:pPr>
              <w:ind w:left="120"/>
              <w:spacing w:after="0"/>
              <w:rPr>
                <w:sz w:val="20"/>
                <w:szCs w:val="20"/>
                <w:color w:val="auto"/>
              </w:rPr>
            </w:pPr>
            <w:r>
              <w:rPr>
                <w:rFonts w:ascii="Arial" w:cs="Arial" w:eastAsia="Arial" w:hAnsi="Arial"/>
                <w:sz w:val="14"/>
                <w:szCs w:val="14"/>
                <w:color w:val="auto"/>
              </w:rPr>
              <w:t>related parties for the years ended December 31, 2018 and 2017, respectively)</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33,000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color w:val="auto"/>
              </w:rPr>
              <w:t>Debt issuance cost</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(140)</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Principal payments of capital lease</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4"/>
                <w:szCs w:val="14"/>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14"/>
                <w:szCs w:val="14"/>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color w:val="auto"/>
              </w:rPr>
              <w:t>Principal payments of tenant improvement allowance payable</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(85)</w:t>
            </w:r>
          </w:p>
        </w:tc>
        <w:tc>
          <w:tcPr>
            <w:tcW w:w="1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55"/>
        </w:trPr>
        <w:tc>
          <w:tcPr>
            <w:tcW w:w="56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2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299,687</w:t>
            </w:r>
          </w:p>
        </w:tc>
        <w:tc>
          <w:tcPr>
            <w:tcW w:w="2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116,471</w:t>
            </w:r>
          </w:p>
        </w:tc>
        <w:tc>
          <w:tcPr>
            <w:tcW w:w="26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9,637</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increase (decrease) in cash, cash equivalents and restricted cash</w:t>
            </w: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123,543</w:t>
            </w: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86,859</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(8,227)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cash equivalents and restricted cash, at beginning of year</w:t>
            </w:r>
          </w:p>
        </w:tc>
        <w:tc>
          <w:tcPr>
            <w:tcW w:w="10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88,394</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1,535</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9,762</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restricted cash, at end of year</w:t>
            </w:r>
          </w:p>
        </w:tc>
        <w:tc>
          <w:tcPr>
            <w:tcW w:w="10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211,937</w:t>
            </w:r>
          </w:p>
        </w:tc>
        <w:tc>
          <w:tcPr>
            <w:tcW w:w="2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88,394</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color w:val="auto"/>
              </w:rPr>
              <w:t>Reconciliation of cash, cash equivalents and restricted cash</w:t>
            </w: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62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5620" w:type="dxa"/>
            <w:vAlign w:val="bottom"/>
          </w:tcPr>
          <w:p>
            <w:pPr>
              <w:ind w:left="120"/>
              <w:spacing w:after="0"/>
              <w:rPr>
                <w:sz w:val="20"/>
                <w:szCs w:val="20"/>
                <w:color w:val="auto"/>
              </w:rPr>
            </w:pPr>
            <w:r>
              <w:rPr>
                <w:rFonts w:ascii="Arial" w:cs="Arial" w:eastAsia="Arial" w:hAnsi="Arial"/>
                <w:sz w:val="14"/>
                <w:szCs w:val="14"/>
                <w:color w:val="auto"/>
              </w:rPr>
              <w:t>to consolidated balance sheets</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11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211,797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88,254</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Restricted cash</w:t>
            </w:r>
          </w:p>
        </w:tc>
        <w:tc>
          <w:tcPr>
            <w:tcW w:w="10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2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Cash, cash equivalents and restricted cash in consolidated balance sheets</w:t>
            </w:r>
          </w:p>
        </w:tc>
        <w:tc>
          <w:tcPr>
            <w:tcW w:w="10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211,937</w:t>
            </w:r>
          </w:p>
        </w:tc>
        <w:tc>
          <w:tcPr>
            <w:tcW w:w="2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88,394</w:t>
            </w:r>
          </w:p>
        </w:tc>
        <w:tc>
          <w:tcPr>
            <w:tcW w:w="2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1,535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Cash paid for interest</w:t>
            </w:r>
          </w:p>
        </w:tc>
        <w:tc>
          <w:tcPr>
            <w:tcW w:w="11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620" w:type="dxa"/>
            <w:vAlign w:val="bottom"/>
          </w:tcPr>
          <w:p>
            <w:pPr>
              <w:spacing w:after="0" w:line="143" w:lineRule="exact"/>
              <w:rPr>
                <w:sz w:val="20"/>
                <w:szCs w:val="20"/>
                <w:color w:val="auto"/>
              </w:rPr>
            </w:pPr>
            <w:r>
              <w:rPr>
                <w:rFonts w:ascii="Arial" w:cs="Arial" w:eastAsia="Arial" w:hAnsi="Arial"/>
                <w:sz w:val="14"/>
                <w:szCs w:val="14"/>
                <w:color w:val="auto"/>
              </w:rPr>
              <w:t>Operating lease right-of-use asset obtained in exchange for</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20" w:type="dxa"/>
            <w:vAlign w:val="bottom"/>
          </w:tcPr>
          <w:p>
            <w:pPr>
              <w:ind w:left="120"/>
              <w:spacing w:after="0"/>
              <w:rPr>
                <w:sz w:val="20"/>
                <w:szCs w:val="20"/>
                <w:color w:val="auto"/>
              </w:rPr>
            </w:pPr>
            <w:r>
              <w:rPr>
                <w:rFonts w:ascii="Arial" w:cs="Arial" w:eastAsia="Arial" w:hAnsi="Arial"/>
                <w:sz w:val="14"/>
                <w:szCs w:val="14"/>
                <w:color w:val="auto"/>
              </w:rPr>
              <w:t>operating lease liability</w:t>
            </w:r>
          </w:p>
        </w:tc>
        <w:tc>
          <w:tcPr>
            <w:tcW w:w="11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2,163</w:t>
            </w:r>
          </w:p>
        </w:tc>
        <w:tc>
          <w:tcPr>
            <w:tcW w:w="280" w:type="dxa"/>
            <w:vAlign w:val="bottom"/>
          </w:tcPr>
          <w:p>
            <w:pPr>
              <w:spacing w:after="0"/>
              <w:rPr>
                <w:sz w:val="14"/>
                <w:szCs w:val="14"/>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color w:val="auto"/>
              </w:rPr>
              <w:t>Unpaid offering costs</w:t>
            </w:r>
          </w:p>
        </w:tc>
        <w:tc>
          <w:tcPr>
            <w:tcW w:w="11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205</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Offering costs paid in restricted stock awards</w:t>
            </w:r>
          </w:p>
        </w:tc>
        <w:tc>
          <w:tcPr>
            <w:tcW w:w="11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91</w:t>
            </w:r>
          </w:p>
        </w:tc>
        <w:tc>
          <w:tcPr>
            <w:tcW w:w="2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color w:val="auto"/>
              </w:rPr>
              <w:t>Derivative instrument related to convertible notes</w:t>
            </w:r>
          </w:p>
        </w:tc>
        <w:tc>
          <w:tcPr>
            <w:tcW w:w="11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6,603</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5620" w:type="dxa"/>
            <w:vAlign w:val="bottom"/>
          </w:tcPr>
          <w:p>
            <w:pPr>
              <w:spacing w:after="0" w:line="143" w:lineRule="exact"/>
              <w:rPr>
                <w:sz w:val="20"/>
                <w:szCs w:val="20"/>
                <w:color w:val="auto"/>
              </w:rPr>
            </w:pPr>
            <w:r>
              <w:rPr>
                <w:rFonts w:ascii="Arial" w:cs="Arial" w:eastAsia="Arial" w:hAnsi="Arial"/>
                <w:sz w:val="14"/>
                <w:szCs w:val="14"/>
                <w:color w:val="auto"/>
              </w:rPr>
              <w:t>Redeemable convertible preferred stock warrant issued in</w:t>
            </w: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20" w:type="dxa"/>
            <w:vAlign w:val="bottom"/>
          </w:tcPr>
          <w:p>
            <w:pPr>
              <w:ind w:left="120"/>
              <w:spacing w:after="0"/>
              <w:rPr>
                <w:sz w:val="20"/>
                <w:szCs w:val="20"/>
                <w:color w:val="auto"/>
              </w:rPr>
            </w:pPr>
            <w:r>
              <w:rPr>
                <w:rFonts w:ascii="Arial" w:cs="Arial" w:eastAsia="Arial" w:hAnsi="Arial"/>
                <w:sz w:val="14"/>
                <w:szCs w:val="14"/>
                <w:color w:val="auto"/>
              </w:rPr>
              <w:t>connection with convertible notes</w:t>
            </w:r>
          </w:p>
        </w:tc>
        <w:tc>
          <w:tcPr>
            <w:tcW w:w="11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shd w:val="clear" w:color="auto" w:fill="CFF0FC"/>
          </w:tcPr>
          <w:p>
            <w:pPr>
              <w:spacing w:after="0"/>
              <w:rPr>
                <w:sz w:val="20"/>
                <w:szCs w:val="20"/>
                <w:color w:val="auto"/>
              </w:rPr>
            </w:pPr>
            <w:r>
              <w:rPr>
                <w:rFonts w:ascii="Arial" w:cs="Arial" w:eastAsia="Arial" w:hAnsi="Arial"/>
                <w:sz w:val="14"/>
                <w:szCs w:val="14"/>
                <w:color w:val="auto"/>
              </w:rPr>
              <w:t>Acquisition of equipment through capital lease</w:t>
            </w:r>
          </w:p>
        </w:tc>
        <w:tc>
          <w:tcPr>
            <w:tcW w:w="11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ind w:right="-3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Kodiak Sciences Inc. (the “Company”) is a clinical stage biopharmaceutical company specializing in novel therapeutics to treat high-prevalence ophthalmic diseases. The Company devotes substantially all of its time and efforts to performing research and development, raising capital and recruiting personnel.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In October 2018, the Company sold and issued 9,000,000 shares of common stock at a price to the public of $10.00 per share for gross proceeds of $90.0 million. In November 2018, the Company sold and issued an additional 400,000 shares of common stock at $10.00 per share to the underwriters of the initial public offering (“IPO”) following the partial exercise of their over-allotment option for gross proceeds of $4.0 million. The aggregate net proceeds to the Company from the IPO, inclusive of the partial over-allotment option exercise, were $83.5 million after deducting underwriting discounts and commissions and other offering costs.</w:t>
      </w:r>
    </w:p>
    <w:p>
      <w:pPr>
        <w:spacing w:after="0" w:line="80" w:lineRule="exact"/>
        <w:rPr>
          <w:sz w:val="20"/>
          <w:szCs w:val="20"/>
          <w:color w:val="auto"/>
        </w:rPr>
      </w:pPr>
    </w:p>
    <w:p>
      <w:pPr>
        <w:ind w:right="280" w:firstLine="546"/>
        <w:spacing w:after="0" w:line="257" w:lineRule="auto"/>
        <w:rPr>
          <w:sz w:val="20"/>
          <w:szCs w:val="20"/>
          <w:color w:val="auto"/>
        </w:rPr>
      </w:pPr>
      <w:r>
        <w:rPr>
          <w:rFonts w:ascii="Arial" w:cs="Arial" w:eastAsia="Arial" w:hAnsi="Arial"/>
          <w:sz w:val="18"/>
          <w:szCs w:val="18"/>
          <w:color w:val="auto"/>
        </w:rPr>
        <w:t>Upon the closing of the IPO, all convertible preferred shares then outstanding automatically converted into 12,385,154 shares of common stock, 500,000 redeemable convertible preferred stock warrants automatically converted into common stock warrants and 100,000 of such warrants were exercised immediately following the closing of the IPO. The 2017 convertible notes converted into 2,637,292 shares of common stock and the 2018 convertible notes converted into 4,295,677 shares of common stock upon closing of the IPO. In connection with the IPO, the Company amended and restated its certificate of incorporation and bylaws.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Offering</w:t>
      </w:r>
    </w:p>
    <w:p>
      <w:pPr>
        <w:spacing w:after="0" w:line="117" w:lineRule="exact"/>
        <w:rPr>
          <w:sz w:val="20"/>
          <w:szCs w:val="20"/>
          <w:color w:val="auto"/>
        </w:rPr>
      </w:pPr>
    </w:p>
    <w:p>
      <w:pPr>
        <w:ind w:right="320" w:firstLine="546"/>
        <w:spacing w:after="0" w:line="286" w:lineRule="auto"/>
        <w:rPr>
          <w:sz w:val="20"/>
          <w:szCs w:val="20"/>
          <w:color w:val="auto"/>
        </w:rPr>
      </w:pPr>
      <w:r>
        <w:rPr>
          <w:rFonts w:ascii="Arial" w:cs="Arial" w:eastAsia="Arial" w:hAnsi="Arial"/>
          <w:sz w:val="17"/>
          <w:szCs w:val="17"/>
          <w:color w:val="auto"/>
        </w:rPr>
        <w:t>In December 2019, the Company sold and issued 6,900,000 shares of common stock, including the underwriters’ full exercise of their over-allotment option, at a price to the public of $46.00 per share for gross proceeds of $317.4 million. The aggregate net proceeds to the Company from the follow-on offering were $297.6 million after deducting underwriting discounts and commissions and other offering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Certain prior period amounts in the consolidated financial statements have been reclassified to conform to the current period presentation.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The consolidated financial statements include the Company’s accounts and the accounts of Kodiak Sciences Financing Corporation and Kodiak Sciences China, the Company’s direct wholly owned subsidiaries, incorporated in the United States and Cayman Islands, respectively, and Kodiak Sciences GmbH, the Company’s indirect wholly owned subsidiary, incorporated in Switzerland. All intercompany accounts and transactions have been eliminated. The functional and reporting currency of the Company and its subsidiaries is the U.S. dollar. The aggregate foreign currency transaction loss included in determining net loss was less than $0.1 million, $0.3 million and less than $0.1 million for the years ended December 31, 2019, 2018 and 2017,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The Company operates and manages its business as one reportable and operating segment, which is the business of research and development of drugs for ophthalmic diseases. The chief operating decision maker reviews financial information on an aggregate basis for purposes of allocating resources and evaluating financial performance.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the accrual for research and development expenses, the valuation of deferred tax assets, useful lives of property and equipment, the measurement of right-of-use assets and lease liabilities, stock-based compensation, and the valuation of common shares, convertible debt, derivatives and redeemable convertible preferred stock warrants prior to the Company’s IPO. Actual results could differ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17" w:lineRule="exact"/>
        <w:rPr>
          <w:sz w:val="20"/>
          <w:szCs w:val="20"/>
          <w:color w:val="auto"/>
        </w:rPr>
      </w:pPr>
    </w:p>
    <w:p>
      <w:pPr>
        <w:ind w:right="200" w:firstLine="546"/>
        <w:spacing w:after="0" w:line="254" w:lineRule="auto"/>
        <w:rPr>
          <w:sz w:val="20"/>
          <w:szCs w:val="20"/>
          <w:color w:val="auto"/>
        </w:rPr>
      </w:pPr>
      <w:r>
        <w:rPr>
          <w:rFonts w:ascii="Arial" w:cs="Arial" w:eastAsia="Arial" w:hAnsi="Arial"/>
          <w:sz w:val="18"/>
          <w:szCs w:val="18"/>
          <w:color w:val="auto"/>
        </w:rPr>
        <w:t>The Company’s future results of operations involve a number of risks and uncertainties common to clinical-stage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contract manufacturer and research organizations, and other suppliers.</w:t>
      </w:r>
    </w:p>
    <w:p>
      <w:pPr>
        <w:spacing w:after="0" w:line="84" w:lineRule="exact"/>
        <w:rPr>
          <w:sz w:val="20"/>
          <w:szCs w:val="20"/>
          <w:color w:val="auto"/>
        </w:rPr>
      </w:pPr>
    </w:p>
    <w:p>
      <w:pPr>
        <w:ind w:right="160" w:firstLine="546"/>
        <w:spacing w:after="0" w:line="257" w:lineRule="auto"/>
        <w:rPr>
          <w:sz w:val="20"/>
          <w:szCs w:val="20"/>
          <w:color w:val="auto"/>
        </w:rPr>
      </w:pPr>
      <w:r>
        <w:rPr>
          <w:rFonts w:ascii="Arial" w:cs="Arial" w:eastAsia="Arial" w:hAnsi="Arial"/>
          <w:sz w:val="18"/>
          <w:szCs w:val="18"/>
          <w:color w:val="auto"/>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spacing w:after="0" w:line="80" w:lineRule="exact"/>
        <w:rPr>
          <w:sz w:val="20"/>
          <w:szCs w:val="20"/>
          <w:color w:val="auto"/>
        </w:rPr>
      </w:pPr>
    </w:p>
    <w:p>
      <w:pPr>
        <w:ind w:right="380" w:firstLine="546"/>
        <w:spacing w:after="0" w:line="263" w:lineRule="auto"/>
        <w:rPr>
          <w:sz w:val="20"/>
          <w:szCs w:val="20"/>
          <w:color w:val="auto"/>
        </w:rPr>
      </w:pPr>
      <w:r>
        <w:rPr>
          <w:rFonts w:ascii="Arial" w:cs="Arial" w:eastAsia="Arial" w:hAnsi="Arial"/>
          <w:sz w:val="18"/>
          <w:szCs w:val="18"/>
          <w:color w:val="auto"/>
        </w:rPr>
        <w:t>The Company expects to incur substantial operating losses for the next several years and will need to obtain additional financing in order to complete clinical trials and launch and commercialize any product candidates for which it receives regulatory approval. There can be no assurance that such financing will be available or will be on terms acceptable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00" w:firstLine="546"/>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cash equivalents and marketable securities. As of December 31, 2019 and 2018, cash, cash equivalents and marketable securities were invested primarily in money market funds, overnight repurchase agreements, U.S. treasury securities, commercial paper and corporate notes through highly rated financial institutions. Investments are restricted, in accordance with the Company’s investment policy, to a concentration limit per issuer or sector.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all highly liquid investments with stated maturities of three months or less at the date of purchase to be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The Company invests excess cash balances in marketable securities. The investments in marketable securities are classified as either held-to-maturity or available-for-sale based on facts and circumstances present at the time of purchase. Marketable securities with a remaining maturity date greater than one year are classified as non-current. The Company’s marketable securities consist of U.S. treasury securities, commercial paper, and corporate bonds. Marketable securities are carried at fair value with the unrealized gains and losses included in other comprehensive income (loss) as a component of stockholders’ equity until realized. Any premium or discount arising at purchase of marketable debt securities is amortized and/or accreted to other income (expense), net over the life of the instrument. Realized gains and losses are determined using the specific identification method and are included in other income (expense), net.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If any adjustment to fair value reflects a decline in value of the investment, the Company considers all available evidence to evaluate the extent to which the decline is “other-than-temporary” and, if so, marks the investment to market through a charge to the Company’s statement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00" w:firstLine="546"/>
        <w:spacing w:after="0" w:line="342" w:lineRule="auto"/>
        <w:rPr>
          <w:sz w:val="20"/>
          <w:szCs w:val="20"/>
          <w:color w:val="auto"/>
        </w:rPr>
      </w:pPr>
      <w:r>
        <w:rPr>
          <w:rFonts w:ascii="Arial" w:cs="Arial" w:eastAsia="Arial" w:hAnsi="Arial"/>
          <w:sz w:val="16"/>
          <w:szCs w:val="16"/>
          <w:color w:val="auto"/>
        </w:rPr>
        <w:t>As of December 31, 2019, and 2018, the Company had $0.1 million of long-term restricted cash deposited with a financial institution. The entire amount is held in a separate bank account to support a letter of credit agreement related to the Company’s headquarter facility lease which expires in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546"/>
        <w:spacing w:after="0" w:line="275" w:lineRule="auto"/>
        <w:rPr>
          <w:sz w:val="20"/>
          <w:szCs w:val="20"/>
          <w:color w:val="auto"/>
        </w:rPr>
      </w:pPr>
      <w:r>
        <w:rPr>
          <w:rFonts w:ascii="Arial" w:cs="Arial" w:eastAsia="Arial" w:hAnsi="Arial"/>
          <w:sz w:val="17"/>
          <w:szCs w:val="17"/>
          <w:color w:val="auto"/>
        </w:rPr>
        <w:t xml:space="preserve">Accounting Standards Codification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68" w:lineRule="exact"/>
        <w:rPr>
          <w:sz w:val="20"/>
          <w:szCs w:val="20"/>
          <w:color w:val="auto"/>
        </w:rPr>
      </w:pPr>
    </w:p>
    <w:p>
      <w:pPr>
        <w:ind w:right="260" w:firstLine="546"/>
        <w:spacing w:after="0" w:line="263"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—Observable inputs, such as quoted prices in active markets for identical assets or liabilities at the measurement date.</w:t>
      </w:r>
    </w:p>
    <w:p>
      <w:pPr>
        <w:spacing w:after="0" w:line="117" w:lineRule="exact"/>
        <w:rPr>
          <w:sz w:val="20"/>
          <w:szCs w:val="20"/>
          <w:color w:val="auto"/>
        </w:rPr>
      </w:pPr>
    </w:p>
    <w:p>
      <w:pPr>
        <w:ind w:right="380" w:firstLine="546"/>
        <w:spacing w:after="0" w:line="342" w:lineRule="auto"/>
        <w:rPr>
          <w:sz w:val="20"/>
          <w:szCs w:val="20"/>
          <w:color w:val="auto"/>
        </w:rPr>
      </w:pPr>
      <w:r>
        <w:rPr>
          <w:rFonts w:ascii="Arial" w:cs="Arial" w:eastAsia="Arial" w:hAnsi="Arial"/>
          <w:sz w:val="16"/>
          <w:szCs w:val="16"/>
          <w:i w:val="1"/>
          <w:iCs w:val="1"/>
          <w:color w:val="auto"/>
        </w:rPr>
        <w:t>Level 2</w:t>
      </w:r>
      <w:r>
        <w:rPr>
          <w:rFonts w:ascii="Arial" w:cs="Arial" w:eastAsia="Arial" w:hAnsi="Arial"/>
          <w:sz w:val="16"/>
          <w:szCs w:val="16"/>
          <w:color w:val="auto"/>
        </w:rPr>
        <w:t>—Observable inputs other than Level 1 prices such as quoted prices for similar assets or liabilities, quoted prices in markets that are not</w:t>
      </w:r>
      <w:r>
        <w:rPr>
          <w:rFonts w:ascii="Arial" w:cs="Arial" w:eastAsia="Arial" w:hAnsi="Arial"/>
          <w:sz w:val="16"/>
          <w:szCs w:val="16"/>
          <w:i w:val="1"/>
          <w:iCs w:val="1"/>
          <w:color w:val="auto"/>
        </w:rPr>
        <w:t xml:space="preserve"> </w:t>
      </w:r>
      <w:r>
        <w:rPr>
          <w:rFonts w:ascii="Arial" w:cs="Arial" w:eastAsia="Arial" w:hAnsi="Arial"/>
          <w:sz w:val="16"/>
          <w:szCs w:val="16"/>
          <w:color w:val="auto"/>
        </w:rPr>
        <w:t>active, or other inputs that are observable or can be corroborated by observable market data for substantially the full term of the assets or liabilities.</w:t>
      </w:r>
    </w:p>
    <w:p>
      <w:pPr>
        <w:spacing w:after="0" w:line="16"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which reflect management’s best estimate of what market participants would use in pricing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 Consideration is given to the risk inherent in the valuation technique and inputs to the model.</w:t>
      </w:r>
    </w:p>
    <w:p>
      <w:pPr>
        <w:spacing w:after="0" w:line="62"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79" w:lineRule="exact"/>
        <w:rPr>
          <w:sz w:val="20"/>
          <w:szCs w:val="20"/>
          <w:color w:val="auto"/>
        </w:rPr>
      </w:pPr>
    </w:p>
    <w:p>
      <w:pPr>
        <w:ind w:right="240" w:firstLine="546"/>
        <w:spacing w:after="0" w:line="308" w:lineRule="auto"/>
        <w:rPr>
          <w:sz w:val="20"/>
          <w:szCs w:val="20"/>
          <w:color w:val="auto"/>
        </w:rPr>
      </w:pPr>
      <w:r>
        <w:rPr>
          <w:rFonts w:ascii="Arial" w:cs="Arial" w:eastAsia="Arial" w:hAnsi="Arial"/>
          <w:sz w:val="17"/>
          <w:szCs w:val="17"/>
          <w:color w:val="auto"/>
        </w:rPr>
        <w:t>The carrying amounts of the Company’s financial instruments consisting of cash and cash equivalents, prepaid expenses and other current assets, accounts payable and accrued liabilities and other current liabilities, approximate fair value due to their relatively short maturities.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 w:firstLine="546"/>
        <w:spacing w:after="0" w:line="254" w:lineRule="auto"/>
        <w:rPr>
          <w:sz w:val="20"/>
          <w:szCs w:val="20"/>
          <w:color w:val="auto"/>
        </w:rPr>
      </w:pPr>
      <w:r>
        <w:rPr>
          <w:rFonts w:ascii="Arial" w:cs="Arial" w:eastAsia="Arial" w:hAnsi="Arial"/>
          <w:sz w:val="18"/>
          <w:szCs w:val="18"/>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balance sheet as right-of-use assets and lease liabilities based on the present value of lease payments over the expected lease term. The interest rate implicit in lease contracts is typically not readily determinable. As such, the Company utilizes the incremental borrowing rate, which is the rate incurred to borrow, on a collateralized basis, an amount equal to the lease payments over a similar term and in a similar economic environment of the applicable country or region. Variable lease payments are excluded from the right of use assets and operating lease liabilities and are recognized in the period in which the obligation for those payments is incurred.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Property and equipment are stated at cost less accumulated depreciation for acquired assets. Depreciation is computed using the straight-line method over the estimated useful lives of assets, which is generally four years for laboratory equipment, three years for computer equipment and office equipment, five years for computer software and five to seven years for furniture and fixtures. Leasehold improvements are stated at cost and amortized over the shorter of the useful life of the assets or the length of the lease. Upon sale or retirement of assets, the costs and related accumulated depreciation are removed from the consolidated balance sheet and the resulting gain or loss is reflected in operations. Maintenance and repairs are charged to operations as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that the carrying amount of an asset may not be recoverable. Recoverability is measured by comparison of the carrying amount to the future undiscounted net cash flows which the assets are expected to generate. If such assets are considered to be impaired, the impairment to be recognized is measured by the amount by which the carrying amount of the assets exceeds the projected discounted future net cash flows arising from the assets. There have been no such impairments of long-lived assets in the years ended December 31, 2019 and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580" w:firstLine="546"/>
        <w:spacing w:after="0" w:line="263" w:lineRule="auto"/>
        <w:rPr>
          <w:sz w:val="20"/>
          <w:szCs w:val="20"/>
          <w:color w:val="auto"/>
        </w:rPr>
      </w:pPr>
      <w:r>
        <w:rPr>
          <w:rFonts w:ascii="Arial" w:cs="Arial" w:eastAsia="Arial" w:hAnsi="Arial"/>
          <w:sz w:val="18"/>
          <w:szCs w:val="18"/>
          <w:color w:val="auto"/>
        </w:rPr>
        <w:t>Costs related to research, design and development of products are charged to research and development expense as incurred. Research and development costs include, but are not limited to, payroll and personnel expenses, including stock-based compensation, laboratory supplies, outside services and allocated overhead, including rent, equipment, depreciation and utilities.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w:t>
      </w:r>
    </w:p>
    <w:p>
      <w:pPr>
        <w:spacing w:after="0" w:line="117" w:lineRule="exact"/>
        <w:rPr>
          <w:sz w:val="20"/>
          <w:szCs w:val="20"/>
          <w:color w:val="auto"/>
        </w:rPr>
      </w:pPr>
    </w:p>
    <w:p>
      <w:pPr>
        <w:ind w:right="80" w:firstLine="546"/>
        <w:spacing w:after="0" w:line="293" w:lineRule="auto"/>
        <w:rPr>
          <w:sz w:val="20"/>
          <w:szCs w:val="20"/>
          <w:color w:val="auto"/>
        </w:rPr>
      </w:pPr>
      <w:r>
        <w:rPr>
          <w:rFonts w:ascii="Arial" w:cs="Arial" w:eastAsia="Arial" w:hAnsi="Arial"/>
          <w:sz w:val="16"/>
          <w:szCs w:val="16"/>
          <w:color w:val="auto"/>
        </w:rPr>
        <w:t>The Company has entered into various agreements with contract research organizations (“CROs”) and contract manufacturing organizations (“CMOs”). The Company’s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and other current liabilities on the consolidated balance sheets. If the actual timing of the performance of services or the level of effort varies from the original estimates, the Company will adjust the accrual accordingly. Payments made to CROs or CMOs under these arrangements in advance of the performance of the related services are recorded as prepaid expenses and other current assets until the services are rendered.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 xml:space="preserve">The Company accounts for stock-based compensation in accordance with the provisions of ASC 718, </w:t>
      </w:r>
      <w:r>
        <w:rPr>
          <w:rFonts w:ascii="Arial" w:cs="Arial" w:eastAsia="Arial" w:hAnsi="Arial"/>
          <w:sz w:val="17"/>
          <w:szCs w:val="17"/>
          <w:i w:val="1"/>
          <w:iCs w:val="1"/>
          <w:color w:val="auto"/>
        </w:rPr>
        <w:t>Compensation-Stock</w:t>
      </w:r>
      <w:r>
        <w:rPr>
          <w:rFonts w:ascii="Arial" w:cs="Arial" w:eastAsia="Arial" w:hAnsi="Arial"/>
          <w:sz w:val="17"/>
          <w:szCs w:val="17"/>
          <w:color w:val="auto"/>
        </w:rPr>
        <w:t xml:space="preserve"> Compensation. The Company measures stock-based compensation expense for stock options and restricted stock units granted to its employees, directors and non-employees based on the estimated fair value of the awards on the grant date. The fair value of options is calculated using the Black-Scholes valuation model, which requires the input of subjective assumptions, including (i) the expected stock price volatility, (ii) the calculation of expected term of the award, (iii) the risk-free interest rate, and (iv) expected dividends. The expense is recorded on a straight-line basis over the requisite service period, which is generally the vesting period, for the entire award. The Company accounts for forfeitures as they occur.</w:t>
      </w:r>
    </w:p>
    <w:p>
      <w:pPr>
        <w:spacing w:after="0" w:line="70"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 xml:space="preserve">Prior to the adoption of Accounting Standards Update ("ASU") No. 2018-07, </w:t>
      </w:r>
      <w:r>
        <w:rPr>
          <w:rFonts w:ascii="Arial" w:cs="Arial" w:eastAsia="Arial" w:hAnsi="Arial"/>
          <w:sz w:val="18"/>
          <w:szCs w:val="18"/>
          <w:i w:val="1"/>
          <w:iCs w:val="1"/>
          <w:color w:val="auto"/>
        </w:rPr>
        <w:t>Compensation - Stock Compensation (Topic 718):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Nonemployee Share-Based Payment Accounting </w:t>
      </w:r>
      <w:r>
        <w:rPr>
          <w:rFonts w:ascii="Arial" w:cs="Arial" w:eastAsia="Arial" w:hAnsi="Arial"/>
          <w:sz w:val="18"/>
          <w:szCs w:val="18"/>
          <w:color w:val="auto"/>
        </w:rPr>
        <w:t>("ASU 2018-07"), the measurement date for non-employee awards was generally the date the services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resulting in financial reporting period adjustments to stock-based compensation during the vesting terms for changes in the fair value of the awards. After adoption of ASU 2018-07 as of January 1, 2019, the measurement date for non-employee awards is the date of grant without changes in the fair value of the award.</w:t>
      </w:r>
    </w:p>
    <w:p>
      <w:pPr>
        <w:spacing w:after="0" w:line="80" w:lineRule="exact"/>
        <w:rPr>
          <w:sz w:val="20"/>
          <w:szCs w:val="20"/>
          <w:color w:val="auto"/>
        </w:rPr>
      </w:pPr>
    </w:p>
    <w:p>
      <w:pPr>
        <w:ind w:right="260" w:firstLine="546"/>
        <w:spacing w:after="0" w:line="286" w:lineRule="auto"/>
        <w:rPr>
          <w:sz w:val="20"/>
          <w:szCs w:val="20"/>
          <w:color w:val="auto"/>
        </w:rPr>
      </w:pPr>
      <w:r>
        <w:rPr>
          <w:rFonts w:ascii="Arial" w:cs="Arial" w:eastAsia="Arial" w:hAnsi="Arial"/>
          <w:sz w:val="17"/>
          <w:szCs w:val="17"/>
          <w:color w:val="auto"/>
        </w:rPr>
        <w:t>The Company has certain stock options and restricted stock units that vest in conjunction with certain performance conditions. At each reporting date, the Company is required to evaluate whether achievement of the performance conditions is probable. Compensation expense is recorded over the appropriate service period based upon the Company's assessment of accomplishing each performance provision.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color w:val="auto"/>
        </w:rPr>
        <w:t>The Company accounts for income taxes under the asset and liability method, which requires, among other things, that deferred income taxes be provided for temporary differences between the tax basis of the Company’s assets and liabilities and their financial statement reported amounts. In addition, deferred tax assets are recorded for the future benefit of utilizing net operating losses (“NOLs”) and research and development credit carryforwards and are measured using the enacted tax rates and laws that will be in effect when such items are expected to reverse. A valuation allowance is provided against deferred tax assets unless it is more likely than not that they will be realized.</w:t>
      </w:r>
    </w:p>
    <w:p>
      <w:pPr>
        <w:spacing w:after="0" w:line="68"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The Company accounts for uncertain tax positions by assessing all material positions taken in any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460" w:firstLine="546"/>
        <w:spacing w:after="0" w:line="277" w:lineRule="auto"/>
        <w:rPr>
          <w:sz w:val="20"/>
          <w:szCs w:val="20"/>
          <w:color w:val="auto"/>
        </w:rPr>
      </w:pPr>
      <w:r>
        <w:rPr>
          <w:rFonts w:ascii="Arial" w:cs="Arial" w:eastAsia="Arial" w:hAnsi="Arial"/>
          <w:sz w:val="18"/>
          <w:szCs w:val="18"/>
          <w:color w:val="auto"/>
        </w:rPr>
        <w:t>Comprehensive loss is composed of net loss and other comprehensive income (loss). Other comprehensive income (loss) consists primarily of unrealized gains and losses on debt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firstLine="546"/>
        <w:spacing w:after="0" w:line="270"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the redeemable convertible preferred stock, preferred stock warrants, convertible notes, common stock subject to repurchase, and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Since the Company has reported net loss for all periods presented, diluted net loss per share is the same as basic net loss per common share for those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From time to time, new accounting pronouncements are issued by the FASB, under its ASC or other standard setting bodies, and adopted by the Company as of the specified effective date, unless otherwise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set out the principles for the recognition, measurement, presentation and disclosure of leases for both parties to a contract (</w:t>
      </w:r>
      <w:r>
        <w:rPr>
          <w:rFonts w:ascii="Arial" w:cs="Arial" w:eastAsia="Arial" w:hAnsi="Arial"/>
          <w:sz w:val="17"/>
          <w:szCs w:val="17"/>
          <w:i w:val="1"/>
          <w:iCs w:val="1"/>
          <w:color w:val="auto"/>
        </w:rPr>
        <w:t>i.e.,</w:t>
      </w:r>
      <w:r>
        <w:rPr>
          <w:rFonts w:ascii="Arial" w:cs="Arial" w:eastAsia="Arial" w:hAnsi="Arial"/>
          <w:sz w:val="17"/>
          <w:szCs w:val="17"/>
          <w:color w:val="auto"/>
        </w:rPr>
        <w:t xml:space="preserve"> lessees and lessors). In July 2018, the FASB issued ASU 2018-10, </w:t>
      </w:r>
      <w:r>
        <w:rPr>
          <w:rFonts w:ascii="Arial" w:cs="Arial" w:eastAsia="Arial" w:hAnsi="Arial"/>
          <w:sz w:val="17"/>
          <w:szCs w:val="17"/>
          <w:i w:val="1"/>
          <w:iCs w:val="1"/>
          <w:color w:val="auto"/>
        </w:rPr>
        <w:t>Leases (Topic 842), 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Improvements</w:t>
      </w:r>
      <w:r>
        <w:rPr>
          <w:rFonts w:ascii="Arial" w:cs="Arial" w:eastAsia="Arial" w:hAnsi="Arial"/>
          <w:sz w:val="17"/>
          <w:szCs w:val="17"/>
          <w:color w:val="auto"/>
        </w:rPr>
        <w:t>, and ASU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 ASU 2018-10 clarified certain provisions and corrected unintended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applications of the guidance such as the application of implicit rate, lessee reassessment of lease classification, and certain transition adjustments that should be recognized to earnings rather than to stockholders' equity. ASU 2018-11 provided an alternative transition method and practical expedient for separating contract components for the adoption of Topic 842. ASU 2016-02, ASU 2018-10, and ASU 2018-11 (collectively, "the new lease standards") superseded the previous leases standard, ASC 840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69"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The Company adopted ASC 842 effective January 1, 2019 using the modified retrospective approach to recognize a cumulative-effect adjustment on the effective date and to not adjust financial information and disclosures required under the new lease standards for comparative prior periods. The Company did not elect for the package of practical expedients and assessed all contracts at the transition date. The Company did not utilize the practical expedient which allows the use of hindsight in determining lease term and assessing impairment in right-of-use assets. The Company elected to apply the practical expedient and accounted for each lease component and related non-lease component as one single component. The Company elected the practical expedient not to recognize leases with terms of one year or less on the balance sheet.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The adoption of the new lease standards on January 1, 2019 resulted in the initial recognition of right-of-use asset of $2.2 million and operating lease liability of $2.3 million and derecognition of noncurrent deferred liabilities of $0.2 million related to the operating lease for the Company’s office and laboratory space in Palo Alto, California on the consolidated balance sheets with no material impact to the consolidated statements of operations, stockholders’ equity or cash flows. Refer to Note 7.</w:t>
      </w:r>
    </w:p>
    <w:p>
      <w:pPr>
        <w:spacing w:after="0" w:line="79"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 xml:space="preserve">In July 2017, the FASB issued ASU 2017-11, </w:t>
      </w:r>
      <w:r>
        <w:rPr>
          <w:rFonts w:ascii="Arial" w:cs="Arial" w:eastAsia="Arial" w:hAnsi="Arial"/>
          <w:sz w:val="16"/>
          <w:szCs w:val="16"/>
          <w:i w:val="1"/>
          <w:iCs w:val="1"/>
          <w:color w:val="auto"/>
        </w:rPr>
        <w:t>Earnings Per Share (Topic 260) Distinguishing Liabilities from Equity (Topic 480)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This update simplifies the accounting for certain financial instruments with down round features, a provision in an equity-linked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(or embedded feature) that provides a downward adjustment of the current exercise price based on the price of future equity offerings. Down round features are common in warrants, preferred shares, and convertible debt instruments issued by private companies and early-stage public companies. This update requires companies to disregard the down round feature when assessing whether the instrument is indexed to its own stock, for purposes of determining liability or equity classification. ASU 2017-11 is effective for interim and annual periods beginning after December 15, 2018. The Company adopted this new guidance as of January 1, 2019, which did not impact its consolidated financial statements and related disclosures.</w:t>
      </w:r>
    </w:p>
    <w:p>
      <w:pPr>
        <w:spacing w:after="0" w:line="58" w:lineRule="exact"/>
        <w:rPr>
          <w:sz w:val="20"/>
          <w:szCs w:val="20"/>
          <w:color w:val="auto"/>
        </w:rPr>
      </w:pPr>
    </w:p>
    <w:p>
      <w:pPr>
        <w:ind w:right="180" w:firstLine="546"/>
        <w:spacing w:after="0" w:line="254"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which expands the scope of Topic 718 to include all share-based payment transactions for acquiring goods and services from</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ASU 2018-07 is effective for interim and annual periods beginning after December 15, 2018. The Company adopted this new guidance as of January 1, 2019, which did not result in a material impact on its consolidated financial statements and related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17" w:lineRule="exact"/>
        <w:rPr>
          <w:sz w:val="20"/>
          <w:szCs w:val="20"/>
          <w:color w:val="auto"/>
        </w:rPr>
      </w:pPr>
    </w:p>
    <w:p>
      <w:pPr>
        <w:ind w:right="140" w:firstLine="546"/>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(Topic 362):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and ASU 2018-19,</w:t>
      </w:r>
      <w:r>
        <w:rPr>
          <w:rFonts w:ascii="Arial" w:cs="Arial" w:eastAsia="Arial" w:hAnsi="Arial"/>
          <w:sz w:val="18"/>
          <w:szCs w:val="18"/>
          <w:i w:val="1"/>
          <w:iCs w:val="1"/>
          <w:color w:val="auto"/>
        </w:rPr>
        <w:t xml:space="preserve"> Codification Improvements to Topic 326, Financial Instruments—Credit Losses</w:t>
      </w:r>
      <w:r>
        <w:rPr>
          <w:rFonts w:ascii="Arial" w:cs="Arial" w:eastAsia="Arial" w:hAnsi="Arial"/>
          <w:sz w:val="18"/>
          <w:szCs w:val="18"/>
          <w:color w:val="auto"/>
        </w:rPr>
        <w:t>, which intends to improve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by requiring earlier recognition of credit losses on certain financial assets, such as available-for-sale debt securities. The standard is effective for interim and annual periods after December 15, 2019. Early adoption is permitted. The Company is currently evaluating the impact of adopting this guidance on its consolidated financial statements and related disclosures.</w:t>
      </w:r>
    </w:p>
    <w:p>
      <w:pPr>
        <w:spacing w:after="0" w:line="80" w:lineRule="exact"/>
        <w:rPr>
          <w:sz w:val="20"/>
          <w:szCs w:val="20"/>
          <w:color w:val="auto"/>
        </w:rPr>
      </w:pPr>
    </w:p>
    <w:p>
      <w:pPr>
        <w:ind w:right="140" w:firstLine="546"/>
        <w:spacing w:after="0" w:line="27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 - Changes to the Disclosure Requirements for Fair Value Measurements</w:t>
      </w:r>
      <w:r>
        <w:rPr>
          <w:rFonts w:ascii="Arial" w:cs="Arial" w:eastAsia="Arial" w:hAnsi="Arial"/>
          <w:sz w:val="17"/>
          <w:szCs w:val="17"/>
          <w:color w:val="auto"/>
        </w:rPr>
        <w:t>, which eliminates, adds and modifies certain disclosure requirements for fair value measurements as part of the FASB’s disclosure framework project. The standard is effective for interim and annual periods beginning after December 15, 2019. The standard specifies certain amendments which should be applied prospectively while all other amendments should be applied retrospectively. Early adoption is permitted. The Company is currently evaluating the impact of adopting this guidance on its consolidated financial statements and related disclosures.</w:t>
      </w:r>
    </w:p>
    <w:p>
      <w:pPr>
        <w:spacing w:after="0" w:line="68"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Implementation Costs Incurred in a Cloud Computing Arrangement That Is a Service Contract, </w:t>
      </w:r>
      <w:r>
        <w:rPr>
          <w:rFonts w:ascii="Arial" w:cs="Arial" w:eastAsia="Arial" w:hAnsi="Arial"/>
          <w:sz w:val="18"/>
          <w:szCs w:val="18"/>
          <w:color w:val="auto"/>
        </w:rPr>
        <w:t>which clarifies the accounting for implementation, set-up, and other upfront costs incurred in cloud computing arrangements. The standard is effective for interim and annual periods beginning after December 15, 2019. Early adoption is permitted. The Company is currently evaluating the impact of adopting this guidance on its consolidated financial statements and related disclosures.</w:t>
      </w:r>
    </w:p>
    <w:p>
      <w:pPr>
        <w:spacing w:after="0" w:line="80" w:lineRule="exact"/>
        <w:rPr>
          <w:sz w:val="20"/>
          <w:szCs w:val="20"/>
          <w:color w:val="auto"/>
        </w:rPr>
      </w:pPr>
    </w:p>
    <w:p>
      <w:pPr>
        <w:ind w:right="200" w:firstLine="546"/>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the accounting for income taxes. ASU 2019-12 removes certain exceptions to the general principles in Topic 740 and also clarifies and amends existing guidance to improve consistent application. The new standard will be effective beginning January 1, 2021. The Company is currently evaluating the impact of adopting this guidance on its consolidated financial statements and related disclosures.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Arial" w:cs="Arial" w:eastAsia="Arial" w:hAnsi="Arial"/>
                <w:sz w:val="18"/>
                <w:szCs w:val="18"/>
                <w:b w:val="1"/>
                <w:bCs w:val="1"/>
                <w:color w:val="auto"/>
              </w:rPr>
              <w:t>3. Property and Equipment, net</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700" w:type="dxa"/>
            <w:vAlign w:val="bottom"/>
          </w:tcPr>
          <w:p>
            <w:pPr>
              <w:ind w:left="56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3"/>
        </w:trPr>
        <w:tc>
          <w:tcPr>
            <w:tcW w:w="7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7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Laboratory equipment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Computer software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FF0FC"/>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2,767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(1,771)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(1,685)</w:t>
            </w: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All property and equipment are maintained in the United States. Depreciation expense, including depreciation of assets under capital leases, was $0.5 million, $0.5 million and $0.5 million for the years ended December 31, 2019, 2018 and 2017,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00" w:type="dxa"/>
            <w:vAlign w:val="bottom"/>
          </w:tcPr>
          <w:p>
            <w:pPr>
              <w:spacing w:after="0"/>
              <w:rPr>
                <w:sz w:val="20"/>
                <w:szCs w:val="20"/>
                <w:color w:val="auto"/>
              </w:rPr>
            </w:pPr>
            <w:r>
              <w:rPr>
                <w:rFonts w:ascii="Arial" w:cs="Arial" w:eastAsia="Arial" w:hAnsi="Arial"/>
                <w:sz w:val="18"/>
                <w:szCs w:val="18"/>
                <w:b w:val="1"/>
                <w:bCs w:val="1"/>
                <w:color w:val="auto"/>
              </w:rPr>
              <w:t>4. Accrued Liabilities and Other Current Liabilities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7700" w:type="dxa"/>
            <w:vAlign w:val="bottom"/>
          </w:tcPr>
          <w:p>
            <w:pPr>
              <w:ind w:left="560"/>
              <w:spacing w:after="0"/>
              <w:rPr>
                <w:sz w:val="20"/>
                <w:szCs w:val="20"/>
                <w:color w:val="auto"/>
              </w:rPr>
            </w:pPr>
            <w:r>
              <w:rPr>
                <w:rFonts w:ascii="Arial" w:cs="Arial" w:eastAsia="Arial" w:hAnsi="Arial"/>
                <w:sz w:val="18"/>
                <w:szCs w:val="18"/>
                <w:color w:val="auto"/>
              </w:rPr>
              <w:t>Accrued liabilities and other current liabilities consist of the following (in thousands):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3"/>
        </w:trPr>
        <w:tc>
          <w:tcPr>
            <w:tcW w:w="7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Accrued salaries and benefits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Accrued legal fees</w:t>
            </w: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r>
      <w:tr>
        <w:trPr>
          <w:trHeight w:val="23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Accrued other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FF0FC"/>
          </w:tcPr>
          <w:p>
            <w:pPr>
              <w:spacing w:after="0"/>
              <w:rPr>
                <w:sz w:val="19"/>
                <w:szCs w:val="19"/>
                <w:color w:val="auto"/>
              </w:rPr>
            </w:pPr>
          </w:p>
        </w:tc>
      </w:tr>
      <w:tr>
        <w:trPr>
          <w:trHeight w:val="223"/>
        </w:trPr>
        <w:tc>
          <w:tcPr>
            <w:tcW w:w="7700" w:type="dxa"/>
            <w:vAlign w:val="bottom"/>
          </w:tcPr>
          <w:p>
            <w:pPr>
              <w:spacing w:after="0"/>
              <w:rPr>
                <w:sz w:val="20"/>
                <w:szCs w:val="20"/>
                <w:color w:val="auto"/>
              </w:rPr>
            </w:pPr>
            <w:r>
              <w:rPr>
                <w:rFonts w:ascii="Arial" w:cs="Arial" w:eastAsia="Arial" w:hAnsi="Arial"/>
                <w:sz w:val="18"/>
                <w:szCs w:val="18"/>
                <w:color w:val="auto"/>
              </w:rPr>
              <w:t>Total accrued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present the Company’s fair value hierarchy for assets and liabilities measured at fair value on a recurring basis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December 31, 2019</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r>
      <w:tr>
        <w:trPr>
          <w:trHeight w:val="223"/>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155,276</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155,276</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 agreement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5,987</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U.S. treasury securities</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50,185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50,185</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34,533</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Corporate notes</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51,662</w:t>
            </w:r>
          </w:p>
        </w:tc>
        <w:tc>
          <w:tcPr>
            <w:tcW w:w="120" w:type="dxa"/>
            <w:vAlign w:val="bottom"/>
          </w:tcPr>
          <w:p>
            <w:pPr>
              <w:spacing w:after="0"/>
              <w:rPr>
                <w:sz w:val="19"/>
                <w:szCs w:val="19"/>
                <w:color w:val="auto"/>
              </w:rPr>
            </w:pPr>
          </w:p>
        </w:tc>
      </w:tr>
      <w:tr>
        <w:trPr>
          <w:trHeight w:val="223"/>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205,276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142,367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347,643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Fair Value Measurements at December 31, 2018</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19"/>
                <w:szCs w:val="19"/>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19"/>
                <w:szCs w:val="19"/>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2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2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87,957</w:t>
            </w: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87,957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87,957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20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62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There were no liabilities measured at fair value on a recurring and non-recurring basis as of December 31, 2019 and 2018. There were no transfers of assets or liabilities between the fair value measurement levels during the years ended December 31, 2019 and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Marketable Securities</w:t>
      </w:r>
    </w:p>
    <w:p>
      <w:pPr>
        <w:spacing w:after="0" w:line="121" w:lineRule="exact"/>
        <w:rPr>
          <w:sz w:val="20"/>
          <w:szCs w:val="20"/>
          <w:color w:val="auto"/>
        </w:rPr>
      </w:pPr>
    </w:p>
    <w:p>
      <w:pPr>
        <w:jc w:val="both"/>
        <w:ind w:right="100" w:firstLine="546"/>
        <w:spacing w:after="0" w:line="311" w:lineRule="auto"/>
        <w:rPr>
          <w:sz w:val="20"/>
          <w:szCs w:val="20"/>
          <w:color w:val="auto"/>
        </w:rPr>
      </w:pPr>
      <w:r>
        <w:rPr>
          <w:rFonts w:ascii="Arial" w:cs="Arial" w:eastAsia="Arial" w:hAnsi="Arial"/>
          <w:sz w:val="16"/>
          <w:szCs w:val="16"/>
          <w:color w:val="auto"/>
        </w:rPr>
        <w:t>The marketable securities are classified as available-for-sale and consist of U.S. treasury securities, corporate notes and commercial paper. The fair value measurement data for marketable securities is obtained from independent pricing services. The Company validates the prices provided by the third-party pricing services by understanding the valuation methods and data sources used and analyzing the pricing data in certain instances.</w:t>
      </w:r>
    </w:p>
    <w:p>
      <w:pPr>
        <w:spacing w:after="0" w:line="4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marketable securities held at December 31, 2019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Amortized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58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Gains</w:t>
            </w:r>
          </w:p>
        </w:tc>
        <w:tc>
          <w:tcPr>
            <w:tcW w:w="2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Losses</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Value</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50,190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Corporate notes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39,956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Total marketable securities, current</w:t>
            </w: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4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124,678</w:t>
            </w:r>
          </w:p>
        </w:tc>
        <w:tc>
          <w:tcPr>
            <w:tcW w:w="22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80" w:type="dxa"/>
            <w:vAlign w:val="bottom"/>
            <w:vMerge w:val="continue"/>
          </w:tcPr>
          <w:p>
            <w:pPr>
              <w:spacing w:after="0"/>
              <w:rPr>
                <w:sz w:val="22"/>
                <w:szCs w:val="22"/>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124,684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Corporate notes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11,692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marketable securities, noncurrent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11,696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546"/>
        <w:spacing w:after="0" w:line="257" w:lineRule="auto"/>
        <w:rPr>
          <w:sz w:val="20"/>
          <w:szCs w:val="20"/>
          <w:color w:val="auto"/>
        </w:rPr>
      </w:pPr>
      <w:r>
        <w:rPr>
          <w:rFonts w:ascii="Arial" w:cs="Arial" w:eastAsia="Arial" w:hAnsi="Arial"/>
          <w:sz w:val="18"/>
          <w:szCs w:val="18"/>
          <w:color w:val="auto"/>
        </w:rPr>
        <w:t>All marketable securities held at December 31, 2019 had effective maturities of less than two years. There were no realized gains or losses recognized on the sale or maturity of available-for-sale debt securities during the year ended December 31, 2019 and as a result, the Company did not reclassify any amounts out of accumulated comprehensive loss. All marketable securities with unrealized losses as of December 31, 2019 have been in a loss position for less than twelve months and the loss is not material. These marketable securities were not considered to be other-than-temporarily impaired as of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right="40" w:firstLine="546"/>
        <w:spacing w:after="0" w:line="263" w:lineRule="auto"/>
        <w:rPr>
          <w:sz w:val="20"/>
          <w:szCs w:val="20"/>
          <w:color w:val="auto"/>
        </w:rPr>
      </w:pPr>
      <w:r>
        <w:rPr>
          <w:rFonts w:ascii="Arial" w:cs="Arial" w:eastAsia="Arial" w:hAnsi="Arial"/>
          <w:sz w:val="18"/>
          <w:szCs w:val="18"/>
          <w:color w:val="auto"/>
        </w:rPr>
        <w:t>In January 2013, the Company executed a non-cancellable lease agreement for office and laboratory space in Palo Alto, California. The lease began in October 2013 and would expire in October 2018. In March 2016, the Company executed a lease amendment agreement which was effective March 2016 and extended the lease term until October 2023.</w:t>
      </w:r>
    </w:p>
    <w:p>
      <w:pPr>
        <w:spacing w:after="0" w:line="76"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The Company recognizes rent expense on a straight-line basis over the lease period. Rent expense recognized under all leases was $0.6 million and $0.6 million and $0.6 million for the years ended December 31, 2019, 2018 and 2017, respectively. Note that the Company adopted ASC 842 using the required modified retrospective approach effective January 1, 2019. Therefore, the amounts disclosed for the years ended December 31, 2018 and 2017 are presented under previous accounting guidance and are therefore not comparable to the amounts recorded in the current period under ASC 842.</w:t>
      </w:r>
    </w:p>
    <w:p>
      <w:pPr>
        <w:spacing w:after="0" w:line="49" w:lineRule="exact"/>
        <w:rPr>
          <w:sz w:val="20"/>
          <w:szCs w:val="20"/>
          <w:color w:val="auto"/>
        </w:rPr>
      </w:pPr>
    </w:p>
    <w:p>
      <w:pPr>
        <w:ind w:right="200" w:firstLine="546"/>
        <w:spacing w:after="0" w:line="275" w:lineRule="auto"/>
        <w:rPr>
          <w:sz w:val="20"/>
          <w:szCs w:val="20"/>
          <w:color w:val="auto"/>
        </w:rPr>
      </w:pPr>
      <w:r>
        <w:rPr>
          <w:rFonts w:ascii="Arial" w:cs="Arial" w:eastAsia="Arial" w:hAnsi="Arial"/>
          <w:sz w:val="17"/>
          <w:szCs w:val="17"/>
          <w:color w:val="auto"/>
        </w:rPr>
        <w:t>The Company recognized an operating lease right-of-use asset and corresponding liability on January 1, 2019 based on the present value of remaining lease payments discounted at the Company’s estimated incremental borrowing rate of 8.5% over the remaining lease term of 4.83 years for the facility in Palo Alto, California. For the year ended December 31, 2019, the operating lease cost was $0.6 million and the variable lease costs were $0.2 million. The cash paid for amounts included in the measurement of the operating lease liability was $0.6 million for the year ended December 31, 2019. The short-term lease costs were immaterial for the year ended December 31, 2019.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6"/>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89"/>
              </w:rPr>
              <w:t>Kodiak Sciences Inc.</w:t>
            </w: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680" w:type="dxa"/>
            <w:vAlign w:val="bottom"/>
          </w:tcPr>
          <w:p>
            <w:pPr>
              <w:ind w:left="560"/>
              <w:spacing w:after="0"/>
              <w:rPr>
                <w:sz w:val="20"/>
                <w:szCs w:val="20"/>
                <w:color w:val="auto"/>
              </w:rPr>
            </w:pPr>
            <w:r>
              <w:rPr>
                <w:rFonts w:ascii="Arial" w:cs="Arial" w:eastAsia="Arial" w:hAnsi="Arial"/>
                <w:sz w:val="18"/>
                <w:szCs w:val="18"/>
                <w:color w:val="auto"/>
                <w:w w:val="98"/>
              </w:rPr>
              <w:t>The maturities of the operating lease liabilities as of December 31, 2019 were as follows (in thousands):</w:t>
            </w:r>
          </w:p>
        </w:tc>
        <w:tc>
          <w:tcPr>
            <w:tcW w:w="2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8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gridSpan w:val="2"/>
          </w:tcPr>
          <w:p>
            <w:pPr>
              <w:jc w:val="right"/>
              <w:ind w:right="1140"/>
              <w:spacing w:after="0"/>
              <w:rPr>
                <w:sz w:val="20"/>
                <w:szCs w:val="20"/>
                <w:color w:val="auto"/>
              </w:rPr>
            </w:pPr>
            <w:r>
              <w:rPr>
                <w:rFonts w:ascii="Arial" w:cs="Arial" w:eastAsia="Arial" w:hAnsi="Arial"/>
                <w:sz w:val="18"/>
                <w:szCs w:val="18"/>
                <w:b w:val="1"/>
                <w:bCs w:val="1"/>
                <w:color w:val="auto"/>
              </w:rPr>
              <w:t>As of</w:t>
            </w: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280" w:type="dxa"/>
            <w:vAlign w:val="bottom"/>
          </w:tcPr>
          <w:p>
            <w:pPr>
              <w:spacing w:after="0"/>
              <w:rPr>
                <w:sz w:val="20"/>
                <w:szCs w:val="20"/>
                <w:color w:val="auto"/>
              </w:rPr>
            </w:pPr>
          </w:p>
        </w:tc>
        <w:tc>
          <w:tcPr>
            <w:tcW w:w="22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December 31, 2019</w:t>
            </w:r>
          </w:p>
        </w:tc>
      </w:tr>
      <w:tr>
        <w:trPr>
          <w:trHeight w:val="223"/>
        </w:trPr>
        <w:tc>
          <w:tcPr>
            <w:tcW w:w="8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2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r>
      <w:tr>
        <w:trPr>
          <w:trHeight w:val="229"/>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FF0FC"/>
          </w:tcPr>
          <w:p>
            <w:pPr>
              <w:spacing w:after="0"/>
              <w:rPr>
                <w:sz w:val="19"/>
                <w:szCs w:val="19"/>
                <w:color w:val="auto"/>
              </w:rPr>
            </w:pPr>
          </w:p>
        </w:tc>
      </w:tr>
      <w:tr>
        <w:trPr>
          <w:trHeight w:val="230"/>
        </w:trPr>
        <w:tc>
          <w:tcPr>
            <w:tcW w:w="8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FF0FC"/>
            </w:tcBorders>
          </w:tcPr>
          <w:p>
            <w:pPr>
              <w:spacing w:after="0"/>
              <w:rPr>
                <w:sz w:val="19"/>
                <w:szCs w:val="19"/>
                <w:color w:val="auto"/>
              </w:rPr>
            </w:pPr>
          </w:p>
        </w:tc>
      </w:tr>
      <w:tr>
        <w:trPr>
          <w:trHeight w:val="223"/>
        </w:trPr>
        <w:tc>
          <w:tcPr>
            <w:tcW w:w="868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280" w:type="dxa"/>
            <w:vAlign w:val="bottom"/>
            <w:shd w:val="clear" w:color="auto" w:fill="CFF0FC"/>
          </w:tcPr>
          <w:p>
            <w:pPr>
              <w:spacing w:after="0"/>
              <w:rPr>
                <w:sz w:val="19"/>
                <w:szCs w:val="19"/>
                <w:color w:val="auto"/>
              </w:rPr>
            </w:pPr>
          </w:p>
        </w:tc>
        <w:tc>
          <w:tcPr>
            <w:tcW w:w="2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2,273</w:t>
            </w:r>
          </w:p>
        </w:tc>
        <w:tc>
          <w:tcPr>
            <w:tcW w:w="100" w:type="dxa"/>
            <w:vAlign w:val="bottom"/>
            <w:shd w:val="clear" w:color="auto" w:fill="CFF0FC"/>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Less: imputed interest</w:t>
            </w:r>
          </w:p>
        </w:tc>
        <w:tc>
          <w:tcPr>
            <w:tcW w:w="280" w:type="dxa"/>
            <w:vAlign w:val="bottom"/>
          </w:tcPr>
          <w:p>
            <w:pPr>
              <w:spacing w:after="0"/>
              <w:rPr>
                <w:sz w:val="19"/>
                <w:szCs w:val="19"/>
                <w:color w:val="auto"/>
              </w:rPr>
            </w:pPr>
          </w:p>
        </w:tc>
        <w:tc>
          <w:tcPr>
            <w:tcW w:w="228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r>
      <w:tr>
        <w:trPr>
          <w:trHeight w:val="223"/>
        </w:trPr>
        <w:tc>
          <w:tcPr>
            <w:tcW w:w="8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2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future minimum lease payments under all non-cancelable operating lease obligations as of December 31, 2018 were as follows (in thousands):</w:t>
      </w:r>
    </w:p>
    <w:p>
      <w:pPr>
        <w:sectPr>
          <w:pgSz w:w="11900" w:h="16838" w:orient="portrait"/>
          <w:cols w:equalWidth="0" w:num="1">
            <w:col w:w="11240"/>
          </w:cols>
          <w:pgMar w:left="320" w:top="121" w:right="339" w:bottom="144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ending December 31,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payments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280" w:type="dxa"/>
            <w:vAlign w:val="bottom"/>
          </w:tcPr>
          <w:p>
            <w:pPr>
              <w:spacing w:after="0"/>
              <w:rPr>
                <w:sz w:val="18"/>
                <w:szCs w:val="18"/>
                <w:color w:val="auto"/>
              </w:rPr>
            </w:pPr>
          </w:p>
        </w:tc>
        <w:tc>
          <w:tcPr>
            <w:tcW w:w="2180" w:type="dxa"/>
            <w:vAlign w:val="bottom"/>
          </w:tcPr>
          <w:p>
            <w:pPr>
              <w:jc w:val="right"/>
              <w:ind w:right="950"/>
              <w:spacing w:after="0"/>
              <w:rPr>
                <w:sz w:val="20"/>
                <w:szCs w:val="20"/>
                <w:color w:val="auto"/>
              </w:rPr>
            </w:pPr>
            <w:r>
              <w:rPr>
                <w:rFonts w:ascii="Arial" w:cs="Arial" w:eastAsia="Arial" w:hAnsi="Arial"/>
                <w:sz w:val="18"/>
                <w:szCs w:val="18"/>
                <w:b w:val="1"/>
                <w:bCs w:val="1"/>
                <w:color w:val="auto"/>
              </w:rPr>
              <w:t>As of</w:t>
            </w:r>
          </w:p>
        </w:tc>
      </w:tr>
      <w:tr>
        <w:trPr>
          <w:trHeight w:val="234"/>
        </w:trPr>
        <w:tc>
          <w:tcPr>
            <w:tcW w:w="2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December 31, 2018</w:t>
            </w:r>
          </w:p>
        </w:tc>
      </w:tr>
      <w:tr>
        <w:trPr>
          <w:trHeight w:val="222"/>
        </w:trPr>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218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2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581</w:t>
            </w:r>
          </w:p>
        </w:tc>
      </w:tr>
      <w:tr>
        <w:trPr>
          <w:trHeight w:val="230"/>
        </w:trPr>
        <w:tc>
          <w:tcPr>
            <w:tcW w:w="2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29"/>
        </w:trPr>
        <w:tc>
          <w:tcPr>
            <w:tcW w:w="2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30"/>
        </w:trPr>
        <w:tc>
          <w:tcPr>
            <w:tcW w:w="2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23"/>
        </w:trPr>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-916305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-616585</wp:posOffset>
            </wp:positionV>
            <wp:extent cx="7132320" cy="145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-325120</wp:posOffset>
            </wp:positionV>
            <wp:extent cx="713232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560"/>
          </w:cols>
          <w:pgMar w:left="320" w:top="121" w:right="3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20" w:firstLine="546"/>
        <w:spacing w:after="0" w:line="284" w:lineRule="auto"/>
        <w:rPr>
          <w:sz w:val="20"/>
          <w:szCs w:val="20"/>
          <w:color w:val="auto"/>
        </w:rPr>
      </w:pPr>
      <w:r>
        <w:rPr>
          <w:rFonts w:ascii="Arial" w:cs="Arial" w:eastAsia="Arial" w:hAnsi="Arial"/>
          <w:sz w:val="16"/>
          <w:szCs w:val="16"/>
          <w:color w:val="auto"/>
        </w:rPr>
        <w:t>The Company has entered into service agreements with Lonza AG and its affiliates (“Lonza”), pursuant to which Lonza agreed to perform activities in connection with the manufacturing process of certain compounds. Such agreements, and related amendments, state that planned activities that are included in the signed work orders are, in some cases, binding and, hence, obligate the Company to pay the full price of the work order upon satisfactory delivery of products and services.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fee equal to the full price of the work order. As of December 31, 2019 and 2018, the total amount of unconditional purchase obligations, including accrued amounts, under these agreements were $4.7 million and $3.2</w:t>
      </w:r>
    </w:p>
    <w:p>
      <w:pPr>
        <w:spacing w:after="0" w:line="2"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color w:val="auto"/>
        </w:rPr>
        <w:t>million, respectively. Purchases under this agreement for the years ended December 31, 2019, 2018 and 2017 were $7.9 million, $2.8 million and $13.9 million, respectively. As of December 31, 2019, the Company had not incurred any cancellation fees for the work performed by Lonza.</w:t>
      </w:r>
    </w:p>
    <w:p>
      <w:pPr>
        <w:spacing w:after="0" w:line="53"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In the normal course of business, the Company enters into purchase commitments to support research and development activities that cannot be terminated without incurring cancellation fees. The level of cancellation fees may vary and are generally based on the passage of time within a 12-month period. As of December 31, 2019, the total amount of cancellation fees related to manufacturing equipment was $0.7 million and none as of December 31, 2019 and 2018, respectively.</w:t>
      </w:r>
    </w:p>
    <w:p>
      <w:pPr>
        <w:spacing w:after="0" w:line="79"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The Company is also party to a cancellable assignment and license agreement that would require the Company to make milestone payments of up to $33.2 million and royalty payments on net sales of products utilizing KSI-201 and related technology. Such milestones and royalties are dependent on future activity or product sales and are not estimable.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 Improvement Allowance Payable</w:t>
      </w:r>
    </w:p>
    <w:p>
      <w:pPr>
        <w:spacing w:after="0" w:line="117"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color w:val="auto"/>
        </w:rPr>
        <w:t>In May 2013, the Company entered into a tenant improvement allowance agreement with its landlord. The agreement allowed the Company to draw down $0.3 million for tenant improvements related to the office lease over the period from the execution of the agreement to October 2018. The interest rate is 8% per year over the lease period. This tenant improvement allowance was repaid in October 2018.</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March 2016, the Company entered into a lease amendment, under which the Company is allowed to draw down an additional allowance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$0.4 million for tenant improvements related to the office lease over the period from the execution of the agreement to October 2023. The interest rate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8% per year over 10 years. Principal and interest are payable on the first day of every month.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280" w:firstLine="546"/>
        <w:spacing w:after="0" w:line="263" w:lineRule="auto"/>
        <w:rPr>
          <w:sz w:val="20"/>
          <w:szCs w:val="20"/>
          <w:color w:val="auto"/>
        </w:rPr>
      </w:pPr>
      <w:r>
        <w:rPr>
          <w:rFonts w:ascii="Arial" w:cs="Arial" w:eastAsia="Arial" w:hAnsi="Arial"/>
          <w:sz w:val="18"/>
          <w:szCs w:val="18"/>
          <w:color w:val="auto"/>
        </w:rPr>
        <w:t>As of December 31, 2019 and 2018, the current portion of the tenant improvement allowance payable in accrued and other current liabilities was less than $0.1 million and less than $0.1 million, respectively. As of December 31, 2019 and 2018, the non-current portion of the tenant improvement allowance payable in other liabilities was $0.3 million and $0.3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20" w:firstLine="546"/>
        <w:spacing w:after="0" w:line="279" w:lineRule="auto"/>
        <w:rPr>
          <w:sz w:val="20"/>
          <w:szCs w:val="20"/>
          <w:color w:val="auto"/>
        </w:rPr>
      </w:pPr>
      <w:r>
        <w:rPr>
          <w:rFonts w:ascii="Arial" w:cs="Arial" w:eastAsia="Arial" w:hAnsi="Arial"/>
          <w:sz w:val="17"/>
          <w:szCs w:val="17"/>
          <w:color w:val="auto"/>
        </w:rPr>
        <w:t>From time to time, the Company may become involved in legal proceedings arising from the ordinary course of its business. Management is currently not aware of any matters that could have a material adverse effect on the Company’s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The Company has not recorded any income tax expense. The Company has a net operating loss and has provided a valuation allowance against net deferred tax assets due to uncertainties regarding the Company’s ability to realize these assets.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loss before income taxes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40" w:type="dxa"/>
            <w:vAlign w:val="bottom"/>
            <w:tcBorders>
              <w:bottom w:val="single" w:sz="8" w:color="CFF0FC"/>
            </w:tcBorders>
          </w:tcPr>
          <w:p>
            <w:pPr>
              <w:spacing w:after="0"/>
              <w:rPr>
                <w:sz w:val="20"/>
                <w:szCs w:val="20"/>
                <w:color w:val="auto"/>
              </w:rPr>
            </w:pPr>
          </w:p>
        </w:tc>
        <w:tc>
          <w:tcPr>
            <w:tcW w:w="280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8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ind w:left="660"/>
              <w:spacing w:after="0"/>
              <w:rPr>
                <w:sz w:val="20"/>
                <w:szCs w:val="20"/>
                <w:color w:val="auto"/>
              </w:rPr>
            </w:pPr>
            <w:r>
              <w:rPr>
                <w:rFonts w:ascii="Arial" w:cs="Arial" w:eastAsia="Arial" w:hAnsi="Arial"/>
                <w:sz w:val="18"/>
                <w:szCs w:val="18"/>
                <w:color w:val="auto"/>
                <w:w w:val="80"/>
              </w:rPr>
              <w:t>(17,273)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Foreign</w:t>
            </w:r>
          </w:p>
        </w:tc>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(49,998)</w:t>
            </w:r>
          </w:p>
        </w:tc>
        <w:tc>
          <w:tcPr>
            <w:tcW w:w="100" w:type="dxa"/>
            <w:vAlign w:val="bottom"/>
          </w:tcPr>
          <w:p>
            <w:pPr>
              <w:spacing w:after="0"/>
              <w:rPr>
                <w:sz w:val="19"/>
                <w:szCs w:val="19"/>
                <w:color w:val="auto"/>
              </w:rPr>
            </w:pPr>
          </w:p>
        </w:tc>
        <w:tc>
          <w:tcPr>
            <w:tcW w:w="1480" w:type="dxa"/>
            <w:vAlign w:val="bottom"/>
            <w:gridSpan w:val="2"/>
          </w:tcPr>
          <w:p>
            <w:pPr>
              <w:ind w:left="660"/>
              <w:spacing w:after="0"/>
              <w:rPr>
                <w:sz w:val="20"/>
                <w:szCs w:val="20"/>
                <w:color w:val="auto"/>
              </w:rPr>
            </w:pPr>
            <w:r>
              <w:rPr>
                <w:rFonts w:ascii="Arial" w:cs="Arial" w:eastAsia="Arial" w:hAnsi="Arial"/>
                <w:sz w:val="18"/>
                <w:szCs w:val="18"/>
                <w:color w:val="auto"/>
              </w:rPr>
              <w:t>(24,170)</w:t>
            </w: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loss before income taxes</w:t>
            </w:r>
          </w:p>
        </w:tc>
        <w:tc>
          <w:tcPr>
            <w:tcW w:w="28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(47,365)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0"/>
              </w:rPr>
              <w:t>(41,443)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800" w:type="dxa"/>
            <w:vAlign w:val="bottom"/>
            <w:vMerge w:val="restart"/>
          </w:tcPr>
          <w:p>
            <w:pPr>
              <w:jc w:val="right"/>
              <w:ind w:right="79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8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tax effects of temporary differences that give rise to significant components of the net deferred tax assets are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800" w:type="dxa"/>
            <w:vAlign w:val="bottom"/>
            <w:tcBorders>
              <w:bottom w:val="single" w:sz="8" w:color="CFF0FC"/>
            </w:tcBorders>
          </w:tcPr>
          <w:p>
            <w:pPr>
              <w:spacing w:after="0"/>
              <w:rPr>
                <w:sz w:val="20"/>
                <w:szCs w:val="20"/>
                <w:color w:val="auto"/>
              </w:rPr>
            </w:pPr>
          </w:p>
        </w:tc>
        <w:tc>
          <w:tcPr>
            <w:tcW w:w="18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18,523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11,044</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11,270</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12,112</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7,588</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Research and development tax credits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1,559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Accruals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800" w:type="dxa"/>
            <w:vAlign w:val="bottom"/>
          </w:tcPr>
          <w:p>
            <w:pPr>
              <w:ind w:left="260"/>
              <w:spacing w:after="0"/>
              <w:rPr>
                <w:sz w:val="20"/>
                <w:szCs w:val="20"/>
                <w:color w:val="auto"/>
              </w:rPr>
            </w:pPr>
            <w:r>
              <w:rPr>
                <w:rFonts w:ascii="Arial" w:cs="Arial" w:eastAsia="Arial" w:hAnsi="Arial"/>
                <w:sz w:val="18"/>
                <w:szCs w:val="18"/>
                <w:color w:val="auto"/>
              </w:rPr>
              <w:t>Property and equipment</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23"/>
        </w:trPr>
        <w:tc>
          <w:tcPr>
            <w:tcW w:w="4800" w:type="dxa"/>
            <w:vAlign w:val="bottom"/>
          </w:tcPr>
          <w:p>
            <w:pPr>
              <w:ind w:left="500"/>
              <w:spacing w:after="0"/>
              <w:rPr>
                <w:sz w:val="20"/>
                <w:szCs w:val="20"/>
                <w:color w:val="auto"/>
              </w:rPr>
            </w:pPr>
            <w:r>
              <w:rPr>
                <w:rFonts w:ascii="Arial" w:cs="Arial" w:eastAsia="Arial" w:hAnsi="Arial"/>
                <w:sz w:val="18"/>
                <w:szCs w:val="18"/>
                <w:color w:val="auto"/>
              </w:rPr>
              <w:t>Total deferred tax assets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37,816</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21,394</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13,192</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Valuation allowance</w:t>
            </w: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(37,249)</w:t>
            </w: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(21,394)</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(13,192)</w:t>
            </w:r>
          </w:p>
        </w:tc>
      </w:tr>
      <w:tr>
        <w:trPr>
          <w:trHeight w:val="223"/>
        </w:trPr>
        <w:tc>
          <w:tcPr>
            <w:tcW w:w="4800" w:type="dxa"/>
            <w:vAlign w:val="bottom"/>
          </w:tcPr>
          <w:p>
            <w:pPr>
              <w:ind w:left="500"/>
              <w:spacing w:after="0"/>
              <w:rPr>
                <w:sz w:val="20"/>
                <w:szCs w:val="20"/>
                <w:color w:val="auto"/>
              </w:rPr>
            </w:pPr>
            <w:r>
              <w:rPr>
                <w:rFonts w:ascii="Arial" w:cs="Arial" w:eastAsia="Arial" w:hAnsi="Arial"/>
                <w:sz w:val="18"/>
                <w:szCs w:val="18"/>
                <w:color w:val="auto"/>
              </w:rPr>
              <w:t>Net deferred tax assets</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Pr>
          <w:p>
            <w:pPr>
              <w:ind w:left="260"/>
              <w:spacing w:after="0"/>
              <w:rPr>
                <w:sz w:val="20"/>
                <w:szCs w:val="20"/>
                <w:color w:val="auto"/>
              </w:rPr>
            </w:pPr>
            <w:r>
              <w:rPr>
                <w:rFonts w:ascii="Arial" w:cs="Arial" w:eastAsia="Arial" w:hAnsi="Arial"/>
                <w:sz w:val="18"/>
                <w:szCs w:val="18"/>
                <w:color w:val="auto"/>
              </w:rPr>
              <w:t>Operating lease right-of-use asset</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Capitalized legal fees</w:t>
            </w:r>
          </w:p>
        </w:tc>
        <w:tc>
          <w:tcPr>
            <w:tcW w:w="1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liabilities</w:t>
            </w:r>
          </w:p>
        </w:tc>
        <w:tc>
          <w:tcPr>
            <w:tcW w:w="184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w:t>
            </w:r>
          </w:p>
        </w:tc>
        <w:tc>
          <w:tcPr>
            <w:tcW w:w="28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8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deferred tax assets</w:t>
            </w:r>
          </w:p>
        </w:tc>
        <w:tc>
          <w:tcPr>
            <w:tcW w:w="1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firstLine="546"/>
        <w:spacing w:after="0" w:line="263" w:lineRule="auto"/>
        <w:rPr>
          <w:sz w:val="20"/>
          <w:szCs w:val="20"/>
          <w:color w:val="auto"/>
        </w:rPr>
      </w:pPr>
      <w:r>
        <w:rPr>
          <w:rFonts w:ascii="Arial" w:cs="Arial" w:eastAsia="Arial" w:hAnsi="Arial"/>
          <w:sz w:val="18"/>
          <w:szCs w:val="18"/>
          <w:color w:val="auto"/>
        </w:rPr>
        <w:t>The Company has recorded a full valuation allowance against its net deferred tax assets due to the uncertainty as to whether such assets will be realized. The net change in the total valuation allowance for the years ended December 31, 2019, 2018 and 2017 was an increase of approximately $15.9 million, $8.2 million and $4.8 million, respectively.</w:t>
      </w:r>
    </w:p>
    <w:p>
      <w:pPr>
        <w:spacing w:after="0" w:line="76" w:lineRule="exact"/>
        <w:rPr>
          <w:sz w:val="20"/>
          <w:szCs w:val="20"/>
          <w:color w:val="auto"/>
        </w:rPr>
      </w:pPr>
    </w:p>
    <w:p>
      <w:pPr>
        <w:ind w:right="140" w:firstLine="546"/>
        <w:spacing w:after="0" w:line="257" w:lineRule="auto"/>
        <w:rPr>
          <w:sz w:val="20"/>
          <w:szCs w:val="20"/>
          <w:color w:val="auto"/>
        </w:rPr>
      </w:pPr>
      <w:r>
        <w:rPr>
          <w:rFonts w:ascii="Arial" w:cs="Arial" w:eastAsia="Arial" w:hAnsi="Arial"/>
          <w:sz w:val="18"/>
          <w:szCs w:val="18"/>
          <w:color w:val="auto"/>
        </w:rPr>
        <w:t>On December 22, 2017, H.R. 1 (the “Tax Act”) was enacted and included broad tax reforms. The Tax Act reduced the U.S. corporate tax rate from 35% to 21% effective January 1, 2018. The rate change resulted in a $2.5 million reduction in the Company’s deferred tax assets from 2016 to 2017. The Tax Act also imposed a deemed repatriation of foreign earnings of subsidiaries; Kodiak Sciences GmbH is considered an E&amp;P deficit corporation for the purposes of this provision and thus no income inclusion was required. The Company has elected to treat taxes on Global Intangible Low Tax Income (“GILTI”) as period costs starting in 2018.</w:t>
      </w:r>
    </w:p>
    <w:p>
      <w:pPr>
        <w:spacing w:after="0" w:line="80"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NOLs and tax credit carry-forwards are subject to review and possible adjustment by the Internal Revenue Service (“IRS”) and may become subject to an annual limitation in the event of certain cumulative changes in the ownership interest of significant shareholders over a three-year period in excess of 50% as defined under Sections 382 and 383 in the Internal Revenue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completed a Section 382 study through December 31, 2019 which concluded no such ownership change had occurred through December 31, 2019.</w:t>
      </w:r>
    </w:p>
    <w:p>
      <w:pPr>
        <w:spacing w:after="0" w:line="70"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As of December 31, 2019, the Company had $31.8 million of federal and $131.2 million of state net operating loss available to offset future taxable income. A portion of the federal net operating loss carryforwards begin to expire in 2035 and the state net operating loss carryforwards begin to expire in 2035, if not utilized. $13.7 million of the federal net operating loss are not subject to expiration.</w:t>
      </w:r>
    </w:p>
    <w:p>
      <w:pPr>
        <w:spacing w:after="0" w:line="76" w:lineRule="exact"/>
        <w:rPr>
          <w:sz w:val="20"/>
          <w:szCs w:val="20"/>
          <w:color w:val="auto"/>
        </w:rPr>
      </w:pPr>
    </w:p>
    <w:p>
      <w:pPr>
        <w:ind w:right="80" w:firstLine="546"/>
        <w:spacing w:after="0" w:line="263" w:lineRule="auto"/>
        <w:rPr>
          <w:sz w:val="20"/>
          <w:szCs w:val="20"/>
          <w:color w:val="auto"/>
        </w:rPr>
      </w:pPr>
      <w:r>
        <w:rPr>
          <w:rFonts w:ascii="Arial" w:cs="Arial" w:eastAsia="Arial" w:hAnsi="Arial"/>
          <w:sz w:val="18"/>
          <w:szCs w:val="18"/>
          <w:color w:val="auto"/>
        </w:rPr>
        <w:t>As of December 31, 2019, the Company also had federal and state research and development credit carryforwards of $3.6 million and $2.3 million, respectively. The federal research and development credit carryforwards expire beginning 2035. The California tax credit can be carried forward indefinitely.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A reconciliation of the Company’s effective tax rate to the statutory U.S. federal rate is as follows:</w:t>
            </w: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6460" w:type="dxa"/>
            <w:vAlign w:val="bottom"/>
          </w:tcPr>
          <w:p>
            <w:pPr>
              <w:spacing w:after="0"/>
              <w:rPr>
                <w:sz w:val="24"/>
                <w:szCs w:val="2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December 31,</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December 31,</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646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State taxes</w:t>
            </w:r>
          </w:p>
        </w:tc>
        <w:tc>
          <w:tcPr>
            <w:tcW w:w="1320" w:type="dxa"/>
            <w:vAlign w:val="bottom"/>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Foreign tax rate differential</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(12.4)</w:t>
            </w: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(3.8)</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(30.5)</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(18.3)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(0.6)</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Research tax credit</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(0.1)</w:t>
            </w: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Remeasurement of deferred tax due to tax law change</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Fair value adjustments</w:t>
            </w:r>
          </w:p>
        </w:tc>
        <w:tc>
          <w:tcPr>
            <w:tcW w:w="16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(2.4)</w:t>
            </w: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Extinguishment of convertible note</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60" w:type="dxa"/>
            <w:vAlign w:val="bottom"/>
            <w:vMerge w:val="continue"/>
            <w:shd w:val="clear" w:color="auto" w:fill="CFF0FC"/>
          </w:tcPr>
          <w:p>
            <w:pPr>
              <w:spacing w:after="0"/>
              <w:rPr>
                <w:sz w:val="19"/>
                <w:szCs w:val="19"/>
                <w:color w:val="auto"/>
              </w:rPr>
            </w:pP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4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firstLine="501"/>
        <w:spacing w:after="0" w:line="257"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As of December 31, 2019, 2018 and 2017, none of the unrecognized tax benefits would affect income tax expense with consideration of the valuation allowance. The Company does not anticipate the uncertain tax positions will materially change in the next 12 months. It is the Company’s policy to include interest and penalties as a component of income tax expense or benefit as necessary.</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beginning and ending unrecognized tax benefits amounts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6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 at beginning of period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60"/>
              <w:spacing w:after="0"/>
              <w:rPr>
                <w:sz w:val="20"/>
                <w:szCs w:val="20"/>
                <w:color w:val="auto"/>
              </w:rPr>
            </w:pPr>
            <w:r>
              <w:rPr>
                <w:rFonts w:ascii="Arial" w:cs="Arial" w:eastAsia="Arial" w:hAnsi="Arial"/>
                <w:sz w:val="18"/>
                <w:szCs w:val="18"/>
                <w:color w:val="auto"/>
              </w:rPr>
              <w:t>Increases related to prior year tax positions</w:t>
            </w:r>
          </w:p>
        </w:tc>
        <w:tc>
          <w:tcPr>
            <w:tcW w:w="10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Increases related to current year tax positions</w:t>
            </w:r>
          </w:p>
        </w:tc>
        <w:tc>
          <w:tcPr>
            <w:tcW w:w="1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1,440</w:t>
            </w:r>
          </w:p>
        </w:tc>
        <w:tc>
          <w:tcPr>
            <w:tcW w:w="2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color w:val="auto"/>
              </w:rPr>
              <w:t>Unrecognized tax benefits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firstLine="546"/>
        <w:spacing w:after="0" w:line="263" w:lineRule="auto"/>
        <w:rPr>
          <w:sz w:val="20"/>
          <w:szCs w:val="20"/>
          <w:color w:val="auto"/>
        </w:rPr>
      </w:pPr>
      <w:r>
        <w:rPr>
          <w:rFonts w:ascii="Arial" w:cs="Arial" w:eastAsia="Arial" w:hAnsi="Arial"/>
          <w:sz w:val="18"/>
          <w:szCs w:val="18"/>
          <w:color w:val="auto"/>
        </w:rPr>
        <w:t>The Company files income tax returns in the United States and Switzerland. The Company is not currently under examination by income tax authorities in federal, state or other jurisdictions. All tax returns remain open for examination by the federal and state authorities for three and four years, respectively, from the date of utilization of any net operating loss or credits.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Stock</w:t>
      </w:r>
    </w:p>
    <w:p>
      <w:pPr>
        <w:spacing w:after="0" w:line="121" w:lineRule="exact"/>
        <w:rPr>
          <w:sz w:val="20"/>
          <w:szCs w:val="20"/>
          <w:color w:val="auto"/>
        </w:rPr>
      </w:pPr>
    </w:p>
    <w:p>
      <w:pPr>
        <w:ind w:right="280" w:firstLine="546"/>
        <w:spacing w:after="0" w:line="263" w:lineRule="auto"/>
        <w:rPr>
          <w:sz w:val="20"/>
          <w:szCs w:val="20"/>
          <w:color w:val="auto"/>
        </w:rPr>
      </w:pPr>
      <w:r>
        <w:rPr>
          <w:rFonts w:ascii="Arial" w:cs="Arial" w:eastAsia="Arial" w:hAnsi="Arial"/>
          <w:sz w:val="18"/>
          <w:szCs w:val="18"/>
          <w:color w:val="auto"/>
        </w:rPr>
        <w:t>As of December 31, 2019 and 2018, the Company’s certificate of incorporation, as amended and restated, authorized the Company to issue up to 10,000,000 shares of preferred stock at the par value of $0.0001 per share. As of December 31, 2019, there are no holders of the Company’s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ind w:right="60" w:firstLine="546"/>
        <w:spacing w:after="0" w:line="286" w:lineRule="auto"/>
        <w:rPr>
          <w:sz w:val="20"/>
          <w:szCs w:val="20"/>
          <w:color w:val="auto"/>
        </w:rPr>
      </w:pPr>
      <w:r>
        <w:rPr>
          <w:rFonts w:ascii="Arial" w:cs="Arial" w:eastAsia="Arial" w:hAnsi="Arial"/>
          <w:sz w:val="17"/>
          <w:szCs w:val="17"/>
          <w:color w:val="auto"/>
        </w:rPr>
        <w:t>As of December 31, 2019 and 2018, the Company’s certificate of incorporation, as amended and restated, authorized the Company to issue 490,000,000 shares of common stock at the par value of $0.0001 per share. Each share of common stock is entitled to one vote. The board of directors may declare and pay dividends to holders of common stock. The Company has never declared or paid any dividends on common stock.</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ind w:left="560"/>
              <w:spacing w:after="0"/>
              <w:rPr>
                <w:sz w:val="20"/>
                <w:szCs w:val="20"/>
                <w:color w:val="auto"/>
              </w:rPr>
            </w:pPr>
            <w:r>
              <w:rPr>
                <w:rFonts w:ascii="Arial" w:cs="Arial" w:eastAsia="Arial" w:hAnsi="Arial"/>
                <w:sz w:val="18"/>
                <w:szCs w:val="18"/>
                <w:color w:val="auto"/>
              </w:rPr>
              <w:t>The Company had reserved common stock for future issuances as follows:</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3"/>
        </w:trPr>
        <w:tc>
          <w:tcPr>
            <w:tcW w:w="30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40" w:type="dxa"/>
            <w:vAlign w:val="bottom"/>
            <w:gridSpan w:val="2"/>
          </w:tcPr>
          <w:p>
            <w:pPr>
              <w:ind w:left="240"/>
              <w:spacing w:after="0"/>
              <w:rPr>
                <w:sz w:val="20"/>
                <w:szCs w:val="20"/>
                <w:color w:val="auto"/>
              </w:rPr>
            </w:pPr>
            <w:r>
              <w:rPr>
                <w:rFonts w:ascii="Arial" w:cs="Arial" w:eastAsia="Arial" w:hAnsi="Arial"/>
                <w:sz w:val="18"/>
                <w:szCs w:val="18"/>
                <w:b w:val="1"/>
                <w:bCs w:val="1"/>
                <w:color w:val="auto"/>
              </w:rPr>
              <w:t>December 31,</w:t>
            </w:r>
          </w:p>
        </w:tc>
        <w:tc>
          <w:tcPr>
            <w:tcW w:w="1680" w:type="dxa"/>
            <w:vAlign w:val="bottom"/>
            <w:gridSpan w:val="2"/>
          </w:tcPr>
          <w:p>
            <w:pPr>
              <w:ind w:left="2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060" w:type="dxa"/>
            <w:vAlign w:val="bottom"/>
            <w:tcBorders>
              <w:bottom w:val="single" w:sz="8" w:color="CFF0FC"/>
            </w:tcBorders>
          </w:tcPr>
          <w:p>
            <w:pPr>
              <w:spacing w:after="0"/>
              <w:rPr>
                <w:sz w:val="20"/>
                <w:szCs w:val="20"/>
                <w:color w:val="auto"/>
              </w:rPr>
            </w:pPr>
          </w:p>
        </w:tc>
        <w:tc>
          <w:tcPr>
            <w:tcW w:w="4660" w:type="dxa"/>
            <w:vAlign w:val="bottom"/>
            <w:tcBorders>
              <w:bottom w:val="single" w:sz="8" w:color="CFF0FC"/>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20"/>
                <w:szCs w:val="20"/>
                <w:color w:val="auto"/>
              </w:rPr>
            </w:pPr>
          </w:p>
        </w:tc>
        <w:tc>
          <w:tcPr>
            <w:tcW w:w="15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20"/>
                <w:szCs w:val="20"/>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outstanding</w:t>
            </w:r>
          </w:p>
        </w:tc>
        <w:tc>
          <w:tcPr>
            <w:tcW w:w="46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6,830,442</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5,135,267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Exercise of common stock warrants outstanding</w:t>
            </w:r>
          </w:p>
        </w:tc>
        <w:tc>
          <w:tcPr>
            <w:tcW w:w="1540" w:type="dxa"/>
            <w:vAlign w:val="bottom"/>
          </w:tcPr>
          <w:p>
            <w:pPr>
              <w:jc w:val="right"/>
              <w:spacing w:after="0"/>
              <w:rPr>
                <w:sz w:val="20"/>
                <w:szCs w:val="20"/>
                <w:color w:val="auto"/>
              </w:rPr>
            </w:pPr>
            <w:r>
              <w:rPr>
                <w:rFonts w:ascii="Arial" w:cs="Arial" w:eastAsia="Arial" w:hAnsi="Arial"/>
                <w:sz w:val="18"/>
                <w:szCs w:val="18"/>
                <w:color w:val="auto"/>
              </w:rPr>
              <w:t>399,999</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9"/>
                <w:szCs w:val="19"/>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w w:val="89"/>
              </w:rPr>
              <w:t>Issuance of common stock under the 2018</w:t>
            </w:r>
          </w:p>
        </w:tc>
        <w:tc>
          <w:tcPr>
            <w:tcW w:w="4660" w:type="dxa"/>
            <w:vAlign w:val="bottom"/>
            <w:shd w:val="clear" w:color="auto" w:fill="CFF0FC"/>
          </w:tcPr>
          <w:p>
            <w:pPr>
              <w:ind w:left="40"/>
              <w:spacing w:after="0"/>
              <w:rPr>
                <w:sz w:val="20"/>
                <w:szCs w:val="20"/>
                <w:color w:val="auto"/>
              </w:rPr>
            </w:pPr>
            <w:r>
              <w:rPr>
                <w:rFonts w:ascii="Arial" w:cs="Arial" w:eastAsia="Arial" w:hAnsi="Arial"/>
                <w:sz w:val="18"/>
                <w:szCs w:val="18"/>
                <w:color w:val="auto"/>
              </w:rPr>
              <w:t>Equity Incentive Plan</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2,118,877</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3,024,404</w:t>
            </w:r>
          </w:p>
        </w:tc>
        <w:tc>
          <w:tcPr>
            <w:tcW w:w="100" w:type="dxa"/>
            <w:vAlign w:val="bottom"/>
            <w:shd w:val="clear" w:color="auto" w:fill="CFF0FC"/>
          </w:tcPr>
          <w:p>
            <w:pPr>
              <w:spacing w:after="0"/>
              <w:rPr>
                <w:sz w:val="19"/>
                <w:szCs w:val="19"/>
                <w:color w:val="auto"/>
              </w:rPr>
            </w:pPr>
          </w:p>
        </w:tc>
      </w:tr>
      <w:tr>
        <w:trPr>
          <w:trHeight w:val="229"/>
        </w:trPr>
        <w:tc>
          <w:tcPr>
            <w:tcW w:w="3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89"/>
              </w:rPr>
              <w:t>Issuance of common stock under the 2018</w:t>
            </w:r>
          </w:p>
        </w:tc>
        <w:tc>
          <w:tcPr>
            <w:tcW w:w="46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Employee Share Purchase Plan</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460,000</w:t>
            </w:r>
          </w:p>
        </w:tc>
        <w:tc>
          <w:tcPr>
            <w:tcW w:w="30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460,000</w:t>
            </w:r>
          </w:p>
        </w:tc>
        <w:tc>
          <w:tcPr>
            <w:tcW w:w="100" w:type="dxa"/>
            <w:vAlign w:val="bottom"/>
            <w:tcBorders>
              <w:bottom w:val="single" w:sz="8" w:color="CFF0FC"/>
            </w:tcBorders>
          </w:tcPr>
          <w:p>
            <w:pPr>
              <w:spacing w:after="0"/>
              <w:rPr>
                <w:sz w:val="19"/>
                <w:szCs w:val="19"/>
                <w:color w:val="auto"/>
              </w:rPr>
            </w:pPr>
          </w:p>
        </w:tc>
      </w:tr>
      <w:tr>
        <w:trPr>
          <w:trHeight w:val="223"/>
        </w:trPr>
        <w:tc>
          <w:tcPr>
            <w:tcW w:w="3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66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9,809,318</w:t>
            </w:r>
          </w:p>
        </w:tc>
        <w:tc>
          <w:tcPr>
            <w:tcW w:w="30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9,019,671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17"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In August 2018, the Company adopted the 2018 Equity Incentive Plan (“2018 Plan”), which became effective on the business day prior to the effectiveness of the registration statement relating to the IPO. The 2018 Plan initially reserved 4,300,000 shares of common stock for the issuance of incentive stock options ("ISOs"), nonstatutory stock options, restricted stock, restricted stock units (“RSUs”), stock appreciation rights, performance units and performance shares to employees, directors and consultants of the Company. The number of shares available for issuance will increase annually on the first day of each fiscal year beginning in 2019 equal to the least of (1) 4,300,000 shares, and (2) 4% of outstanding shares of common stock as of the last day of the immediately preceding year, and (3) such other amount as determined by the board of directors. The exercise price of options must be equal to at least the fair market value of the common stock on the grant date. For ISOs, the term may not exceed ten years, except in respect to any participant with more than 10% of voting power of all classes or stock, then the term may not exceed five years and the exercise price must be equal to at least 110% of the fair market value of the common stock on the grant date. Options granted generally vest over four years.</w:t>
      </w:r>
    </w:p>
    <w:p>
      <w:pPr>
        <w:spacing w:after="0" w:line="57"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The 2015 Equity Incentive Plan was terminated in connection with the adoption of the 2018 Plan and the 63,359 shares that were then unissued and available for future award under the 2015 Equity Incentive Plan became available under the 2018 Plan. The awards outstanding under the 2015 Equity Incentive Plan continue to be governed by their existing terms.</w:t>
      </w:r>
    </w:p>
    <w:p>
      <w:pPr>
        <w:spacing w:after="0" w:line="76"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The number of shares available for issuance increased by 1,473,194 shares in 2019 and there were 2,118,877 shares available for grant under the 2018 Plan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right="260" w:firstLine="546"/>
        <w:spacing w:after="0" w:line="301" w:lineRule="auto"/>
        <w:rPr>
          <w:sz w:val="20"/>
          <w:szCs w:val="20"/>
          <w:color w:val="auto"/>
        </w:rPr>
      </w:pPr>
      <w:r>
        <w:rPr>
          <w:rFonts w:ascii="Arial" w:cs="Arial" w:eastAsia="Arial" w:hAnsi="Arial"/>
          <w:sz w:val="16"/>
          <w:szCs w:val="16"/>
          <w:color w:val="auto"/>
        </w:rPr>
        <w:t>In September 2015, the Company adopted the 2015 Equity Incentive Plan (“2015 Plan”) under which 2,810,513 shares of common stock were reserved for issuance through grants of incentive stock options, nonqualified stock options and restricted stock awards (“RSAs”) to employees, directors and consultants of the Company. During 2018, the board of directors approved an increase of 2,125,000 shares to the common stock reserved under the 2015 Plan. The awards outstanding under the previously terminated 2009 Share Incentive Plan continue to be governed by their existing terms.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 option activity under the 2018 Plan and 2015 Plan is summarized as follows (in thousands,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5"/>
          </w:tcPr>
          <w:p>
            <w:pPr>
              <w:ind w:left="340"/>
              <w:spacing w:after="0"/>
              <w:rPr>
                <w:sz w:val="20"/>
                <w:szCs w:val="20"/>
                <w:color w:val="auto"/>
              </w:rPr>
            </w:pPr>
            <w:r>
              <w:rPr>
                <w:rFonts w:ascii="Arial" w:cs="Arial" w:eastAsia="Arial" w:hAnsi="Arial"/>
                <w:sz w:val="18"/>
                <w:szCs w:val="18"/>
                <w:b w:val="1"/>
                <w:bCs w:val="1"/>
                <w:color w:val="auto"/>
              </w:rPr>
              <w:t>Outstanding Awards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5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Borders>
              <w:top w:val="single" w:sz="8" w:color="auto"/>
            </w:tcBorders>
            <w:gridSpan w:val="2"/>
          </w:tcPr>
          <w:p>
            <w:pPr>
              <w:jc w:val="center"/>
              <w:ind w:right="240"/>
              <w:spacing w:after="0" w:line="205"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34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Shares</w:t>
            </w: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Shares</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Underlying</w:t>
            </w: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89"/>
              </w:rPr>
              <w:t>Contractual</w:t>
            </w:r>
          </w:p>
        </w:tc>
        <w:tc>
          <w:tcPr>
            <w:tcW w:w="22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Aggregate</w:t>
            </w:r>
          </w:p>
        </w:tc>
      </w:tr>
      <w:tr>
        <w:trPr>
          <w:trHeight w:val="216"/>
        </w:trPr>
        <w:tc>
          <w:tcPr>
            <w:tcW w:w="53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Available</w:t>
            </w: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220" w:type="dxa"/>
            <w:vAlign w:val="bottom"/>
          </w:tcPr>
          <w:p>
            <w:pPr>
              <w:spacing w:after="0"/>
              <w:rPr>
                <w:sz w:val="18"/>
                <w:szCs w:val="18"/>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34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for Grant</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Options</w:t>
            </w:r>
          </w:p>
        </w:tc>
        <w:tc>
          <w:tcPr>
            <w:tcW w:w="12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January 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551,817</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1,263,757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(137,500)</w:t>
            </w:r>
          </w:p>
        </w:tc>
        <w:tc>
          <w:tcPr>
            <w:tcW w:w="1040" w:type="dxa"/>
            <w:vAlign w:val="bottom"/>
          </w:tcPr>
          <w:p>
            <w:pPr>
              <w:jc w:val="right"/>
              <w:spacing w:after="0"/>
              <w:rPr>
                <w:sz w:val="20"/>
                <w:szCs w:val="20"/>
                <w:color w:val="auto"/>
              </w:rPr>
            </w:pPr>
            <w:r>
              <w:rPr>
                <w:rFonts w:ascii="Arial" w:cs="Arial" w:eastAsia="Arial" w:hAnsi="Arial"/>
                <w:sz w:val="18"/>
                <w:szCs w:val="18"/>
                <w:color w:val="auto"/>
              </w:rPr>
              <w:t>137,500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(5,603)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Options forfeited or canceled</w:t>
            </w:r>
          </w:p>
        </w:tc>
        <w:tc>
          <w:tcPr>
            <w:tcW w:w="1020" w:type="dxa"/>
            <w:vAlign w:val="bottom"/>
          </w:tcPr>
          <w:p>
            <w:pPr>
              <w:jc w:val="right"/>
              <w:spacing w:after="0"/>
              <w:rPr>
                <w:sz w:val="20"/>
                <w:szCs w:val="20"/>
                <w:color w:val="auto"/>
              </w:rPr>
            </w:pPr>
            <w:r>
              <w:rPr>
                <w:rFonts w:ascii="Arial" w:cs="Arial" w:eastAsia="Arial" w:hAnsi="Arial"/>
                <w:sz w:val="18"/>
                <w:szCs w:val="18"/>
                <w:color w:val="auto"/>
              </w:rPr>
              <w:t>191,240</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(191,240)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December 31, 2017</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605,557</w:t>
            </w:r>
          </w:p>
        </w:tc>
        <w:tc>
          <w:tcPr>
            <w:tcW w:w="24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1,204,414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8.49</w:t>
            </w:r>
          </w:p>
        </w:tc>
        <w:tc>
          <w:tcPr>
            <w:tcW w:w="360" w:type="dxa"/>
            <w:vAlign w:val="bottom"/>
            <w:tcBorders>
              <w:top w:val="single" w:sz="8" w:color="CFF0FC"/>
            </w:tcBorders>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Shares authorized</w:t>
            </w:r>
          </w:p>
        </w:tc>
        <w:tc>
          <w:tcPr>
            <w:tcW w:w="1020" w:type="dxa"/>
            <w:vAlign w:val="bottom"/>
          </w:tcPr>
          <w:p>
            <w:pPr>
              <w:jc w:val="right"/>
              <w:spacing w:after="0"/>
              <w:rPr>
                <w:sz w:val="20"/>
                <w:szCs w:val="20"/>
                <w:color w:val="auto"/>
              </w:rPr>
            </w:pPr>
            <w:r>
              <w:rPr>
                <w:rFonts w:ascii="Arial" w:cs="Arial" w:eastAsia="Arial" w:hAnsi="Arial"/>
                <w:sz w:val="18"/>
                <w:szCs w:val="18"/>
                <w:color w:val="auto"/>
              </w:rPr>
              <w:t>6,425,000</w:t>
            </w:r>
          </w:p>
        </w:tc>
        <w:tc>
          <w:tcPr>
            <w:tcW w:w="24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(4,103,653)</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4,103,653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(47,800)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RSAs granted</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(27,500)</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RSUs granted</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(60,000)</w:t>
            </w:r>
          </w:p>
        </w:tc>
        <w:tc>
          <w:tcPr>
            <w:tcW w:w="1040" w:type="dxa"/>
            <w:vAlign w:val="bottom"/>
          </w:tcPr>
          <w:p>
            <w:pPr>
              <w:jc w:val="right"/>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Options forfeited or canceled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185,000</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(185,000)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December 31, 2018</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3,024,404</w:t>
            </w:r>
          </w:p>
        </w:tc>
        <w:tc>
          <w:tcPr>
            <w:tcW w:w="24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5,135,267</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Borders>
              <w:bottom w:val="single" w:sz="8" w:color="CFF0FC"/>
            </w:tcBorders>
          </w:tcPr>
          <w:p>
            <w:pPr>
              <w:spacing w:after="0"/>
              <w:rPr>
                <w:sz w:val="22"/>
                <w:szCs w:val="22"/>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9.07</w:t>
            </w:r>
          </w:p>
        </w:tc>
        <w:tc>
          <w:tcPr>
            <w:tcW w:w="360" w:type="dxa"/>
            <w:vAlign w:val="bottom"/>
            <w:tcBorders>
              <w:bottom w:val="single" w:sz="8" w:color="CFF0FC"/>
            </w:tcBorders>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10,681</w:t>
            </w:r>
          </w:p>
        </w:tc>
        <w:tc>
          <w:tcPr>
            <w:tcW w:w="100" w:type="dxa"/>
            <w:vAlign w:val="bottom"/>
            <w:tcBorders>
              <w:bottom w:val="single" w:sz="8" w:color="CFF0FC"/>
            </w:tcBorders>
          </w:tcPr>
          <w:p>
            <w:pPr>
              <w:spacing w:after="0"/>
              <w:rPr>
                <w:sz w:val="22"/>
                <w:szCs w:val="22"/>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Shares authorized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1,473,194</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534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(2,539,493)</w:t>
            </w:r>
          </w:p>
        </w:tc>
        <w:tc>
          <w:tcPr>
            <w:tcW w:w="1040" w:type="dxa"/>
            <w:vAlign w:val="bottom"/>
          </w:tcPr>
          <w:p>
            <w:pPr>
              <w:jc w:val="right"/>
              <w:spacing w:after="0"/>
              <w:rPr>
                <w:sz w:val="20"/>
                <w:szCs w:val="20"/>
                <w:color w:val="auto"/>
              </w:rPr>
            </w:pPr>
            <w:r>
              <w:rPr>
                <w:rFonts w:ascii="Arial" w:cs="Arial" w:eastAsia="Arial" w:hAnsi="Arial"/>
                <w:sz w:val="18"/>
                <w:szCs w:val="18"/>
                <w:color w:val="auto"/>
              </w:rPr>
              <w:t>2,539,493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36.70</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(662,079)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45,355</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RSUs granted</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(128,900)</w:t>
            </w:r>
          </w:p>
        </w:tc>
        <w:tc>
          <w:tcPr>
            <w:tcW w:w="1040" w:type="dxa"/>
            <w:vAlign w:val="bottom"/>
          </w:tcPr>
          <w:p>
            <w:pPr>
              <w:jc w:val="right"/>
              <w:spacing w:after="0"/>
              <w:rPr>
                <w:sz w:val="20"/>
                <w:szCs w:val="20"/>
                <w:color w:val="auto"/>
              </w:rPr>
            </w:pPr>
            <w:r>
              <w:rPr>
                <w:rFonts w:ascii="Arial" w:cs="Arial" w:eastAsia="Arial" w:hAnsi="Arial"/>
                <w:sz w:val="18"/>
                <w:szCs w:val="18"/>
                <w:color w:val="auto"/>
              </w:rPr>
              <w:t>128,900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73.51</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RSUs vested</w:t>
            </w: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(21,467)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Shares withheld related to net share settlement of RSUs</w:t>
            </w:r>
          </w:p>
        </w:tc>
        <w:tc>
          <w:tcPr>
            <w:tcW w:w="1020" w:type="dxa"/>
            <w:vAlign w:val="bottom"/>
          </w:tcPr>
          <w:p>
            <w:pPr>
              <w:jc w:val="right"/>
              <w:spacing w:after="0"/>
              <w:rPr>
                <w:sz w:val="20"/>
                <w:szCs w:val="20"/>
                <w:color w:val="auto"/>
              </w:rPr>
            </w:pPr>
            <w:r>
              <w:rPr>
                <w:rFonts w:ascii="Arial" w:cs="Arial" w:eastAsia="Arial" w:hAnsi="Arial"/>
                <w:sz w:val="18"/>
                <w:szCs w:val="18"/>
                <w:color w:val="auto"/>
              </w:rPr>
              <w:t>8,533</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(8,533)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Options forfeited or canceled</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281,139</w:t>
            </w:r>
          </w:p>
        </w:tc>
        <w:tc>
          <w:tcPr>
            <w:tcW w:w="24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(281,139)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3"/>
        </w:trPr>
        <w:tc>
          <w:tcPr>
            <w:tcW w:w="53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2,118,877</w:t>
            </w:r>
          </w:p>
        </w:tc>
        <w:tc>
          <w:tcPr>
            <w:tcW w:w="240" w:type="dxa"/>
            <w:vAlign w:val="bottom"/>
            <w:tcBorders>
              <w:bottom w:val="single" w:sz="8" w:color="CFF0FC"/>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6,830,442</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17.49</w:t>
            </w:r>
          </w:p>
        </w:tc>
        <w:tc>
          <w:tcPr>
            <w:tcW w:w="240" w:type="dxa"/>
            <w:vAlign w:val="bottom"/>
            <w:tcBorders>
              <w:bottom w:val="single" w:sz="8" w:color="CFF0FC"/>
            </w:tcBorders>
          </w:tcPr>
          <w:p>
            <w:pPr>
              <w:spacing w:after="0"/>
              <w:rPr>
                <w:sz w:val="22"/>
                <w:szCs w:val="22"/>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8.32</w:t>
            </w:r>
          </w:p>
        </w:tc>
        <w:tc>
          <w:tcPr>
            <w:tcW w:w="360" w:type="dxa"/>
            <w:vAlign w:val="bottom"/>
            <w:tcBorders>
              <w:bottom w:val="single" w:sz="8" w:color="CFF0FC"/>
            </w:tcBorders>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373,514</w:t>
            </w:r>
          </w:p>
        </w:tc>
        <w:tc>
          <w:tcPr>
            <w:tcW w:w="100" w:type="dxa"/>
            <w:vAlign w:val="bottom"/>
            <w:tcBorders>
              <w:bottom w:val="single" w:sz="8" w:color="CFF0FC"/>
            </w:tcBorders>
          </w:tcPr>
          <w:p>
            <w:pPr>
              <w:spacing w:after="0"/>
              <w:rPr>
                <w:sz w:val="22"/>
                <w:szCs w:val="22"/>
                <w:color w:val="auto"/>
              </w:rPr>
            </w:pPr>
          </w:p>
        </w:tc>
      </w:tr>
      <w:tr>
        <w:trPr>
          <w:trHeight w:val="21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Shares exercisable, December 31, 2018</w:t>
            </w: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1,766,385</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7,182</w:t>
            </w:r>
          </w:p>
        </w:tc>
        <w:tc>
          <w:tcPr>
            <w:tcW w:w="100" w:type="dxa"/>
            <w:vAlign w:val="bottom"/>
            <w:shd w:val="clear" w:color="auto" w:fill="CFF0FC"/>
          </w:tcPr>
          <w:p>
            <w:pPr>
              <w:spacing w:after="0"/>
              <w:rPr>
                <w:sz w:val="18"/>
                <w:szCs w:val="18"/>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Vested and expected to vest, December 31, 2018</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5,135,267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5.99</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10,681</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Shares exercisable, December 31, 2019</w:t>
            </w: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2,773,881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126,346</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Vested and expected to vest, December 31, 2019</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6,830,442</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17.49</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373,514</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Subject to Repurchase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a right of repurchase with respect to unvested shares issued upon early exercise of options at an amount equal to the lower of</w:t>
      </w:r>
    </w:p>
    <w:p>
      <w:pPr>
        <w:spacing w:after="0" w:line="46" w:lineRule="exact"/>
        <w:rPr>
          <w:sz w:val="20"/>
          <w:szCs w:val="20"/>
          <w:color w:val="auto"/>
        </w:rPr>
      </w:pPr>
    </w:p>
    <w:p>
      <w:pPr>
        <w:ind w:right="340" w:firstLine="8"/>
        <w:spacing w:after="0" w:line="290" w:lineRule="auto"/>
        <w:tabs>
          <w:tab w:leader="none" w:pos="25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exercise price of each restricted share being repurchased and (2) the fair market value of such restricted share at the time the Company’s right of repurchase is exercised. The Company’s right to repurchase these shares lapses as those shares vest over the requisite service period.</w:t>
      </w:r>
    </w:p>
    <w:p>
      <w:pPr>
        <w:spacing w:after="0" w:line="53" w:lineRule="exact"/>
        <w:rPr>
          <w:sz w:val="20"/>
          <w:szCs w:val="20"/>
          <w:color w:val="auto"/>
        </w:rPr>
      </w:pPr>
    </w:p>
    <w:p>
      <w:pPr>
        <w:ind w:right="60" w:firstLine="546"/>
        <w:spacing w:after="0" w:line="279" w:lineRule="auto"/>
        <w:rPr>
          <w:sz w:val="20"/>
          <w:szCs w:val="20"/>
          <w:color w:val="auto"/>
        </w:rPr>
      </w:pPr>
      <w:r>
        <w:rPr>
          <w:rFonts w:ascii="Arial" w:cs="Arial" w:eastAsia="Arial" w:hAnsi="Arial"/>
          <w:sz w:val="17"/>
          <w:szCs w:val="17"/>
          <w:color w:val="auto"/>
        </w:rPr>
        <w:t>Shares purchased by employees pursuant to the early exercise of stock options are not deemed, for accounting purposes, to be issued until those shares vest according to their respective vesting schedules. Cash received for early exercised stock options is recorded as accrued liabilities and other current liabilities on the consolidated balance sheet and is reclassified to common stock and additional paid-in capital as such shares vest. At December 31, 2019 and 2018, there are no early exercised stock options that remained subject to the Company’s right of repurchase.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Options</w:t>
      </w:r>
    </w:p>
    <w:p>
      <w:pPr>
        <w:spacing w:after="0" w:line="117" w:lineRule="exact"/>
        <w:rPr>
          <w:sz w:val="20"/>
          <w:szCs w:val="20"/>
          <w:color w:val="auto"/>
        </w:rPr>
      </w:pPr>
    </w:p>
    <w:p>
      <w:pPr>
        <w:jc w:val="both"/>
        <w:ind w:right="240" w:firstLine="546"/>
        <w:spacing w:after="0" w:line="286" w:lineRule="auto"/>
        <w:rPr>
          <w:sz w:val="20"/>
          <w:szCs w:val="20"/>
          <w:color w:val="auto"/>
        </w:rPr>
      </w:pPr>
      <w:r>
        <w:rPr>
          <w:rFonts w:ascii="Arial" w:cs="Arial" w:eastAsia="Arial" w:hAnsi="Arial"/>
          <w:sz w:val="17"/>
          <w:szCs w:val="17"/>
          <w:color w:val="auto"/>
        </w:rPr>
        <w:t>Prior to the Company’s IPO, the fair value of the shares of common stock underlying the stock options was determined by the board of directors with assistance from management and external appraisers as there has been no historical public market for the Company’s common stock. Subsequent to the Company’s IPO, the fair value of the Company’s common stock is determined based on its closing market price.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During the years ended December 31, 2019, 2018 and 2017, the Company granted 2,354,343, 3,888,653 and 107,500 stock options, respectively, to employees with a weighted-average grant date fair value of $34.11, $4.36 and $0.61 per share, respectively.</w:t>
      </w:r>
    </w:p>
    <w:p>
      <w:pPr>
        <w:spacing w:after="0" w:line="62" w:lineRule="exact"/>
        <w:rPr>
          <w:sz w:val="20"/>
          <w:szCs w:val="20"/>
          <w:color w:val="auto"/>
        </w:rPr>
      </w:pPr>
    </w:p>
    <w:p>
      <w:pPr>
        <w:ind w:right="540" w:firstLine="546"/>
        <w:spacing w:after="0" w:line="277" w:lineRule="auto"/>
        <w:rPr>
          <w:sz w:val="20"/>
          <w:szCs w:val="20"/>
          <w:color w:val="auto"/>
        </w:rPr>
      </w:pPr>
      <w:r>
        <w:rPr>
          <w:rFonts w:ascii="Arial" w:cs="Arial" w:eastAsia="Arial" w:hAnsi="Arial"/>
          <w:sz w:val="18"/>
          <w:szCs w:val="18"/>
          <w:color w:val="auto"/>
        </w:rPr>
        <w:t>The Company estimated the fair value of employee stock options using the Black-Scholes valuation model. The fair value of employee stock options was estimated using the following weighted-average assumptions: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646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46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Borders>
              <w:bottom w:val="single" w:sz="8" w:color="CFF0FC"/>
            </w:tcBorders>
          </w:tcPr>
          <w:p>
            <w:pPr>
              <w:spacing w:after="0"/>
              <w:rPr>
                <w:sz w:val="20"/>
                <w:szCs w:val="20"/>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59%</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1.65%</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r>
      <w:tr>
        <w:trPr>
          <w:trHeight w:val="229"/>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Expected term</w:t>
            </w:r>
          </w:p>
        </w:tc>
        <w:tc>
          <w:tcPr>
            <w:tcW w:w="1320" w:type="dxa"/>
            <w:vAlign w:val="bottom"/>
          </w:tcPr>
          <w:p>
            <w:pPr>
              <w:jc w:val="right"/>
              <w:spacing w:after="0"/>
              <w:rPr>
                <w:sz w:val="20"/>
                <w:szCs w:val="20"/>
                <w:color w:val="auto"/>
              </w:rPr>
            </w:pPr>
            <w:r>
              <w:rPr>
                <w:rFonts w:ascii="Arial" w:cs="Arial" w:eastAsia="Arial" w:hAnsi="Arial"/>
                <w:sz w:val="18"/>
                <w:szCs w:val="18"/>
                <w:color w:val="auto"/>
              </w:rPr>
              <w:t>5.78</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6.06</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20"/>
                <w:szCs w:val="20"/>
                <w:color w:val="auto"/>
              </w:rPr>
            </w:pPr>
          </w:p>
        </w:tc>
      </w:tr>
    </w:tbl>
    <w:p>
      <w:pPr>
        <w:spacing w:after="0" w:line="106" w:lineRule="exact"/>
        <w:rPr>
          <w:sz w:val="20"/>
          <w:szCs w:val="20"/>
          <w:color w:val="auto"/>
        </w:rPr>
      </w:pPr>
    </w:p>
    <w:p>
      <w:pPr>
        <w:jc w:val="both"/>
        <w:ind w:right="280" w:firstLine="546"/>
        <w:spacing w:after="0" w:line="25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is calculated using the simplified method, which is available where there is insufficient historical data about</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spacing w:after="0" w:line="80" w:lineRule="exact"/>
        <w:rPr>
          <w:sz w:val="20"/>
          <w:szCs w:val="20"/>
          <w:color w:val="auto"/>
        </w:rPr>
      </w:pPr>
    </w:p>
    <w:p>
      <w:pPr>
        <w:ind w:right="60" w:firstLine="546"/>
        <w:spacing w:after="0" w:line="275"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The Company used an average historical stock price volatility of a peer group of publicly traded companies to be representative</w:t>
      </w:r>
      <w:r>
        <w:rPr>
          <w:rFonts w:ascii="Arial" w:cs="Arial" w:eastAsia="Arial" w:hAnsi="Arial"/>
          <w:sz w:val="17"/>
          <w:szCs w:val="17"/>
          <w:i w:val="1"/>
          <w:iCs w:val="1"/>
          <w:color w:val="auto"/>
        </w:rPr>
        <w:t xml:space="preserve"> </w:t>
      </w:r>
      <w:r>
        <w:rPr>
          <w:rFonts w:ascii="Arial" w:cs="Arial" w:eastAsia="Arial" w:hAnsi="Arial"/>
          <w:sz w:val="17"/>
          <w:szCs w:val="17"/>
          <w:color w:val="auto"/>
        </w:rPr>
        <w:t>of its expected future stock price volatility, as the Company does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 The Company will continue to apply this process until a sufficient amount of historical information regarding the volatility of its own stock price becomes available.</w:t>
      </w:r>
    </w:p>
    <w:p>
      <w:pPr>
        <w:spacing w:after="0" w:line="68" w:lineRule="exact"/>
        <w:rPr>
          <w:sz w:val="20"/>
          <w:szCs w:val="20"/>
          <w:color w:val="auto"/>
        </w:rPr>
      </w:pPr>
    </w:p>
    <w:p>
      <w:pPr>
        <w:ind w:right="440" w:firstLine="546"/>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implied yield currently available on U.S. Treasury zero-coupon issues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 equivalent to the expected term of a stock award.</w:t>
      </w:r>
    </w:p>
    <w:p>
      <w:pPr>
        <w:spacing w:after="0" w:line="62"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i w:val="1"/>
          <w:iCs w:val="1"/>
          <w:color w:val="auto"/>
        </w:rPr>
        <w:t>Expected Dividend Rate</w:t>
      </w:r>
      <w:r>
        <w:rPr>
          <w:rFonts w:ascii="Arial" w:cs="Arial" w:eastAsia="Arial" w:hAnsi="Arial"/>
          <w:sz w:val="18"/>
          <w:szCs w:val="18"/>
          <w:color w:val="auto"/>
        </w:rPr>
        <w:t>. The Company has not paid and does not anticipate paying any dividends in the near future. Accordingly,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the dividend yield to be zero.</w:t>
      </w:r>
    </w:p>
    <w:p>
      <w:pPr>
        <w:spacing w:after="0" w:line="62"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The total fair value of employee options vested during the years ended December 31, 2019, 2018 and 2017 was $4.6 million, $1.2 million and $0.2 million, respectively. Stock-based compensation expense recognized during the years ended December 31, 2018, 2017 and 2016 for options granted to employees was $5.7 million, $2.0 million and $0.2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Stock Options</w:t>
      </w:r>
    </w:p>
    <w:p>
      <w:pPr>
        <w:spacing w:after="0" w:line="117" w:lineRule="exact"/>
        <w:rPr>
          <w:sz w:val="20"/>
          <w:szCs w:val="20"/>
          <w:color w:val="auto"/>
        </w:rPr>
      </w:pPr>
    </w:p>
    <w:p>
      <w:pPr>
        <w:ind w:right="340" w:firstLine="546"/>
        <w:spacing w:after="0" w:line="277" w:lineRule="auto"/>
        <w:rPr>
          <w:sz w:val="20"/>
          <w:szCs w:val="20"/>
          <w:color w:val="auto"/>
        </w:rPr>
      </w:pPr>
      <w:r>
        <w:rPr>
          <w:rFonts w:ascii="Arial" w:cs="Arial" w:eastAsia="Arial" w:hAnsi="Arial"/>
          <w:sz w:val="18"/>
          <w:szCs w:val="18"/>
          <w:color w:val="auto"/>
        </w:rPr>
        <w:t>The Company granted 15,000, 215,000 and 30,000 stock options to non-employees during the years ended December 31, 2019, 2018 and 2017, respectively.</w:t>
      </w:r>
    </w:p>
    <w:p>
      <w:pPr>
        <w:spacing w:after="0" w:line="62" w:lineRule="exact"/>
        <w:rPr>
          <w:sz w:val="20"/>
          <w:szCs w:val="20"/>
          <w:color w:val="auto"/>
        </w:rPr>
      </w:pPr>
    </w:p>
    <w:p>
      <w:pPr>
        <w:ind w:right="80" w:firstLine="546"/>
        <w:spacing w:after="0" w:line="311" w:lineRule="auto"/>
        <w:rPr>
          <w:sz w:val="20"/>
          <w:szCs w:val="20"/>
          <w:color w:val="auto"/>
        </w:rPr>
      </w:pPr>
      <w:r>
        <w:rPr>
          <w:rFonts w:ascii="Arial" w:cs="Arial" w:eastAsia="Arial" w:hAnsi="Arial"/>
          <w:sz w:val="16"/>
          <w:szCs w:val="16"/>
          <w:color w:val="auto"/>
        </w:rPr>
        <w:t>Subsequent to the adoption of ASU 2018-07 effective January 1, 2019, existing stock options granted to non-employees will no longer be revalued, and the estimated fair value of new stock options granted to non-employees will be calculated on the date of grant and not remeasured, similar to stock options granted to employees. The fair value of non-employee stock options was estimated using the following weighted-average assumptions: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Year Ended</w:t>
            </w:r>
          </w:p>
        </w:tc>
        <w:tc>
          <w:tcPr>
            <w:tcW w:w="16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Year Ended</w:t>
            </w:r>
          </w:p>
        </w:tc>
        <w:tc>
          <w:tcPr>
            <w:tcW w:w="14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646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December 31,</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46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32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34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80" w:type="dxa"/>
            <w:vAlign w:val="bottom"/>
            <w:tcBorders>
              <w:bottom w:val="single" w:sz="8" w:color="CFF0FC"/>
            </w:tcBorders>
          </w:tcPr>
          <w:p>
            <w:pPr>
              <w:spacing w:after="0"/>
              <w:rPr>
                <w:sz w:val="20"/>
                <w:szCs w:val="20"/>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73%</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68%</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2.31%</w:t>
            </w:r>
          </w:p>
        </w:tc>
      </w:tr>
      <w:tr>
        <w:trPr>
          <w:trHeight w:val="230"/>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Expected term</w:t>
            </w:r>
          </w:p>
        </w:tc>
        <w:tc>
          <w:tcPr>
            <w:tcW w:w="1320" w:type="dxa"/>
            <w:vAlign w:val="bottom"/>
          </w:tcPr>
          <w:p>
            <w:pPr>
              <w:jc w:val="right"/>
              <w:spacing w:after="0"/>
              <w:rPr>
                <w:sz w:val="20"/>
                <w:szCs w:val="20"/>
                <w:color w:val="auto"/>
              </w:rPr>
            </w:pPr>
            <w:r>
              <w:rPr>
                <w:rFonts w:ascii="Arial" w:cs="Arial" w:eastAsia="Arial" w:hAnsi="Arial"/>
                <w:sz w:val="18"/>
                <w:szCs w:val="18"/>
                <w:color w:val="auto"/>
              </w:rPr>
              <w:t>6.08</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9.30</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20"/>
                <w:szCs w:val="20"/>
                <w:color w:val="auto"/>
              </w:rPr>
            </w:pPr>
          </w:p>
        </w:tc>
      </w:tr>
    </w:tbl>
    <w:p>
      <w:pPr>
        <w:spacing w:after="0" w:line="106"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Stock-based compensation expense recognized during the years ended December 31, 2019, 2018 and 2017 for options granted to non-employees was $0.1 million, $0.4 million and less than $0.1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Stock Options and Restricted Stock Units</w:t>
      </w:r>
    </w:p>
    <w:p>
      <w:pPr>
        <w:spacing w:after="0" w:line="117" w:lineRule="exact"/>
        <w:rPr>
          <w:sz w:val="20"/>
          <w:szCs w:val="20"/>
          <w:color w:val="auto"/>
        </w:rPr>
      </w:pPr>
    </w:p>
    <w:p>
      <w:pPr>
        <w:ind w:right="200" w:firstLine="546"/>
        <w:spacing w:after="0" w:line="279" w:lineRule="auto"/>
        <w:rPr>
          <w:sz w:val="20"/>
          <w:szCs w:val="20"/>
          <w:color w:val="auto"/>
        </w:rPr>
      </w:pPr>
      <w:r>
        <w:rPr>
          <w:rFonts w:ascii="Arial" w:cs="Arial" w:eastAsia="Arial" w:hAnsi="Arial"/>
          <w:sz w:val="17"/>
          <w:szCs w:val="17"/>
          <w:color w:val="auto"/>
        </w:rPr>
        <w:t>The Company granted 170,150 performance-based stock options and 128,900 performance-based restricted stock units (“RSUs”) to employees in 2019. These performance-based equity awards will vest one-quarter upon the achievement of specific clinical development milestones. The remaining shares will then vest in three equal annual installments after that date. Performance-based stock options and performance-based restricted stock units are recorded as expense beginning when vesting events are determined to be probable.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80" w:type="dxa"/>
            <w:vAlign w:val="bottom"/>
          </w:tcPr>
          <w:p>
            <w:pPr>
              <w:ind w:left="560"/>
              <w:spacing w:after="0"/>
              <w:rPr>
                <w:sz w:val="20"/>
                <w:szCs w:val="20"/>
                <w:color w:val="auto"/>
              </w:rPr>
            </w:pPr>
            <w:r>
              <w:rPr>
                <w:rFonts w:ascii="Arial" w:cs="Arial" w:eastAsia="Arial" w:hAnsi="Arial"/>
                <w:sz w:val="18"/>
                <w:szCs w:val="18"/>
                <w:color w:val="auto"/>
                <w:w w:val="92"/>
              </w:rPr>
              <w:t>The fair value of performance-based stock options was estimated using the following weighted-average assumptions:</w:t>
            </w: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33"/>
        </w:trPr>
        <w:tc>
          <w:tcPr>
            <w:tcW w:w="9180" w:type="dxa"/>
            <w:vAlign w:val="bottom"/>
          </w:tcPr>
          <w:p>
            <w:pPr>
              <w:spacing w:after="0"/>
              <w:rPr>
                <w:sz w:val="24"/>
                <w:szCs w:val="24"/>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9180" w:type="dxa"/>
            <w:vAlign w:val="bottom"/>
          </w:tcPr>
          <w:p>
            <w:pPr>
              <w:spacing w:after="0"/>
              <w:rPr>
                <w:sz w:val="18"/>
                <w:szCs w:val="18"/>
                <w:color w:val="auto"/>
              </w:rPr>
            </w:pPr>
          </w:p>
        </w:tc>
        <w:tc>
          <w:tcPr>
            <w:tcW w:w="2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9180" w:type="dxa"/>
            <w:vAlign w:val="bottom"/>
            <w:tcBorders>
              <w:bottom w:val="single" w:sz="8" w:color="CFF0FC"/>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80" w:type="dxa"/>
            <w:vAlign w:val="bottom"/>
            <w:tcBorders>
              <w:bottom w:val="single" w:sz="8" w:color="CFF0FC"/>
            </w:tcBorders>
          </w:tcPr>
          <w:p>
            <w:pPr>
              <w:spacing w:after="0"/>
              <w:rPr>
                <w:sz w:val="20"/>
                <w:szCs w:val="20"/>
                <w:color w:val="auto"/>
              </w:rPr>
            </w:pPr>
          </w:p>
        </w:tc>
      </w:tr>
      <w:tr>
        <w:trPr>
          <w:trHeight w:val="223"/>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w:t>
            </w:r>
          </w:p>
        </w:tc>
      </w:tr>
      <w:tr>
        <w:trPr>
          <w:trHeight w:val="229"/>
        </w:trPr>
        <w:tc>
          <w:tcPr>
            <w:tcW w:w="9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r>
      <w:tr>
        <w:trPr>
          <w:trHeight w:val="23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Expected term</w:t>
            </w:r>
          </w:p>
        </w:tc>
        <w:tc>
          <w:tcPr>
            <w:tcW w:w="1880" w:type="dxa"/>
            <w:vAlign w:val="bottom"/>
          </w:tcPr>
          <w:p>
            <w:pPr>
              <w:jc w:val="right"/>
              <w:spacing w:after="0"/>
              <w:rPr>
                <w:sz w:val="20"/>
                <w:szCs w:val="20"/>
                <w:color w:val="auto"/>
              </w:rPr>
            </w:pPr>
            <w:r>
              <w:rPr>
                <w:rFonts w:ascii="Arial" w:cs="Arial" w:eastAsia="Arial" w:hAnsi="Arial"/>
                <w:sz w:val="18"/>
                <w:szCs w:val="18"/>
                <w:color w:val="auto"/>
              </w:rPr>
              <w:t>6.31</w:t>
            </w:r>
          </w:p>
        </w:tc>
        <w:tc>
          <w:tcPr>
            <w:tcW w:w="180" w:type="dxa"/>
            <w:vAlign w:val="bottom"/>
          </w:tcPr>
          <w:p>
            <w:pPr>
              <w:spacing w:after="0"/>
              <w:rPr>
                <w:sz w:val="20"/>
                <w:szCs w:val="20"/>
                <w:color w:val="auto"/>
              </w:rPr>
            </w:pPr>
          </w:p>
        </w:tc>
      </w:tr>
    </w:tbl>
    <w:p>
      <w:pPr>
        <w:spacing w:after="0" w:line="106"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The weighted-average grant date fair value was $47.89 per share for performance-based stock options and $73.51 per share for performance-based restricted stock units. None of these performance-based equity awards vested during 2019. The Company believes that the achievement of the requisite performance condition is probable and stock-based compensation expense recognized during the year ended December 31, 2019 was less than $0.1 million related to these awards.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Awards</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720" w:type="dxa"/>
            <w:vAlign w:val="bottom"/>
          </w:tcPr>
          <w:p>
            <w:pPr>
              <w:ind w:left="560"/>
              <w:spacing w:after="0"/>
              <w:rPr>
                <w:sz w:val="20"/>
                <w:szCs w:val="20"/>
                <w:color w:val="auto"/>
              </w:rPr>
            </w:pPr>
            <w:r>
              <w:rPr>
                <w:rFonts w:ascii="Arial" w:cs="Arial" w:eastAsia="Arial" w:hAnsi="Arial"/>
                <w:sz w:val="18"/>
                <w:szCs w:val="18"/>
                <w:color w:val="auto"/>
              </w:rPr>
              <w:t>Restricted stock award (“RSAs”) activity is summarized as follows:</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772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7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7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Underlying</w:t>
            </w: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Grant</w:t>
            </w:r>
          </w:p>
        </w:tc>
      </w:tr>
      <w:tr>
        <w:trPr>
          <w:trHeight w:val="216"/>
        </w:trPr>
        <w:tc>
          <w:tcPr>
            <w:tcW w:w="77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Date Fair</w:t>
            </w:r>
          </w:p>
        </w:tc>
      </w:tr>
      <w:tr>
        <w:trPr>
          <w:trHeight w:val="234"/>
        </w:trPr>
        <w:tc>
          <w:tcPr>
            <w:tcW w:w="77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RSAs</w:t>
            </w: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December 31, 2016</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549,351</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(257,718)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December 31, 2017</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291,633</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27,500</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(268,683)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Unvested, December 31, 2018</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50,450</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(48,603)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0.78</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Unvested, December 31, 2019</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Under the terms of the restricted stock agreements, 1/48th of the award vests monthly over four years, which is the requisite service period. Recipients of restricted stock awards generally have voting and dividend rights with respect to such shares upon grant without regard to vesting. Shares of restricted stock that do not vest are subject to forfeiture. The Company recognizes stock-based compensation expense for RSAs on a straight-line basis over the requisite service period for the entire award. The total fair value of RSAs vested during the years ended December 31, 2019, 2018 and 2017 was less than $0.1 million, $0.2 million and $0.1 million, respectively. Stock-based compensation expense recognized during the years ended December 31, 2019, 2018 and 2017 for RSAs was less than $0.1 million, $0.2 million and $0.1 million,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i w:val="1"/>
                <w:iCs w:val="1"/>
                <w:color w:val="auto"/>
              </w:rPr>
              <w:t>Restricted Stock Units</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7720" w:type="dxa"/>
            <w:vAlign w:val="bottom"/>
          </w:tcPr>
          <w:p>
            <w:pPr>
              <w:ind w:left="560"/>
              <w:spacing w:after="0"/>
              <w:rPr>
                <w:sz w:val="20"/>
                <w:szCs w:val="20"/>
                <w:color w:val="auto"/>
              </w:rPr>
            </w:pPr>
            <w:r>
              <w:rPr>
                <w:rFonts w:ascii="Arial" w:cs="Arial" w:eastAsia="Arial" w:hAnsi="Arial"/>
                <w:sz w:val="18"/>
                <w:szCs w:val="18"/>
                <w:color w:val="auto"/>
              </w:rPr>
              <w:t>RSUs activity is summarized as follows:</w:t>
            </w: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3"/>
        </w:trPr>
        <w:tc>
          <w:tcPr>
            <w:tcW w:w="7720" w:type="dxa"/>
            <w:vAlign w:val="bottom"/>
          </w:tcPr>
          <w:p>
            <w:pPr>
              <w:spacing w:after="0"/>
              <w:rPr>
                <w:sz w:val="24"/>
                <w:szCs w:val="2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26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7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720" w:type="dxa"/>
            <w:vAlign w:val="bottom"/>
          </w:tcPr>
          <w:p>
            <w:pPr>
              <w:spacing w:after="0"/>
              <w:rPr>
                <w:sz w:val="18"/>
                <w:szCs w:val="18"/>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Underlying</w:t>
            </w: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Grant</w:t>
            </w:r>
          </w:p>
        </w:tc>
      </w:tr>
      <w:tr>
        <w:trPr>
          <w:trHeight w:val="216"/>
        </w:trPr>
        <w:tc>
          <w:tcPr>
            <w:tcW w:w="772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2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Date Fair</w:t>
            </w:r>
          </w:p>
        </w:tc>
      </w:tr>
      <w:tr>
        <w:trPr>
          <w:trHeight w:val="234"/>
        </w:trPr>
        <w:tc>
          <w:tcPr>
            <w:tcW w:w="772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RSUs</w:t>
            </w:r>
          </w:p>
        </w:tc>
        <w:tc>
          <w:tcPr>
            <w:tcW w:w="26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December 31, 2017</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Granted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December 31, 2018</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(21,467)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withheld related to net share settlement of RSUs</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(8,533)</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Unvested, December 31, 2019</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60" w:firstLine="546"/>
        <w:spacing w:after="0" w:line="308" w:lineRule="auto"/>
        <w:rPr>
          <w:sz w:val="20"/>
          <w:szCs w:val="20"/>
          <w:color w:val="auto"/>
        </w:rPr>
      </w:pPr>
      <w:r>
        <w:rPr>
          <w:rFonts w:ascii="Arial" w:cs="Arial" w:eastAsia="Arial" w:hAnsi="Arial"/>
          <w:sz w:val="17"/>
          <w:szCs w:val="17"/>
          <w:color w:val="auto"/>
        </w:rPr>
        <w:t>The total fair value of RSUs vested during the year ended December 31, 2019 was $0.3 million. Stock-based compensation expense recognized during the years ended December 31, 2019 and 2018 for RSUs was $0.3 million and less than $0.1 million,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Employee Share Purchase Plan</w:t>
      </w:r>
    </w:p>
    <w:p>
      <w:pPr>
        <w:spacing w:after="0" w:line="117"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In August 2018, the Company adopted the 2018 Employee Share Purchase Plan (“ESPP”), which became effective on the business day prior to the effectiveness of the registration statement relating to the IPO. A total of 460,000 shares of common stock were initially reserved for issuance under the ESPP. The offering period and purchase period will be determined by the board of directors. As of December 31, 2019, no offerings have been authorized to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Stock-based compensation is classified in the consolidated statements of operations and comprehensive loss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6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6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3,496</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2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FF0FC"/>
            </w:tcBorders>
          </w:tcPr>
          <w:p>
            <w:pPr>
              <w:spacing w:after="0"/>
              <w:rPr>
                <w:sz w:val="19"/>
                <w:szCs w:val="19"/>
                <w:color w:val="auto"/>
              </w:rPr>
            </w:pPr>
          </w:p>
        </w:tc>
      </w:tr>
      <w:tr>
        <w:trPr>
          <w:trHeight w:val="223"/>
        </w:trPr>
        <w:tc>
          <w:tcPr>
            <w:tcW w:w="6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6,110</w:t>
            </w:r>
          </w:p>
        </w:tc>
        <w:tc>
          <w:tcPr>
            <w:tcW w:w="2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2,608</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546"/>
        <w:spacing w:after="0" w:line="263" w:lineRule="auto"/>
        <w:rPr>
          <w:sz w:val="20"/>
          <w:szCs w:val="20"/>
          <w:color w:val="auto"/>
        </w:rPr>
      </w:pPr>
      <w:r>
        <w:rPr>
          <w:rFonts w:ascii="Arial" w:cs="Arial" w:eastAsia="Arial" w:hAnsi="Arial"/>
          <w:sz w:val="18"/>
          <w:szCs w:val="18"/>
          <w:color w:val="auto"/>
        </w:rPr>
        <w:t>As of December 31, 2019, the Company had $59.4 million and $0.2 million of unrecognized compensation expense related to unvested stock options and unvested restricted stock awards and units, respectively, that is expected to be recognized over a weighted-average period of 3.07 years and 0.77 years,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 Attributable to Common Stockholders</w:t>
      </w:r>
    </w:p>
    <w:p>
      <w:pPr>
        <w:spacing w:after="0" w:line="121" w:lineRule="exact"/>
        <w:rPr>
          <w:sz w:val="20"/>
          <w:szCs w:val="20"/>
          <w:color w:val="auto"/>
        </w:rPr>
      </w:pPr>
    </w:p>
    <w:p>
      <w:pPr>
        <w:ind w:right="260" w:firstLine="546"/>
        <w:spacing w:after="0" w:line="308" w:lineRule="auto"/>
        <w:rPr>
          <w:sz w:val="20"/>
          <w:szCs w:val="20"/>
          <w:color w:val="auto"/>
        </w:rPr>
      </w:pPr>
      <w:r>
        <w:rPr>
          <w:rFonts w:ascii="Arial" w:cs="Arial" w:eastAsia="Arial" w:hAnsi="Arial"/>
          <w:sz w:val="17"/>
          <w:szCs w:val="17"/>
          <w:color w:val="auto"/>
        </w:rPr>
        <w:t>The following table sets forth the computation of basic and diluted net loss per share attributable to common stockholders which excludes shares which are legally outstanding, but subject to repurchase by the Company (in thousands, except share and per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Year Ended</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5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320" w:type="dxa"/>
            <w:vAlign w:val="bottom"/>
            <w:tcBorders>
              <w:bottom w:val="single" w:sz="8" w:color="CFF0FC"/>
            </w:tcBorders>
          </w:tcPr>
          <w:p>
            <w:pPr>
              <w:spacing w:after="0"/>
              <w:rPr>
                <w:sz w:val="20"/>
                <w:szCs w:val="20"/>
                <w:color w:val="auto"/>
              </w:rPr>
            </w:pPr>
          </w:p>
        </w:tc>
        <w:tc>
          <w:tcPr>
            <w:tcW w:w="13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532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(47,365)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(41,443)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(27,936)</w:t>
            </w:r>
          </w:p>
        </w:tc>
      </w:tr>
      <w:tr>
        <w:trPr>
          <w:trHeight w:val="210"/>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w:t>
            </w:r>
          </w:p>
        </w:tc>
        <w:tc>
          <w:tcPr>
            <w:tcW w:w="13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37,869,291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15,136,197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7,932,717</w:t>
            </w:r>
          </w:p>
        </w:tc>
        <w:tc>
          <w:tcPr>
            <w:tcW w:w="100" w:type="dxa"/>
            <w:vAlign w:val="bottom"/>
          </w:tcPr>
          <w:p>
            <w:pPr>
              <w:spacing w:after="0"/>
              <w:rPr>
                <w:sz w:val="19"/>
                <w:szCs w:val="19"/>
                <w:color w:val="auto"/>
              </w:rPr>
            </w:pPr>
          </w:p>
        </w:tc>
      </w:tr>
      <w:tr>
        <w:trPr>
          <w:trHeight w:val="215"/>
        </w:trPr>
        <w:tc>
          <w:tcPr>
            <w:tcW w:w="53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weighted-average unvested restricted shares</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shares subject to repurchase</w:t>
            </w: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(15,675)</w:t>
            </w: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(159,682)</w:t>
            </w:r>
          </w:p>
        </w:tc>
        <w:tc>
          <w:tcPr>
            <w:tcW w:w="1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(417,381)</w:t>
            </w:r>
          </w:p>
        </w:tc>
      </w:tr>
      <w:tr>
        <w:trPr>
          <w:trHeight w:val="209"/>
        </w:trPr>
        <w:tc>
          <w:tcPr>
            <w:tcW w:w="5320" w:type="dxa"/>
            <w:vAlign w:val="bottom"/>
          </w:tcPr>
          <w:p>
            <w:pPr>
              <w:ind w:left="260"/>
              <w:spacing w:after="0"/>
              <w:rPr>
                <w:sz w:val="20"/>
                <w:szCs w:val="20"/>
                <w:color w:val="auto"/>
              </w:rPr>
            </w:pPr>
            <w:r>
              <w:rPr>
                <w:rFonts w:ascii="Arial" w:cs="Arial" w:eastAsia="Arial" w:hAnsi="Arial"/>
                <w:sz w:val="18"/>
                <w:szCs w:val="18"/>
                <w:color w:val="auto"/>
              </w:rPr>
              <w:t>Weighted-average shares outstanding used in</w:t>
            </w:r>
          </w:p>
        </w:tc>
        <w:tc>
          <w:tcPr>
            <w:tcW w:w="1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ind w:left="380"/>
              <w:spacing w:after="0"/>
              <w:rPr>
                <w:sz w:val="20"/>
                <w:szCs w:val="20"/>
                <w:color w:val="auto"/>
              </w:rPr>
            </w:pPr>
            <w:r>
              <w:rPr>
                <w:rFonts w:ascii="Arial" w:cs="Arial" w:eastAsia="Arial" w:hAnsi="Arial"/>
                <w:sz w:val="18"/>
                <w:szCs w:val="18"/>
                <w:color w:val="auto"/>
              </w:rPr>
              <w:t>computing net loss per share attributable to</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532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common stockholders, basic and diluted</w:t>
            </w:r>
          </w:p>
        </w:tc>
        <w:tc>
          <w:tcPr>
            <w:tcW w:w="13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37,853,616</w:t>
            </w:r>
          </w:p>
        </w:tc>
        <w:tc>
          <w:tcPr>
            <w:tcW w:w="28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14,976,515</w:t>
            </w:r>
          </w:p>
        </w:tc>
        <w:tc>
          <w:tcPr>
            <w:tcW w:w="2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7,515,336</w:t>
            </w:r>
          </w:p>
        </w:tc>
        <w:tc>
          <w:tcPr>
            <w:tcW w:w="100" w:type="dxa"/>
            <w:vAlign w:val="bottom"/>
            <w:tcBorders>
              <w:bottom w:val="single" w:sz="8" w:color="CFF0FC"/>
            </w:tcBorders>
          </w:tcPr>
          <w:p>
            <w:pPr>
              <w:spacing w:after="0"/>
              <w:rPr>
                <w:sz w:val="23"/>
                <w:szCs w:val="23"/>
                <w:color w:val="auto"/>
              </w:rPr>
            </w:pPr>
          </w:p>
        </w:tc>
      </w:tr>
      <w:tr>
        <w:trPr>
          <w:trHeight w:val="196"/>
        </w:trPr>
        <w:tc>
          <w:tcPr>
            <w:tcW w:w="53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 and diluted</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(3.72)</w:t>
            </w: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07" w:lineRule="exact"/>
        <w:rPr>
          <w:sz w:val="20"/>
          <w:szCs w:val="20"/>
          <w:color w:val="auto"/>
        </w:rPr>
      </w:pPr>
    </w:p>
    <w:p>
      <w:pPr>
        <w:ind w:right="180" w:firstLine="546"/>
        <w:spacing w:after="0" w:line="308" w:lineRule="auto"/>
        <w:rPr>
          <w:sz w:val="20"/>
          <w:szCs w:val="20"/>
          <w:color w:val="auto"/>
        </w:rPr>
      </w:pPr>
      <w:r>
        <w:rPr>
          <w:rFonts w:ascii="Arial" w:cs="Arial" w:eastAsia="Arial" w:hAnsi="Arial"/>
          <w:sz w:val="17"/>
          <w:szCs w:val="17"/>
          <w:color w:val="auto"/>
        </w:rPr>
        <w:t>The following potentially dilutive securities, presented on an as-converted to common stock basis, were excluded from the computation of diluted net loss per share attributable to common stockholders for the period presented because including them would have been antidilutive: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Year Ended</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664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6640" w:type="dxa"/>
            <w:vAlign w:val="bottom"/>
            <w:tcBorders>
              <w:bottom w:val="single" w:sz="8" w:color="CFF0FC"/>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80" w:type="dxa"/>
            <w:vAlign w:val="bottom"/>
            <w:tcBorders>
              <w:bottom w:val="single" w:sz="8" w:color="CFF0FC"/>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FF0FC"/>
            </w:tcBorders>
          </w:tcPr>
          <w:p>
            <w:pPr>
              <w:spacing w:after="0"/>
              <w:rPr>
                <w:sz w:val="20"/>
                <w:szCs w:val="20"/>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Exercise of options outstanding</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6,671,542</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5,135,267</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1,204,414</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Unvested restricted shares</w:t>
            </w:r>
          </w:p>
        </w:tc>
        <w:tc>
          <w:tcPr>
            <w:tcW w:w="1300" w:type="dxa"/>
            <w:vAlign w:val="bottom"/>
          </w:tcPr>
          <w:p>
            <w:pPr>
              <w:jc w:val="right"/>
              <w:spacing w:after="0"/>
              <w:rPr>
                <w:sz w:val="20"/>
                <w:szCs w:val="20"/>
                <w:color w:val="auto"/>
              </w:rPr>
            </w:pPr>
            <w:r>
              <w:rPr>
                <w:rFonts w:ascii="Arial" w:cs="Arial" w:eastAsia="Arial" w:hAnsi="Arial"/>
                <w:sz w:val="18"/>
                <w:szCs w:val="18"/>
                <w:color w:val="auto"/>
              </w:rPr>
              <w:t>160,747</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50,450</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291,633</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Unvested early exercised common stock options</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Conversion of redeemable convertible preferred stock</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12,385,154</w:t>
            </w:r>
          </w:p>
        </w:tc>
        <w:tc>
          <w:tcPr>
            <w:tcW w:w="100" w:type="dxa"/>
            <w:vAlign w:val="bottom"/>
          </w:tcPr>
          <w:p>
            <w:pPr>
              <w:spacing w:after="0"/>
              <w:rPr>
                <w:sz w:val="19"/>
                <w:szCs w:val="19"/>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notes outstanding</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2,153,781</w:t>
            </w:r>
          </w:p>
        </w:tc>
        <w:tc>
          <w:tcPr>
            <w:tcW w:w="100" w:type="dxa"/>
            <w:vAlign w:val="bottom"/>
            <w:shd w:val="clear" w:color="auto" w:fill="CFF0FC"/>
          </w:tcPr>
          <w:p>
            <w:pPr>
              <w:spacing w:after="0"/>
              <w:rPr>
                <w:sz w:val="19"/>
                <w:szCs w:val="19"/>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Exercise of preferred stock warrants outstanding</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r>
      <w:tr>
        <w:trPr>
          <w:trHeight w:val="22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6,832,289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5,185,717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16,537,869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401(k) Plan</w:t>
      </w:r>
    </w:p>
    <w:p>
      <w:pPr>
        <w:spacing w:after="0" w:line="121" w:lineRule="exact"/>
        <w:rPr>
          <w:sz w:val="20"/>
          <w:szCs w:val="20"/>
          <w:color w:val="auto"/>
        </w:rPr>
      </w:pPr>
    </w:p>
    <w:p>
      <w:pPr>
        <w:ind w:right="240" w:firstLine="546"/>
        <w:spacing w:after="0" w:line="257" w:lineRule="auto"/>
        <w:rPr>
          <w:sz w:val="20"/>
          <w:szCs w:val="20"/>
          <w:color w:val="auto"/>
        </w:rPr>
      </w:pPr>
      <w:r>
        <w:rPr>
          <w:rFonts w:ascii="Arial" w:cs="Arial" w:eastAsia="Arial" w:hAnsi="Arial"/>
          <w:sz w:val="18"/>
          <w:szCs w:val="18"/>
          <w:color w:val="auto"/>
        </w:rPr>
        <w:t>In 2011, the Company adopted a 401(k) retirement and savings plan covering all employees. The 401(k) plan allows employees to make pre- and post-tax contributions up to the maximum allowable amount set by the Internal Revenue Service. The 401(k) plan was amended to include an employer matching provision in 2019. The Company will make matching contributions of 100% of employee contributions up to a maximum of 50% of the individual maximum contribution limit allowed under the IRS rules. For the year ended December 31, 2019, the expense related to the matching contributions was $0.3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Funding Agreement with Baker Bros. Advisors, LP</w:t>
      </w:r>
    </w:p>
    <w:p>
      <w:pPr>
        <w:spacing w:after="0" w:line="117"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On December 1, 2019, the Company and its subsidiary Kodiak Sciences GmbH entered into a funding agreement with Baker Bros. Advisors, LP (“BBA”), pursuant to which BBA purchased the right to receive a capped 4.5% royalty on future net sales of KSI-301, the Company’s anti-VEGF antibody biopolymer conjugate therapy, in exchange for $225.0 million. The funding agreement with BBA, which holds more than 5% of the Company’s stock, was the result of a competitive process overseen by independent and disinterested members of the board of directors of the Company with the assistance of outside counsel.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center"/>
        <w:ind w:right="20"/>
        <w:spacing w:after="0"/>
        <w:rPr>
          <w:sz w:val="20"/>
          <w:szCs w:val="20"/>
          <w:color w:val="auto"/>
        </w:rPr>
      </w:pPr>
      <w:r>
        <w:rPr>
          <w:rFonts w:ascii="Arial" w:cs="Arial" w:eastAsia="Arial" w:hAnsi="Arial"/>
          <w:sz w:val="18"/>
          <w:szCs w:val="18"/>
          <w:b w:val="1"/>
          <w:bCs w:val="1"/>
          <w:color w:val="auto"/>
        </w:rPr>
        <w:t>Kodiak Sciences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19" w:lineRule="exact"/>
        <w:rPr>
          <w:sz w:val="20"/>
          <w:szCs w:val="20"/>
          <w:color w:val="auto"/>
        </w:rPr>
      </w:pPr>
    </w:p>
    <w:p>
      <w:pPr>
        <w:jc w:val="both"/>
        <w:ind w:right="200" w:firstLine="546"/>
        <w:spacing w:after="0" w:line="263" w:lineRule="auto"/>
        <w:rPr>
          <w:sz w:val="20"/>
          <w:szCs w:val="20"/>
          <w:color w:val="auto"/>
        </w:rPr>
      </w:pPr>
      <w:r>
        <w:rPr>
          <w:rFonts w:ascii="Arial" w:cs="Arial" w:eastAsia="Arial" w:hAnsi="Arial"/>
          <w:sz w:val="18"/>
          <w:szCs w:val="18"/>
          <w:color w:val="auto"/>
        </w:rPr>
        <w:t>The closing of the funding agreement was subject to certain conditions and occurred in February 2020. The Company received $100.0 million of the funding on February 4, 2020. The remaining $125.0 million shall be payable to the Company upon enrollment of 50% patients in the planned Phase 3 clinical trials of KSI-301 for branch retinal vein occlusion and central retinal vein occlusion.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Selected Quarterly Financial Data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the selected quarterly financial information for the years 2019 and 2018 (in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5"/>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480"/>
              <w:spacing w:after="0" w:line="205" w:lineRule="exact"/>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460" w:type="dxa"/>
            <w:vAlign w:val="bottom"/>
            <w:gridSpan w:val="2"/>
          </w:tcPr>
          <w:p>
            <w:pPr>
              <w:jc w:val="right"/>
              <w:ind w:right="320"/>
              <w:spacing w:after="0" w:line="205" w:lineRule="exact"/>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1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7"/>
                <w:szCs w:val="17"/>
                <w:color w:val="auto"/>
              </w:rPr>
            </w:pPr>
          </w:p>
        </w:tc>
      </w:tr>
      <w:tr>
        <w:trPr>
          <w:trHeight w:val="234"/>
        </w:trPr>
        <w:tc>
          <w:tcPr>
            <w:tcW w:w="47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(16,184)</w:t>
            </w:r>
          </w:p>
        </w:tc>
        <w:tc>
          <w:tcPr>
            <w:tcW w:w="120" w:type="dxa"/>
            <w:vAlign w:val="bottom"/>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(7,984)</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(11,385)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(12,380)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(15,616)</w:t>
            </w: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(0.21)</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(0.33)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(0.40)</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5"/>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480"/>
              <w:spacing w:after="0" w:line="205" w:lineRule="exact"/>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right"/>
              <w:ind w:right="640"/>
              <w:spacing w:after="0" w:line="205" w:lineRule="exact"/>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17"/>
                <w:szCs w:val="17"/>
                <w:color w:val="auto"/>
              </w:rPr>
            </w:pPr>
          </w:p>
        </w:tc>
        <w:tc>
          <w:tcPr>
            <w:tcW w:w="1460" w:type="dxa"/>
            <w:vAlign w:val="bottom"/>
            <w:gridSpan w:val="2"/>
          </w:tcPr>
          <w:p>
            <w:pPr>
              <w:jc w:val="right"/>
              <w:ind w:right="320"/>
              <w:spacing w:after="0" w:line="205" w:lineRule="exact"/>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ind w:right="11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70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(8,920)</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(7,409)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(10,452)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(14,662)</w:t>
            </w:r>
          </w:p>
        </w:tc>
        <w:tc>
          <w:tcPr>
            <w:tcW w:w="20" w:type="dxa"/>
            <w:vAlign w:val="bottom"/>
          </w:tcPr>
          <w:p>
            <w:pPr>
              <w:spacing w:after="0"/>
              <w:rPr>
                <w:sz w:val="19"/>
                <w:szCs w:val="19"/>
                <w:color w:val="auto"/>
              </w:rPr>
            </w:pPr>
          </w:p>
        </w:tc>
      </w:tr>
      <w:tr>
        <w:trPr>
          <w:trHeight w:val="215"/>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w:t>
            </w: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20"/>
                <w:szCs w:val="20"/>
                <w:color w:val="auto"/>
              </w:rPr>
            </w:pPr>
          </w:p>
        </w:tc>
      </w:tr>
      <w:tr>
        <w:trPr>
          <w:trHeight w:val="918"/>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21"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spacing w:after="0" w:line="49" w:lineRule="exact"/>
        <w:rPr>
          <w:sz w:val="20"/>
          <w:szCs w:val="20"/>
          <w:color w:val="auto"/>
        </w:rPr>
      </w:pPr>
    </w:p>
    <w:p>
      <w:pPr>
        <w:jc w:val="both"/>
        <w:ind w:right="220" w:firstLine="546"/>
        <w:spacing w:after="0" w:line="259"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Based upon such evaluation, management concluded that the design and operation of our disclosure controls and procedures were effective at a reasonable assurance level as of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December 31, 2019, that has materially affected, or is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right="320" w:firstLine="546"/>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2019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2019.</w:t>
      </w:r>
    </w:p>
    <w:p>
      <w:pPr>
        <w:spacing w:after="0" w:line="68" w:lineRule="exact"/>
        <w:rPr>
          <w:sz w:val="20"/>
          <w:szCs w:val="20"/>
          <w:color w:val="auto"/>
        </w:rPr>
      </w:pPr>
    </w:p>
    <w:p>
      <w:pPr>
        <w:ind w:right="520" w:firstLine="546"/>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on our internal control over financial reporting due to an exemption established by the JOBS Act for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3" w:name="page144"/>
    <w:bookmarkEnd w:id="143"/>
    <w:p>
      <w:pPr>
        <w:ind w:left="5260"/>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the Annual Meeting of Stockholders within 120 days after December 31, 2019, or the Proxy Statement, under the caption “Executive Officers” and “Board of Directors and Corporate Governance”, and is incorporated in this Annual Report on Form 10-K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caption “Executive Compensation” and is incorporated in this Annual Report on Form 10-K by reference.</w:t>
      </w:r>
    </w:p>
    <w:p>
      <w:pPr>
        <w:spacing w:after="0" w:line="16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right="600" w:firstLine="546"/>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caption “Security Ownership of Certain Beneficial Owners and Management” and is incorporated in this Annual Report on Form 10-K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PARTY TRANSACTIONS, AND DIRECTOR INDEPENDENCE</w:t>
      </w:r>
    </w:p>
    <w:p>
      <w:pPr>
        <w:spacing w:after="0" w:line="121"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caption “Related Person Transactions” and is incorporated in this Annual Report on Form 10-K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420" w:firstLine="546"/>
        <w:spacing w:after="0" w:line="277" w:lineRule="auto"/>
        <w:rPr>
          <w:sz w:val="20"/>
          <w:szCs w:val="20"/>
          <w:color w:val="auto"/>
        </w:rPr>
      </w:pPr>
      <w:r>
        <w:rPr>
          <w:rFonts w:ascii="Arial" w:cs="Arial" w:eastAsia="Arial" w:hAnsi="Arial"/>
          <w:sz w:val="18"/>
          <w:szCs w:val="18"/>
          <w:color w:val="auto"/>
        </w:rPr>
        <w:t>The information required by this item will be contained in the Proxy Statement under the caption “Ratification of Appointment of Independent Registered Public Accounting Firm” and is incorporated in this Annual Report on Form 10-K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800" w:hanging="246"/>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consolidated financial statements are filed as part of this report under Item 8.</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(2) FINANCIAL STATEMENT SCHEDULES</w:t>
      </w:r>
    </w:p>
    <w:p>
      <w:pPr>
        <w:spacing w:after="0" w:line="117"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All schedules to the consolidated financial statements are omitted as the required information is either inapplicable or presented in the consolidated financial statements.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(3) EXHIBITS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45" w:name="page146"/>
    <w:bookmarkEnd w:id="145"/>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Incorporated by Reference</w:t>
            </w: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7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vMerge w:val="restart"/>
          </w:tcPr>
          <w:p>
            <w:pPr>
              <w:spacing w:after="0"/>
              <w:rPr>
                <w:sz w:val="11"/>
                <w:szCs w:val="11"/>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1"/>
                <w:szCs w:val="11"/>
                <w:color w:val="auto"/>
              </w:rPr>
            </w:pPr>
          </w:p>
        </w:tc>
        <w:tc>
          <w:tcPr>
            <w:tcW w:w="1700" w:type="dxa"/>
            <w:vAlign w:val="bottom"/>
            <w:vMerge w:val="restart"/>
          </w:tcPr>
          <w:p>
            <w:pPr>
              <w:jc w:val="right"/>
              <w:ind w:right="522"/>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1"/>
                <w:szCs w:val="11"/>
                <w:color w:val="auto"/>
              </w:rPr>
            </w:pPr>
          </w:p>
        </w:tc>
        <w:tc>
          <w:tcPr>
            <w:tcW w:w="11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Exhibit</w:t>
            </w:r>
          </w:p>
        </w:tc>
        <w:tc>
          <w:tcPr>
            <w:tcW w:w="140" w:type="dxa"/>
            <w:vAlign w:val="bottom"/>
            <w:vMerge w:val="restart"/>
          </w:tcPr>
          <w:p>
            <w:pPr>
              <w:spacing w:after="0"/>
              <w:rPr>
                <w:sz w:val="11"/>
                <w:szCs w:val="11"/>
                <w:color w:val="auto"/>
              </w:rPr>
            </w:pPr>
          </w:p>
        </w:tc>
        <w:tc>
          <w:tcPr>
            <w:tcW w:w="142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160" w:type="dxa"/>
            <w:vAlign w:val="bottom"/>
          </w:tcPr>
          <w:p>
            <w:pPr>
              <w:jc w:val="right"/>
              <w:ind w:right="662"/>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4340" w:type="dxa"/>
            <w:vAlign w:val="bottom"/>
            <w:gridSpan w:val="4"/>
          </w:tcPr>
          <w:p>
            <w:pPr>
              <w:spacing w:after="0"/>
              <w:rPr>
                <w:rFonts w:ascii="Arial" w:cs="Arial" w:eastAsia="Arial" w:hAnsi="Arial"/>
                <w:sz w:val="18"/>
                <w:szCs w:val="18"/>
                <w:color w:val="0000EE"/>
              </w:rPr>
            </w:pPr>
            <w:hyperlink r:id="rId212">
              <w:r>
                <w:rPr>
                  <w:rFonts w:ascii="Arial" w:cs="Arial" w:eastAsia="Arial" w:hAnsi="Arial"/>
                  <w:sz w:val="18"/>
                  <w:szCs w:val="18"/>
                  <w:color w:val="0000EE"/>
                </w:rPr>
                <w:t>Amended and Restated Certificate of Incorporation of</w:t>
              </w:r>
            </w:hyperlink>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10-Q</w:t>
            </w:r>
          </w:p>
        </w:tc>
        <w:tc>
          <w:tcPr>
            <w:tcW w:w="1700" w:type="dxa"/>
            <w:vAlign w:val="bottom"/>
          </w:tcPr>
          <w:p>
            <w:pPr>
              <w:jc w:val="right"/>
              <w:ind w:right="762"/>
              <w:spacing w:after="0"/>
              <w:rPr>
                <w:sz w:val="20"/>
                <w:szCs w:val="20"/>
                <w:color w:val="auto"/>
              </w:rPr>
            </w:pPr>
            <w:r>
              <w:rPr>
                <w:rFonts w:ascii="Arial" w:cs="Arial" w:eastAsia="Arial" w:hAnsi="Arial"/>
                <w:sz w:val="18"/>
                <w:szCs w:val="18"/>
                <w:color w:val="auto"/>
                <w:w w:val="97"/>
              </w:rPr>
              <w:t>001-38682</w:t>
            </w:r>
          </w:p>
        </w:tc>
        <w:tc>
          <w:tcPr>
            <w:tcW w:w="80" w:type="dxa"/>
            <w:vAlign w:val="bottom"/>
          </w:tcPr>
          <w:p>
            <w:pPr>
              <w:spacing w:after="0"/>
              <w:rPr>
                <w:sz w:val="24"/>
                <w:szCs w:val="24"/>
                <w:color w:val="auto"/>
              </w:rPr>
            </w:pPr>
          </w:p>
        </w:tc>
        <w:tc>
          <w:tcPr>
            <w:tcW w:w="1120" w:type="dxa"/>
            <w:vAlign w:val="bottom"/>
          </w:tcPr>
          <w:p>
            <w:pPr>
              <w:jc w:val="right"/>
              <w:ind w:right="719"/>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420" w:type="dxa"/>
            <w:vAlign w:val="bottom"/>
          </w:tcPr>
          <w:p>
            <w:pPr>
              <w:jc w:val="right"/>
              <w:ind w:right="439"/>
              <w:spacing w:after="0"/>
              <w:rPr>
                <w:sz w:val="20"/>
                <w:szCs w:val="20"/>
                <w:color w:val="auto"/>
              </w:rPr>
            </w:pPr>
            <w:r>
              <w:rPr>
                <w:rFonts w:ascii="Arial" w:cs="Arial" w:eastAsia="Arial" w:hAnsi="Arial"/>
                <w:sz w:val="18"/>
                <w:szCs w:val="18"/>
                <w:color w:val="auto"/>
                <w:w w:val="97"/>
              </w:rPr>
              <w:t>11/16/2018</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Kodiak Sciences Inc.</w:t>
              </w:r>
            </w:hyperlink>
          </w:p>
        </w:tc>
        <w:tc>
          <w:tcPr>
            <w:tcW w:w="46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260"/>
          </w:cols>
          <w:pgMar w:left="320" w:top="337" w:right="319" w:bottom="1440" w:gutter="0" w:footer="0" w:header="0"/>
        </w:sectPr>
      </w:pPr>
    </w:p>
    <w:tbl>
      <w:tblPr>
        <w:tblLayout w:type="fixed"/>
        <w:tblInd w:w="180" w:type="dxa"/>
        <w:tblCellMar>
          <w:top w:w="0" w:type="dxa"/>
          <w:left w:w="0" w:type="dxa"/>
          <w:bottom w:w="0" w:type="dxa"/>
          <w:right w:w="0" w:type="dxa"/>
        </w:tblCellMar>
      </w:tblPr>
      <w:tr>
        <w:trPr>
          <w:trHeight w:val="207"/>
        </w:trPr>
        <w:tc>
          <w:tcPr>
            <w:tcW w:w="1060" w:type="dxa"/>
            <w:vAlign w:val="bottom"/>
          </w:tcPr>
          <w:p>
            <w:pPr>
              <w:jc w:val="right"/>
              <w:ind w:right="730"/>
              <w:spacing w:after="0"/>
              <w:rPr>
                <w:sz w:val="20"/>
                <w:szCs w:val="20"/>
                <w:color w:val="auto"/>
              </w:rPr>
            </w:pPr>
            <w:r>
              <w:rPr>
                <w:rFonts w:ascii="Arial" w:cs="Arial" w:eastAsia="Arial" w:hAnsi="Arial"/>
                <w:sz w:val="18"/>
                <w:szCs w:val="18"/>
                <w:color w:val="auto"/>
                <w:w w:val="87"/>
              </w:rPr>
              <w:t>3.2</w:t>
            </w:r>
          </w:p>
        </w:tc>
        <w:tc>
          <w:tcPr>
            <w:tcW w:w="4020" w:type="dxa"/>
            <w:vAlign w:val="bottom"/>
            <w:tcBorders>
              <w:bottom w:val="single" w:sz="8" w:color="0000EE"/>
            </w:tcBorders>
            <w:gridSpan w:val="4"/>
          </w:tcPr>
          <w:p>
            <w:pPr>
              <w:spacing w:after="0"/>
              <w:rPr>
                <w:rFonts w:ascii="Arial" w:cs="Arial" w:eastAsia="Arial" w:hAnsi="Arial"/>
                <w:sz w:val="18"/>
                <w:szCs w:val="18"/>
                <w:color w:val="0000EE"/>
                <w:w w:val="90"/>
              </w:rPr>
            </w:pPr>
            <w:hyperlink r:id="rId213">
              <w:r>
                <w:rPr>
                  <w:rFonts w:ascii="Arial" w:cs="Arial" w:eastAsia="Arial" w:hAnsi="Arial"/>
                  <w:sz w:val="18"/>
                  <w:szCs w:val="18"/>
                  <w:color w:val="0000EE"/>
                  <w:w w:val="90"/>
                </w:rPr>
                <w:t>Amended and Restated Bylaws of Kodiak Sciences Inc.</w:t>
              </w:r>
            </w:hyperlink>
          </w:p>
        </w:tc>
        <w:tc>
          <w:tcPr>
            <w:tcW w:w="180" w:type="dxa"/>
            <w:vAlign w:val="bottom"/>
          </w:tcPr>
          <w:p>
            <w:pPr>
              <w:spacing w:after="0"/>
              <w:rPr>
                <w:sz w:val="17"/>
                <w:szCs w:val="17"/>
                <w:color w:val="auto"/>
              </w:rPr>
            </w:pPr>
          </w:p>
        </w:tc>
      </w:tr>
      <w:tr>
        <w:trPr>
          <w:trHeight w:val="345"/>
        </w:trPr>
        <w:tc>
          <w:tcPr>
            <w:tcW w:w="1060" w:type="dxa"/>
            <w:vAlign w:val="bottom"/>
          </w:tcPr>
          <w:p>
            <w:pPr>
              <w:jc w:val="right"/>
              <w:ind w:right="730"/>
              <w:spacing w:after="0"/>
              <w:rPr>
                <w:sz w:val="20"/>
                <w:szCs w:val="20"/>
                <w:color w:val="auto"/>
              </w:rPr>
            </w:pPr>
            <w:r>
              <w:rPr>
                <w:rFonts w:ascii="Arial" w:cs="Arial" w:eastAsia="Arial" w:hAnsi="Arial"/>
                <w:sz w:val="18"/>
                <w:szCs w:val="18"/>
                <w:color w:val="auto"/>
                <w:w w:val="87"/>
              </w:rPr>
              <w:t>4.1</w:t>
            </w:r>
          </w:p>
        </w:tc>
        <w:tc>
          <w:tcPr>
            <w:tcW w:w="2560" w:type="dxa"/>
            <w:vAlign w:val="bottom"/>
            <w:tcBorders>
              <w:bottom w:val="single" w:sz="8" w:color="0000EE"/>
            </w:tcBorders>
            <w:gridSpan w:val="2"/>
          </w:tcPr>
          <w:p>
            <w:pPr>
              <w:spacing w:after="0"/>
              <w:rPr>
                <w:rFonts w:ascii="Arial" w:cs="Arial" w:eastAsia="Arial" w:hAnsi="Arial"/>
                <w:sz w:val="18"/>
                <w:szCs w:val="18"/>
                <w:color w:val="0000EE"/>
                <w:w w:val="91"/>
              </w:rPr>
            </w:pPr>
            <w:hyperlink r:id="rId214">
              <w:r>
                <w:rPr>
                  <w:rFonts w:ascii="Arial" w:cs="Arial" w:eastAsia="Arial" w:hAnsi="Arial"/>
                  <w:sz w:val="18"/>
                  <w:szCs w:val="18"/>
                  <w:color w:val="0000EE"/>
                  <w:w w:val="91"/>
                </w:rPr>
                <w:t>Form of Common Stock Certificate</w:t>
              </w:r>
            </w:hyperlink>
          </w:p>
        </w:tc>
        <w:tc>
          <w:tcPr>
            <w:tcW w:w="1640" w:type="dxa"/>
            <w:vAlign w:val="bottom"/>
            <w:gridSpan w:val="3"/>
          </w:tcPr>
          <w:p>
            <w:pPr>
              <w:spacing w:after="0"/>
              <w:rPr>
                <w:sz w:val="24"/>
                <w:szCs w:val="24"/>
                <w:color w:val="auto"/>
              </w:rPr>
            </w:pPr>
          </w:p>
        </w:tc>
      </w:tr>
      <w:tr>
        <w:trPr>
          <w:trHeight w:val="344"/>
        </w:trPr>
        <w:tc>
          <w:tcPr>
            <w:tcW w:w="1060" w:type="dxa"/>
            <w:vAlign w:val="bottom"/>
          </w:tcPr>
          <w:p>
            <w:pPr>
              <w:jc w:val="right"/>
              <w:ind w:right="730"/>
              <w:spacing w:after="0"/>
              <w:rPr>
                <w:sz w:val="20"/>
                <w:szCs w:val="20"/>
                <w:color w:val="auto"/>
              </w:rPr>
            </w:pPr>
            <w:r>
              <w:rPr>
                <w:rFonts w:ascii="Arial" w:cs="Arial" w:eastAsia="Arial" w:hAnsi="Arial"/>
                <w:sz w:val="18"/>
                <w:szCs w:val="18"/>
                <w:color w:val="auto"/>
                <w:w w:val="87"/>
              </w:rPr>
              <w:t>4.2</w:t>
            </w:r>
          </w:p>
        </w:tc>
        <w:tc>
          <w:tcPr>
            <w:tcW w:w="4200" w:type="dxa"/>
            <w:vAlign w:val="bottom"/>
            <w:tcBorders>
              <w:bottom w:val="single" w:sz="8" w:color="0000EE"/>
            </w:tcBorders>
            <w:gridSpan w:val="5"/>
          </w:tcPr>
          <w:p>
            <w:pPr>
              <w:spacing w:after="0"/>
              <w:rPr>
                <w:rFonts w:ascii="Arial" w:cs="Arial" w:eastAsia="Arial" w:hAnsi="Arial"/>
                <w:sz w:val="18"/>
                <w:szCs w:val="18"/>
                <w:color w:val="0000EE"/>
                <w:w w:val="89"/>
              </w:rPr>
            </w:pPr>
            <w:hyperlink r:id="rId215">
              <w:r>
                <w:rPr>
                  <w:rFonts w:ascii="Arial" w:cs="Arial" w:eastAsia="Arial" w:hAnsi="Arial"/>
                  <w:sz w:val="18"/>
                  <w:szCs w:val="18"/>
                  <w:color w:val="0000EE"/>
                  <w:w w:val="89"/>
                </w:rPr>
                <w:t>Investors’ Rights Agreement, dated September 8, 2015, as</w:t>
              </w:r>
            </w:hyperlink>
          </w:p>
        </w:tc>
      </w:tr>
      <w:tr>
        <w:trPr>
          <w:trHeight w:val="196"/>
        </w:trPr>
        <w:tc>
          <w:tcPr>
            <w:tcW w:w="1060" w:type="dxa"/>
            <w:vAlign w:val="bottom"/>
          </w:tcPr>
          <w:p>
            <w:pPr>
              <w:spacing w:after="0"/>
              <w:rPr>
                <w:sz w:val="17"/>
                <w:szCs w:val="17"/>
                <w:color w:val="auto"/>
              </w:rPr>
            </w:pPr>
          </w:p>
        </w:tc>
        <w:tc>
          <w:tcPr>
            <w:tcW w:w="4200" w:type="dxa"/>
            <w:vAlign w:val="bottom"/>
            <w:gridSpan w:val="5"/>
          </w:tcPr>
          <w:p>
            <w:pPr>
              <w:spacing w:after="0" w:line="196"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amended, by and among the registrant and the investors</w:t>
              </w:r>
            </w:hyperlink>
          </w:p>
        </w:tc>
      </w:tr>
      <w:tr>
        <w:trPr>
          <w:trHeight w:val="196"/>
        </w:trPr>
        <w:tc>
          <w:tcPr>
            <w:tcW w:w="1060" w:type="dxa"/>
            <w:vAlign w:val="bottom"/>
          </w:tcPr>
          <w:p>
            <w:pPr>
              <w:spacing w:after="0"/>
              <w:rPr>
                <w:sz w:val="17"/>
                <w:szCs w:val="17"/>
                <w:color w:val="auto"/>
              </w:rPr>
            </w:pPr>
          </w:p>
        </w:tc>
        <w:tc>
          <w:tcPr>
            <w:tcW w:w="20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r:id="rId215">
              <w:r>
                <w:rPr>
                  <w:rFonts w:ascii="Arial" w:cs="Arial" w:eastAsia="Arial" w:hAnsi="Arial"/>
                  <w:sz w:val="18"/>
                  <w:szCs w:val="18"/>
                  <w:color w:val="0000EE"/>
                  <w:w w:val="87"/>
                </w:rPr>
                <w:t>and founders named therein</w:t>
              </w:r>
            </w:hyperlink>
          </w:p>
        </w:tc>
        <w:tc>
          <w:tcPr>
            <w:tcW w:w="2000" w:type="dxa"/>
            <w:vAlign w:val="bottom"/>
            <w:tcBorders>
              <w:top w:val="single" w:sz="8" w:color="0000EE"/>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10-Q</w:t>
            </w:r>
          </w:p>
        </w:tc>
        <w:tc>
          <w:tcPr>
            <w:tcW w:w="1720" w:type="dxa"/>
            <w:vAlign w:val="bottom"/>
          </w:tcPr>
          <w:p>
            <w:pPr>
              <w:ind w:left="380"/>
              <w:spacing w:after="0"/>
              <w:rPr>
                <w:sz w:val="20"/>
                <w:szCs w:val="20"/>
                <w:color w:val="auto"/>
              </w:rPr>
            </w:pPr>
            <w:r>
              <w:rPr>
                <w:rFonts w:ascii="Arial" w:cs="Arial" w:eastAsia="Arial" w:hAnsi="Arial"/>
                <w:sz w:val="18"/>
                <w:szCs w:val="18"/>
                <w:color w:val="auto"/>
              </w:rPr>
              <w:t>001-38682</w:t>
            </w: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3.2</w:t>
            </w:r>
          </w:p>
        </w:tc>
        <w:tc>
          <w:tcPr>
            <w:tcW w:w="1340" w:type="dxa"/>
            <w:vAlign w:val="bottom"/>
          </w:tcPr>
          <w:p>
            <w:pPr>
              <w:ind w:left="520"/>
              <w:spacing w:after="0"/>
              <w:rPr>
                <w:sz w:val="20"/>
                <w:szCs w:val="20"/>
                <w:color w:val="auto"/>
              </w:rPr>
            </w:pPr>
            <w:r>
              <w:rPr>
                <w:rFonts w:ascii="Arial" w:cs="Arial" w:eastAsia="Arial" w:hAnsi="Arial"/>
                <w:sz w:val="18"/>
                <w:szCs w:val="18"/>
                <w:color w:val="auto"/>
                <w:w w:val="88"/>
              </w:rPr>
              <w:t>11/16/2018</w:t>
            </w:r>
          </w:p>
        </w:tc>
      </w:tr>
      <w:tr>
        <w:trPr>
          <w:trHeight w:val="365"/>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ind w:left="380"/>
              <w:spacing w:after="0"/>
              <w:rPr>
                <w:sz w:val="20"/>
                <w:szCs w:val="20"/>
                <w:color w:val="auto"/>
              </w:rPr>
            </w:pPr>
            <w:r>
              <w:rPr>
                <w:rFonts w:ascii="Arial" w:cs="Arial" w:eastAsia="Arial" w:hAnsi="Arial"/>
                <w:sz w:val="18"/>
                <w:szCs w:val="18"/>
                <w:color w:val="auto"/>
              </w:rPr>
              <w:t>333-227237</w:t>
            </w: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4.1</w:t>
            </w:r>
          </w:p>
        </w:tc>
        <w:tc>
          <w:tcPr>
            <w:tcW w:w="1340" w:type="dxa"/>
            <w:vAlign w:val="bottom"/>
          </w:tcPr>
          <w:p>
            <w:pPr>
              <w:ind w:left="520"/>
              <w:spacing w:after="0"/>
              <w:rPr>
                <w:sz w:val="20"/>
                <w:szCs w:val="20"/>
                <w:color w:val="auto"/>
              </w:rPr>
            </w:pPr>
            <w:r>
              <w:rPr>
                <w:rFonts w:ascii="Arial" w:cs="Arial" w:eastAsia="Arial" w:hAnsi="Arial"/>
                <w:sz w:val="18"/>
                <w:szCs w:val="18"/>
                <w:color w:val="auto"/>
                <w:w w:val="99"/>
              </w:rPr>
              <w:t>9/24/2018</w:t>
            </w:r>
          </w:p>
        </w:tc>
      </w:tr>
      <w:tr>
        <w:trPr>
          <w:trHeight w:val="364"/>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ind w:left="380"/>
              <w:spacing w:after="0"/>
              <w:rPr>
                <w:sz w:val="20"/>
                <w:szCs w:val="20"/>
                <w:color w:val="auto"/>
              </w:rPr>
            </w:pPr>
            <w:r>
              <w:rPr>
                <w:rFonts w:ascii="Arial" w:cs="Arial" w:eastAsia="Arial" w:hAnsi="Arial"/>
                <w:sz w:val="18"/>
                <w:szCs w:val="18"/>
                <w:color w:val="auto"/>
              </w:rPr>
              <w:t>333-227237</w:t>
            </w: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4.2</w:t>
            </w:r>
          </w:p>
        </w:tc>
        <w:tc>
          <w:tcPr>
            <w:tcW w:w="1340" w:type="dxa"/>
            <w:vAlign w:val="bottom"/>
          </w:tcPr>
          <w:p>
            <w:pPr>
              <w:ind w:left="520"/>
              <w:spacing w:after="0"/>
              <w:rPr>
                <w:sz w:val="20"/>
                <w:szCs w:val="20"/>
                <w:color w:val="auto"/>
              </w:rPr>
            </w:pPr>
            <w:r>
              <w:rPr>
                <w:rFonts w:ascii="Arial" w:cs="Arial" w:eastAsia="Arial" w:hAnsi="Arial"/>
                <w:sz w:val="18"/>
                <w:szCs w:val="18"/>
                <w:color w:val="auto"/>
                <w:w w:val="99"/>
              </w:rPr>
              <w:t>9/24/2018</w:t>
            </w:r>
          </w:p>
        </w:tc>
      </w:tr>
    </w:tbl>
    <w:p>
      <w:pPr>
        <w:spacing w:after="0" w:line="562" w:lineRule="exact"/>
        <w:rPr>
          <w:sz w:val="20"/>
          <w:szCs w:val="20"/>
          <w:color w:val="auto"/>
        </w:rPr>
      </w:pPr>
    </w:p>
    <w:p>
      <w:pPr>
        <w:sectPr>
          <w:pgSz w:w="11900" w:h="16838" w:orient="portrait"/>
          <w:cols w:equalWidth="0" w:num="2">
            <w:col w:w="5440" w:space="220"/>
            <w:col w:w="5600"/>
          </w:cols>
          <w:pgMar w:left="320" w:top="337" w:right="319" w:bottom="1440" w:gutter="0" w:footer="0" w:header="0"/>
          <w:type w:val="continuous"/>
        </w:sectPr>
      </w:pPr>
    </w:p>
    <w:tbl>
      <w:tblPr>
        <w:tblLayout w:type="fixed"/>
        <w:tblInd w:w="100" w:type="dxa"/>
        <w:tblCellMar>
          <w:top w:w="0" w:type="dxa"/>
          <w:left w:w="0" w:type="dxa"/>
          <w:bottom w:w="0" w:type="dxa"/>
          <w:right w:w="0" w:type="dxa"/>
        </w:tblCellMar>
      </w:tblPr>
      <w:tr>
        <w:trPr>
          <w:trHeight w:val="207"/>
        </w:trPr>
        <w:tc>
          <w:tcPr>
            <w:tcW w:w="1140" w:type="dxa"/>
            <w:vAlign w:val="bottom"/>
          </w:tcPr>
          <w:p>
            <w:pPr>
              <w:ind w:left="80"/>
              <w:spacing w:after="0"/>
              <w:rPr>
                <w:sz w:val="20"/>
                <w:szCs w:val="20"/>
                <w:color w:val="auto"/>
              </w:rPr>
            </w:pPr>
            <w:r>
              <w:rPr>
                <w:rFonts w:ascii="Arial" w:cs="Arial" w:eastAsia="Arial" w:hAnsi="Arial"/>
                <w:sz w:val="18"/>
                <w:szCs w:val="18"/>
                <w:color w:val="auto"/>
              </w:rPr>
              <w:t>4.5</w:t>
            </w:r>
          </w:p>
        </w:tc>
        <w:tc>
          <w:tcPr>
            <w:tcW w:w="2260" w:type="dxa"/>
            <w:vAlign w:val="bottom"/>
            <w:tcBorders>
              <w:bottom w:val="single" w:sz="8" w:color="0000EE"/>
            </w:tcBorders>
            <w:gridSpan w:val="5"/>
          </w:tcPr>
          <w:p>
            <w:pPr>
              <w:spacing w:after="0"/>
              <w:rPr>
                <w:rFonts w:ascii="Arial" w:cs="Arial" w:eastAsia="Arial" w:hAnsi="Arial"/>
                <w:sz w:val="18"/>
                <w:szCs w:val="18"/>
                <w:color w:val="0000EE"/>
                <w:w w:val="89"/>
              </w:rPr>
            </w:pPr>
            <w:hyperlink r:id="rId216">
              <w:r>
                <w:rPr>
                  <w:rFonts w:ascii="Arial" w:cs="Arial" w:eastAsia="Arial" w:hAnsi="Arial"/>
                  <w:sz w:val="18"/>
                  <w:szCs w:val="18"/>
                  <w:color w:val="0000EE"/>
                  <w:w w:val="89"/>
                </w:rPr>
                <w:t>Form of Class B Share Warrant</w:t>
              </w:r>
            </w:hyperlink>
          </w:p>
        </w:tc>
        <w:tc>
          <w:tcPr>
            <w:tcW w:w="1880" w:type="dxa"/>
            <w:vAlign w:val="bottom"/>
            <w:gridSpan w:val="4"/>
          </w:tcPr>
          <w:p>
            <w:pPr>
              <w:spacing w:after="0"/>
              <w:rPr>
                <w:sz w:val="17"/>
                <w:szCs w:val="17"/>
                <w:color w:val="auto"/>
              </w:rPr>
            </w:pPr>
          </w:p>
        </w:tc>
      </w:tr>
      <w:tr>
        <w:trPr>
          <w:trHeight w:val="344"/>
        </w:trPr>
        <w:tc>
          <w:tcPr>
            <w:tcW w:w="1140" w:type="dxa"/>
            <w:vAlign w:val="bottom"/>
          </w:tcPr>
          <w:p>
            <w:pPr>
              <w:ind w:left="80"/>
              <w:spacing w:after="0"/>
              <w:rPr>
                <w:sz w:val="20"/>
                <w:szCs w:val="20"/>
                <w:color w:val="auto"/>
              </w:rPr>
            </w:pPr>
            <w:r>
              <w:rPr>
                <w:rFonts w:ascii="Arial" w:cs="Arial" w:eastAsia="Arial" w:hAnsi="Arial"/>
                <w:sz w:val="18"/>
                <w:szCs w:val="18"/>
                <w:color w:val="auto"/>
              </w:rPr>
              <w:t>4.6*</w:t>
            </w:r>
          </w:p>
        </w:tc>
        <w:tc>
          <w:tcPr>
            <w:tcW w:w="4140" w:type="dxa"/>
            <w:vAlign w:val="bottom"/>
            <w:gridSpan w:val="9"/>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Description of Securities</w:t>
              </w:r>
            </w:hyperlink>
          </w:p>
        </w:tc>
      </w:tr>
      <w:tr>
        <w:trPr>
          <w:trHeight w:val="20"/>
        </w:trPr>
        <w:tc>
          <w:tcPr>
            <w:tcW w:w="1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4"/>
        </w:trPr>
        <w:tc>
          <w:tcPr>
            <w:tcW w:w="1140" w:type="dxa"/>
            <w:vAlign w:val="bottom"/>
          </w:tcPr>
          <w:p>
            <w:pPr>
              <w:jc w:val="right"/>
              <w:ind w:right="630"/>
              <w:spacing w:after="0"/>
              <w:rPr>
                <w:sz w:val="20"/>
                <w:szCs w:val="20"/>
                <w:color w:val="auto"/>
              </w:rPr>
            </w:pPr>
            <w:r>
              <w:rPr>
                <w:rFonts w:ascii="Arial" w:cs="Arial" w:eastAsia="Arial" w:hAnsi="Arial"/>
                <w:sz w:val="18"/>
                <w:szCs w:val="18"/>
                <w:color w:val="auto"/>
                <w:w w:val="87"/>
              </w:rPr>
              <w:t>10.1+</w:t>
            </w:r>
          </w:p>
        </w:tc>
        <w:tc>
          <w:tcPr>
            <w:tcW w:w="4140" w:type="dxa"/>
            <w:vAlign w:val="bottom"/>
            <w:tcBorders>
              <w:bottom w:val="single" w:sz="8" w:color="0000EE"/>
            </w:tcBorders>
            <w:gridSpan w:val="9"/>
          </w:tcPr>
          <w:p>
            <w:pPr>
              <w:spacing w:after="0"/>
              <w:rPr>
                <w:rFonts w:ascii="Arial" w:cs="Arial" w:eastAsia="Arial" w:hAnsi="Arial"/>
                <w:sz w:val="18"/>
                <w:szCs w:val="18"/>
                <w:color w:val="0000EE"/>
                <w:w w:val="93"/>
              </w:rPr>
            </w:pPr>
            <w:hyperlink r:id="rId217">
              <w:r>
                <w:rPr>
                  <w:rFonts w:ascii="Arial" w:cs="Arial" w:eastAsia="Arial" w:hAnsi="Arial"/>
                  <w:sz w:val="18"/>
                  <w:szCs w:val="18"/>
                  <w:color w:val="0000EE"/>
                  <w:w w:val="93"/>
                </w:rPr>
                <w:t>Form of Director and Officer Indemnification Agreement</w:t>
              </w:r>
            </w:hyperlink>
          </w:p>
        </w:tc>
      </w:tr>
      <w:tr>
        <w:trPr>
          <w:trHeight w:val="344"/>
        </w:trPr>
        <w:tc>
          <w:tcPr>
            <w:tcW w:w="1140" w:type="dxa"/>
            <w:vAlign w:val="bottom"/>
          </w:tcPr>
          <w:p>
            <w:pPr>
              <w:jc w:val="right"/>
              <w:ind w:right="630"/>
              <w:spacing w:after="0"/>
              <w:rPr>
                <w:sz w:val="20"/>
                <w:szCs w:val="20"/>
                <w:color w:val="auto"/>
              </w:rPr>
            </w:pPr>
            <w:r>
              <w:rPr>
                <w:rFonts w:ascii="Arial" w:cs="Arial" w:eastAsia="Arial" w:hAnsi="Arial"/>
                <w:sz w:val="18"/>
                <w:szCs w:val="18"/>
                <w:color w:val="auto"/>
                <w:w w:val="87"/>
              </w:rPr>
              <w:t>10.2+</w:t>
            </w:r>
          </w:p>
        </w:tc>
        <w:tc>
          <w:tcPr>
            <w:tcW w:w="380" w:type="dxa"/>
            <w:vAlign w:val="bottom"/>
            <w:tcBorders>
              <w:bottom w:val="single" w:sz="8" w:color="0000EE"/>
            </w:tcBorders>
            <w:gridSpan w:val="2"/>
          </w:tcPr>
          <w:p>
            <w:pPr>
              <w:spacing w:after="0"/>
              <w:rPr>
                <w:rFonts w:ascii="Arial" w:cs="Arial" w:eastAsia="Arial" w:hAnsi="Arial"/>
                <w:sz w:val="18"/>
                <w:szCs w:val="18"/>
                <w:color w:val="0000EE"/>
                <w:w w:val="89"/>
              </w:rPr>
            </w:pPr>
            <w:hyperlink r:id="rId218">
              <w:r>
                <w:rPr>
                  <w:rFonts w:ascii="Arial" w:cs="Arial" w:eastAsia="Arial" w:hAnsi="Arial"/>
                  <w:sz w:val="18"/>
                  <w:szCs w:val="18"/>
                  <w:color w:val="0000EE"/>
                  <w:w w:val="89"/>
                </w:rPr>
                <w:t>2009</w:t>
              </w:r>
            </w:hyperlink>
          </w:p>
        </w:tc>
        <w:tc>
          <w:tcPr>
            <w:tcW w:w="2380" w:type="dxa"/>
            <w:vAlign w:val="bottom"/>
            <w:tcBorders>
              <w:bottom w:val="single" w:sz="8" w:color="0000EE"/>
            </w:tcBorders>
            <w:gridSpan w:val="4"/>
          </w:tcPr>
          <w:p>
            <w:pPr>
              <w:ind w:left="20"/>
              <w:spacing w:after="0"/>
              <w:rPr>
                <w:rFonts w:ascii="Arial" w:cs="Arial" w:eastAsia="Arial" w:hAnsi="Arial"/>
                <w:sz w:val="18"/>
                <w:szCs w:val="18"/>
                <w:color w:val="0000EE"/>
                <w:w w:val="90"/>
              </w:rPr>
            </w:pPr>
            <w:hyperlink r:id="rId218">
              <w:r>
                <w:rPr>
                  <w:rFonts w:ascii="Arial" w:cs="Arial" w:eastAsia="Arial" w:hAnsi="Arial"/>
                  <w:sz w:val="18"/>
                  <w:szCs w:val="18"/>
                  <w:color w:val="0000EE"/>
                  <w:w w:val="90"/>
                </w:rPr>
                <w:t>Options and Profits Interest Plan</w:t>
              </w:r>
            </w:hyperlink>
          </w:p>
        </w:tc>
        <w:tc>
          <w:tcPr>
            <w:tcW w:w="1380" w:type="dxa"/>
            <w:vAlign w:val="bottom"/>
            <w:gridSpan w:val="3"/>
          </w:tcPr>
          <w:p>
            <w:pPr>
              <w:spacing w:after="0"/>
              <w:rPr>
                <w:sz w:val="24"/>
                <w:szCs w:val="24"/>
                <w:color w:val="auto"/>
              </w:rPr>
            </w:pPr>
          </w:p>
        </w:tc>
      </w:tr>
      <w:tr>
        <w:trPr>
          <w:trHeight w:val="345"/>
        </w:trPr>
        <w:tc>
          <w:tcPr>
            <w:tcW w:w="1140" w:type="dxa"/>
            <w:vAlign w:val="bottom"/>
          </w:tcPr>
          <w:p>
            <w:pPr>
              <w:jc w:val="right"/>
              <w:ind w:right="630"/>
              <w:spacing w:after="0"/>
              <w:rPr>
                <w:sz w:val="20"/>
                <w:szCs w:val="20"/>
                <w:color w:val="auto"/>
              </w:rPr>
            </w:pPr>
            <w:r>
              <w:rPr>
                <w:rFonts w:ascii="Arial" w:cs="Arial" w:eastAsia="Arial" w:hAnsi="Arial"/>
                <w:sz w:val="18"/>
                <w:szCs w:val="18"/>
                <w:color w:val="auto"/>
                <w:w w:val="87"/>
              </w:rPr>
              <w:t>10.3+</w:t>
            </w:r>
          </w:p>
        </w:tc>
        <w:tc>
          <w:tcPr>
            <w:tcW w:w="380" w:type="dxa"/>
            <w:vAlign w:val="bottom"/>
            <w:tcBorders>
              <w:bottom w:val="single" w:sz="8" w:color="0000EE"/>
            </w:tcBorders>
            <w:gridSpan w:val="2"/>
          </w:tcPr>
          <w:p>
            <w:pPr>
              <w:spacing w:after="0"/>
              <w:rPr>
                <w:rFonts w:ascii="Arial" w:cs="Arial" w:eastAsia="Arial" w:hAnsi="Arial"/>
                <w:sz w:val="18"/>
                <w:szCs w:val="18"/>
                <w:color w:val="0000EE"/>
                <w:w w:val="89"/>
              </w:rPr>
            </w:pPr>
            <w:hyperlink r:id="rId219">
              <w:r>
                <w:rPr>
                  <w:rFonts w:ascii="Arial" w:cs="Arial" w:eastAsia="Arial" w:hAnsi="Arial"/>
                  <w:sz w:val="18"/>
                  <w:szCs w:val="18"/>
                  <w:color w:val="0000EE"/>
                  <w:w w:val="89"/>
                </w:rPr>
                <w:t>2015</w:t>
              </w:r>
            </w:hyperlink>
          </w:p>
        </w:tc>
        <w:tc>
          <w:tcPr>
            <w:tcW w:w="1520" w:type="dxa"/>
            <w:vAlign w:val="bottom"/>
            <w:tcBorders>
              <w:bottom w:val="single" w:sz="8" w:color="0000EE"/>
            </w:tcBorders>
            <w:gridSpan w:val="2"/>
          </w:tcPr>
          <w:p>
            <w:pPr>
              <w:ind w:left="20"/>
              <w:spacing w:after="0"/>
              <w:rPr>
                <w:rFonts w:ascii="Arial" w:cs="Arial" w:eastAsia="Arial" w:hAnsi="Arial"/>
                <w:sz w:val="18"/>
                <w:szCs w:val="18"/>
                <w:color w:val="0000EE"/>
                <w:w w:val="89"/>
              </w:rPr>
            </w:pPr>
            <w:hyperlink r:id="rId219">
              <w:r>
                <w:rPr>
                  <w:rFonts w:ascii="Arial" w:cs="Arial" w:eastAsia="Arial" w:hAnsi="Arial"/>
                  <w:sz w:val="18"/>
                  <w:szCs w:val="18"/>
                  <w:color w:val="0000EE"/>
                  <w:w w:val="89"/>
                </w:rPr>
                <w:t>Share Incentive Plan</w:t>
              </w:r>
            </w:hyperlink>
          </w:p>
        </w:tc>
        <w:tc>
          <w:tcPr>
            <w:tcW w:w="2240" w:type="dxa"/>
            <w:vAlign w:val="bottom"/>
            <w:gridSpan w:val="5"/>
          </w:tcPr>
          <w:p>
            <w:pPr>
              <w:spacing w:after="0"/>
              <w:rPr>
                <w:sz w:val="24"/>
                <w:szCs w:val="24"/>
                <w:color w:val="auto"/>
              </w:rPr>
            </w:pPr>
          </w:p>
        </w:tc>
      </w:tr>
      <w:tr>
        <w:trPr>
          <w:trHeight w:val="345"/>
        </w:trPr>
        <w:tc>
          <w:tcPr>
            <w:tcW w:w="1140" w:type="dxa"/>
            <w:vAlign w:val="bottom"/>
          </w:tcPr>
          <w:p>
            <w:pPr>
              <w:jc w:val="right"/>
              <w:ind w:right="630"/>
              <w:spacing w:after="0"/>
              <w:rPr>
                <w:sz w:val="20"/>
                <w:szCs w:val="20"/>
                <w:color w:val="auto"/>
              </w:rPr>
            </w:pPr>
            <w:r>
              <w:rPr>
                <w:rFonts w:ascii="Arial" w:cs="Arial" w:eastAsia="Arial" w:hAnsi="Arial"/>
                <w:sz w:val="18"/>
                <w:szCs w:val="18"/>
                <w:color w:val="auto"/>
                <w:w w:val="87"/>
              </w:rPr>
              <w:t>10.4+</w:t>
            </w:r>
          </w:p>
        </w:tc>
        <w:tc>
          <w:tcPr>
            <w:tcW w:w="4060" w:type="dxa"/>
            <w:vAlign w:val="bottom"/>
            <w:tcBorders>
              <w:bottom w:val="single" w:sz="8" w:color="0000EE"/>
            </w:tcBorders>
            <w:gridSpan w:val="8"/>
          </w:tcPr>
          <w:p>
            <w:pPr>
              <w:spacing w:after="0"/>
              <w:rPr>
                <w:rFonts w:ascii="Arial" w:cs="Arial" w:eastAsia="Arial" w:hAnsi="Arial"/>
                <w:sz w:val="18"/>
                <w:szCs w:val="18"/>
                <w:color w:val="0000EE"/>
                <w:w w:val="91"/>
              </w:rPr>
            </w:pPr>
            <w:hyperlink r:id="rId220">
              <w:r>
                <w:rPr>
                  <w:rFonts w:ascii="Arial" w:cs="Arial" w:eastAsia="Arial" w:hAnsi="Arial"/>
                  <w:sz w:val="18"/>
                  <w:szCs w:val="18"/>
                  <w:color w:val="0000EE"/>
                  <w:w w:val="91"/>
                </w:rPr>
                <w:t>Form of Notice of Stock Option Grant and Stock Option</w:t>
              </w:r>
            </w:hyperlink>
          </w:p>
        </w:tc>
        <w:tc>
          <w:tcPr>
            <w:tcW w:w="8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140" w:type="dxa"/>
            <w:vAlign w:val="bottom"/>
            <w:gridSpan w:val="9"/>
          </w:tcPr>
          <w:p>
            <w:pPr>
              <w:spacing w:after="0" w:line="196" w:lineRule="exact"/>
              <w:rPr>
                <w:rFonts w:ascii="Arial" w:cs="Arial" w:eastAsia="Arial" w:hAnsi="Arial"/>
                <w:sz w:val="18"/>
                <w:szCs w:val="18"/>
                <w:color w:val="0000EE"/>
                <w:w w:val="96"/>
              </w:rPr>
            </w:pPr>
            <w:hyperlink r:id="rId220">
              <w:r>
                <w:rPr>
                  <w:rFonts w:ascii="Arial" w:cs="Arial" w:eastAsia="Arial" w:hAnsi="Arial"/>
                  <w:sz w:val="18"/>
                  <w:szCs w:val="18"/>
                  <w:color w:val="0000EE"/>
                  <w:w w:val="96"/>
                </w:rPr>
                <w:t>Agreement under the 2009 Option and Profits Interest</w:t>
              </w:r>
            </w:hyperlink>
          </w:p>
        </w:tc>
      </w:tr>
      <w:tr>
        <w:trPr>
          <w:trHeight w:val="196"/>
        </w:trPr>
        <w:tc>
          <w:tcPr>
            <w:tcW w:w="1140" w:type="dxa"/>
            <w:vAlign w:val="bottom"/>
          </w:tcPr>
          <w:p>
            <w:pPr>
              <w:spacing w:after="0"/>
              <w:rPr>
                <w:sz w:val="17"/>
                <w:szCs w:val="17"/>
                <w:color w:val="auto"/>
              </w:rPr>
            </w:pPr>
          </w:p>
        </w:tc>
        <w:tc>
          <w:tcPr>
            <w:tcW w:w="3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r:id="rId220">
              <w:r>
                <w:rPr>
                  <w:rFonts w:ascii="Arial" w:cs="Arial" w:eastAsia="Arial" w:hAnsi="Arial"/>
                  <w:sz w:val="18"/>
                  <w:szCs w:val="18"/>
                  <w:color w:val="0000EE"/>
                  <w:w w:val="83"/>
                </w:rPr>
                <w:t>Plan</w:t>
              </w:r>
            </w:hyperlink>
          </w:p>
        </w:tc>
        <w:tc>
          <w:tcPr>
            <w:tcW w:w="6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40" w:type="dxa"/>
            <w:vAlign w:val="bottom"/>
          </w:tcPr>
          <w:p>
            <w:pPr>
              <w:ind w:left="440"/>
              <w:spacing w:after="0"/>
              <w:rPr>
                <w:sz w:val="20"/>
                <w:szCs w:val="20"/>
                <w:color w:val="auto"/>
              </w:rPr>
            </w:pPr>
            <w:r>
              <w:rPr>
                <w:rFonts w:ascii="Arial" w:cs="Arial" w:eastAsia="Arial" w:hAnsi="Arial"/>
                <w:sz w:val="18"/>
                <w:szCs w:val="18"/>
                <w:color w:val="auto"/>
              </w:rPr>
              <w:t>4.5</w:t>
            </w:r>
          </w:p>
        </w:tc>
        <w:tc>
          <w:tcPr>
            <w:tcW w:w="1200" w:type="dxa"/>
            <w:vAlign w:val="bottom"/>
          </w:tcPr>
          <w:p>
            <w:pPr>
              <w:ind w:left="460"/>
              <w:spacing w:after="0"/>
              <w:rPr>
                <w:sz w:val="20"/>
                <w:szCs w:val="20"/>
                <w:color w:val="auto"/>
              </w:rPr>
            </w:pPr>
            <w:r>
              <w:rPr>
                <w:rFonts w:ascii="Arial" w:cs="Arial" w:eastAsia="Arial" w:hAnsi="Arial"/>
                <w:sz w:val="18"/>
                <w:szCs w:val="18"/>
                <w:color w:val="auto"/>
              </w:rPr>
              <w:t>9/7/2018</w:t>
            </w:r>
          </w:p>
        </w:tc>
      </w:tr>
      <w:tr>
        <w:trPr>
          <w:trHeight w:val="729"/>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40" w:type="dxa"/>
            <w:vAlign w:val="bottom"/>
          </w:tcPr>
          <w:p>
            <w:pPr>
              <w:ind w:left="440"/>
              <w:spacing w:after="0"/>
              <w:rPr>
                <w:sz w:val="20"/>
                <w:szCs w:val="20"/>
                <w:color w:val="auto"/>
              </w:rPr>
            </w:pPr>
            <w:r>
              <w:rPr>
                <w:rFonts w:ascii="Arial" w:cs="Arial" w:eastAsia="Arial" w:hAnsi="Arial"/>
                <w:sz w:val="18"/>
                <w:szCs w:val="18"/>
                <w:color w:val="auto"/>
              </w:rPr>
              <w:t>10.1</w:t>
            </w:r>
          </w:p>
        </w:tc>
        <w:tc>
          <w:tcPr>
            <w:tcW w:w="1200" w:type="dxa"/>
            <w:vAlign w:val="bottom"/>
          </w:tcPr>
          <w:p>
            <w:pPr>
              <w:ind w:left="460"/>
              <w:spacing w:after="0"/>
              <w:rPr>
                <w:sz w:val="20"/>
                <w:szCs w:val="20"/>
                <w:color w:val="auto"/>
              </w:rPr>
            </w:pPr>
            <w:r>
              <w:rPr>
                <w:rFonts w:ascii="Arial" w:cs="Arial" w:eastAsia="Arial" w:hAnsi="Arial"/>
                <w:sz w:val="18"/>
                <w:szCs w:val="18"/>
                <w:color w:val="auto"/>
                <w:w w:val="89"/>
              </w:rPr>
              <w:t>9/24/2018</w:t>
            </w:r>
          </w:p>
        </w:tc>
      </w:tr>
      <w:tr>
        <w:trPr>
          <w:trHeight w:val="365"/>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40" w:type="dxa"/>
            <w:vAlign w:val="bottom"/>
          </w:tcPr>
          <w:p>
            <w:pPr>
              <w:ind w:left="440"/>
              <w:spacing w:after="0"/>
              <w:rPr>
                <w:sz w:val="20"/>
                <w:szCs w:val="20"/>
                <w:color w:val="auto"/>
              </w:rPr>
            </w:pPr>
            <w:r>
              <w:rPr>
                <w:rFonts w:ascii="Arial" w:cs="Arial" w:eastAsia="Arial" w:hAnsi="Arial"/>
                <w:sz w:val="18"/>
                <w:szCs w:val="18"/>
                <w:color w:val="auto"/>
              </w:rPr>
              <w:t>10.2</w:t>
            </w:r>
          </w:p>
        </w:tc>
        <w:tc>
          <w:tcPr>
            <w:tcW w:w="1200" w:type="dxa"/>
            <w:vAlign w:val="bottom"/>
          </w:tcPr>
          <w:p>
            <w:pPr>
              <w:ind w:left="460"/>
              <w:spacing w:after="0"/>
              <w:rPr>
                <w:sz w:val="20"/>
                <w:szCs w:val="20"/>
                <w:color w:val="auto"/>
              </w:rPr>
            </w:pPr>
            <w:r>
              <w:rPr>
                <w:rFonts w:ascii="Arial" w:cs="Arial" w:eastAsia="Arial" w:hAnsi="Arial"/>
                <w:sz w:val="18"/>
                <w:szCs w:val="18"/>
                <w:color w:val="auto"/>
              </w:rPr>
              <w:t>9/7/2018</w:t>
            </w:r>
          </w:p>
        </w:tc>
      </w:tr>
      <w:tr>
        <w:trPr>
          <w:trHeight w:val="364"/>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40" w:type="dxa"/>
            <w:vAlign w:val="bottom"/>
          </w:tcPr>
          <w:p>
            <w:pPr>
              <w:ind w:left="440"/>
              <w:spacing w:after="0"/>
              <w:rPr>
                <w:sz w:val="20"/>
                <w:szCs w:val="20"/>
                <w:color w:val="auto"/>
              </w:rPr>
            </w:pPr>
            <w:r>
              <w:rPr>
                <w:rFonts w:ascii="Arial" w:cs="Arial" w:eastAsia="Arial" w:hAnsi="Arial"/>
                <w:sz w:val="18"/>
                <w:szCs w:val="18"/>
                <w:color w:val="auto"/>
              </w:rPr>
              <w:t>10.3</w:t>
            </w:r>
          </w:p>
        </w:tc>
        <w:tc>
          <w:tcPr>
            <w:tcW w:w="1200" w:type="dxa"/>
            <w:vAlign w:val="bottom"/>
          </w:tcPr>
          <w:p>
            <w:pPr>
              <w:ind w:left="460"/>
              <w:spacing w:after="0"/>
              <w:rPr>
                <w:sz w:val="20"/>
                <w:szCs w:val="20"/>
                <w:color w:val="auto"/>
              </w:rPr>
            </w:pPr>
            <w:r>
              <w:rPr>
                <w:rFonts w:ascii="Arial" w:cs="Arial" w:eastAsia="Arial" w:hAnsi="Arial"/>
                <w:sz w:val="18"/>
                <w:szCs w:val="18"/>
                <w:color w:val="auto"/>
              </w:rPr>
              <w:t>9/7/2018</w:t>
            </w:r>
          </w:p>
        </w:tc>
      </w:tr>
      <w:tr>
        <w:trPr>
          <w:trHeight w:val="364"/>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40" w:type="dxa"/>
            <w:vAlign w:val="bottom"/>
          </w:tcPr>
          <w:p>
            <w:pPr>
              <w:ind w:left="440"/>
              <w:spacing w:after="0"/>
              <w:rPr>
                <w:sz w:val="20"/>
                <w:szCs w:val="20"/>
                <w:color w:val="auto"/>
              </w:rPr>
            </w:pPr>
            <w:r>
              <w:rPr>
                <w:rFonts w:ascii="Arial" w:cs="Arial" w:eastAsia="Arial" w:hAnsi="Arial"/>
                <w:sz w:val="18"/>
                <w:szCs w:val="18"/>
                <w:color w:val="auto"/>
              </w:rPr>
              <w:t>10.4</w:t>
            </w:r>
          </w:p>
        </w:tc>
        <w:tc>
          <w:tcPr>
            <w:tcW w:w="1200" w:type="dxa"/>
            <w:vAlign w:val="bottom"/>
          </w:tcPr>
          <w:p>
            <w:pPr>
              <w:ind w:left="460"/>
              <w:spacing w:after="0"/>
              <w:rPr>
                <w:sz w:val="20"/>
                <w:szCs w:val="20"/>
                <w:color w:val="auto"/>
              </w:rPr>
            </w:pPr>
            <w:r>
              <w:rPr>
                <w:rFonts w:ascii="Arial" w:cs="Arial" w:eastAsia="Arial" w:hAnsi="Arial"/>
                <w:sz w:val="18"/>
                <w:szCs w:val="18"/>
                <w:color w:val="auto"/>
              </w:rPr>
              <w:t>9/7/2018</w:t>
            </w:r>
          </w:p>
        </w:tc>
      </w:tr>
    </w:tbl>
    <w:p>
      <w:pPr>
        <w:spacing w:after="0" w:line="562" w:lineRule="exact"/>
        <w:rPr>
          <w:sz w:val="20"/>
          <w:szCs w:val="20"/>
          <w:color w:val="auto"/>
        </w:rPr>
      </w:pPr>
    </w:p>
    <w:p>
      <w:pPr>
        <w:sectPr>
          <w:pgSz w:w="11900" w:h="16838" w:orient="portrait"/>
          <w:cols w:equalWidth="0" w:num="2">
            <w:col w:w="5380" w:space="280"/>
            <w:col w:w="5600"/>
          </w:cols>
          <w:pgMar w:left="320" w:top="337" w:right="319" w:bottom="1440" w:gutter="0" w:footer="0" w:header="0"/>
          <w:type w:val="continuous"/>
        </w:sectPr>
      </w:pPr>
    </w:p>
    <w:tbl>
      <w:tblPr>
        <w:tblLayout w:type="fixed"/>
        <w:tblInd w:w="100" w:type="dxa"/>
        <w:tblCellMar>
          <w:top w:w="0" w:type="dxa"/>
          <w:left w:w="0" w:type="dxa"/>
          <w:bottom w:w="0" w:type="dxa"/>
          <w:right w:w="0" w:type="dxa"/>
        </w:tblCellMar>
      </w:tblPr>
      <w:tr>
        <w:trPr>
          <w:trHeight w:val="207"/>
        </w:trPr>
        <w:tc>
          <w:tcPr>
            <w:tcW w:w="1140" w:type="dxa"/>
            <w:vAlign w:val="bottom"/>
          </w:tcPr>
          <w:p>
            <w:pPr>
              <w:jc w:val="right"/>
              <w:ind w:right="630"/>
              <w:spacing w:after="0"/>
              <w:rPr>
                <w:sz w:val="20"/>
                <w:szCs w:val="20"/>
                <w:color w:val="auto"/>
              </w:rPr>
            </w:pPr>
            <w:r>
              <w:rPr>
                <w:rFonts w:ascii="Arial" w:cs="Arial" w:eastAsia="Arial" w:hAnsi="Arial"/>
                <w:sz w:val="18"/>
                <w:szCs w:val="18"/>
                <w:color w:val="auto"/>
                <w:w w:val="87"/>
              </w:rPr>
              <w:t>10.5+</w:t>
            </w:r>
          </w:p>
        </w:tc>
        <w:tc>
          <w:tcPr>
            <w:tcW w:w="4080" w:type="dxa"/>
            <w:vAlign w:val="bottom"/>
            <w:tcBorders>
              <w:bottom w:val="single" w:sz="8" w:color="0000EE"/>
            </w:tcBorders>
            <w:gridSpan w:val="5"/>
          </w:tcPr>
          <w:p>
            <w:pPr>
              <w:spacing w:after="0"/>
              <w:rPr>
                <w:rFonts w:ascii="Arial" w:cs="Arial" w:eastAsia="Arial" w:hAnsi="Arial"/>
                <w:sz w:val="18"/>
                <w:szCs w:val="18"/>
                <w:color w:val="0000EE"/>
                <w:w w:val="92"/>
              </w:rPr>
            </w:pPr>
            <w:hyperlink r:id="rId221">
              <w:r>
                <w:rPr>
                  <w:rFonts w:ascii="Arial" w:cs="Arial" w:eastAsia="Arial" w:hAnsi="Arial"/>
                  <w:sz w:val="18"/>
                  <w:szCs w:val="18"/>
                  <w:color w:val="0000EE"/>
                  <w:w w:val="92"/>
                </w:rPr>
                <w:t>Form of Notice of Stock Option Grant and Stock Option</w:t>
              </w:r>
            </w:hyperlink>
          </w:p>
        </w:tc>
        <w:tc>
          <w:tcPr>
            <w:tcW w:w="6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221">
              <w:r>
                <w:rPr>
                  <w:rFonts w:ascii="Arial" w:cs="Arial" w:eastAsia="Arial" w:hAnsi="Arial"/>
                  <w:sz w:val="18"/>
                  <w:szCs w:val="18"/>
                  <w:color w:val="0000EE"/>
                  <w:w w:val="89"/>
                </w:rPr>
                <w:t>Agreement under the 2015 Share Incentive Plan</w:t>
              </w:r>
            </w:hyperlink>
          </w:p>
        </w:tc>
        <w:tc>
          <w:tcPr>
            <w:tcW w:w="680" w:type="dxa"/>
            <w:vAlign w:val="bottom"/>
            <w:gridSpan w:val="4"/>
          </w:tcPr>
          <w:p>
            <w:pPr>
              <w:spacing w:after="0"/>
              <w:rPr>
                <w:sz w:val="17"/>
                <w:szCs w:val="17"/>
                <w:color w:val="auto"/>
              </w:rPr>
            </w:pPr>
          </w:p>
        </w:tc>
      </w:tr>
      <w:tr>
        <w:trPr>
          <w:trHeight w:val="344"/>
        </w:trPr>
        <w:tc>
          <w:tcPr>
            <w:tcW w:w="1140" w:type="dxa"/>
            <w:vAlign w:val="bottom"/>
          </w:tcPr>
          <w:p>
            <w:pPr>
              <w:jc w:val="right"/>
              <w:ind w:right="630"/>
              <w:spacing w:after="0"/>
              <w:rPr>
                <w:sz w:val="20"/>
                <w:szCs w:val="20"/>
                <w:color w:val="auto"/>
              </w:rPr>
            </w:pPr>
            <w:r>
              <w:rPr>
                <w:rFonts w:ascii="Arial" w:cs="Arial" w:eastAsia="Arial" w:hAnsi="Arial"/>
                <w:sz w:val="18"/>
                <w:szCs w:val="18"/>
                <w:color w:val="auto"/>
                <w:w w:val="87"/>
              </w:rPr>
              <w:t>10.6+</w:t>
            </w:r>
          </w:p>
        </w:tc>
        <w:tc>
          <w:tcPr>
            <w:tcW w:w="4140" w:type="dxa"/>
            <w:vAlign w:val="bottom"/>
            <w:gridSpan w:val="6"/>
          </w:tcPr>
          <w:p>
            <w:pPr>
              <w:spacing w:after="0"/>
              <w:rPr>
                <w:rFonts w:ascii="Arial" w:cs="Arial" w:eastAsia="Arial" w:hAnsi="Arial"/>
                <w:sz w:val="18"/>
                <w:szCs w:val="18"/>
                <w:color w:val="0000EE"/>
              </w:rPr>
            </w:pPr>
            <w:hyperlink r:id="rId222">
              <w:r>
                <w:rPr>
                  <w:rFonts w:ascii="Arial" w:cs="Arial" w:eastAsia="Arial" w:hAnsi="Arial"/>
                  <w:sz w:val="18"/>
                  <w:szCs w:val="18"/>
                  <w:color w:val="0000EE"/>
                </w:rPr>
                <w:t>2018 Equity Incentive Plan</w:t>
              </w:r>
            </w:hyperlink>
          </w:p>
        </w:tc>
      </w:tr>
      <w:tr>
        <w:trPr>
          <w:trHeight w:val="20"/>
        </w:trPr>
        <w:tc>
          <w:tcPr>
            <w:tcW w:w="11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5"/>
        </w:trPr>
        <w:tc>
          <w:tcPr>
            <w:tcW w:w="1140" w:type="dxa"/>
            <w:vAlign w:val="bottom"/>
          </w:tcPr>
          <w:p>
            <w:pPr>
              <w:jc w:val="right"/>
              <w:ind w:right="630"/>
              <w:spacing w:after="0"/>
              <w:rPr>
                <w:sz w:val="20"/>
                <w:szCs w:val="20"/>
                <w:color w:val="auto"/>
              </w:rPr>
            </w:pPr>
            <w:r>
              <w:rPr>
                <w:rFonts w:ascii="Arial" w:cs="Arial" w:eastAsia="Arial" w:hAnsi="Arial"/>
                <w:sz w:val="18"/>
                <w:szCs w:val="18"/>
                <w:color w:val="auto"/>
                <w:w w:val="87"/>
              </w:rPr>
              <w:t>10.7+</w:t>
            </w:r>
          </w:p>
        </w:tc>
        <w:tc>
          <w:tcPr>
            <w:tcW w:w="4080" w:type="dxa"/>
            <w:vAlign w:val="bottom"/>
            <w:tcBorders>
              <w:bottom w:val="single" w:sz="8" w:color="0000EE"/>
            </w:tcBorders>
            <w:gridSpan w:val="5"/>
          </w:tcPr>
          <w:p>
            <w:pPr>
              <w:spacing w:after="0"/>
              <w:rPr>
                <w:rFonts w:ascii="Arial" w:cs="Arial" w:eastAsia="Arial" w:hAnsi="Arial"/>
                <w:sz w:val="18"/>
                <w:szCs w:val="18"/>
                <w:color w:val="0000EE"/>
                <w:w w:val="92"/>
              </w:rPr>
            </w:pPr>
            <w:hyperlink r:id="rId223">
              <w:r>
                <w:rPr>
                  <w:rFonts w:ascii="Arial" w:cs="Arial" w:eastAsia="Arial" w:hAnsi="Arial"/>
                  <w:sz w:val="18"/>
                  <w:szCs w:val="18"/>
                  <w:color w:val="0000EE"/>
                  <w:w w:val="92"/>
                </w:rPr>
                <w:t>Form of Notice of Stock Option Grant and Stock Option</w:t>
              </w:r>
            </w:hyperlink>
          </w:p>
        </w:tc>
        <w:tc>
          <w:tcPr>
            <w:tcW w:w="6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140" w:type="dxa"/>
            <w:vAlign w:val="bottom"/>
            <w:gridSpan w:val="6"/>
          </w:tcPr>
          <w:p>
            <w:pPr>
              <w:spacing w:after="0" w:line="196" w:lineRule="exact"/>
              <w:rPr>
                <w:rFonts w:ascii="Arial" w:cs="Arial" w:eastAsia="Arial" w:hAnsi="Arial"/>
                <w:sz w:val="18"/>
                <w:szCs w:val="18"/>
                <w:color w:val="0000EE"/>
              </w:rPr>
            </w:pPr>
            <w:hyperlink r:id="rId223">
              <w:r>
                <w:rPr>
                  <w:rFonts w:ascii="Arial" w:cs="Arial" w:eastAsia="Arial" w:hAnsi="Arial"/>
                  <w:sz w:val="18"/>
                  <w:szCs w:val="18"/>
                  <w:color w:val="0000EE"/>
                </w:rPr>
                <w:t>Agreement under the 2018 Equity Incentive Plan</w:t>
              </w:r>
            </w:hyperlink>
          </w:p>
        </w:tc>
      </w:tr>
      <w:tr>
        <w:trPr>
          <w:trHeight w:val="20"/>
        </w:trPr>
        <w:tc>
          <w:tcPr>
            <w:tcW w:w="1140" w:type="dxa"/>
            <w:vAlign w:val="bottom"/>
          </w:tcPr>
          <w:p>
            <w:pPr>
              <w:spacing w:after="0" w:line="20" w:lineRule="exact"/>
              <w:rPr>
                <w:sz w:val="1"/>
                <w:szCs w:val="1"/>
                <w:color w:val="auto"/>
              </w:rPr>
            </w:pPr>
          </w:p>
        </w:tc>
        <w:tc>
          <w:tcPr>
            <w:tcW w:w="352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45"/>
        </w:trPr>
        <w:tc>
          <w:tcPr>
            <w:tcW w:w="1140" w:type="dxa"/>
            <w:vAlign w:val="bottom"/>
          </w:tcPr>
          <w:p>
            <w:pPr>
              <w:jc w:val="right"/>
              <w:ind w:right="630"/>
              <w:spacing w:after="0"/>
              <w:rPr>
                <w:sz w:val="20"/>
                <w:szCs w:val="20"/>
                <w:color w:val="auto"/>
              </w:rPr>
            </w:pPr>
            <w:r>
              <w:rPr>
                <w:rFonts w:ascii="Arial" w:cs="Arial" w:eastAsia="Arial" w:hAnsi="Arial"/>
                <w:sz w:val="18"/>
                <w:szCs w:val="18"/>
                <w:color w:val="auto"/>
                <w:w w:val="87"/>
              </w:rPr>
              <w:t>10.8+</w:t>
            </w:r>
          </w:p>
        </w:tc>
        <w:tc>
          <w:tcPr>
            <w:tcW w:w="4140" w:type="dxa"/>
            <w:vAlign w:val="bottom"/>
            <w:tcBorders>
              <w:bottom w:val="single" w:sz="8" w:color="0000EE"/>
            </w:tcBorders>
            <w:gridSpan w:val="6"/>
          </w:tcPr>
          <w:p>
            <w:pPr>
              <w:spacing w:after="0"/>
              <w:rPr>
                <w:rFonts w:ascii="Arial" w:cs="Arial" w:eastAsia="Arial" w:hAnsi="Arial"/>
                <w:sz w:val="18"/>
                <w:szCs w:val="18"/>
                <w:color w:val="0000EE"/>
                <w:w w:val="91"/>
              </w:rPr>
            </w:pPr>
            <w:hyperlink r:id="rId224">
              <w:r>
                <w:rPr>
                  <w:rFonts w:ascii="Arial" w:cs="Arial" w:eastAsia="Arial" w:hAnsi="Arial"/>
                  <w:sz w:val="18"/>
                  <w:szCs w:val="18"/>
                  <w:color w:val="0000EE"/>
                  <w:w w:val="91"/>
                </w:rPr>
                <w:t>Form of Notice of Restricted Stock Unit Grant and Terms</w:t>
              </w:r>
            </w:hyperlink>
          </w:p>
        </w:tc>
      </w:tr>
      <w:tr>
        <w:trPr>
          <w:trHeight w:val="196"/>
        </w:trPr>
        <w:tc>
          <w:tcPr>
            <w:tcW w:w="1140" w:type="dxa"/>
            <w:vAlign w:val="bottom"/>
          </w:tcPr>
          <w:p>
            <w:pPr>
              <w:spacing w:after="0"/>
              <w:rPr>
                <w:sz w:val="17"/>
                <w:szCs w:val="17"/>
                <w:color w:val="auto"/>
              </w:rPr>
            </w:pPr>
          </w:p>
        </w:tc>
        <w:tc>
          <w:tcPr>
            <w:tcW w:w="40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224">
              <w:r>
                <w:rPr>
                  <w:rFonts w:ascii="Arial" w:cs="Arial" w:eastAsia="Arial" w:hAnsi="Arial"/>
                  <w:sz w:val="18"/>
                  <w:szCs w:val="18"/>
                  <w:color w:val="0000EE"/>
                  <w:w w:val="90"/>
                </w:rPr>
                <w:t>and Conditions of Restricted Stock Unit Grant under the</w:t>
              </w:r>
            </w:hyperlink>
          </w:p>
        </w:tc>
        <w:tc>
          <w:tcPr>
            <w:tcW w:w="80" w:type="dxa"/>
            <w:vAlign w:val="bottom"/>
            <w:gridSpan w:val="2"/>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140" w:type="dxa"/>
            <w:vAlign w:val="bottom"/>
            <w:gridSpan w:val="6"/>
          </w:tcPr>
          <w:p>
            <w:pPr>
              <w:spacing w:after="0" w:line="196" w:lineRule="exact"/>
              <w:rPr>
                <w:rFonts w:ascii="Arial" w:cs="Arial" w:eastAsia="Arial" w:hAnsi="Arial"/>
                <w:sz w:val="18"/>
                <w:szCs w:val="18"/>
                <w:color w:val="0000EE"/>
              </w:rPr>
            </w:pPr>
            <w:hyperlink r:id="rId224">
              <w:r>
                <w:rPr>
                  <w:rFonts w:ascii="Arial" w:cs="Arial" w:eastAsia="Arial" w:hAnsi="Arial"/>
                  <w:sz w:val="18"/>
                  <w:szCs w:val="18"/>
                  <w:color w:val="0000EE"/>
                </w:rPr>
                <w:t>2018 Equity Incentive Plan</w:t>
              </w:r>
            </w:hyperlink>
          </w:p>
        </w:tc>
      </w:tr>
      <w:tr>
        <w:trPr>
          <w:trHeight w:val="20"/>
        </w:trPr>
        <w:tc>
          <w:tcPr>
            <w:tcW w:w="11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S-1</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10.5</w:t>
            </w:r>
          </w:p>
        </w:tc>
        <w:tc>
          <w:tcPr>
            <w:tcW w:w="1200" w:type="dxa"/>
            <w:vAlign w:val="bottom"/>
          </w:tcPr>
          <w:p>
            <w:pPr>
              <w:ind w:left="460"/>
              <w:spacing w:after="0"/>
              <w:rPr>
                <w:sz w:val="20"/>
                <w:szCs w:val="20"/>
                <w:color w:val="auto"/>
              </w:rPr>
            </w:pPr>
            <w:r>
              <w:rPr>
                <w:rFonts w:ascii="Arial" w:cs="Arial" w:eastAsia="Arial" w:hAnsi="Arial"/>
                <w:sz w:val="18"/>
                <w:szCs w:val="18"/>
                <w:color w:val="auto"/>
              </w:rPr>
              <w:t>9/7/2018</w:t>
            </w:r>
          </w:p>
        </w:tc>
      </w:tr>
      <w:tr>
        <w:trPr>
          <w:trHeight w:val="580"/>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10.6</w:t>
            </w:r>
          </w:p>
        </w:tc>
        <w:tc>
          <w:tcPr>
            <w:tcW w:w="1200" w:type="dxa"/>
            <w:vAlign w:val="bottom"/>
          </w:tcPr>
          <w:p>
            <w:pPr>
              <w:ind w:left="460"/>
              <w:spacing w:after="0"/>
              <w:rPr>
                <w:sz w:val="20"/>
                <w:szCs w:val="20"/>
                <w:color w:val="auto"/>
              </w:rPr>
            </w:pPr>
            <w:r>
              <w:rPr>
                <w:rFonts w:ascii="Arial" w:cs="Arial" w:eastAsia="Arial" w:hAnsi="Arial"/>
                <w:sz w:val="18"/>
                <w:szCs w:val="18"/>
                <w:color w:val="auto"/>
                <w:w w:val="89"/>
              </w:rPr>
              <w:t>9/24/2018</w:t>
            </w:r>
          </w:p>
        </w:tc>
      </w:tr>
      <w:tr>
        <w:trPr>
          <w:trHeight w:val="365"/>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10.7</w:t>
            </w:r>
          </w:p>
        </w:tc>
        <w:tc>
          <w:tcPr>
            <w:tcW w:w="1200" w:type="dxa"/>
            <w:vAlign w:val="bottom"/>
          </w:tcPr>
          <w:p>
            <w:pPr>
              <w:ind w:left="460"/>
              <w:spacing w:after="0"/>
              <w:rPr>
                <w:sz w:val="20"/>
                <w:szCs w:val="20"/>
                <w:color w:val="auto"/>
              </w:rPr>
            </w:pPr>
            <w:r>
              <w:rPr>
                <w:rFonts w:ascii="Arial" w:cs="Arial" w:eastAsia="Arial" w:hAnsi="Arial"/>
                <w:sz w:val="18"/>
                <w:szCs w:val="18"/>
                <w:color w:val="auto"/>
                <w:w w:val="89"/>
              </w:rPr>
              <w:t>9/24/2018</w:t>
            </w:r>
          </w:p>
        </w:tc>
      </w:tr>
      <w:tr>
        <w:trPr>
          <w:trHeight w:val="580"/>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40" w:type="dxa"/>
            <w:vAlign w:val="bottom"/>
          </w:tcPr>
          <w:p>
            <w:pPr>
              <w:jc w:val="right"/>
              <w:ind w:right="390"/>
              <w:spacing w:after="0"/>
              <w:rPr>
                <w:sz w:val="20"/>
                <w:szCs w:val="20"/>
                <w:color w:val="auto"/>
              </w:rPr>
            </w:pPr>
            <w:r>
              <w:rPr>
                <w:rFonts w:ascii="Arial" w:cs="Arial" w:eastAsia="Arial" w:hAnsi="Arial"/>
                <w:sz w:val="18"/>
                <w:szCs w:val="18"/>
                <w:color w:val="auto"/>
              </w:rPr>
              <w:t>10.8</w:t>
            </w:r>
          </w:p>
        </w:tc>
        <w:tc>
          <w:tcPr>
            <w:tcW w:w="1200" w:type="dxa"/>
            <w:vAlign w:val="bottom"/>
          </w:tcPr>
          <w:p>
            <w:pPr>
              <w:ind w:left="460"/>
              <w:spacing w:after="0"/>
              <w:rPr>
                <w:sz w:val="20"/>
                <w:szCs w:val="20"/>
                <w:color w:val="auto"/>
              </w:rPr>
            </w:pPr>
            <w:r>
              <w:rPr>
                <w:rFonts w:ascii="Arial" w:cs="Arial" w:eastAsia="Arial" w:hAnsi="Arial"/>
                <w:sz w:val="18"/>
                <w:szCs w:val="18"/>
                <w:color w:val="auto"/>
                <w:w w:val="89"/>
              </w:rPr>
              <w:t>9/24/2018</w:t>
            </w:r>
          </w:p>
        </w:tc>
      </w:tr>
    </w:tbl>
    <w:p>
      <w:pPr>
        <w:spacing w:after="0" w:line="562" w:lineRule="exact"/>
        <w:rPr>
          <w:sz w:val="20"/>
          <w:szCs w:val="20"/>
          <w:color w:val="auto"/>
        </w:rPr>
      </w:pPr>
    </w:p>
    <w:p>
      <w:pPr>
        <w:sectPr>
          <w:pgSz w:w="11900" w:h="16838" w:orient="portrait"/>
          <w:cols w:equalWidth="0" w:num="2">
            <w:col w:w="5380" w:space="280"/>
            <w:col w:w="5600"/>
          </w:cols>
          <w:pgMar w:left="320" w:top="337" w:right="319" w:bottom="1440" w:gutter="0" w:footer="0" w:header="0"/>
          <w:type w:val="continuous"/>
        </w:sectPr>
      </w:pPr>
    </w:p>
    <w:tbl>
      <w:tblPr>
        <w:tblLayout w:type="fixed"/>
        <w:tblInd w:w="10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3960" w:type="dxa"/>
            <w:vAlign w:val="bottom"/>
            <w:gridSpan w:val="4"/>
          </w:tcPr>
          <w:p>
            <w:pPr>
              <w:spacing w:after="0"/>
              <w:rPr>
                <w:rFonts w:ascii="Arial" w:cs="Arial" w:eastAsia="Arial" w:hAnsi="Arial"/>
                <w:sz w:val="18"/>
                <w:szCs w:val="18"/>
                <w:color w:val="0000EE"/>
              </w:rPr>
            </w:pPr>
            <w:hyperlink r:id="rId225">
              <w:r>
                <w:rPr>
                  <w:rFonts w:ascii="Arial" w:cs="Arial" w:eastAsia="Arial" w:hAnsi="Arial"/>
                  <w:sz w:val="18"/>
                  <w:szCs w:val="18"/>
                  <w:color w:val="0000EE"/>
                </w:rPr>
                <w:t>2018 Employee Stock Purchase Plan</w:t>
              </w:r>
            </w:hyperlink>
          </w:p>
        </w:tc>
        <w:tc>
          <w:tcPr>
            <w:tcW w:w="1280" w:type="dxa"/>
            <w:vAlign w:val="bottom"/>
          </w:tcPr>
          <w:p>
            <w:pPr>
              <w:ind w:left="460"/>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80" w:type="dxa"/>
            <w:vAlign w:val="bottom"/>
          </w:tcPr>
          <w:p>
            <w:pPr>
              <w:ind w:left="440"/>
              <w:spacing w:after="0"/>
              <w:rPr>
                <w:sz w:val="20"/>
                <w:szCs w:val="20"/>
                <w:color w:val="auto"/>
              </w:rPr>
            </w:pPr>
            <w:r>
              <w:rPr>
                <w:rFonts w:ascii="Arial" w:cs="Arial" w:eastAsia="Arial" w:hAnsi="Arial"/>
                <w:sz w:val="18"/>
                <w:szCs w:val="18"/>
                <w:color w:val="auto"/>
              </w:rPr>
              <w:t>10.9</w:t>
            </w:r>
          </w:p>
        </w:tc>
        <w:tc>
          <w:tcPr>
            <w:tcW w:w="1160" w:type="dxa"/>
            <w:vAlign w:val="bottom"/>
          </w:tcPr>
          <w:p>
            <w:pPr>
              <w:jc w:val="right"/>
              <w:spacing w:after="0"/>
              <w:rPr>
                <w:sz w:val="20"/>
                <w:szCs w:val="20"/>
                <w:color w:val="auto"/>
              </w:rPr>
            </w:pPr>
            <w:r>
              <w:rPr>
                <w:rFonts w:ascii="Arial" w:cs="Arial" w:eastAsia="Arial" w:hAnsi="Arial"/>
                <w:sz w:val="18"/>
                <w:szCs w:val="18"/>
                <w:color w:val="auto"/>
              </w:rPr>
              <w:t>9/24/2018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vMerge w:val="restart"/>
          </w:tcPr>
          <w:p>
            <w:pPr>
              <w:ind w:left="460"/>
              <w:spacing w:after="0"/>
              <w:rPr>
                <w:sz w:val="20"/>
                <w:szCs w:val="20"/>
                <w:color w:val="auto"/>
              </w:rPr>
            </w:pPr>
            <w:r>
              <w:rPr>
                <w:rFonts w:ascii="Arial" w:cs="Arial" w:eastAsia="Arial" w:hAnsi="Arial"/>
                <w:sz w:val="18"/>
                <w:szCs w:val="18"/>
                <w:color w:val="auto"/>
              </w:rPr>
              <w:t>S-1/A</w:t>
            </w:r>
          </w:p>
        </w:tc>
        <w:tc>
          <w:tcPr>
            <w:tcW w:w="1720" w:type="dxa"/>
            <w:vAlign w:val="bottom"/>
            <w:vMerge w:val="restart"/>
          </w:tcPr>
          <w:p>
            <w:pPr>
              <w:jc w:val="right"/>
              <w:ind w:right="370"/>
              <w:spacing w:after="0"/>
              <w:rPr>
                <w:sz w:val="20"/>
                <w:szCs w:val="20"/>
                <w:color w:val="auto"/>
              </w:rPr>
            </w:pPr>
            <w:r>
              <w:rPr>
                <w:rFonts w:ascii="Arial" w:cs="Arial" w:eastAsia="Arial" w:hAnsi="Arial"/>
                <w:sz w:val="18"/>
                <w:szCs w:val="18"/>
                <w:color w:val="auto"/>
              </w:rPr>
              <w:t>333-227237</w:t>
            </w:r>
          </w:p>
        </w:tc>
        <w:tc>
          <w:tcPr>
            <w:tcW w:w="1280" w:type="dxa"/>
            <w:vAlign w:val="bottom"/>
            <w:vMerge w:val="restart"/>
          </w:tcPr>
          <w:p>
            <w:pPr>
              <w:ind w:left="440"/>
              <w:spacing w:after="0"/>
              <w:rPr>
                <w:sz w:val="20"/>
                <w:szCs w:val="20"/>
                <w:color w:val="auto"/>
              </w:rPr>
            </w:pPr>
            <w:r>
              <w:rPr>
                <w:rFonts w:ascii="Arial" w:cs="Arial" w:eastAsia="Arial" w:hAnsi="Arial"/>
                <w:sz w:val="18"/>
                <w:szCs w:val="18"/>
                <w:color w:val="auto"/>
              </w:rPr>
              <w:t>10.10</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9/24/2018</w:t>
            </w:r>
          </w:p>
        </w:tc>
        <w:tc>
          <w:tcPr>
            <w:tcW w:w="0" w:type="dxa"/>
            <w:vAlign w:val="bottom"/>
          </w:tcPr>
          <w:p>
            <w:pPr>
              <w:spacing w:after="0" w:line="20" w:lineRule="exact"/>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3960" w:type="dxa"/>
            <w:vAlign w:val="bottom"/>
            <w:gridSpan w:val="4"/>
          </w:tcPr>
          <w:p>
            <w:pPr>
              <w:spacing w:after="0"/>
              <w:rPr>
                <w:rFonts w:ascii="Arial" w:cs="Arial" w:eastAsia="Arial" w:hAnsi="Arial"/>
                <w:sz w:val="18"/>
                <w:szCs w:val="18"/>
                <w:color w:val="0000EE"/>
              </w:rPr>
            </w:pPr>
            <w:hyperlink r:id="rId226">
              <w:r>
                <w:rPr>
                  <w:rFonts w:ascii="Arial" w:cs="Arial" w:eastAsia="Arial" w:hAnsi="Arial"/>
                  <w:sz w:val="18"/>
                  <w:szCs w:val="18"/>
                  <w:color w:val="0000EE"/>
                </w:rPr>
                <w:t>Form of Subscription Agreement under the 2018</w:t>
              </w:r>
            </w:hyperlink>
          </w:p>
        </w:tc>
        <w:tc>
          <w:tcPr>
            <w:tcW w:w="128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5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226">
              <w:r>
                <w:rPr>
                  <w:rFonts w:ascii="Arial" w:cs="Arial" w:eastAsia="Arial" w:hAnsi="Arial"/>
                  <w:sz w:val="18"/>
                  <w:szCs w:val="18"/>
                  <w:color w:val="0000EE"/>
                </w:rPr>
                <w:t>Employee Stock Purchase Plan</w:t>
              </w:r>
            </w:hyperlink>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260"/>
          </w:cols>
          <w:pgMar w:left="320" w:top="337" w:right="319" w:bottom="1440" w:gutter="0" w:footer="0" w:header="0"/>
          <w:type w:val="continuous"/>
        </w:sectPr>
      </w:pPr>
    </w:p>
    <w:tbl>
      <w:tblPr>
        <w:tblLayout w:type="fixed"/>
        <w:tblInd w:w="100" w:type="dxa"/>
        <w:tblCellMar>
          <w:top w:w="0" w:type="dxa"/>
          <w:left w:w="0" w:type="dxa"/>
          <w:bottom w:w="0" w:type="dxa"/>
          <w:right w:w="0" w:type="dxa"/>
        </w:tblCellMar>
      </w:tblPr>
      <w:tr>
        <w:trPr>
          <w:trHeight w:val="207"/>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86"/>
              </w:rPr>
              <w:t>10.11+</w:t>
            </w:r>
          </w:p>
        </w:tc>
        <w:tc>
          <w:tcPr>
            <w:tcW w:w="4200" w:type="dxa"/>
            <w:vAlign w:val="bottom"/>
            <w:gridSpan w:val="7"/>
          </w:tcPr>
          <w:p>
            <w:pPr>
              <w:spacing w:after="0"/>
              <w:rPr>
                <w:rFonts w:ascii="Arial" w:cs="Arial" w:eastAsia="Arial" w:hAnsi="Arial"/>
                <w:sz w:val="18"/>
                <w:szCs w:val="18"/>
                <w:color w:val="0000EE"/>
              </w:rPr>
            </w:pPr>
            <w:hyperlink r:id="rId227">
              <w:r>
                <w:rPr>
                  <w:rFonts w:ascii="Arial" w:cs="Arial" w:eastAsia="Arial" w:hAnsi="Arial"/>
                  <w:sz w:val="18"/>
                  <w:szCs w:val="18"/>
                  <w:color w:val="0000EE"/>
                </w:rPr>
                <w:t>Executive Employment Agreement, effective as of</w:t>
              </w:r>
            </w:hyperlink>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4200" w:type="dxa"/>
            <w:vAlign w:val="bottom"/>
            <w:gridSpan w:val="7"/>
          </w:tcPr>
          <w:p>
            <w:pPr>
              <w:spacing w:after="0" w:line="196" w:lineRule="exact"/>
              <w:rPr>
                <w:rFonts w:ascii="Arial" w:cs="Arial" w:eastAsia="Arial" w:hAnsi="Arial"/>
                <w:sz w:val="18"/>
                <w:szCs w:val="18"/>
                <w:color w:val="0000EE"/>
                <w:w w:val="96"/>
              </w:rPr>
            </w:pPr>
            <w:hyperlink r:id="rId227">
              <w:r>
                <w:rPr>
                  <w:rFonts w:ascii="Arial" w:cs="Arial" w:eastAsia="Arial" w:hAnsi="Arial"/>
                  <w:sz w:val="18"/>
                  <w:szCs w:val="18"/>
                  <w:color w:val="0000EE"/>
                  <w:w w:val="96"/>
                </w:rPr>
                <w:t>September 6, 2018, between the Registrant and Victor</w:t>
              </w:r>
            </w:hyperlink>
          </w:p>
        </w:tc>
      </w:tr>
      <w:tr>
        <w:trPr>
          <w:trHeight w:val="196"/>
        </w:trPr>
        <w:tc>
          <w:tcPr>
            <w:tcW w:w="114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227">
              <w:r>
                <w:rPr>
                  <w:rFonts w:ascii="Arial" w:cs="Arial" w:eastAsia="Arial" w:hAnsi="Arial"/>
                  <w:sz w:val="18"/>
                  <w:szCs w:val="18"/>
                  <w:color w:val="0000EE"/>
                  <w:w w:val="88"/>
                </w:rPr>
                <w:t>Perlroth</w:t>
              </w:r>
            </w:hyperlink>
          </w:p>
        </w:tc>
        <w:tc>
          <w:tcPr>
            <w:tcW w:w="3300" w:type="dxa"/>
            <w:vAlign w:val="bottom"/>
            <w:tcBorders>
              <w:top w:val="single" w:sz="8" w:color="0000EE"/>
            </w:tcBorders>
            <w:gridSpan w:val="3"/>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345"/>
        </w:trPr>
        <w:tc>
          <w:tcPr>
            <w:tcW w:w="1140" w:type="dxa"/>
            <w:vAlign w:val="bottom"/>
          </w:tcPr>
          <w:p>
            <w:pPr>
              <w:jc w:val="right"/>
              <w:ind w:right="550"/>
              <w:spacing w:after="0"/>
              <w:rPr>
                <w:sz w:val="20"/>
                <w:szCs w:val="20"/>
                <w:color w:val="auto"/>
              </w:rPr>
            </w:pPr>
            <w:r>
              <w:rPr>
                <w:rFonts w:ascii="Arial" w:cs="Arial" w:eastAsia="Arial" w:hAnsi="Arial"/>
                <w:sz w:val="18"/>
                <w:szCs w:val="18"/>
                <w:color w:val="auto"/>
                <w:w w:val="86"/>
              </w:rPr>
              <w:t>10.12+</w:t>
            </w:r>
          </w:p>
        </w:tc>
        <w:tc>
          <w:tcPr>
            <w:tcW w:w="4200" w:type="dxa"/>
            <w:vAlign w:val="bottom"/>
            <w:gridSpan w:val="7"/>
          </w:tcPr>
          <w:p>
            <w:pPr>
              <w:spacing w:after="0"/>
              <w:rPr>
                <w:rFonts w:ascii="Arial" w:cs="Arial" w:eastAsia="Arial" w:hAnsi="Arial"/>
                <w:sz w:val="18"/>
                <w:szCs w:val="18"/>
                <w:color w:val="0000EE"/>
                <w:w w:val="91"/>
              </w:rPr>
            </w:pPr>
            <w:hyperlink r:id="rId228">
              <w:r>
                <w:rPr>
                  <w:rFonts w:ascii="Arial" w:cs="Arial" w:eastAsia="Arial" w:hAnsi="Arial"/>
                  <w:sz w:val="18"/>
                  <w:szCs w:val="18"/>
                  <w:color w:val="0000EE"/>
                  <w:w w:val="91"/>
                </w:rPr>
                <w:t>Amended Executive Employment Agreement, effective as</w:t>
              </w:r>
            </w:hyperlink>
          </w:p>
        </w:tc>
      </w:tr>
      <w:tr>
        <w:trPr>
          <w:trHeight w:val="196"/>
        </w:trPr>
        <w:tc>
          <w:tcPr>
            <w:tcW w:w="114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228">
              <w:r>
                <w:rPr>
                  <w:rFonts w:ascii="Arial" w:cs="Arial" w:eastAsia="Arial" w:hAnsi="Arial"/>
                  <w:sz w:val="18"/>
                  <w:szCs w:val="18"/>
                  <w:color w:val="0000EE"/>
                  <w:w w:val="88"/>
                </w:rPr>
                <w:t>of September 6, 2018, between the Registrant and John</w:t>
              </w:r>
            </w:hyperlink>
          </w:p>
        </w:tc>
        <w:tc>
          <w:tcPr>
            <w:tcW w:w="2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200" w:type="dxa"/>
            <w:vAlign w:val="bottom"/>
            <w:gridSpan w:val="7"/>
          </w:tcPr>
          <w:p>
            <w:pPr>
              <w:spacing w:after="0" w:line="196" w:lineRule="exact"/>
              <w:rPr>
                <w:rFonts w:ascii="Arial" w:cs="Arial" w:eastAsia="Arial" w:hAnsi="Arial"/>
                <w:sz w:val="18"/>
                <w:szCs w:val="18"/>
                <w:color w:val="0000EE"/>
              </w:rPr>
            </w:pPr>
            <w:hyperlink r:id="rId228">
              <w:r>
                <w:rPr>
                  <w:rFonts w:ascii="Arial" w:cs="Arial" w:eastAsia="Arial" w:hAnsi="Arial"/>
                  <w:sz w:val="18"/>
                  <w:szCs w:val="18"/>
                  <w:color w:val="0000EE"/>
                </w:rPr>
                <w:t>Borgeson</w:t>
              </w:r>
            </w:hyperlink>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10.11</w:t>
            </w:r>
          </w:p>
        </w:tc>
        <w:tc>
          <w:tcPr>
            <w:tcW w:w="1160" w:type="dxa"/>
            <w:vAlign w:val="bottom"/>
          </w:tcPr>
          <w:p>
            <w:pPr>
              <w:jc w:val="right"/>
              <w:spacing w:after="0"/>
              <w:rPr>
                <w:sz w:val="20"/>
                <w:szCs w:val="20"/>
                <w:color w:val="auto"/>
              </w:rPr>
            </w:pPr>
            <w:r>
              <w:rPr>
                <w:rFonts w:ascii="Arial" w:cs="Arial" w:eastAsia="Arial" w:hAnsi="Arial"/>
                <w:sz w:val="18"/>
                <w:szCs w:val="18"/>
                <w:color w:val="auto"/>
              </w:rPr>
              <w:t>9/24/2018</w:t>
            </w:r>
          </w:p>
        </w:tc>
      </w:tr>
      <w:tr>
        <w:trPr>
          <w:trHeight w:val="796"/>
        </w:trPr>
        <w:tc>
          <w:tcPr>
            <w:tcW w:w="820" w:type="dxa"/>
            <w:vAlign w:val="bottom"/>
          </w:tcPr>
          <w:p>
            <w:pPr>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10.12</w:t>
            </w:r>
          </w:p>
        </w:tc>
        <w:tc>
          <w:tcPr>
            <w:tcW w:w="1160" w:type="dxa"/>
            <w:vAlign w:val="bottom"/>
          </w:tcPr>
          <w:p>
            <w:pPr>
              <w:jc w:val="right"/>
              <w:spacing w:after="0"/>
              <w:rPr>
                <w:sz w:val="20"/>
                <w:szCs w:val="20"/>
                <w:color w:val="auto"/>
              </w:rPr>
            </w:pPr>
            <w:r>
              <w:rPr>
                <w:rFonts w:ascii="Arial" w:cs="Arial" w:eastAsia="Arial" w:hAnsi="Arial"/>
                <w:sz w:val="18"/>
                <w:szCs w:val="18"/>
                <w:color w:val="auto"/>
              </w:rPr>
              <w:t>9/24/2018</w:t>
            </w:r>
          </w:p>
        </w:tc>
      </w:tr>
    </w:tbl>
    <w:p>
      <w:pPr>
        <w:spacing w:after="0" w:line="562" w:lineRule="exact"/>
        <w:rPr>
          <w:sz w:val="20"/>
          <w:szCs w:val="20"/>
          <w:color w:val="auto"/>
        </w:rPr>
      </w:pPr>
    </w:p>
    <w:p>
      <w:pPr>
        <w:sectPr>
          <w:pgSz w:w="11900" w:h="16838" w:orient="portrait"/>
          <w:cols w:equalWidth="0" w:num="2">
            <w:col w:w="5440" w:space="220"/>
            <w:col w:w="5600"/>
          </w:cols>
          <w:pgMar w:left="320" w:top="337" w:right="3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550"/>
              <w:spacing w:after="0"/>
              <w:rPr>
                <w:sz w:val="20"/>
                <w:szCs w:val="20"/>
                <w:color w:val="auto"/>
              </w:rPr>
            </w:pPr>
            <w:r>
              <w:rPr>
                <w:rFonts w:ascii="Arial" w:cs="Arial" w:eastAsia="Arial" w:hAnsi="Arial"/>
                <w:sz w:val="18"/>
                <w:szCs w:val="18"/>
                <w:color w:val="auto"/>
              </w:rPr>
              <w:t>10.13+</w:t>
            </w:r>
          </w:p>
        </w:tc>
        <w:tc>
          <w:tcPr>
            <w:tcW w:w="4220" w:type="dxa"/>
            <w:vAlign w:val="bottom"/>
            <w:gridSpan w:val="7"/>
          </w:tcPr>
          <w:p>
            <w:pPr>
              <w:spacing w:after="0"/>
              <w:rPr>
                <w:rFonts w:ascii="Arial" w:cs="Arial" w:eastAsia="Arial" w:hAnsi="Arial"/>
                <w:sz w:val="18"/>
                <w:szCs w:val="18"/>
                <w:color w:val="0000EE"/>
              </w:rPr>
            </w:pPr>
            <w:hyperlink r:id="rId229">
              <w:r>
                <w:rPr>
                  <w:rFonts w:ascii="Arial" w:cs="Arial" w:eastAsia="Arial" w:hAnsi="Arial"/>
                  <w:sz w:val="18"/>
                  <w:szCs w:val="18"/>
                  <w:color w:val="0000EE"/>
                </w:rPr>
                <w:t>Executive Employment Agreement, effective as of</w:t>
              </w:r>
            </w:hyperlink>
          </w:p>
        </w:tc>
        <w:tc>
          <w:tcPr>
            <w:tcW w:w="1020" w:type="dxa"/>
            <w:vAlign w:val="bottom"/>
          </w:tcPr>
          <w:p>
            <w:pPr>
              <w:ind w:left="200"/>
              <w:spacing w:after="0"/>
              <w:rPr>
                <w:sz w:val="20"/>
                <w:szCs w:val="20"/>
                <w:color w:val="auto"/>
              </w:rPr>
            </w:pPr>
            <w:r>
              <w:rPr>
                <w:rFonts w:ascii="Arial" w:cs="Arial" w:eastAsia="Arial" w:hAnsi="Arial"/>
                <w:sz w:val="18"/>
                <w:szCs w:val="18"/>
                <w:color w:val="auto"/>
              </w:rPr>
              <w:t>S-1/A</w:t>
            </w:r>
          </w:p>
        </w:tc>
        <w:tc>
          <w:tcPr>
            <w:tcW w:w="1720" w:type="dxa"/>
            <w:vAlign w:val="bottom"/>
          </w:tcPr>
          <w:p>
            <w:pPr>
              <w:jc w:val="right"/>
              <w:ind w:right="370"/>
              <w:spacing w:after="0"/>
              <w:rPr>
                <w:sz w:val="20"/>
                <w:szCs w:val="20"/>
                <w:color w:val="auto"/>
              </w:rPr>
            </w:pPr>
            <w:r>
              <w:rPr>
                <w:rFonts w:ascii="Arial" w:cs="Arial" w:eastAsia="Arial" w:hAnsi="Arial"/>
                <w:sz w:val="18"/>
                <w:szCs w:val="18"/>
                <w:color w:val="auto"/>
              </w:rPr>
              <w:t>333-227237</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10.13</w:t>
            </w:r>
          </w:p>
        </w:tc>
        <w:tc>
          <w:tcPr>
            <w:tcW w:w="1780" w:type="dxa"/>
            <w:vAlign w:val="bottom"/>
          </w:tcPr>
          <w:p>
            <w:pPr>
              <w:jc w:val="right"/>
              <w:ind w:right="530"/>
              <w:spacing w:after="0"/>
              <w:rPr>
                <w:sz w:val="20"/>
                <w:szCs w:val="20"/>
                <w:color w:val="auto"/>
              </w:rPr>
            </w:pPr>
            <w:r>
              <w:rPr>
                <w:rFonts w:ascii="Arial" w:cs="Arial" w:eastAsia="Arial" w:hAnsi="Arial"/>
                <w:sz w:val="18"/>
                <w:szCs w:val="18"/>
                <w:color w:val="auto"/>
              </w:rPr>
              <w:t>9/24/2018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38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229">
              <w:r>
                <w:rPr>
                  <w:rFonts w:ascii="Arial" w:cs="Arial" w:eastAsia="Arial" w:hAnsi="Arial"/>
                  <w:sz w:val="18"/>
                  <w:szCs w:val="18"/>
                  <w:color w:val="0000EE"/>
                  <w:w w:val="87"/>
                </w:rPr>
                <w:t>September 6, 2018, between the Registrant and Jason</w:t>
              </w:r>
            </w:hyperlink>
          </w:p>
        </w:tc>
        <w:tc>
          <w:tcPr>
            <w:tcW w:w="380" w:type="dxa"/>
            <w:vAlign w:val="bottom"/>
            <w:gridSpan w:val="3"/>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220" w:type="dxa"/>
            <w:vAlign w:val="bottom"/>
            <w:gridSpan w:val="7"/>
          </w:tcPr>
          <w:p>
            <w:pPr>
              <w:spacing w:after="0" w:line="196" w:lineRule="exact"/>
              <w:rPr>
                <w:rFonts w:ascii="Arial" w:cs="Arial" w:eastAsia="Arial" w:hAnsi="Arial"/>
                <w:sz w:val="18"/>
                <w:szCs w:val="18"/>
                <w:color w:val="0000EE"/>
              </w:rPr>
            </w:pPr>
            <w:hyperlink r:id="rId229">
              <w:r>
                <w:rPr>
                  <w:rFonts w:ascii="Arial" w:cs="Arial" w:eastAsia="Arial" w:hAnsi="Arial"/>
                  <w:sz w:val="18"/>
                  <w:szCs w:val="18"/>
                  <w:color w:val="0000EE"/>
                </w:rPr>
                <w:t>Ehrlich</w:t>
              </w:r>
            </w:hyperlink>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vMerge w:val="restart"/>
          </w:tcPr>
          <w:p>
            <w:pPr>
              <w:ind w:left="200"/>
              <w:spacing w:after="0"/>
              <w:rPr>
                <w:sz w:val="20"/>
                <w:szCs w:val="20"/>
                <w:color w:val="auto"/>
              </w:rPr>
            </w:pPr>
            <w:r>
              <w:rPr>
                <w:rFonts w:ascii="Arial" w:cs="Arial" w:eastAsia="Arial" w:hAnsi="Arial"/>
                <w:sz w:val="18"/>
                <w:szCs w:val="18"/>
                <w:color w:val="auto"/>
              </w:rPr>
              <w:t>S-1/A</w:t>
            </w:r>
          </w:p>
        </w:tc>
        <w:tc>
          <w:tcPr>
            <w:tcW w:w="1720" w:type="dxa"/>
            <w:vAlign w:val="bottom"/>
            <w:vMerge w:val="restart"/>
          </w:tcPr>
          <w:p>
            <w:pPr>
              <w:jc w:val="right"/>
              <w:ind w:right="370"/>
              <w:spacing w:after="0"/>
              <w:rPr>
                <w:sz w:val="20"/>
                <w:szCs w:val="20"/>
                <w:color w:val="auto"/>
              </w:rPr>
            </w:pPr>
            <w:r>
              <w:rPr>
                <w:rFonts w:ascii="Arial" w:cs="Arial" w:eastAsia="Arial" w:hAnsi="Arial"/>
                <w:sz w:val="18"/>
                <w:szCs w:val="18"/>
                <w:color w:val="auto"/>
              </w:rPr>
              <w:t>333-227237</w:t>
            </w:r>
          </w:p>
        </w:tc>
        <w:tc>
          <w:tcPr>
            <w:tcW w:w="1280" w:type="dxa"/>
            <w:vAlign w:val="bottom"/>
            <w:vMerge w:val="restart"/>
          </w:tcPr>
          <w:p>
            <w:pPr>
              <w:jc w:val="right"/>
              <w:ind w:right="330"/>
              <w:spacing w:after="0"/>
              <w:rPr>
                <w:sz w:val="20"/>
                <w:szCs w:val="20"/>
                <w:color w:val="auto"/>
              </w:rPr>
            </w:pPr>
            <w:r>
              <w:rPr>
                <w:rFonts w:ascii="Arial" w:cs="Arial" w:eastAsia="Arial" w:hAnsi="Arial"/>
                <w:sz w:val="18"/>
                <w:szCs w:val="18"/>
                <w:color w:val="auto"/>
              </w:rPr>
              <w:t>10.14</w:t>
            </w:r>
          </w:p>
        </w:tc>
        <w:tc>
          <w:tcPr>
            <w:tcW w:w="1780" w:type="dxa"/>
            <w:vAlign w:val="bottom"/>
            <w:vMerge w:val="restart"/>
          </w:tcPr>
          <w:p>
            <w:pPr>
              <w:jc w:val="right"/>
              <w:ind w:right="530"/>
              <w:spacing w:after="0"/>
              <w:rPr>
                <w:sz w:val="20"/>
                <w:szCs w:val="20"/>
                <w:color w:val="auto"/>
              </w:rPr>
            </w:pPr>
            <w:r>
              <w:rPr>
                <w:rFonts w:ascii="Arial" w:cs="Arial" w:eastAsia="Arial" w:hAnsi="Arial"/>
                <w:sz w:val="18"/>
                <w:szCs w:val="18"/>
                <w:color w:val="auto"/>
              </w:rPr>
              <w:t>9/24/2018</w:t>
            </w:r>
          </w:p>
        </w:tc>
        <w:tc>
          <w:tcPr>
            <w:tcW w:w="0" w:type="dxa"/>
            <w:vAlign w:val="bottom"/>
          </w:tcPr>
          <w:p>
            <w:pPr>
              <w:spacing w:after="0" w:line="20" w:lineRule="exact"/>
              <w:rPr>
                <w:sz w:val="1"/>
                <w:szCs w:val="1"/>
                <w:color w:val="auto"/>
              </w:rPr>
            </w:pPr>
          </w:p>
        </w:tc>
      </w:tr>
      <w:tr>
        <w:trPr>
          <w:trHeight w:val="345"/>
        </w:trPr>
        <w:tc>
          <w:tcPr>
            <w:tcW w:w="1240" w:type="dxa"/>
            <w:vAlign w:val="bottom"/>
          </w:tcPr>
          <w:p>
            <w:pPr>
              <w:jc w:val="right"/>
              <w:ind w:right="550"/>
              <w:spacing w:after="0"/>
              <w:rPr>
                <w:sz w:val="20"/>
                <w:szCs w:val="20"/>
                <w:color w:val="auto"/>
              </w:rPr>
            </w:pPr>
            <w:r>
              <w:rPr>
                <w:rFonts w:ascii="Arial" w:cs="Arial" w:eastAsia="Arial" w:hAnsi="Arial"/>
                <w:sz w:val="18"/>
                <w:szCs w:val="18"/>
                <w:color w:val="auto"/>
              </w:rPr>
              <w:t>10.14+</w:t>
            </w:r>
          </w:p>
        </w:tc>
        <w:tc>
          <w:tcPr>
            <w:tcW w:w="4220" w:type="dxa"/>
            <w:vAlign w:val="bottom"/>
            <w:gridSpan w:val="7"/>
          </w:tcPr>
          <w:p>
            <w:pPr>
              <w:spacing w:after="0"/>
              <w:rPr>
                <w:rFonts w:ascii="Arial" w:cs="Arial" w:eastAsia="Arial" w:hAnsi="Arial"/>
                <w:sz w:val="18"/>
                <w:szCs w:val="18"/>
                <w:color w:val="0000EE"/>
                <w:w w:val="91"/>
              </w:rPr>
            </w:pPr>
            <w:hyperlink r:id="rId230">
              <w:r>
                <w:rPr>
                  <w:rFonts w:ascii="Arial" w:cs="Arial" w:eastAsia="Arial" w:hAnsi="Arial"/>
                  <w:sz w:val="18"/>
                  <w:szCs w:val="18"/>
                  <w:color w:val="0000EE"/>
                  <w:w w:val="91"/>
                </w:rPr>
                <w:t>Amended Executive Employment Agreement, effective as</w:t>
              </w:r>
            </w:hyperlink>
          </w:p>
        </w:tc>
        <w:tc>
          <w:tcPr>
            <w:tcW w:w="102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230">
              <w:r>
                <w:rPr>
                  <w:rFonts w:ascii="Arial" w:cs="Arial" w:eastAsia="Arial" w:hAnsi="Arial"/>
                  <w:sz w:val="18"/>
                  <w:szCs w:val="18"/>
                  <w:color w:val="0000EE"/>
                  <w:w w:val="89"/>
                </w:rPr>
                <w:t>of September 6, 2018, between the Registrant and Hong</w:t>
              </w:r>
            </w:hyperlink>
          </w:p>
        </w:tc>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220" w:type="dxa"/>
            <w:vAlign w:val="bottom"/>
            <w:gridSpan w:val="7"/>
          </w:tcPr>
          <w:p>
            <w:pPr>
              <w:spacing w:after="0" w:line="196" w:lineRule="exact"/>
              <w:rPr>
                <w:rFonts w:ascii="Arial" w:cs="Arial" w:eastAsia="Arial" w:hAnsi="Arial"/>
                <w:sz w:val="18"/>
                <w:szCs w:val="18"/>
                <w:color w:val="0000EE"/>
              </w:rPr>
            </w:pPr>
            <w:hyperlink r:id="rId230">
              <w:r>
                <w:rPr>
                  <w:rFonts w:ascii="Arial" w:cs="Arial" w:eastAsia="Arial" w:hAnsi="Arial"/>
                  <w:sz w:val="18"/>
                  <w:szCs w:val="18"/>
                  <w:color w:val="0000EE"/>
                </w:rPr>
                <w:t>Liang</w:t>
              </w:r>
            </w:hyperlink>
          </w:p>
        </w:tc>
        <w:tc>
          <w:tcPr>
            <w:tcW w:w="1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2"/>
        </w:trPr>
        <w:tc>
          <w:tcPr>
            <w:tcW w:w="12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jc w:val="right"/>
              <w:ind w:right="630"/>
              <w:spacing w:after="0"/>
              <w:rPr>
                <w:sz w:val="20"/>
                <w:szCs w:val="20"/>
                <w:color w:val="auto"/>
              </w:rPr>
            </w:pPr>
            <w:r>
              <w:rPr>
                <w:rFonts w:ascii="Arial" w:cs="Arial" w:eastAsia="Arial" w:hAnsi="Arial"/>
                <w:sz w:val="18"/>
                <w:szCs w:val="18"/>
                <w:color w:val="auto"/>
                <w:w w:val="93"/>
              </w:rPr>
              <w:t>142</w:t>
            </w: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1220" w:type="dxa"/>
            <w:vAlign w:val="bottom"/>
          </w:tcPr>
          <w:p>
            <w:pPr>
              <w:ind w:left="100"/>
              <w:spacing w:after="0"/>
              <w:rPr>
                <w:sz w:val="20"/>
                <w:szCs w:val="20"/>
                <w:color w:val="auto"/>
              </w:rPr>
            </w:pPr>
            <w:r>
              <w:rPr>
                <w:rFonts w:ascii="Arial" w:cs="Arial" w:eastAsia="Arial" w:hAnsi="Arial"/>
                <w:sz w:val="18"/>
                <w:szCs w:val="18"/>
                <w:color w:val="auto"/>
              </w:rPr>
              <w:t>10.15+</w:t>
            </w:r>
          </w:p>
        </w:tc>
        <w:tc>
          <w:tcPr>
            <w:tcW w:w="2900" w:type="dxa"/>
            <w:vAlign w:val="bottom"/>
            <w:tcBorders>
              <w:bottom w:val="single" w:sz="8" w:color="0000EE"/>
            </w:tcBorders>
            <w:gridSpan w:val="6"/>
          </w:tcPr>
          <w:p>
            <w:pPr>
              <w:spacing w:after="0"/>
              <w:rPr>
                <w:rFonts w:ascii="Arial" w:cs="Arial" w:eastAsia="Arial" w:hAnsi="Arial"/>
                <w:sz w:val="18"/>
                <w:szCs w:val="18"/>
                <w:color w:val="0000EE"/>
                <w:w w:val="90"/>
              </w:rPr>
            </w:pPr>
            <w:hyperlink r:id="rId233">
              <w:r>
                <w:rPr>
                  <w:rFonts w:ascii="Arial" w:cs="Arial" w:eastAsia="Arial" w:hAnsi="Arial"/>
                  <w:sz w:val="18"/>
                  <w:szCs w:val="18"/>
                  <w:color w:val="0000EE"/>
                  <w:w w:val="90"/>
                </w:rPr>
                <w:t>Executive Incentive Compensation Plan</w:t>
              </w:r>
            </w:hyperlink>
          </w:p>
        </w:tc>
        <w:tc>
          <w:tcPr>
            <w:tcW w:w="1200" w:type="dxa"/>
            <w:vAlign w:val="bottom"/>
            <w:gridSpan w:val="12"/>
          </w:tcPr>
          <w:p>
            <w:pPr>
              <w:spacing w:after="0"/>
              <w:rPr>
                <w:sz w:val="17"/>
                <w:szCs w:val="17"/>
                <w:color w:val="auto"/>
              </w:rPr>
            </w:pPr>
          </w:p>
        </w:tc>
      </w:tr>
      <w:tr>
        <w:trPr>
          <w:trHeight w:val="344"/>
        </w:trPr>
        <w:tc>
          <w:tcPr>
            <w:tcW w:w="1220" w:type="dxa"/>
            <w:vAlign w:val="bottom"/>
          </w:tcPr>
          <w:p>
            <w:pPr>
              <w:ind w:left="100"/>
              <w:spacing w:after="0"/>
              <w:rPr>
                <w:sz w:val="20"/>
                <w:szCs w:val="20"/>
                <w:color w:val="auto"/>
              </w:rPr>
            </w:pPr>
            <w:r>
              <w:rPr>
                <w:rFonts w:ascii="Arial" w:cs="Arial" w:eastAsia="Arial" w:hAnsi="Arial"/>
                <w:sz w:val="18"/>
                <w:szCs w:val="18"/>
                <w:color w:val="auto"/>
              </w:rPr>
              <w:t>10.16+</w:t>
            </w:r>
          </w:p>
        </w:tc>
        <w:tc>
          <w:tcPr>
            <w:tcW w:w="2800" w:type="dxa"/>
            <w:vAlign w:val="bottom"/>
            <w:tcBorders>
              <w:bottom w:val="single" w:sz="8" w:color="0000EE"/>
            </w:tcBorders>
            <w:gridSpan w:val="4"/>
          </w:tcPr>
          <w:p>
            <w:pPr>
              <w:spacing w:after="0"/>
              <w:rPr>
                <w:rFonts w:ascii="Arial" w:cs="Arial" w:eastAsia="Arial" w:hAnsi="Arial"/>
                <w:sz w:val="18"/>
                <w:szCs w:val="18"/>
                <w:color w:val="0000EE"/>
                <w:w w:val="91"/>
              </w:rPr>
            </w:pPr>
            <w:hyperlink r:id="rId234">
              <w:r>
                <w:rPr>
                  <w:rFonts w:ascii="Arial" w:cs="Arial" w:eastAsia="Arial" w:hAnsi="Arial"/>
                  <w:sz w:val="18"/>
                  <w:szCs w:val="18"/>
                  <w:color w:val="0000EE"/>
                  <w:w w:val="91"/>
                </w:rPr>
                <w:t>Outside Director Compensation Policy</w:t>
              </w:r>
            </w:hyperlink>
          </w:p>
        </w:tc>
        <w:tc>
          <w:tcPr>
            <w:tcW w:w="1300" w:type="dxa"/>
            <w:vAlign w:val="bottom"/>
            <w:gridSpan w:val="14"/>
          </w:tcPr>
          <w:p>
            <w:pPr>
              <w:spacing w:after="0"/>
              <w:rPr>
                <w:sz w:val="24"/>
                <w:szCs w:val="24"/>
                <w:color w:val="auto"/>
              </w:rPr>
            </w:pPr>
          </w:p>
        </w:tc>
      </w:tr>
      <w:tr>
        <w:trPr>
          <w:trHeight w:val="344"/>
        </w:trPr>
        <w:tc>
          <w:tcPr>
            <w:tcW w:w="1220" w:type="dxa"/>
            <w:vAlign w:val="bottom"/>
          </w:tcPr>
          <w:p>
            <w:pPr>
              <w:ind w:left="100"/>
              <w:spacing w:after="0"/>
              <w:rPr>
                <w:sz w:val="20"/>
                <w:szCs w:val="20"/>
                <w:color w:val="auto"/>
              </w:rPr>
            </w:pPr>
            <w:r>
              <w:rPr>
                <w:rFonts w:ascii="Arial" w:cs="Arial" w:eastAsia="Arial" w:hAnsi="Arial"/>
                <w:sz w:val="18"/>
                <w:szCs w:val="18"/>
                <w:color w:val="auto"/>
              </w:rPr>
              <w:t>10.17</w:t>
            </w:r>
          </w:p>
        </w:tc>
        <w:tc>
          <w:tcPr>
            <w:tcW w:w="3740" w:type="dxa"/>
            <w:vAlign w:val="bottom"/>
            <w:tcBorders>
              <w:bottom w:val="single" w:sz="8" w:color="0000EE"/>
            </w:tcBorders>
            <w:gridSpan w:val="10"/>
          </w:tcPr>
          <w:p>
            <w:pPr>
              <w:spacing w:after="0"/>
              <w:rPr>
                <w:rFonts w:ascii="Arial" w:cs="Arial" w:eastAsia="Arial" w:hAnsi="Arial"/>
                <w:sz w:val="18"/>
                <w:szCs w:val="18"/>
                <w:color w:val="0000EE"/>
                <w:w w:val="89"/>
              </w:rPr>
            </w:pPr>
            <w:hyperlink r:id="rId235">
              <w:r>
                <w:rPr>
                  <w:rFonts w:ascii="Arial" w:cs="Arial" w:eastAsia="Arial" w:hAnsi="Arial"/>
                  <w:sz w:val="18"/>
                  <w:szCs w:val="18"/>
                  <w:color w:val="0000EE"/>
                  <w:w w:val="89"/>
                </w:rPr>
                <w:t>Funding Agreement, dated as of December 1, 2019,</w:t>
              </w:r>
            </w:hyperlink>
          </w:p>
        </w:tc>
        <w:tc>
          <w:tcPr>
            <w:tcW w:w="360" w:type="dxa"/>
            <w:vAlign w:val="bottom"/>
            <w:gridSpan w:val="8"/>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4100" w:type="dxa"/>
            <w:vAlign w:val="bottom"/>
            <w:gridSpan w:val="18"/>
          </w:tcPr>
          <w:p>
            <w:pPr>
              <w:spacing w:after="0" w:line="196" w:lineRule="exact"/>
              <w:rPr>
                <w:rFonts w:ascii="Arial" w:cs="Arial" w:eastAsia="Arial" w:hAnsi="Arial"/>
                <w:sz w:val="18"/>
                <w:szCs w:val="18"/>
                <w:color w:val="0000EE"/>
                <w:w w:val="92"/>
              </w:rPr>
            </w:pPr>
            <w:hyperlink r:id="rId235">
              <w:r>
                <w:rPr>
                  <w:rFonts w:ascii="Arial" w:cs="Arial" w:eastAsia="Arial" w:hAnsi="Arial"/>
                  <w:sz w:val="18"/>
                  <w:szCs w:val="18"/>
                  <w:color w:val="0000EE"/>
                  <w:w w:val="92"/>
                </w:rPr>
                <w:t>between Kodiak Sciences Inc., Kodiak Sciences GmbH</w:t>
              </w:r>
            </w:hyperlink>
          </w:p>
        </w:tc>
      </w:tr>
      <w:tr>
        <w:trPr>
          <w:trHeight w:val="196"/>
        </w:trPr>
        <w:tc>
          <w:tcPr>
            <w:tcW w:w="1220" w:type="dxa"/>
            <w:vAlign w:val="bottom"/>
          </w:tcPr>
          <w:p>
            <w:pPr>
              <w:spacing w:after="0"/>
              <w:rPr>
                <w:sz w:val="17"/>
                <w:szCs w:val="17"/>
                <w:color w:val="auto"/>
              </w:rPr>
            </w:pPr>
          </w:p>
        </w:tc>
        <w:tc>
          <w:tcPr>
            <w:tcW w:w="40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35">
              <w:r>
                <w:rPr>
                  <w:rFonts w:ascii="Arial" w:cs="Arial" w:eastAsia="Arial" w:hAnsi="Arial"/>
                  <w:sz w:val="18"/>
                  <w:szCs w:val="18"/>
                  <w:color w:val="0000EE"/>
                </w:rPr>
                <w:t>and Baker Bros. Advisors, LP</w:t>
              </w:r>
            </w:hyperlink>
          </w:p>
        </w:tc>
        <w:tc>
          <w:tcPr>
            <w:tcW w:w="100" w:type="dxa"/>
            <w:vAlign w:val="bottom"/>
            <w:gridSpan w:val="3"/>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220" w:type="dxa"/>
            <w:vAlign w:val="bottom"/>
          </w:tcPr>
          <w:p>
            <w:pPr>
              <w:ind w:left="100"/>
              <w:spacing w:after="0"/>
              <w:rPr>
                <w:sz w:val="20"/>
                <w:szCs w:val="20"/>
                <w:color w:val="auto"/>
              </w:rPr>
            </w:pPr>
            <w:r>
              <w:rPr>
                <w:rFonts w:ascii="Arial" w:cs="Arial" w:eastAsia="Arial" w:hAnsi="Arial"/>
                <w:sz w:val="18"/>
                <w:szCs w:val="18"/>
                <w:color w:val="auto"/>
              </w:rPr>
              <w:t>23.1</w:t>
            </w:r>
          </w:p>
        </w:tc>
        <w:tc>
          <w:tcPr>
            <w:tcW w:w="4100" w:type="dxa"/>
            <w:vAlign w:val="bottom"/>
            <w:gridSpan w:val="18"/>
          </w:tcPr>
          <w:p>
            <w:pPr>
              <w:spacing w:after="0"/>
              <w:rPr>
                <w:rFonts w:ascii="Arial" w:cs="Arial" w:eastAsia="Arial" w:hAnsi="Arial"/>
                <w:sz w:val="18"/>
                <w:szCs w:val="18"/>
                <w:color w:val="0000EE"/>
                <w:w w:val="94"/>
              </w:rPr>
            </w:pPr>
            <w:hyperlink w:anchor="page153">
              <w:r>
                <w:rPr>
                  <w:rFonts w:ascii="Arial" w:cs="Arial" w:eastAsia="Arial" w:hAnsi="Arial"/>
                  <w:sz w:val="18"/>
                  <w:szCs w:val="18"/>
                  <w:color w:val="0000EE"/>
                  <w:w w:val="94"/>
                </w:rPr>
                <w:t>Consent of Independent Registered Public Accounting</w:t>
              </w:r>
            </w:hyperlink>
          </w:p>
        </w:tc>
      </w:tr>
      <w:tr>
        <w:trPr>
          <w:trHeight w:val="196"/>
        </w:trPr>
        <w:tc>
          <w:tcPr>
            <w:tcW w:w="12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153">
              <w:r>
                <w:rPr>
                  <w:rFonts w:ascii="Arial" w:cs="Arial" w:eastAsia="Arial" w:hAnsi="Arial"/>
                  <w:sz w:val="18"/>
                  <w:szCs w:val="18"/>
                  <w:color w:val="0000EE"/>
                  <w:w w:val="94"/>
                </w:rPr>
                <w:t>Firm</w:t>
              </w:r>
            </w:hyperlink>
          </w:p>
        </w:tc>
        <w:tc>
          <w:tcPr>
            <w:tcW w:w="3560" w:type="dxa"/>
            <w:vAlign w:val="bottom"/>
            <w:tcBorders>
              <w:top w:val="single" w:sz="8" w:color="0000EE"/>
            </w:tcBorders>
            <w:gridSpan w:val="11"/>
          </w:tcPr>
          <w:p>
            <w:pPr>
              <w:spacing w:after="0"/>
              <w:rPr>
                <w:sz w:val="17"/>
                <w:szCs w:val="17"/>
                <w:color w:val="auto"/>
              </w:rPr>
            </w:pPr>
          </w:p>
        </w:tc>
        <w:tc>
          <w:tcPr>
            <w:tcW w:w="180" w:type="dxa"/>
            <w:vAlign w:val="bottom"/>
            <w:gridSpan w:val="6"/>
          </w:tcPr>
          <w:p>
            <w:pPr>
              <w:spacing w:after="0"/>
              <w:rPr>
                <w:sz w:val="17"/>
                <w:szCs w:val="17"/>
                <w:color w:val="auto"/>
              </w:rPr>
            </w:pPr>
          </w:p>
        </w:tc>
      </w:tr>
      <w:tr>
        <w:trPr>
          <w:trHeight w:val="344"/>
        </w:trPr>
        <w:tc>
          <w:tcPr>
            <w:tcW w:w="1220" w:type="dxa"/>
            <w:vAlign w:val="bottom"/>
          </w:tcPr>
          <w:p>
            <w:pPr>
              <w:ind w:left="100"/>
              <w:spacing w:after="0"/>
              <w:rPr>
                <w:sz w:val="20"/>
                <w:szCs w:val="20"/>
                <w:color w:val="auto"/>
              </w:rPr>
            </w:pPr>
            <w:r>
              <w:rPr>
                <w:rFonts w:ascii="Arial" w:cs="Arial" w:eastAsia="Arial" w:hAnsi="Arial"/>
                <w:sz w:val="18"/>
                <w:szCs w:val="18"/>
                <w:color w:val="auto"/>
              </w:rPr>
              <w:t>24.1*</w:t>
            </w:r>
          </w:p>
        </w:tc>
        <w:tc>
          <w:tcPr>
            <w:tcW w:w="4100" w:type="dxa"/>
            <w:vAlign w:val="bottom"/>
            <w:gridSpan w:val="18"/>
          </w:tcPr>
          <w:p>
            <w:pPr>
              <w:spacing w:after="0"/>
              <w:rPr>
                <w:rFonts w:ascii="Arial" w:cs="Arial" w:eastAsia="Arial" w:hAnsi="Arial"/>
                <w:sz w:val="18"/>
                <w:szCs w:val="18"/>
                <w:color w:val="0000EE"/>
              </w:rPr>
            </w:pPr>
            <w:hyperlink w:anchor="page148">
              <w:r>
                <w:rPr>
                  <w:rFonts w:ascii="Arial" w:cs="Arial" w:eastAsia="Arial" w:hAnsi="Arial"/>
                  <w:sz w:val="18"/>
                  <w:szCs w:val="18"/>
                  <w:color w:val="0000EE"/>
                </w:rPr>
                <w:t>Power of Attorney (included in signature page)</w:t>
              </w:r>
            </w:hyperlink>
          </w:p>
        </w:tc>
      </w:tr>
      <w:tr>
        <w:trPr>
          <w:trHeight w:val="20"/>
        </w:trPr>
        <w:tc>
          <w:tcPr>
            <w:tcW w:w="1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220" w:type="dxa"/>
            <w:vAlign w:val="bottom"/>
          </w:tcPr>
          <w:p>
            <w:pPr>
              <w:ind w:left="100"/>
              <w:spacing w:after="0"/>
              <w:rPr>
                <w:sz w:val="20"/>
                <w:szCs w:val="20"/>
                <w:color w:val="auto"/>
              </w:rPr>
            </w:pPr>
            <w:r>
              <w:rPr>
                <w:rFonts w:ascii="Arial" w:cs="Arial" w:eastAsia="Arial" w:hAnsi="Arial"/>
                <w:sz w:val="18"/>
                <w:szCs w:val="18"/>
                <w:color w:val="auto"/>
              </w:rPr>
              <w:t>31.1</w:t>
            </w:r>
          </w:p>
        </w:tc>
        <w:tc>
          <w:tcPr>
            <w:tcW w:w="4100" w:type="dxa"/>
            <w:vAlign w:val="bottom"/>
            <w:gridSpan w:val="18"/>
          </w:tcPr>
          <w:p>
            <w:pPr>
              <w:spacing w:after="0"/>
              <w:rPr>
                <w:rFonts w:ascii="Arial" w:cs="Arial" w:eastAsia="Arial" w:hAnsi="Arial"/>
                <w:sz w:val="18"/>
                <w:szCs w:val="18"/>
                <w:color w:val="0000EE"/>
                <w:w w:val="95"/>
              </w:rPr>
            </w:pPr>
            <w:hyperlink w:anchor="page154">
              <w:r>
                <w:rPr>
                  <w:rFonts w:ascii="Arial" w:cs="Arial" w:eastAsia="Arial" w:hAnsi="Arial"/>
                  <w:sz w:val="18"/>
                  <w:szCs w:val="18"/>
                  <w:color w:val="0000EE"/>
                  <w:w w:val="95"/>
                </w:rPr>
                <w:t>Certification of Principal Executive Officer Pursuant to</w:t>
              </w:r>
            </w:hyperlink>
          </w:p>
        </w:tc>
      </w:tr>
      <w:tr>
        <w:trPr>
          <w:trHeight w:val="196"/>
        </w:trPr>
        <w:tc>
          <w:tcPr>
            <w:tcW w:w="122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154">
              <w:r>
                <w:rPr>
                  <w:rFonts w:ascii="Arial" w:cs="Arial" w:eastAsia="Arial" w:hAnsi="Arial"/>
                  <w:sz w:val="18"/>
                  <w:szCs w:val="18"/>
                  <w:color w:val="0000EE"/>
                  <w:w w:val="89"/>
                </w:rPr>
                <w:t>Rules 13a-14(a) and 15d-14(a) under the Securities</w:t>
              </w:r>
            </w:hyperlink>
          </w:p>
        </w:tc>
        <w:tc>
          <w:tcPr>
            <w:tcW w:w="280" w:type="dxa"/>
            <w:vAlign w:val="bottom"/>
            <w:tcBorders>
              <w:top w:val="single" w:sz="8" w:color="0000EE"/>
            </w:tcBorders>
            <w:gridSpan w:val="5"/>
          </w:tcPr>
          <w:p>
            <w:pPr>
              <w:spacing w:after="0"/>
              <w:rPr>
                <w:sz w:val="17"/>
                <w:szCs w:val="17"/>
                <w:color w:val="auto"/>
              </w:rPr>
            </w:pPr>
          </w:p>
        </w:tc>
        <w:tc>
          <w:tcPr>
            <w:tcW w:w="120" w:type="dxa"/>
            <w:vAlign w:val="bottom"/>
            <w:gridSpan w:val="4"/>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4100" w:type="dxa"/>
            <w:vAlign w:val="bottom"/>
            <w:gridSpan w:val="18"/>
          </w:tcPr>
          <w:p>
            <w:pPr>
              <w:spacing w:after="0" w:line="196" w:lineRule="exact"/>
              <w:rPr>
                <w:rFonts w:ascii="Arial" w:cs="Arial" w:eastAsia="Arial" w:hAnsi="Arial"/>
                <w:sz w:val="18"/>
                <w:szCs w:val="18"/>
                <w:color w:val="0000EE"/>
                <w:w w:val="92"/>
              </w:rPr>
            </w:pPr>
            <w:hyperlink w:anchor="page154">
              <w:r>
                <w:rPr>
                  <w:rFonts w:ascii="Arial" w:cs="Arial" w:eastAsia="Arial" w:hAnsi="Arial"/>
                  <w:sz w:val="18"/>
                  <w:szCs w:val="18"/>
                  <w:color w:val="0000EE"/>
                  <w:w w:val="92"/>
                </w:rPr>
                <w:t>Exchange Act of 1934, as Adopted Pursuant to Section</w:t>
              </w:r>
            </w:hyperlink>
          </w:p>
        </w:tc>
      </w:tr>
      <w:tr>
        <w:trPr>
          <w:trHeight w:val="196"/>
        </w:trPr>
        <w:tc>
          <w:tcPr>
            <w:tcW w:w="12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154">
              <w:r>
                <w:rPr>
                  <w:rFonts w:ascii="Arial" w:cs="Arial" w:eastAsia="Arial" w:hAnsi="Arial"/>
                  <w:sz w:val="18"/>
                  <w:szCs w:val="18"/>
                  <w:color w:val="0000EE"/>
                  <w:w w:val="90"/>
                </w:rPr>
                <w:t>302 of the Sarbanes-Oxley Act of 2002.</w:t>
              </w:r>
            </w:hyperlink>
          </w:p>
        </w:tc>
        <w:tc>
          <w:tcPr>
            <w:tcW w:w="1080" w:type="dxa"/>
            <w:vAlign w:val="bottom"/>
            <w:tcBorders>
              <w:top w:val="single" w:sz="8" w:color="0000EE"/>
            </w:tcBorders>
            <w:gridSpan w:val="8"/>
          </w:tcPr>
          <w:p>
            <w:pPr>
              <w:spacing w:after="0"/>
              <w:rPr>
                <w:sz w:val="17"/>
                <w:szCs w:val="17"/>
                <w:color w:val="auto"/>
              </w:rPr>
            </w:pPr>
          </w:p>
        </w:tc>
        <w:tc>
          <w:tcPr>
            <w:tcW w:w="140" w:type="dxa"/>
            <w:vAlign w:val="bottom"/>
            <w:gridSpan w:val="5"/>
          </w:tcPr>
          <w:p>
            <w:pPr>
              <w:spacing w:after="0"/>
              <w:rPr>
                <w:sz w:val="17"/>
                <w:szCs w:val="17"/>
                <w:color w:val="auto"/>
              </w:rPr>
            </w:pPr>
          </w:p>
        </w:tc>
      </w:tr>
      <w:tr>
        <w:trPr>
          <w:trHeight w:val="344"/>
        </w:trPr>
        <w:tc>
          <w:tcPr>
            <w:tcW w:w="1220" w:type="dxa"/>
            <w:vAlign w:val="bottom"/>
          </w:tcPr>
          <w:p>
            <w:pPr>
              <w:ind w:left="100"/>
              <w:spacing w:after="0"/>
              <w:rPr>
                <w:sz w:val="20"/>
                <w:szCs w:val="20"/>
                <w:color w:val="auto"/>
              </w:rPr>
            </w:pPr>
            <w:r>
              <w:rPr>
                <w:rFonts w:ascii="Arial" w:cs="Arial" w:eastAsia="Arial" w:hAnsi="Arial"/>
                <w:sz w:val="18"/>
                <w:szCs w:val="18"/>
                <w:color w:val="auto"/>
              </w:rPr>
              <w:t>31.2</w:t>
            </w:r>
          </w:p>
        </w:tc>
        <w:tc>
          <w:tcPr>
            <w:tcW w:w="4100" w:type="dxa"/>
            <w:vAlign w:val="bottom"/>
            <w:gridSpan w:val="18"/>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Certification of Principal Accounting and Financial</w:t>
              </w:r>
            </w:hyperlink>
          </w:p>
        </w:tc>
      </w:tr>
      <w:tr>
        <w:trPr>
          <w:trHeight w:val="20"/>
        </w:trPr>
        <w:tc>
          <w:tcPr>
            <w:tcW w:w="1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1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41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55">
              <w:r>
                <w:rPr>
                  <w:rFonts w:ascii="Arial" w:cs="Arial" w:eastAsia="Arial" w:hAnsi="Arial"/>
                  <w:sz w:val="18"/>
                  <w:szCs w:val="18"/>
                  <w:color w:val="0000EE"/>
                  <w:w w:val="90"/>
                </w:rPr>
                <w:t>Officer Pursuant to Rules 13a-14(a) and 15d-14(a) under</w:t>
              </w:r>
            </w:hyperlink>
          </w:p>
        </w:tc>
      </w:tr>
      <w:tr>
        <w:trPr>
          <w:trHeight w:val="196"/>
        </w:trPr>
        <w:tc>
          <w:tcPr>
            <w:tcW w:w="1220" w:type="dxa"/>
            <w:vAlign w:val="bottom"/>
          </w:tcPr>
          <w:p>
            <w:pPr>
              <w:spacing w:after="0"/>
              <w:rPr>
                <w:sz w:val="17"/>
                <w:szCs w:val="17"/>
                <w:color w:val="auto"/>
              </w:rPr>
            </w:pPr>
          </w:p>
        </w:tc>
        <w:tc>
          <w:tcPr>
            <w:tcW w:w="4100" w:type="dxa"/>
            <w:vAlign w:val="bottom"/>
            <w:gridSpan w:val="18"/>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the Securities Exchange Act of 1934, as Adopted</w:t>
              </w:r>
            </w:hyperlink>
          </w:p>
        </w:tc>
      </w:tr>
      <w:tr>
        <w:trPr>
          <w:trHeight w:val="20"/>
        </w:trPr>
        <w:tc>
          <w:tcPr>
            <w:tcW w:w="12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140" w:type="dxa"/>
            <w:vAlign w:val="bottom"/>
            <w:gridSpan w:val="6"/>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4100" w:type="dxa"/>
            <w:vAlign w:val="bottom"/>
            <w:gridSpan w:val="18"/>
          </w:tcPr>
          <w:p>
            <w:pPr>
              <w:spacing w:after="0" w:line="196" w:lineRule="exact"/>
              <w:rPr>
                <w:rFonts w:ascii="Arial" w:cs="Arial" w:eastAsia="Arial" w:hAnsi="Arial"/>
                <w:sz w:val="18"/>
                <w:szCs w:val="18"/>
                <w:color w:val="0000EE"/>
                <w:w w:val="95"/>
              </w:rPr>
            </w:pPr>
            <w:hyperlink w:anchor="page155">
              <w:r>
                <w:rPr>
                  <w:rFonts w:ascii="Arial" w:cs="Arial" w:eastAsia="Arial" w:hAnsi="Arial"/>
                  <w:sz w:val="18"/>
                  <w:szCs w:val="18"/>
                  <w:color w:val="0000EE"/>
                  <w:w w:val="95"/>
                </w:rPr>
                <w:t>Pursuant to Section 302 of the Sarbanes-Oxley Act of</w:t>
              </w:r>
            </w:hyperlink>
          </w:p>
        </w:tc>
      </w:tr>
      <w:tr>
        <w:trPr>
          <w:trHeight w:val="196"/>
        </w:trPr>
        <w:tc>
          <w:tcPr>
            <w:tcW w:w="12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155">
              <w:r>
                <w:rPr>
                  <w:rFonts w:ascii="Arial" w:cs="Arial" w:eastAsia="Arial" w:hAnsi="Arial"/>
                  <w:sz w:val="18"/>
                  <w:szCs w:val="18"/>
                  <w:color w:val="0000EE"/>
                  <w:w w:val="84"/>
                </w:rPr>
                <w:t>2002.</w:t>
              </w:r>
            </w:hyperlink>
          </w:p>
        </w:tc>
        <w:tc>
          <w:tcPr>
            <w:tcW w:w="17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4"/>
        </w:trPr>
        <w:tc>
          <w:tcPr>
            <w:tcW w:w="1220" w:type="dxa"/>
            <w:vAlign w:val="bottom"/>
          </w:tcPr>
          <w:p>
            <w:pPr>
              <w:ind w:left="100"/>
              <w:spacing w:after="0"/>
              <w:rPr>
                <w:sz w:val="20"/>
                <w:szCs w:val="20"/>
                <w:color w:val="auto"/>
              </w:rPr>
            </w:pPr>
            <w:r>
              <w:rPr>
                <w:rFonts w:ascii="Arial" w:cs="Arial" w:eastAsia="Arial" w:hAnsi="Arial"/>
                <w:sz w:val="18"/>
                <w:szCs w:val="18"/>
                <w:color w:val="auto"/>
              </w:rPr>
              <w:t>32.1†</w:t>
            </w:r>
          </w:p>
        </w:tc>
        <w:tc>
          <w:tcPr>
            <w:tcW w:w="4100" w:type="dxa"/>
            <w:vAlign w:val="bottom"/>
            <w:gridSpan w:val="18"/>
          </w:tcPr>
          <w:p>
            <w:pPr>
              <w:spacing w:after="0"/>
              <w:rPr>
                <w:rFonts w:ascii="Arial" w:cs="Arial" w:eastAsia="Arial" w:hAnsi="Arial"/>
                <w:sz w:val="18"/>
                <w:szCs w:val="18"/>
                <w:color w:val="0000EE"/>
                <w:w w:val="95"/>
              </w:rPr>
            </w:pPr>
            <w:hyperlink w:anchor="page156">
              <w:r>
                <w:rPr>
                  <w:rFonts w:ascii="Arial" w:cs="Arial" w:eastAsia="Arial" w:hAnsi="Arial"/>
                  <w:sz w:val="18"/>
                  <w:szCs w:val="18"/>
                  <w:color w:val="0000EE"/>
                  <w:w w:val="95"/>
                </w:rPr>
                <w:t>Certification of Principal Executive Officer Pursuant to</w:t>
              </w:r>
            </w:hyperlink>
          </w:p>
        </w:tc>
      </w:tr>
      <w:tr>
        <w:trPr>
          <w:trHeight w:val="20"/>
        </w:trPr>
        <w:tc>
          <w:tcPr>
            <w:tcW w:w="1220" w:type="dxa"/>
            <w:vAlign w:val="bottom"/>
          </w:tcPr>
          <w:p>
            <w:pPr>
              <w:spacing w:after="0" w:line="20" w:lineRule="exact"/>
              <w:rPr>
                <w:sz w:val="1"/>
                <w:szCs w:val="1"/>
                <w:color w:val="auto"/>
              </w:rPr>
            </w:pPr>
          </w:p>
        </w:tc>
        <w:tc>
          <w:tcPr>
            <w:tcW w:w="3980" w:type="dxa"/>
            <w:vAlign w:val="bottom"/>
            <w:gridSpan w:val="1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40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18 U.S.C. Section 1350, as Adopted Pursuant to Section</w:t>
              </w:r>
            </w:hyperlink>
          </w:p>
        </w:tc>
        <w:tc>
          <w:tcPr>
            <w:tcW w:w="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8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56">
              <w:r>
                <w:rPr>
                  <w:rFonts w:ascii="Arial" w:cs="Arial" w:eastAsia="Arial" w:hAnsi="Arial"/>
                  <w:sz w:val="18"/>
                  <w:szCs w:val="18"/>
                  <w:color w:val="0000EE"/>
                  <w:w w:val="90"/>
                </w:rPr>
                <w:t>906 of the Sarbanes-Oxley Act of 2002.</w:t>
              </w:r>
            </w:hyperlink>
          </w:p>
        </w:tc>
        <w:tc>
          <w:tcPr>
            <w:tcW w:w="1220" w:type="dxa"/>
            <w:vAlign w:val="bottom"/>
            <w:gridSpan w:val="13"/>
          </w:tcPr>
          <w:p>
            <w:pPr>
              <w:spacing w:after="0"/>
              <w:rPr>
                <w:sz w:val="17"/>
                <w:szCs w:val="17"/>
                <w:color w:val="auto"/>
              </w:rPr>
            </w:pPr>
          </w:p>
        </w:tc>
      </w:tr>
      <w:tr>
        <w:trPr>
          <w:trHeight w:val="344"/>
        </w:trPr>
        <w:tc>
          <w:tcPr>
            <w:tcW w:w="1220" w:type="dxa"/>
            <w:vAlign w:val="bottom"/>
          </w:tcPr>
          <w:p>
            <w:pPr>
              <w:ind w:left="100"/>
              <w:spacing w:after="0"/>
              <w:rPr>
                <w:sz w:val="20"/>
                <w:szCs w:val="20"/>
                <w:color w:val="auto"/>
              </w:rPr>
            </w:pPr>
            <w:r>
              <w:rPr>
                <w:rFonts w:ascii="Arial" w:cs="Arial" w:eastAsia="Arial" w:hAnsi="Arial"/>
                <w:sz w:val="18"/>
                <w:szCs w:val="18"/>
                <w:color w:val="auto"/>
              </w:rPr>
              <w:t>32.2†</w:t>
            </w:r>
          </w:p>
        </w:tc>
        <w:tc>
          <w:tcPr>
            <w:tcW w:w="4100" w:type="dxa"/>
            <w:vAlign w:val="bottom"/>
            <w:gridSpan w:val="18"/>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Certification of Principal Accounting and Financial</w:t>
              </w:r>
            </w:hyperlink>
          </w:p>
        </w:tc>
      </w:tr>
      <w:tr>
        <w:trPr>
          <w:trHeight w:val="20"/>
        </w:trPr>
        <w:tc>
          <w:tcPr>
            <w:tcW w:w="1220" w:type="dxa"/>
            <w:vAlign w:val="bottom"/>
          </w:tcPr>
          <w:p>
            <w:pPr>
              <w:spacing w:after="0" w:line="20" w:lineRule="exact"/>
              <w:rPr>
                <w:sz w:val="1"/>
                <w:szCs w:val="1"/>
                <w:color w:val="auto"/>
              </w:rPr>
            </w:pPr>
          </w:p>
        </w:tc>
        <w:tc>
          <w:tcPr>
            <w:tcW w:w="3700" w:type="dxa"/>
            <w:vAlign w:val="bottom"/>
            <w:gridSpan w:val="9"/>
            <w:shd w:val="clear" w:color="auto" w:fill="0000EE"/>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4100" w:type="dxa"/>
            <w:vAlign w:val="bottom"/>
            <w:gridSpan w:val="18"/>
          </w:tcPr>
          <w:p>
            <w:pPr>
              <w:spacing w:after="0" w:line="196" w:lineRule="exact"/>
              <w:rPr>
                <w:rFonts w:ascii="Arial" w:cs="Arial" w:eastAsia="Arial" w:hAnsi="Arial"/>
                <w:sz w:val="18"/>
                <w:szCs w:val="18"/>
                <w:color w:val="0000EE"/>
                <w:w w:val="91"/>
              </w:rPr>
            </w:pPr>
            <w:hyperlink w:anchor="page157">
              <w:r>
                <w:rPr>
                  <w:rFonts w:ascii="Arial" w:cs="Arial" w:eastAsia="Arial" w:hAnsi="Arial"/>
                  <w:sz w:val="18"/>
                  <w:szCs w:val="18"/>
                  <w:color w:val="0000EE"/>
                  <w:w w:val="91"/>
                </w:rPr>
                <w:t>Officer Pursuant to 18 U.S.C. Section 1350, as Adopted</w:t>
              </w:r>
            </w:hyperlink>
          </w:p>
        </w:tc>
      </w:tr>
      <w:tr>
        <w:trPr>
          <w:trHeight w:val="196"/>
        </w:trPr>
        <w:tc>
          <w:tcPr>
            <w:tcW w:w="1220" w:type="dxa"/>
            <w:vAlign w:val="bottom"/>
          </w:tcPr>
          <w:p>
            <w:pPr>
              <w:spacing w:after="0"/>
              <w:rPr>
                <w:sz w:val="17"/>
                <w:szCs w:val="17"/>
                <w:color w:val="auto"/>
              </w:rPr>
            </w:pPr>
          </w:p>
        </w:tc>
        <w:tc>
          <w:tcPr>
            <w:tcW w:w="4020" w:type="dxa"/>
            <w:vAlign w:val="bottom"/>
            <w:tcBorders>
              <w:top w:val="single" w:sz="8" w:color="0000EE"/>
            </w:tcBorders>
            <w:gridSpan w:val="16"/>
          </w:tcPr>
          <w:p>
            <w:pPr>
              <w:spacing w:after="0" w:line="196" w:lineRule="exact"/>
              <w:rPr>
                <w:rFonts w:ascii="Arial" w:cs="Arial" w:eastAsia="Arial" w:hAnsi="Arial"/>
                <w:sz w:val="18"/>
                <w:szCs w:val="18"/>
                <w:color w:val="0000EE"/>
                <w:w w:val="93"/>
              </w:rPr>
            </w:pPr>
            <w:hyperlink w:anchor="page157">
              <w:r>
                <w:rPr>
                  <w:rFonts w:ascii="Arial" w:cs="Arial" w:eastAsia="Arial" w:hAnsi="Arial"/>
                  <w:sz w:val="18"/>
                  <w:szCs w:val="18"/>
                  <w:color w:val="0000EE"/>
                  <w:w w:val="93"/>
                </w:rPr>
                <w:t>Pursuant to Section 906 of the Sarbanes-Oxley Act of</w:t>
              </w:r>
            </w:hyperlink>
          </w:p>
        </w:tc>
        <w:tc>
          <w:tcPr>
            <w:tcW w:w="8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4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157">
              <w:r>
                <w:rPr>
                  <w:rFonts w:ascii="Arial" w:cs="Arial" w:eastAsia="Arial" w:hAnsi="Arial"/>
                  <w:sz w:val="18"/>
                  <w:szCs w:val="18"/>
                  <w:color w:val="0000EE"/>
                  <w:w w:val="84"/>
                </w:rPr>
                <w:t>2002.</w:t>
              </w:r>
            </w:hyperlink>
          </w:p>
        </w:tc>
        <w:tc>
          <w:tcPr>
            <w:tcW w:w="17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85"/>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410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r>
      <w:tr>
        <w:trPr>
          <w:trHeight w:val="365"/>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410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50"/>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410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30"/>
        </w:trPr>
        <w:tc>
          <w:tcPr>
            <w:tcW w:w="1220" w:type="dxa"/>
            <w:vAlign w:val="bottom"/>
          </w:tcPr>
          <w:p>
            <w:pPr>
              <w:spacing w:after="0"/>
              <w:rPr>
                <w:sz w:val="20"/>
                <w:szCs w:val="20"/>
                <w:color w:val="auto"/>
              </w:rPr>
            </w:pPr>
          </w:p>
        </w:tc>
        <w:tc>
          <w:tcPr>
            <w:tcW w:w="4100" w:type="dxa"/>
            <w:vAlign w:val="bottom"/>
            <w:gridSpan w:val="18"/>
          </w:tcPr>
          <w:p>
            <w:pPr>
              <w:spacing w:after="0"/>
              <w:rPr>
                <w:sz w:val="20"/>
                <w:szCs w:val="20"/>
                <w:color w:val="auto"/>
              </w:rPr>
            </w:pPr>
            <w:r>
              <w:rPr>
                <w:rFonts w:ascii="Arial" w:cs="Arial" w:eastAsia="Arial" w:hAnsi="Arial"/>
                <w:sz w:val="18"/>
                <w:szCs w:val="18"/>
                <w:color w:val="auto"/>
              </w:rPr>
              <w:t>Document</w:t>
            </w:r>
          </w:p>
        </w:tc>
      </w:tr>
      <w:tr>
        <w:trPr>
          <w:trHeight w:val="350"/>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410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30"/>
        </w:trPr>
        <w:tc>
          <w:tcPr>
            <w:tcW w:w="1220" w:type="dxa"/>
            <w:vAlign w:val="bottom"/>
          </w:tcPr>
          <w:p>
            <w:pPr>
              <w:spacing w:after="0"/>
              <w:rPr>
                <w:sz w:val="20"/>
                <w:szCs w:val="20"/>
                <w:color w:val="auto"/>
              </w:rPr>
            </w:pPr>
          </w:p>
        </w:tc>
        <w:tc>
          <w:tcPr>
            <w:tcW w:w="4100" w:type="dxa"/>
            <w:vAlign w:val="bottom"/>
            <w:gridSpan w:val="18"/>
          </w:tcPr>
          <w:p>
            <w:pPr>
              <w:spacing w:after="0"/>
              <w:rPr>
                <w:sz w:val="20"/>
                <w:szCs w:val="20"/>
                <w:color w:val="auto"/>
              </w:rPr>
            </w:pPr>
            <w:r>
              <w:rPr>
                <w:rFonts w:ascii="Arial" w:cs="Arial" w:eastAsia="Arial" w:hAnsi="Arial"/>
                <w:sz w:val="18"/>
                <w:szCs w:val="18"/>
                <w:color w:val="auto"/>
              </w:rPr>
              <w:t>Document</w:t>
            </w:r>
          </w:p>
        </w:tc>
      </w:tr>
      <w:tr>
        <w:trPr>
          <w:trHeight w:val="365"/>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4100" w:type="dxa"/>
            <w:vAlign w:val="bottom"/>
            <w:gridSpan w:val="18"/>
          </w:tcPr>
          <w:p>
            <w:pPr>
              <w:spacing w:after="0"/>
              <w:rPr>
                <w:sz w:val="20"/>
                <w:szCs w:val="20"/>
                <w:color w:val="auto"/>
              </w:rPr>
            </w:pPr>
            <w:r>
              <w:rPr>
                <w:rFonts w:ascii="Arial" w:cs="Arial" w:eastAsia="Arial" w:hAnsi="Arial"/>
                <w:sz w:val="18"/>
                <w:szCs w:val="18"/>
                <w:color w:val="auto"/>
                <w:w w:val="94"/>
              </w:rPr>
              <w:t>XBRL Taxonomy Extension Label Linkbase Document</w:t>
            </w:r>
          </w:p>
        </w:tc>
      </w:tr>
      <w:tr>
        <w:trPr>
          <w:trHeight w:val="350"/>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410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230"/>
        </w:trPr>
        <w:tc>
          <w:tcPr>
            <w:tcW w:w="1220" w:type="dxa"/>
            <w:vAlign w:val="bottom"/>
          </w:tcPr>
          <w:p>
            <w:pPr>
              <w:spacing w:after="0"/>
              <w:rPr>
                <w:sz w:val="20"/>
                <w:szCs w:val="20"/>
                <w:color w:val="auto"/>
              </w:rPr>
            </w:pPr>
          </w:p>
        </w:tc>
        <w:tc>
          <w:tcPr>
            <w:tcW w:w="4100" w:type="dxa"/>
            <w:vAlign w:val="bottom"/>
            <w:gridSpan w:val="18"/>
          </w:tcPr>
          <w:p>
            <w:pPr>
              <w:spacing w:after="0"/>
              <w:rPr>
                <w:sz w:val="20"/>
                <w:szCs w:val="20"/>
                <w:color w:val="auto"/>
              </w:rPr>
            </w:pPr>
            <w:r>
              <w:rPr>
                <w:rFonts w:ascii="Arial" w:cs="Arial" w:eastAsia="Arial" w:hAnsi="Arial"/>
                <w:sz w:val="18"/>
                <w:szCs w:val="18"/>
                <w:color w:val="auto"/>
              </w:rPr>
              <w:t>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054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505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tcPr>
          <w:p>
            <w:pPr>
              <w:ind w:left="400"/>
              <w:spacing w:after="0"/>
              <w:rPr>
                <w:sz w:val="20"/>
                <w:szCs w:val="20"/>
                <w:color w:val="auto"/>
              </w:rPr>
            </w:pPr>
            <w:r>
              <w:rPr>
                <w:rFonts w:ascii="Arial" w:cs="Arial" w:eastAsia="Arial" w:hAnsi="Arial"/>
                <w:sz w:val="18"/>
                <w:szCs w:val="18"/>
                <w:color w:val="auto"/>
              </w:rPr>
              <w:t>333-227237</w:t>
            </w:r>
          </w:p>
        </w:tc>
        <w:tc>
          <w:tcPr>
            <w:tcW w:w="1320" w:type="dxa"/>
            <w:vAlign w:val="bottom"/>
          </w:tcPr>
          <w:p>
            <w:pPr>
              <w:ind w:left="480"/>
              <w:spacing w:after="0"/>
              <w:rPr>
                <w:sz w:val="20"/>
                <w:szCs w:val="20"/>
                <w:color w:val="auto"/>
              </w:rPr>
            </w:pPr>
            <w:r>
              <w:rPr>
                <w:rFonts w:ascii="Arial" w:cs="Arial" w:eastAsia="Arial" w:hAnsi="Arial"/>
                <w:sz w:val="18"/>
                <w:szCs w:val="18"/>
                <w:color w:val="auto"/>
              </w:rPr>
              <w:t>10.15</w:t>
            </w:r>
          </w:p>
        </w:tc>
        <w:tc>
          <w:tcPr>
            <w:tcW w:w="1160" w:type="dxa"/>
            <w:vAlign w:val="bottom"/>
          </w:tcPr>
          <w:p>
            <w:pPr>
              <w:jc w:val="right"/>
              <w:spacing w:after="0"/>
              <w:rPr>
                <w:sz w:val="20"/>
                <w:szCs w:val="20"/>
                <w:color w:val="auto"/>
              </w:rPr>
            </w:pPr>
            <w:r>
              <w:rPr>
                <w:rFonts w:ascii="Arial" w:cs="Arial" w:eastAsia="Arial" w:hAnsi="Arial"/>
                <w:sz w:val="18"/>
                <w:szCs w:val="18"/>
                <w:color w:val="auto"/>
              </w:rPr>
              <w:t>9/24/2018</w:t>
            </w:r>
          </w:p>
        </w:tc>
      </w:tr>
      <w:tr>
        <w:trPr>
          <w:trHeight w:val="365"/>
        </w:trPr>
        <w:tc>
          <w:tcPr>
            <w:tcW w:w="800" w:type="dxa"/>
            <w:vAlign w:val="bottom"/>
          </w:tcPr>
          <w:p>
            <w:pPr>
              <w:spacing w:after="0"/>
              <w:rPr>
                <w:sz w:val="20"/>
                <w:szCs w:val="20"/>
                <w:color w:val="auto"/>
              </w:rPr>
            </w:pPr>
            <w:r>
              <w:rPr>
                <w:rFonts w:ascii="Arial" w:cs="Arial" w:eastAsia="Arial" w:hAnsi="Arial"/>
                <w:sz w:val="18"/>
                <w:szCs w:val="18"/>
                <w:color w:val="auto"/>
              </w:rPr>
              <w:t>S-1/A</w:t>
            </w:r>
          </w:p>
        </w:tc>
        <w:tc>
          <w:tcPr>
            <w:tcW w:w="1740" w:type="dxa"/>
            <w:vAlign w:val="bottom"/>
          </w:tcPr>
          <w:p>
            <w:pPr>
              <w:ind w:left="400"/>
              <w:spacing w:after="0"/>
              <w:rPr>
                <w:sz w:val="20"/>
                <w:szCs w:val="20"/>
                <w:color w:val="auto"/>
              </w:rPr>
            </w:pPr>
            <w:r>
              <w:rPr>
                <w:rFonts w:ascii="Arial" w:cs="Arial" w:eastAsia="Arial" w:hAnsi="Arial"/>
                <w:sz w:val="18"/>
                <w:szCs w:val="18"/>
                <w:color w:val="auto"/>
              </w:rPr>
              <w:t>333-227237</w:t>
            </w:r>
          </w:p>
        </w:tc>
        <w:tc>
          <w:tcPr>
            <w:tcW w:w="1320" w:type="dxa"/>
            <w:vAlign w:val="bottom"/>
          </w:tcPr>
          <w:p>
            <w:pPr>
              <w:ind w:left="480"/>
              <w:spacing w:after="0"/>
              <w:rPr>
                <w:sz w:val="20"/>
                <w:szCs w:val="20"/>
                <w:color w:val="auto"/>
              </w:rPr>
            </w:pPr>
            <w:r>
              <w:rPr>
                <w:rFonts w:ascii="Arial" w:cs="Arial" w:eastAsia="Arial" w:hAnsi="Arial"/>
                <w:sz w:val="18"/>
                <w:szCs w:val="18"/>
                <w:color w:val="auto"/>
              </w:rPr>
              <w:t>10.16</w:t>
            </w:r>
          </w:p>
        </w:tc>
        <w:tc>
          <w:tcPr>
            <w:tcW w:w="1160" w:type="dxa"/>
            <w:vAlign w:val="bottom"/>
          </w:tcPr>
          <w:p>
            <w:pPr>
              <w:jc w:val="right"/>
              <w:spacing w:after="0"/>
              <w:rPr>
                <w:sz w:val="20"/>
                <w:szCs w:val="20"/>
                <w:color w:val="auto"/>
              </w:rPr>
            </w:pPr>
            <w:r>
              <w:rPr>
                <w:rFonts w:ascii="Arial" w:cs="Arial" w:eastAsia="Arial" w:hAnsi="Arial"/>
                <w:sz w:val="18"/>
                <w:szCs w:val="18"/>
                <w:color w:val="auto"/>
              </w:rPr>
              <w:t>9/24/2018</w:t>
            </w:r>
          </w:p>
        </w:tc>
      </w:tr>
      <w:tr>
        <w:trPr>
          <w:trHeight w:val="364"/>
        </w:trPr>
        <w:tc>
          <w:tcPr>
            <w:tcW w:w="800" w:type="dxa"/>
            <w:vAlign w:val="bottom"/>
          </w:tcPr>
          <w:p>
            <w:pPr>
              <w:spacing w:after="0"/>
              <w:rPr>
                <w:sz w:val="20"/>
                <w:szCs w:val="20"/>
                <w:color w:val="auto"/>
              </w:rPr>
            </w:pPr>
            <w:r>
              <w:rPr>
                <w:rFonts w:ascii="Arial" w:cs="Arial" w:eastAsia="Arial" w:hAnsi="Arial"/>
                <w:sz w:val="18"/>
                <w:szCs w:val="18"/>
                <w:color w:val="auto"/>
              </w:rPr>
              <w:t>8-K</w:t>
            </w:r>
          </w:p>
        </w:tc>
        <w:tc>
          <w:tcPr>
            <w:tcW w:w="1740" w:type="dxa"/>
            <w:vAlign w:val="bottom"/>
          </w:tcPr>
          <w:p>
            <w:pPr>
              <w:ind w:left="400"/>
              <w:spacing w:after="0"/>
              <w:rPr>
                <w:sz w:val="20"/>
                <w:szCs w:val="20"/>
                <w:color w:val="auto"/>
              </w:rPr>
            </w:pPr>
            <w:r>
              <w:rPr>
                <w:rFonts w:ascii="Arial" w:cs="Arial" w:eastAsia="Arial" w:hAnsi="Arial"/>
                <w:sz w:val="18"/>
                <w:szCs w:val="18"/>
                <w:color w:val="auto"/>
              </w:rPr>
              <w:t>001-38682</w:t>
            </w:r>
          </w:p>
        </w:tc>
        <w:tc>
          <w:tcPr>
            <w:tcW w:w="1320" w:type="dxa"/>
            <w:vAlign w:val="bottom"/>
          </w:tcPr>
          <w:p>
            <w:pPr>
              <w:ind w:left="480"/>
              <w:spacing w:after="0"/>
              <w:rPr>
                <w:sz w:val="20"/>
                <w:szCs w:val="20"/>
                <w:color w:val="auto"/>
              </w:rPr>
            </w:pPr>
            <w:r>
              <w:rPr>
                <w:rFonts w:ascii="Arial" w:cs="Arial" w:eastAsia="Arial" w:hAnsi="Arial"/>
                <w:sz w:val="18"/>
                <w:szCs w:val="18"/>
                <w:color w:val="auto"/>
              </w:rPr>
              <w:t>10.1</w:t>
            </w:r>
          </w:p>
        </w:tc>
        <w:tc>
          <w:tcPr>
            <w:tcW w:w="1160" w:type="dxa"/>
            <w:vAlign w:val="bottom"/>
          </w:tcPr>
          <w:p>
            <w:pPr>
              <w:jc w:val="right"/>
              <w:spacing w:after="0"/>
              <w:rPr>
                <w:sz w:val="20"/>
                <w:szCs w:val="20"/>
                <w:color w:val="auto"/>
              </w:rPr>
            </w:pPr>
            <w:r>
              <w:rPr>
                <w:rFonts w:ascii="Arial" w:cs="Arial" w:eastAsia="Arial" w:hAnsi="Arial"/>
                <w:sz w:val="18"/>
                <w:szCs w:val="18"/>
                <w:color w:val="auto"/>
              </w:rPr>
              <w:t>12/2/2019</w:t>
            </w:r>
          </w:p>
        </w:tc>
      </w:tr>
    </w:tbl>
    <w:p>
      <w:pPr>
        <w:spacing w:after="0" w:line="8450" w:lineRule="exact"/>
        <w:rPr>
          <w:sz w:val="20"/>
          <w:szCs w:val="20"/>
          <w:color w:val="auto"/>
        </w:rPr>
      </w:pPr>
    </w:p>
    <w:p>
      <w:pPr>
        <w:sectPr>
          <w:pgSz w:w="11900" w:h="16838" w:orient="portrait"/>
          <w:cols w:equalWidth="0" w:num="2">
            <w:col w:w="5320" w:space="300"/>
            <w:col w:w="5360"/>
          </w:cols>
          <w:pgMar w:left="320" w:top="472" w:right="599" w:bottom="1440" w:gutter="0" w:footer="0" w:header="0"/>
        </w:sectPr>
      </w:pPr>
    </w:p>
    <w:p>
      <w:pPr>
        <w:ind w:left="540" w:hanging="532"/>
        <w:spacing w:after="0"/>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50" w:lineRule="exact"/>
        <w:rPr>
          <w:sz w:val="20"/>
          <w:szCs w:val="20"/>
          <w:color w:val="auto"/>
        </w:rPr>
      </w:pPr>
    </w:p>
    <w:p>
      <w:pPr>
        <w:ind w:left="540" w:hanging="532"/>
        <w:spacing w:after="0" w:line="301"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are deemed “furnished” and not deemed “filed” for purposes of Section 18 of the Securities Exchange Act of 1934 and are not to be incorporated by reference into any filing of Kodiak Sciences Inc.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320" w:top="472" w:right="599" w:bottom="1440" w:gutter="0" w:footer="0" w:header="0"/>
          <w:type w:val="continuous"/>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KODIAK SCIENCES INC.</w:t>
      </w:r>
    </w:p>
    <w:p>
      <w:pPr>
        <w:spacing w:after="0" w:line="252" w:lineRule="exact"/>
        <w:rPr>
          <w:sz w:val="20"/>
          <w:szCs w:val="20"/>
          <w:color w:val="auto"/>
        </w:rPr>
      </w:pPr>
    </w:p>
    <w:p>
      <w:pPr>
        <w:spacing w:after="0"/>
        <w:tabs>
          <w:tab w:leader="none" w:pos="5200" w:val="left"/>
          <w:tab w:leader="none" w:pos="770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6429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2"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688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(Duly Authorized Officer and Principal Executive Officer)</w:t>
      </w:r>
    </w:p>
    <w:p>
      <w:pPr>
        <w:spacing w:after="0" w:line="112"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Victor Perlroth and John Borgeson,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might or could do in person, hereby ratifying and confirming that all said attorneys-in-fact and agents, or his or their substitute or substitutes, may lawfully do or cause to be done by virtue hereof.</w:t>
      </w:r>
    </w:p>
    <w:p>
      <w:pPr>
        <w:spacing w:after="0" w:line="69"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820" w:type="dxa"/>
            <w:vAlign w:val="bottom"/>
            <w:tcBorders>
              <w:bottom w:val="single" w:sz="8" w:color="auto"/>
            </w:tcBorders>
          </w:tcPr>
          <w:p>
            <w:pPr>
              <w:jc w:val="right"/>
              <w:ind w:right="2130"/>
              <w:spacing w:after="0"/>
              <w:rPr>
                <w:sz w:val="20"/>
                <w:szCs w:val="20"/>
                <w:color w:val="auto"/>
              </w:rPr>
            </w:pPr>
            <w:r>
              <w:rPr>
                <w:rFonts w:ascii="Arial" w:cs="Arial" w:eastAsia="Arial" w:hAnsi="Arial"/>
                <w:sz w:val="18"/>
                <w:szCs w:val="18"/>
                <w:b w:val="1"/>
                <w:bCs w:val="1"/>
                <w:color w:val="auto"/>
              </w:rPr>
              <w:t>Title</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Victor Perlroth</w:t>
            </w: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Chairman and Chief Executive Officer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88"/>
        </w:trPr>
        <w:tc>
          <w:tcPr>
            <w:tcW w:w="3380" w:type="dxa"/>
            <w:vAlign w:val="bottom"/>
            <w:vMerge w:val="restart"/>
          </w:tcPr>
          <w:p>
            <w:pPr>
              <w:spacing w:after="0"/>
              <w:rPr>
                <w:sz w:val="20"/>
                <w:szCs w:val="20"/>
                <w:color w:val="auto"/>
              </w:rPr>
            </w:pPr>
            <w:r>
              <w:rPr>
                <w:rFonts w:ascii="Arial" w:cs="Arial" w:eastAsia="Arial" w:hAnsi="Arial"/>
                <w:sz w:val="18"/>
                <w:szCs w:val="18"/>
                <w:color w:val="auto"/>
              </w:rPr>
              <w:t>Victor Perlroth, M.D.</w:t>
            </w:r>
          </w:p>
        </w:tc>
        <w:tc>
          <w:tcPr>
            <w:tcW w:w="5060" w:type="dxa"/>
            <w:vAlign w:val="bottom"/>
            <w:gridSpan w:val="3"/>
            <w:vMerge w:val="restart"/>
          </w:tcPr>
          <w:p>
            <w:pPr>
              <w:ind w:left="120"/>
              <w:spacing w:after="0"/>
              <w:rPr>
                <w:sz w:val="20"/>
                <w:szCs w:val="20"/>
                <w:color w:val="auto"/>
              </w:rPr>
            </w:pPr>
            <w:r>
              <w:rPr>
                <w:rFonts w:ascii="Arial" w:cs="Arial" w:eastAsia="Arial" w:hAnsi="Arial"/>
                <w:sz w:val="18"/>
                <w:szCs w:val="18"/>
                <w:color w:val="auto"/>
              </w:rPr>
              <w:t>(Principal Executive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80" w:type="dxa"/>
            <w:vAlign w:val="bottom"/>
            <w:vMerge w:val="continue"/>
          </w:tcPr>
          <w:p>
            <w:pPr>
              <w:spacing w:after="0"/>
              <w:rPr>
                <w:sz w:val="11"/>
                <w:szCs w:val="11"/>
                <w:color w:val="auto"/>
              </w:rPr>
            </w:pPr>
          </w:p>
        </w:tc>
        <w:tc>
          <w:tcPr>
            <w:tcW w:w="5060" w:type="dxa"/>
            <w:vAlign w:val="bottom"/>
            <w:gridSpan w:val="3"/>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Borgeson</w:t>
            </w: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Senior Vice President and Chief Financial Officer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88"/>
        </w:trPr>
        <w:tc>
          <w:tcPr>
            <w:tcW w:w="3380" w:type="dxa"/>
            <w:vAlign w:val="bottom"/>
            <w:vMerge w:val="restart"/>
          </w:tcPr>
          <w:p>
            <w:pPr>
              <w:spacing w:after="0"/>
              <w:rPr>
                <w:sz w:val="20"/>
                <w:szCs w:val="20"/>
                <w:color w:val="auto"/>
              </w:rPr>
            </w:pPr>
            <w:r>
              <w:rPr>
                <w:rFonts w:ascii="Arial" w:cs="Arial" w:eastAsia="Arial" w:hAnsi="Arial"/>
                <w:sz w:val="18"/>
                <w:szCs w:val="18"/>
                <w:color w:val="auto"/>
              </w:rPr>
              <w:t>John Borgeson</w:t>
            </w:r>
          </w:p>
        </w:tc>
        <w:tc>
          <w:tcPr>
            <w:tcW w:w="5060" w:type="dxa"/>
            <w:vAlign w:val="bottom"/>
            <w:gridSpan w:val="3"/>
            <w:vMerge w:val="restart"/>
          </w:tcPr>
          <w:p>
            <w:pPr>
              <w:ind w:left="120"/>
              <w:spacing w:after="0"/>
              <w:rPr>
                <w:sz w:val="20"/>
                <w:szCs w:val="20"/>
                <w:color w:val="auto"/>
              </w:rPr>
            </w:pPr>
            <w:r>
              <w:rPr>
                <w:rFonts w:ascii="Arial" w:cs="Arial" w:eastAsia="Arial" w:hAnsi="Arial"/>
                <w:sz w:val="18"/>
                <w:szCs w:val="18"/>
                <w:color w:val="auto"/>
              </w:rPr>
              <w:t>(Principal Accounting and Financial Officer)</w:t>
            </w: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80" w:type="dxa"/>
            <w:vAlign w:val="bottom"/>
            <w:vMerge w:val="continue"/>
          </w:tcPr>
          <w:p>
            <w:pPr>
              <w:spacing w:after="0"/>
              <w:rPr>
                <w:sz w:val="11"/>
                <w:szCs w:val="11"/>
                <w:color w:val="auto"/>
              </w:rPr>
            </w:pPr>
          </w:p>
        </w:tc>
        <w:tc>
          <w:tcPr>
            <w:tcW w:w="5060" w:type="dxa"/>
            <w:vAlign w:val="bottom"/>
            <w:gridSpan w:val="3"/>
            <w:vMerge w:val="continue"/>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Bassil I. Dahiyat</w:t>
            </w:r>
          </w:p>
        </w:tc>
        <w:tc>
          <w:tcPr>
            <w:tcW w:w="506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88"/>
        </w:trPr>
        <w:tc>
          <w:tcPr>
            <w:tcW w:w="3380" w:type="dxa"/>
            <w:vAlign w:val="bottom"/>
            <w:vMerge w:val="restart"/>
          </w:tcPr>
          <w:p>
            <w:pPr>
              <w:spacing w:after="0"/>
              <w:rPr>
                <w:sz w:val="20"/>
                <w:szCs w:val="20"/>
                <w:color w:val="auto"/>
              </w:rPr>
            </w:pPr>
            <w:r>
              <w:rPr>
                <w:rFonts w:ascii="Arial" w:cs="Arial" w:eastAsia="Arial" w:hAnsi="Arial"/>
                <w:sz w:val="18"/>
                <w:szCs w:val="18"/>
                <w:color w:val="auto"/>
              </w:rPr>
              <w:t>Bassil I. Dahiyat, Ph.D.</w:t>
            </w:r>
          </w:p>
        </w:tc>
        <w:tc>
          <w:tcPr>
            <w:tcW w:w="5060" w:type="dxa"/>
            <w:vAlign w:val="bottom"/>
            <w:gridSpan w:val="3"/>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 Levy</w:t>
            </w:r>
          </w:p>
        </w:tc>
        <w:tc>
          <w:tcPr>
            <w:tcW w:w="506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88"/>
        </w:trPr>
        <w:tc>
          <w:tcPr>
            <w:tcW w:w="3380" w:type="dxa"/>
            <w:vAlign w:val="bottom"/>
            <w:vMerge w:val="restart"/>
          </w:tcPr>
          <w:p>
            <w:pPr>
              <w:spacing w:after="0"/>
              <w:rPr>
                <w:sz w:val="20"/>
                <w:szCs w:val="20"/>
                <w:color w:val="auto"/>
              </w:rPr>
            </w:pPr>
            <w:r>
              <w:rPr>
                <w:rFonts w:ascii="Arial" w:cs="Arial" w:eastAsia="Arial" w:hAnsi="Arial"/>
                <w:sz w:val="18"/>
                <w:szCs w:val="18"/>
                <w:color w:val="auto"/>
              </w:rPr>
              <w:t>Richard S. Levy, M.D.</w:t>
            </w:r>
          </w:p>
        </w:tc>
        <w:tc>
          <w:tcPr>
            <w:tcW w:w="5060" w:type="dxa"/>
            <w:vAlign w:val="bottom"/>
            <w:gridSpan w:val="3"/>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Profusek</w:t>
            </w:r>
          </w:p>
        </w:tc>
        <w:tc>
          <w:tcPr>
            <w:tcW w:w="506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88"/>
        </w:trPr>
        <w:tc>
          <w:tcPr>
            <w:tcW w:w="3380" w:type="dxa"/>
            <w:vAlign w:val="bottom"/>
            <w:vMerge w:val="restart"/>
          </w:tcPr>
          <w:p>
            <w:pPr>
              <w:spacing w:after="0"/>
              <w:rPr>
                <w:sz w:val="20"/>
                <w:szCs w:val="20"/>
                <w:color w:val="auto"/>
              </w:rPr>
            </w:pPr>
            <w:r>
              <w:rPr>
                <w:rFonts w:ascii="Arial" w:cs="Arial" w:eastAsia="Arial" w:hAnsi="Arial"/>
                <w:sz w:val="18"/>
                <w:szCs w:val="18"/>
                <w:color w:val="auto"/>
              </w:rPr>
              <w:t>Robert A. Profusek</w:t>
            </w:r>
          </w:p>
        </w:tc>
        <w:tc>
          <w:tcPr>
            <w:tcW w:w="5060" w:type="dxa"/>
            <w:vAlign w:val="bottom"/>
            <w:gridSpan w:val="3"/>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Taiyin Yang</w:t>
            </w:r>
          </w:p>
        </w:tc>
        <w:tc>
          <w:tcPr>
            <w:tcW w:w="5060" w:type="dxa"/>
            <w:vAlign w:val="bottom"/>
            <w:gridSpan w:val="3"/>
            <w:vMerge w:val="restart"/>
          </w:tcPr>
          <w:p>
            <w:pPr>
              <w:ind w:left="120"/>
              <w:spacing w:after="0"/>
              <w:rPr>
                <w:sz w:val="20"/>
                <w:szCs w:val="20"/>
                <w:color w:val="auto"/>
              </w:rPr>
            </w:pPr>
            <w:r>
              <w:rPr>
                <w:rFonts w:ascii="Arial" w:cs="Arial" w:eastAsia="Arial" w:hAnsi="Arial"/>
                <w:sz w:val="18"/>
                <w:szCs w:val="18"/>
                <w:color w:val="auto"/>
              </w:rPr>
              <w:t>Director</w:t>
            </w:r>
          </w:p>
        </w:tc>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1"/>
              </w:rPr>
              <w:t>March 16, 2020</w:t>
            </w:r>
          </w:p>
        </w:tc>
        <w:tc>
          <w:tcPr>
            <w:tcW w:w="0" w:type="dxa"/>
            <w:vAlign w:val="bottom"/>
          </w:tcPr>
          <w:p>
            <w:pPr>
              <w:spacing w:after="0"/>
              <w:rPr>
                <w:sz w:val="1"/>
                <w:szCs w:val="1"/>
                <w:color w:val="auto"/>
              </w:rPr>
            </w:pPr>
          </w:p>
        </w:tc>
      </w:tr>
      <w:tr>
        <w:trPr>
          <w:trHeight w:val="88"/>
        </w:trPr>
        <w:tc>
          <w:tcPr>
            <w:tcW w:w="3380" w:type="dxa"/>
            <w:vAlign w:val="bottom"/>
            <w:vMerge w:val="restart"/>
          </w:tcPr>
          <w:p>
            <w:pPr>
              <w:spacing w:after="0"/>
              <w:rPr>
                <w:sz w:val="20"/>
                <w:szCs w:val="20"/>
                <w:color w:val="auto"/>
              </w:rPr>
            </w:pPr>
            <w:r>
              <w:rPr>
                <w:rFonts w:ascii="Arial" w:cs="Arial" w:eastAsia="Arial" w:hAnsi="Arial"/>
                <w:sz w:val="18"/>
                <w:szCs w:val="18"/>
                <w:color w:val="auto"/>
              </w:rPr>
              <w:t>Taiyin Yang, Ph.D.</w:t>
            </w:r>
          </w:p>
        </w:tc>
        <w:tc>
          <w:tcPr>
            <w:tcW w:w="5060" w:type="dxa"/>
            <w:vAlign w:val="bottom"/>
            <w:gridSpan w:val="3"/>
            <w:vMerge w:val="continue"/>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33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9"/>
        </w:trPr>
        <w:tc>
          <w:tcPr>
            <w:tcW w:w="3380" w:type="dxa"/>
            <w:vAlign w:val="bottom"/>
          </w:tcPr>
          <w:p>
            <w:pPr>
              <w:spacing w:after="0"/>
              <w:rPr>
                <w:sz w:val="24"/>
                <w:szCs w:val="24"/>
                <w:color w:val="auto"/>
              </w:rPr>
            </w:pPr>
          </w:p>
        </w:tc>
        <w:tc>
          <w:tcPr>
            <w:tcW w:w="4940" w:type="dxa"/>
            <w:vAlign w:val="bottom"/>
            <w:gridSpan w:val="2"/>
          </w:tcPr>
          <w:p>
            <w:pPr>
              <w:jc w:val="right"/>
              <w:ind w:right="247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7"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20" w:firstLine="589"/>
        <w:spacing w:after="0" w:line="255" w:lineRule="auto"/>
        <w:rPr>
          <w:sz w:val="20"/>
          <w:szCs w:val="20"/>
          <w:color w:val="auto"/>
        </w:rPr>
      </w:pPr>
      <w:r>
        <w:rPr>
          <w:rFonts w:ascii="Arial" w:cs="Arial" w:eastAsia="Arial" w:hAnsi="Arial"/>
          <w:sz w:val="18"/>
          <w:szCs w:val="18"/>
          <w:i w:val="1"/>
          <w:iCs w:val="1"/>
          <w:color w:val="auto"/>
        </w:rPr>
        <w:t>Kodiak Sciences Inc. (“we,” “our,” “us,” or the “Company”) has one class of securities registered under Section 12 of the Securities Exchange Act of 1934, as amended (the “Exchange Act”): our common stock. The following summary of the terms of our common stock is based upon our amended and restated certificate of incorporation (our “certificate of incorporation”) and our amended and restated bylaws (our “bylaws”). This summary does not purport to be complete and is subject to, and is qualified in its entirety by express reference to, the applicable provisions of our certificate of incorporation and our bylaws. We encourage you to read our certificate of incorporation and our bylaws and the applicable provisions of the Delaware General Corporation Law (the “DGCL”) for more information.</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Under our certificate of incorporation we are authorized to issue up to 490,000,000 shares of common stock, par value $0.0001 per share.</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589"/>
        <w:spacing w:after="0" w:line="254" w:lineRule="auto"/>
        <w:rPr>
          <w:sz w:val="20"/>
          <w:szCs w:val="20"/>
          <w:color w:val="auto"/>
        </w:rPr>
      </w:pPr>
      <w:r>
        <w:rPr>
          <w:rFonts w:ascii="Arial" w:cs="Arial" w:eastAsia="Arial" w:hAnsi="Arial"/>
          <w:sz w:val="18"/>
          <w:szCs w:val="18"/>
          <w:color w:val="auto"/>
        </w:rPr>
        <w:t>Each share of common stock is entitled to one vote per share on all matters (including the election of directors) submitted to a vote of stockholders, unless otherwise required by law or our certificate of incorporation.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700" w:firstLine="589"/>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180" w:firstLine="589"/>
        <w:spacing w:after="0" w:line="263" w:lineRule="auto"/>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right="260" w:firstLine="589"/>
        <w:spacing w:after="0" w:line="263"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right="580" w:firstLine="589"/>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we may issue under this prospectus, upon payment and delivery in accordance with the underwriting agreement, will be,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20" w:firstLine="589"/>
        <w:spacing w:after="0" w:line="342" w:lineRule="auto"/>
        <w:rPr>
          <w:sz w:val="20"/>
          <w:szCs w:val="20"/>
          <w:color w:val="auto"/>
        </w:rPr>
      </w:pPr>
      <w:r>
        <w:rPr>
          <w:rFonts w:ascii="Arial" w:cs="Arial" w:eastAsia="Arial" w:hAnsi="Arial"/>
          <w:sz w:val="16"/>
          <w:szCs w:val="16"/>
          <w:color w:val="auto"/>
        </w:rPr>
        <w:t>Certain holders of shares of our common stock have the right to demand that we file a registration statement or request that we cover their shares by a registration statement that we otherwise file, as described below. These shares are collectively referred to herein as registrable securities.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The holders of at least a majority of the shares having demand registration rights have the right to demand that we use commercially reasonable efforts to file a registration statement for the registration of the offer and sale of at least such number of shares with anticipated offering proceeds in excess of $30 million. We are only obligated to file up to two registration statements in connection with the exercise of demand registration rights. These registration rights are subject to specified conditions and limitations, including the right of the underwriters to limit the number of shares included in any such registration under certain circumstances and our ability to defer the filing of a registration statement with respect to an exercise of such demand registration rights for up to 180 days under certain circumstances.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right="20" w:firstLine="589"/>
        <w:spacing w:after="0" w:line="285" w:lineRule="auto"/>
        <w:rPr>
          <w:sz w:val="20"/>
          <w:szCs w:val="20"/>
          <w:color w:val="auto"/>
        </w:rPr>
      </w:pPr>
      <w:r>
        <w:rPr>
          <w:rFonts w:ascii="Arial" w:cs="Arial" w:eastAsia="Arial" w:hAnsi="Arial"/>
          <w:sz w:val="16"/>
          <w:szCs w:val="16"/>
          <w:color w:val="auto"/>
        </w:rPr>
        <w:t>A stockholder with registration rights has the right to demand that we file a registration statement on Form S-3 so long as the aggregate number of shares to be offered and sold under such registration statement on Form S-3 is at least $10 million. We are only obligated to file up to three registration statements in connection with the exercise of Form S-3 registration rights. We are not obligated to file any registration statements within 180 days of a registration statement filed in connection with the exercise of the demand registration rights described above. These investor registration rights are subject to specified conditions and limitations, including our ability to defer the filing of a registration statement with respect to an exercise of such Form 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registration rights for up to 180 days under certain circumstances.</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If we propose to register the offer and sale of any of our securities under the Securities Act either for our own account or for the account of other stockholders, a stockholder with registration rights will have the right, subject to certain exceptions, to include their shares of common stock in the registration statement. These registration rights are subject to specified conditions and limitations, and any proposed offering in connection therewith may be terminated or withdrawn by us at our sole discretion.</w:t>
      </w:r>
    </w:p>
    <w:p>
      <w:pPr>
        <w:spacing w:after="0" w:line="1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right="640" w:firstLine="589"/>
        <w:spacing w:after="0" w:line="277" w:lineRule="auto"/>
        <w:rPr>
          <w:sz w:val="20"/>
          <w:szCs w:val="20"/>
          <w:color w:val="auto"/>
        </w:rPr>
      </w:pPr>
      <w:r>
        <w:rPr>
          <w:rFonts w:ascii="Arial" w:cs="Arial" w:eastAsia="Arial" w:hAnsi="Arial"/>
          <w:sz w:val="18"/>
          <w:szCs w:val="18"/>
          <w:color w:val="auto"/>
        </w:rPr>
        <w:t>We will pay all expenses relating to any Form S-3 registrations and piggyback registrations, other than underwriting discounts and selling commissions.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right="160" w:firstLine="589"/>
        <w:spacing w:after="0" w:line="263" w:lineRule="auto"/>
        <w:rPr>
          <w:sz w:val="20"/>
          <w:szCs w:val="20"/>
          <w:color w:val="auto"/>
        </w:rPr>
      </w:pPr>
      <w:r>
        <w:rPr>
          <w:rFonts w:ascii="Arial" w:cs="Arial" w:eastAsia="Arial" w:hAnsi="Arial"/>
          <w:sz w:val="18"/>
          <w:szCs w:val="18"/>
          <w:color w:val="auto"/>
        </w:rPr>
        <w:t>The registration rights terminate upon the earlier of (1) the date that is three years after the closing of our IPO and (2) as to a given holder of registration rights, when such holder of registration rights can sell all of such holder’s registrable securities in a three month-period pursuant to Rule 144 promulgated under the Securities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We are subject to Section 203 of the DGCL.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76" w:lineRule="exact"/>
        <w:rPr>
          <w:sz w:val="20"/>
          <w:szCs w:val="20"/>
          <w:color w:val="auto"/>
        </w:rPr>
      </w:pPr>
    </w:p>
    <w:p>
      <w:pPr>
        <w:ind w:left="1160" w:right="240" w:hanging="572"/>
        <w:spacing w:after="0" w:line="277" w:lineRule="auto"/>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675" w:right="439" w:bottom="1440" w:gutter="0" w:footer="0" w:header="0"/>
        </w:sectPr>
      </w:pPr>
    </w:p>
    <w:bookmarkStart w:id="150" w:name="page151"/>
    <w:bookmarkEnd w:id="150"/>
    <w:p>
      <w:pPr>
        <w:ind w:left="1160" w:right="200" w:hanging="572"/>
        <w:spacing w:after="0" w:line="257" w:lineRule="auto"/>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79" w:lineRule="exact"/>
        <w:rPr>
          <w:rFonts w:ascii="Arial" w:cs="Arial" w:eastAsia="Arial" w:hAnsi="Arial"/>
          <w:sz w:val="18"/>
          <w:szCs w:val="18"/>
          <w:color w:val="auto"/>
        </w:rPr>
      </w:pPr>
    </w:p>
    <w:p>
      <w:pPr>
        <w:ind w:left="1160" w:right="140" w:hanging="572"/>
        <w:spacing w:after="0" w:line="263" w:lineRule="auto"/>
        <w:tabs>
          <w:tab w:leader="none" w:pos="11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Section 203 defines a business combination to include:</w:t>
      </w:r>
    </w:p>
    <w:p>
      <w:pPr>
        <w:spacing w:after="0" w:line="117" w:lineRule="exact"/>
        <w:rPr>
          <w:sz w:val="20"/>
          <w:szCs w:val="20"/>
          <w:color w:val="auto"/>
        </w:rPr>
      </w:pPr>
    </w:p>
    <w:p>
      <w:pPr>
        <w:ind w:left="1160" w:hanging="572"/>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any sale, transfer, pledge or other disposition involving the interested stockholder of 10% or more of the assets of the corporation;</w:t>
      </w:r>
    </w:p>
    <w:p>
      <w:pPr>
        <w:spacing w:after="0" w:line="128" w:lineRule="exact"/>
        <w:rPr>
          <w:rFonts w:ascii="Arial" w:cs="Arial" w:eastAsia="Arial" w:hAnsi="Arial"/>
          <w:sz w:val="17"/>
          <w:szCs w:val="17"/>
          <w:color w:val="auto"/>
        </w:rPr>
      </w:pPr>
    </w:p>
    <w:p>
      <w:pPr>
        <w:ind w:left="1160" w:right="560" w:hanging="572"/>
        <w:spacing w:after="0" w:line="277"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62" w:lineRule="exact"/>
        <w:rPr>
          <w:rFonts w:ascii="Arial" w:cs="Arial" w:eastAsia="Arial" w:hAnsi="Arial"/>
          <w:sz w:val="18"/>
          <w:szCs w:val="18"/>
          <w:color w:val="auto"/>
        </w:rPr>
      </w:pPr>
    </w:p>
    <w:p>
      <w:pPr>
        <w:ind w:left="1160" w:right="200" w:hanging="572"/>
        <w:spacing w:after="0" w:line="277"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right="120" w:firstLine="589"/>
        <w:spacing w:after="0" w:line="263" w:lineRule="auto"/>
        <w:rPr>
          <w:sz w:val="20"/>
          <w:szCs w:val="20"/>
          <w:color w:val="auto"/>
        </w:rPr>
      </w:pPr>
      <w:r>
        <w:rPr>
          <w:rFonts w:ascii="Arial" w:cs="Arial" w:eastAsia="Arial" w:hAnsi="Arial"/>
          <w:sz w:val="18"/>
          <w:szCs w:val="18"/>
          <w:color w:val="auto"/>
        </w:rPr>
        <w:t>In general, Section 203 defines an interested stockholder as any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17" w:lineRule="exact"/>
        <w:rPr>
          <w:sz w:val="20"/>
          <w:szCs w:val="20"/>
          <w:color w:val="auto"/>
        </w:rPr>
      </w:pPr>
    </w:p>
    <w:p>
      <w:pPr>
        <w:ind w:right="40" w:firstLine="589"/>
        <w:spacing w:after="0" w:line="259"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w:t>
      </w:r>
    </w:p>
    <w:p>
      <w:pPr>
        <w:spacing w:after="0" w:line="79" w:lineRule="exact"/>
        <w:rPr>
          <w:sz w:val="20"/>
          <w:szCs w:val="20"/>
          <w:color w:val="auto"/>
        </w:rPr>
      </w:pPr>
    </w:p>
    <w:p>
      <w:pPr>
        <w:ind w:left="1160" w:right="240" w:hanging="572"/>
        <w:spacing w:after="0" w:line="277"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permit our board of directors to issue up to 10,000,000 shares of preferred stock, with any rights, preferences and privileges as they may designate, including the right to approve an acquisition or other change in our control;</w:t>
      </w:r>
    </w:p>
    <w:p>
      <w:pPr>
        <w:spacing w:after="0" w:line="62" w:lineRule="exact"/>
        <w:rPr>
          <w:rFonts w:ascii="Arial" w:cs="Arial" w:eastAsia="Arial" w:hAnsi="Arial"/>
          <w:sz w:val="18"/>
          <w:szCs w:val="18"/>
          <w:color w:val="auto"/>
        </w:rPr>
      </w:pPr>
    </w:p>
    <w:p>
      <w:pPr>
        <w:ind w:left="1160" w:right="300" w:hanging="572"/>
        <w:spacing w:after="0" w:line="277"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 subject to the rights of any holders of preferred stock;</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62" w:lineRule="exact"/>
        <w:rPr>
          <w:rFonts w:ascii="Arial" w:cs="Arial" w:eastAsia="Arial" w:hAnsi="Arial"/>
          <w:sz w:val="18"/>
          <w:szCs w:val="18"/>
          <w:color w:val="auto"/>
        </w:rPr>
      </w:pPr>
    </w:p>
    <w:p>
      <w:pPr>
        <w:ind w:left="1160" w:hanging="572"/>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117" w:lineRule="exact"/>
        <w:rPr>
          <w:rFonts w:ascii="Arial" w:cs="Arial" w:eastAsia="Arial" w:hAnsi="Arial"/>
          <w:sz w:val="18"/>
          <w:szCs w:val="18"/>
          <w:color w:val="auto"/>
        </w:rPr>
      </w:pPr>
    </w:p>
    <w:p>
      <w:pPr>
        <w:ind w:left="1160" w:hanging="572"/>
        <w:spacing w:after="0"/>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7" w:lineRule="exact"/>
        <w:rPr>
          <w:rFonts w:ascii="Arial" w:cs="Arial" w:eastAsia="Arial" w:hAnsi="Arial"/>
          <w:sz w:val="18"/>
          <w:szCs w:val="18"/>
          <w:color w:val="auto"/>
        </w:rPr>
      </w:pPr>
    </w:p>
    <w:p>
      <w:pPr>
        <w:ind w:left="1160" w:right="160" w:hanging="572"/>
        <w:spacing w:after="0" w:line="277"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62" w:lineRule="exact"/>
        <w:rPr>
          <w:rFonts w:ascii="Arial" w:cs="Arial" w:eastAsia="Arial" w:hAnsi="Arial"/>
          <w:sz w:val="18"/>
          <w:szCs w:val="18"/>
          <w:color w:val="auto"/>
        </w:rPr>
      </w:pPr>
    </w:p>
    <w:p>
      <w:pPr>
        <w:ind w:left="1160" w:right="120" w:hanging="572"/>
        <w:spacing w:after="0" w:line="263" w:lineRule="auto"/>
        <w:tabs>
          <w:tab w:leader="none" w:pos="11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51" w:name="page152"/>
    <w:bookmarkEnd w:id="151"/>
    <w:p>
      <w:pPr>
        <w:ind w:left="1160" w:right="80" w:hanging="572"/>
        <w:spacing w:after="0" w:line="277" w:lineRule="auto"/>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62" w:lineRule="exact"/>
        <w:rPr>
          <w:rFonts w:ascii="Arial" w:cs="Arial" w:eastAsia="Arial" w:hAnsi="Arial"/>
          <w:sz w:val="18"/>
          <w:szCs w:val="18"/>
          <w:color w:val="auto"/>
        </w:rPr>
      </w:pPr>
    </w:p>
    <w:p>
      <w:pPr>
        <w:ind w:left="1160" w:hanging="572"/>
        <w:spacing w:after="0" w:line="277" w:lineRule="auto"/>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board of directors, the chairperson of the board of directors, our chief executive officer or president (in the absence of a chief executive officer); and</w:t>
      </w:r>
    </w:p>
    <w:p>
      <w:pPr>
        <w:spacing w:after="0" w:line="62" w:lineRule="exact"/>
        <w:rPr>
          <w:rFonts w:ascii="Arial" w:cs="Arial" w:eastAsia="Arial" w:hAnsi="Arial"/>
          <w:sz w:val="18"/>
          <w:szCs w:val="18"/>
          <w:color w:val="auto"/>
        </w:rPr>
      </w:pPr>
    </w:p>
    <w:p>
      <w:pPr>
        <w:ind w:left="1160" w:right="160" w:hanging="572"/>
        <w:spacing w:after="0" w:line="263" w:lineRule="auto"/>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provide that stockholders will be permitted to amend certain provisions of our certification of incorporation and bylaws only upon receiving at least 66 2/3% of the votes entitled to be cast by holders of all outstanding shares then entitled to vote generally in the election of directors, voting together as a single class.</w:t>
      </w:r>
    </w:p>
    <w:p>
      <w:pPr>
        <w:spacing w:after="0" w:line="184" w:lineRule="exact"/>
        <w:rPr>
          <w:sz w:val="20"/>
          <w:szCs w:val="20"/>
          <w:color w:val="auto"/>
        </w:rPr>
      </w:pPr>
    </w:p>
    <w:p>
      <w:pPr>
        <w:ind w:right="40" w:firstLine="589"/>
        <w:spacing w:after="0" w:line="269" w:lineRule="auto"/>
        <w:rPr>
          <w:sz w:val="20"/>
          <w:szCs w:val="20"/>
          <w:color w:val="auto"/>
        </w:rPr>
      </w:pPr>
      <w:r>
        <w:rPr>
          <w:rFonts w:ascii="Arial" w:cs="Arial" w:eastAsia="Arial" w:hAnsi="Arial"/>
          <w:sz w:val="17"/>
          <w:szCs w:val="17"/>
          <w:color w:val="auto"/>
        </w:rPr>
        <w:t>Our bylaws also provide that, unless we otherwise consent in writing, the Court of Chancery of the State of Delaware (or, if the Court of Chancery does not have jurisdiction, the federal district court for the District of Delaware) shall be the sole and exclusive forum for (i) any derivative action or proceeding brought on behalf of the company, (ii) any action asserting a claim of breach of a fiduciary duty owed by any of our directors, officers or other employees to the company or our stockholders, (iii) any action asserting a claim against the company arising pursuant to any provision of the DGCL, or the certificate of incorporation or bylaws, or (iv) any action asserting a claim against the company governed by the internal affairs doctrine, except for, as to each of (i) through (iv) above,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exclusive forum provision would not apply to suits brought to enforce any liability or duty created by the Securities Act or the Exchange Act or any other claim for which the federal courts have exclusive jurisdiction.</w:t>
      </w:r>
    </w:p>
    <w:p>
      <w:pPr>
        <w:spacing w:after="0" w:line="118" w:lineRule="exact"/>
        <w:rPr>
          <w:sz w:val="20"/>
          <w:szCs w:val="20"/>
          <w:color w:val="auto"/>
        </w:rPr>
      </w:pPr>
    </w:p>
    <w:p>
      <w:pPr>
        <w:ind w:right="100" w:firstLine="589"/>
        <w:spacing w:after="0" w:line="293" w:lineRule="auto"/>
        <w:rPr>
          <w:sz w:val="20"/>
          <w:szCs w:val="20"/>
          <w:color w:val="auto"/>
        </w:rPr>
      </w:pPr>
      <w:r>
        <w:rPr>
          <w:rFonts w:ascii="Arial" w:cs="Arial" w:eastAsia="Arial" w:hAnsi="Arial"/>
          <w:sz w:val="16"/>
          <w:szCs w:val="16"/>
          <w:color w:val="auto"/>
        </w:rPr>
        <w:t xml:space="preserve">Our bylaws further provide that unless we otherwise consent in writing, the U.S. federal district courts will be the exclusive forum for resolving any complaint asserting a cause of action arising under the Securities Act, which we refer to as the Federal Forum Provision. However, on December 19, 2018, the Delaware Chancery Court issued an opinion in </w:t>
      </w:r>
      <w:r>
        <w:rPr>
          <w:rFonts w:ascii="Arial" w:cs="Arial" w:eastAsia="Arial" w:hAnsi="Arial"/>
          <w:sz w:val="16"/>
          <w:szCs w:val="16"/>
          <w:i w:val="1"/>
          <w:iCs w:val="1"/>
          <w:color w:val="auto"/>
        </w:rPr>
        <w:t>Sciabacucchi v. Salzberg</w:t>
      </w:r>
      <w:r>
        <w:rPr>
          <w:rFonts w:ascii="Arial" w:cs="Arial" w:eastAsia="Arial" w:hAnsi="Arial"/>
          <w:sz w:val="16"/>
          <w:szCs w:val="16"/>
          <w:color w:val="auto"/>
        </w:rPr>
        <w:t xml:space="preserve">, C.A. No. 2017-0931-JTL, finding that provisions similar to the Federal Forum Provision are not valid under Delaware Law. As previously disclosed in a Current Report on Form 8-K we filed on January 28, 2019, in light of the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decision, we do not currently intend to enforce the foregoing federal forum selection provision unless the </w:t>
      </w:r>
      <w:r>
        <w:rPr>
          <w:rFonts w:ascii="Arial" w:cs="Arial" w:eastAsia="Arial" w:hAnsi="Arial"/>
          <w:sz w:val="16"/>
          <w:szCs w:val="16"/>
          <w:i w:val="1"/>
          <w:iCs w:val="1"/>
          <w:color w:val="auto"/>
        </w:rPr>
        <w:t>Sciabacucchi</w:t>
      </w:r>
      <w:r>
        <w:rPr>
          <w:rFonts w:ascii="Arial" w:cs="Arial" w:eastAsia="Arial" w:hAnsi="Arial"/>
          <w:sz w:val="16"/>
          <w:szCs w:val="16"/>
          <w:color w:val="auto"/>
        </w:rPr>
        <w:t xml:space="preserve"> decision is reversed. If the Delaware Supreme Court affirms the Chancery Court’s decision, then we intend to amend the Bylaws to remove the invalid provision.</w:t>
      </w:r>
    </w:p>
    <w:p>
      <w:pPr>
        <w:spacing w:after="0" w:line="164" w:lineRule="exact"/>
        <w:rPr>
          <w:sz w:val="20"/>
          <w:szCs w:val="20"/>
          <w:color w:val="auto"/>
        </w:rPr>
      </w:pPr>
    </w:p>
    <w:p>
      <w:pPr>
        <w:ind w:right="600" w:firstLine="589"/>
        <w:spacing w:after="0" w:line="277" w:lineRule="auto"/>
        <w:rPr>
          <w:sz w:val="20"/>
          <w:szCs w:val="20"/>
          <w:color w:val="auto"/>
        </w:rPr>
      </w:pPr>
      <w:r>
        <w:rPr>
          <w:rFonts w:ascii="Arial" w:cs="Arial" w:eastAsia="Arial" w:hAnsi="Arial"/>
          <w:sz w:val="18"/>
          <w:szCs w:val="18"/>
          <w:color w:val="auto"/>
        </w:rPr>
        <w:t>Although our bylaws contain the choice of forum provisions described above, it is possible that a court could rule that such a provisions are inapplicable for a particular claim or action or that such provisions are unenforceable.</w:t>
      </w:r>
    </w:p>
    <w:p>
      <w:pPr>
        <w:spacing w:after="0" w:line="170"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We recognize that the Federal Forum Provision may impose additional litigation costs on stockholders who assert the provision is not enforceable and may impose more general additional litigation costs in pursuing any these claims. Additionally, the forum selection clauses in our bylaws may limit our stockholders’ ability to obtain a favorable judicial forum for disputes with us.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prospects, financial condition or results of operations. The Court of Chancery of the State of Delaware and the U.S.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 Although we believe this provision benefits us by providing increased consistency in the application of Delaware law in the types of lawsuits to which it applies, the provision may have the effect of discouraging lawsuits against us and our directors and officers.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right="20" w:firstLine="589"/>
        <w:spacing w:after="0" w:line="277" w:lineRule="auto"/>
        <w:rPr>
          <w:sz w:val="20"/>
          <w:szCs w:val="20"/>
          <w:color w:val="auto"/>
        </w:rPr>
      </w:pPr>
      <w:r>
        <w:rPr>
          <w:rFonts w:ascii="Arial" w:cs="Arial" w:eastAsia="Arial" w:hAnsi="Arial"/>
          <w:sz w:val="18"/>
          <w:szCs w:val="18"/>
          <w:color w:val="auto"/>
        </w:rPr>
        <w:t>The transfer agent and registrar for our common stock is The Computershare Trust Company, N.A. The transfer agent and registrar’s address is 250 Royall Street, Canton, Massachusetts 02021.</w:t>
      </w:r>
    </w:p>
    <w:p>
      <w:pPr>
        <w:sectPr>
          <w:pgSz w:w="11900" w:h="16838" w:orient="portrait"/>
          <w:cols w:equalWidth="0" w:num="1">
            <w:col w:w="11240"/>
          </w:cols>
          <w:pgMar w:left="320" w:top="463"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incorporation by reference in the Registration Statements on Form S-3 (No. 333-234443) and Form S-8 (No. 333-231503 and No.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333-227755) of Kodiak Sciences Inc. of our report dated March 16, 2020 relating to the financial statements, which appears in this Form 10-K.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ectPr>
          <w:pgSz w:w="11900" w:h="16838" w:orient="portrait"/>
          <w:cols w:equalWidth="0" w:num="1">
            <w:col w:w="11240"/>
          </w:cols>
          <w:pgMar w:left="320" w:top="337"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Victor Perlroth, M.D., certify that:</w:t>
      </w:r>
    </w:p>
    <w:p>
      <w:pPr>
        <w:spacing w:after="0" w:line="225"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Kodiak 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 w:hanging="519"/>
        <w:spacing w:after="0" w:line="263" w:lineRule="auto"/>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35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Borgeson, certify that:</w:t>
      </w:r>
    </w:p>
    <w:p>
      <w:pPr>
        <w:spacing w:after="0" w:line="225"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Kodiak Sciences Inc.;</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40" w:hanging="512"/>
        <w:spacing w:after="0" w:line="263" w:lineRule="auto"/>
        <w:tabs>
          <w:tab w:leader="none" w:pos="5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 w:hanging="519"/>
        <w:spacing w:after="0" w:line="263" w:lineRule="auto"/>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240" w:hanging="512"/>
        <w:spacing w:after="0" w:line="342" w:lineRule="auto"/>
        <w:tabs>
          <w:tab w:leader="none" w:pos="5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040" w:right="720" w:hanging="519"/>
        <w:spacing w:after="0" w:line="342" w:lineRule="auto"/>
        <w:tabs>
          <w:tab w:leader="none" w:pos="104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40" w:right="440" w:hanging="519"/>
        <w:spacing w:after="0" w:line="277" w:lineRule="auto"/>
        <w:tabs>
          <w:tab w:leader="none" w:pos="1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b w:val="1"/>
          <w:bCs w:val="1"/>
          <w:color w:val="auto"/>
        </w:rPr>
        <w:t>(Principal Accounting and Financial Officer)</w:t>
      </w:r>
    </w:p>
    <w:p>
      <w:pPr>
        <w:sectPr>
          <w:pgSz w:w="11900" w:h="16838" w:orient="portrait"/>
          <w:cols w:equalWidth="0" w:num="1">
            <w:col w:w="11240"/>
          </w:cols>
          <w:pgMar w:left="320" w:top="351"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10"/>
        <w:spacing w:after="0" w:line="263" w:lineRule="auto"/>
        <w:rPr>
          <w:sz w:val="20"/>
          <w:szCs w:val="20"/>
          <w:color w:val="auto"/>
        </w:rPr>
      </w:pPr>
      <w:r>
        <w:rPr>
          <w:rFonts w:ascii="Arial" w:cs="Arial" w:eastAsia="Arial" w:hAnsi="Arial"/>
          <w:sz w:val="18"/>
          <w:szCs w:val="18"/>
          <w:color w:val="auto"/>
        </w:rPr>
        <w:t>In connection with the Annual Report of Kodiak Sciences Inc. (the “Company”) on Form 10-K for the fiscal year ending December 31, 2019 as filed with the Securities and Exchange Commission on the date hereof (the “Report”), I certify, pursuant to 18 U.S.C. § 1350, as adopted pursuant to § 906 of the Sarbanes-Oxley Act of 2002, to the best of my knowledge, that:</w:t>
      </w:r>
    </w:p>
    <w:p>
      <w:pPr>
        <w:spacing w:after="0" w:line="184" w:lineRule="exact"/>
        <w:rPr>
          <w:sz w:val="20"/>
          <w:szCs w:val="20"/>
          <w:color w:val="auto"/>
        </w:rPr>
      </w:pPr>
    </w:p>
    <w:p>
      <w:pPr>
        <w:ind w:left="1220" w:hanging="605"/>
        <w:spacing w:after="0"/>
        <w:tabs>
          <w:tab w:leader="none" w:pos="1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420" w:hanging="605"/>
        <w:spacing w:after="0" w:line="277" w:lineRule="auto"/>
        <w:tabs>
          <w:tab w:leader="none" w:pos="12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Victor Perlroth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Victor Perlroth, M.D.</w:t>
      </w:r>
    </w:p>
    <w:p>
      <w:pPr>
        <w:spacing w:after="0" w:line="27"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38" w:lineRule="exact"/>
        <w:rPr>
          <w:sz w:val="20"/>
          <w:szCs w:val="20"/>
          <w:color w:val="auto"/>
        </w:rPr>
      </w:pPr>
    </w:p>
    <w:p>
      <w:pPr>
        <w:ind w:right="120" w:firstLine="896"/>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60" w:firstLine="896"/>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610"/>
        <w:spacing w:after="0" w:line="263" w:lineRule="auto"/>
        <w:rPr>
          <w:sz w:val="20"/>
          <w:szCs w:val="20"/>
          <w:color w:val="auto"/>
        </w:rPr>
      </w:pPr>
      <w:r>
        <w:rPr>
          <w:rFonts w:ascii="Arial" w:cs="Arial" w:eastAsia="Arial" w:hAnsi="Arial"/>
          <w:sz w:val="18"/>
          <w:szCs w:val="18"/>
          <w:color w:val="auto"/>
        </w:rPr>
        <w:t>In connection with the Annual Report of Kodiak Sciences Inc. (the “Company”) on Form 10-K for the fiscal year ending December 31, 2019 as filed with the Securities and Exchange Commission on the date hereof (the “Report”), I certify, pursuant to 18 U.S.C. § 1350, as adopted pursuant to § 906 of the Sarbanes-Oxley Act of 2002, to the best of my knowledge, that:</w:t>
      </w:r>
    </w:p>
    <w:p>
      <w:pPr>
        <w:spacing w:after="0" w:line="184" w:lineRule="exact"/>
        <w:rPr>
          <w:sz w:val="20"/>
          <w:szCs w:val="20"/>
          <w:color w:val="auto"/>
        </w:rPr>
      </w:pPr>
    </w:p>
    <w:p>
      <w:pPr>
        <w:ind w:left="1220" w:hanging="605"/>
        <w:spacing w:after="0"/>
        <w:tabs>
          <w:tab w:leader="none" w:pos="1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220" w:right="420" w:hanging="605"/>
        <w:spacing w:after="0" w:line="277" w:lineRule="auto"/>
        <w:tabs>
          <w:tab w:leader="none" w:pos="12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460" w:val="left"/>
          <w:tab w:leader="none" w:pos="7880" w:val="left"/>
        </w:tabs>
        <w:rPr>
          <w:sz w:val="20"/>
          <w:szCs w:val="20"/>
          <w:color w:val="auto"/>
        </w:rPr>
      </w:pPr>
      <w:r>
        <w:rPr>
          <w:rFonts w:ascii="Arial" w:cs="Arial" w:eastAsia="Arial" w:hAnsi="Arial"/>
          <w:sz w:val="18"/>
          <w:szCs w:val="18"/>
          <w:color w:val="auto"/>
        </w:rPr>
        <w:t>Date: 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Borgeson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John Borgeson</w:t>
      </w:r>
    </w:p>
    <w:p>
      <w:pPr>
        <w:spacing w:after="0" w:line="27"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(Principal Accounting and Financial Officer)</w:t>
      </w:r>
    </w:p>
    <w:p>
      <w:pPr>
        <w:spacing w:after="0" w:line="238" w:lineRule="exact"/>
        <w:rPr>
          <w:sz w:val="20"/>
          <w:szCs w:val="20"/>
          <w:color w:val="auto"/>
        </w:rPr>
      </w:pPr>
    </w:p>
    <w:p>
      <w:pPr>
        <w:ind w:right="120" w:firstLine="896"/>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4" w:lineRule="exact"/>
        <w:rPr>
          <w:sz w:val="20"/>
          <w:szCs w:val="20"/>
          <w:color w:val="auto"/>
        </w:rPr>
      </w:pPr>
    </w:p>
    <w:p>
      <w:pPr>
        <w:ind w:right="60" w:firstLine="896"/>
        <w:spacing w:after="0" w:line="31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lvl w:ilvl="1">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1)"/>
      <w:numFmt w:val="decimal"/>
      <w:start w:val="4"/>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lvl w:ilvl="1">
      <w:lvlJc w:val="left"/>
      <w:lvlText w:val="•"/>
      <w:numFmt w:val="bullet"/>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3"/>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1)"/>
      <w:numFmt w:val="decimal"/>
      <w:start w:val="1"/>
    </w:lvl>
  </w:abstractNum>
  <w:abstractNum w:abstractNumId="65">
    <w:nsid w:val="168E121F"/>
    <w:multiLevelType w:val="hybridMultilevel"/>
    <w:lvl w:ilvl="0">
      <w:lvlJc w:val="left"/>
      <w:lvlText w:val="(%1)"/>
      <w:numFmt w:val="decimal"/>
      <w:start w:val="1"/>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12" Type="http://schemas.openxmlformats.org/officeDocument/2006/relationships/hyperlink" Target="http://www.sec.gov/Archives/edgar/data/0001468748/000156459018029743/kod-ex31_303.htm" TargetMode="External"/><Relationship Id="rId213" Type="http://schemas.openxmlformats.org/officeDocument/2006/relationships/hyperlink" Target="http://www.sec.gov/Archives/edgar/data/0001468748/000156459018029743/kod-ex32_302.htm" TargetMode="External"/><Relationship Id="rId214" Type="http://schemas.openxmlformats.org/officeDocument/2006/relationships/hyperlink" Target="http://www.sec.gov/Archives/edgar/data/0001468748/000119312518280419/d516071dex41.htm" TargetMode="External"/><Relationship Id="rId215" Type="http://schemas.openxmlformats.org/officeDocument/2006/relationships/hyperlink" Target="http://www.sec.gov/Archives/edgar/data/0001468748/000119312518280419/d516071dex42.htm" TargetMode="External"/><Relationship Id="rId216" Type="http://schemas.openxmlformats.org/officeDocument/2006/relationships/hyperlink" Target="http://www.sec.gov/Archives/edgar/data/0001468748/000119312518269221/d516071dex45.htm" TargetMode="External"/><Relationship Id="rId217" Type="http://schemas.openxmlformats.org/officeDocument/2006/relationships/hyperlink" Target="http://www.sec.gov/Archives/edgar/data/0001468748/000119312518280419/d516071dex101.htm" TargetMode="External"/><Relationship Id="rId218" Type="http://schemas.openxmlformats.org/officeDocument/2006/relationships/hyperlink" Target="http://www.sec.gov/Archives/edgar/data/0001468748/000119312518269221/d516071dex102.htm" TargetMode="External"/><Relationship Id="rId219" Type="http://schemas.openxmlformats.org/officeDocument/2006/relationships/hyperlink" Target="http://www.sec.gov/Archives/edgar/data/0001468748/000119312518269221/d516071dex103.htm" TargetMode="External"/><Relationship Id="rId220" Type="http://schemas.openxmlformats.org/officeDocument/2006/relationships/hyperlink" Target="http://www.sec.gov/Archives/edgar/data/0001468748/000119312518269221/d516071dex104.htm" TargetMode="External"/><Relationship Id="rId221" Type="http://schemas.openxmlformats.org/officeDocument/2006/relationships/hyperlink" Target="http://www.sec.gov/Archives/edgar/data/0001468748/000119312518269221/d516071dex105.htm" TargetMode="External"/><Relationship Id="rId222" Type="http://schemas.openxmlformats.org/officeDocument/2006/relationships/hyperlink" Target="http://www.sec.gov/Archives/edgar/data/0001468748/000119312518280419/d516071dex106.htm" TargetMode="External"/><Relationship Id="rId223" Type="http://schemas.openxmlformats.org/officeDocument/2006/relationships/hyperlink" Target="http://www.sec.gov/Archives/edgar/data/0001468748/000119312518280419/d516071dex107.htm" TargetMode="External"/><Relationship Id="rId224" Type="http://schemas.openxmlformats.org/officeDocument/2006/relationships/hyperlink" Target="http://www.sec.gov/Archives/edgar/data/0001468748/000119312518280419/d516071dex108.htm" TargetMode="External"/><Relationship Id="rId225" Type="http://schemas.openxmlformats.org/officeDocument/2006/relationships/hyperlink" Target="http://www.sec.gov/Archives/edgar/data/0001468748/000119312518280419/d516071dex109.htm" TargetMode="External"/><Relationship Id="rId226" Type="http://schemas.openxmlformats.org/officeDocument/2006/relationships/hyperlink" Target="http://www.sec.gov/Archives/edgar/data/0001468748/000119312518280419/d516071dex1010.htm" TargetMode="External"/><Relationship Id="rId227" Type="http://schemas.openxmlformats.org/officeDocument/2006/relationships/hyperlink" Target="http://www.sec.gov/Archives/edgar/data/0001468748/000119312518280419/d516071dex1011.htm" TargetMode="External"/><Relationship Id="rId228" Type="http://schemas.openxmlformats.org/officeDocument/2006/relationships/hyperlink" Target="http://www.sec.gov/Archives/edgar/data/0001468748/000119312518280419/d516071dex1012.htm" TargetMode="External"/><Relationship Id="rId229" Type="http://schemas.openxmlformats.org/officeDocument/2006/relationships/hyperlink" Target="http://www.sec.gov/Archives/edgar/data/0001468748/000119312518280419/d516071dex1013.htm" TargetMode="External"/><Relationship Id="rId230" Type="http://schemas.openxmlformats.org/officeDocument/2006/relationships/hyperlink" Target="http://www.sec.gov/Archives/edgar/data/0001468748/000119312518280419/d516071dex1014.htm" TargetMode="External"/><Relationship Id="rId233" Type="http://schemas.openxmlformats.org/officeDocument/2006/relationships/hyperlink" Target="http://www.sec.gov/Archives/edgar/data/0001468748/000119312518280419/d516071dex1015.htm" TargetMode="External"/><Relationship Id="rId234" Type="http://schemas.openxmlformats.org/officeDocument/2006/relationships/hyperlink" Target="http://www.sec.gov/Archives/edgar/data/0001468748/000119312518280419/d516071dex1016.htm" TargetMode="External"/><Relationship Id="rId235" Type="http://schemas.openxmlformats.org/officeDocument/2006/relationships/hyperlink" Target="http://www.sec.gov/Archives/edgar/data/0001468748/000119312519303683/d814017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2020-03-16T15:46:34Z</dcterms:created>
  <dcterms:modified xsi:type="dcterms:W3CDTF">2020-03-16T15:46:34Z</dcterms:modified>
</cp:coreProperties>
</file>