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101600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8" w:lineRule="exact"/>
        <w:rPr>
          <w:rFonts w:ascii="MS PGothic" w:cs="MS PGothic" w:eastAsia="MS PGothic" w:hAnsi="MS PGothic"/>
          <w:sz w:val="16"/>
          <w:szCs w:val="16"/>
          <w:color w:val="auto"/>
          <w:highlight w:val="black"/>
        </w:rPr>
      </w:pPr>
    </w:p>
    <w:p>
      <w:pPr>
        <w:ind w:left="42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fiscal year ended December 31, 2024</w:t>
      </w:r>
    </w:p>
    <w:p>
      <w:pPr>
        <w:spacing w:after="0" w:line="25" w:lineRule="exact"/>
        <w:rPr>
          <w:rFonts w:ascii="MS PGothic" w:cs="MS PGothic" w:eastAsia="MS PGothic" w:hAnsi="MS PGothic"/>
          <w:sz w:val="16"/>
          <w:szCs w:val="16"/>
          <w:color w:val="auto"/>
          <w:highlight w:val="black"/>
        </w:rPr>
      </w:pPr>
    </w:p>
    <w:p>
      <w:pPr>
        <w:ind w:left="55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OR</w:t>
      </w:r>
    </w:p>
    <w:p>
      <w:pPr>
        <w:spacing w:after="0" w:line="2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8" w:lineRule="exact"/>
        <w:rPr>
          <w:rFonts w:ascii="MS PGothic" w:cs="MS PGothic" w:eastAsia="MS PGothic" w:hAnsi="MS PGothic"/>
          <w:sz w:val="16"/>
          <w:szCs w:val="16"/>
          <w:color w:val="auto"/>
          <w:highlight w:val="black"/>
        </w:rPr>
      </w:pPr>
    </w:p>
    <w:p>
      <w:pPr>
        <w:ind w:left="39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transition period from __________ to _________</w:t>
      </w:r>
    </w:p>
    <w:p>
      <w:pPr>
        <w:spacing w:after="0" w:line="25" w:lineRule="exact"/>
        <w:rPr>
          <w:rFonts w:ascii="MS PGothic" w:cs="MS PGothic" w:eastAsia="MS PGothic" w:hAnsi="MS PGothic"/>
          <w:sz w:val="16"/>
          <w:szCs w:val="16"/>
          <w:color w:val="auto"/>
          <w:highlight w:val="black"/>
        </w:rPr>
      </w:pPr>
    </w:p>
    <w:p>
      <w:pPr>
        <w:ind w:left="4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Commission File Number: 001-38682</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-271145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tbl>
      <w:tblPr>
        <w:tblLayout w:type="fixed"/>
        <w:tblInd w:w="380" w:type="dxa"/>
        <w:tblCellMar>
          <w:top w:w="0" w:type="dxa"/>
          <w:left w:w="0" w:type="dxa"/>
          <w:bottom w:w="0" w:type="dxa"/>
          <w:right w:w="0" w:type="dxa"/>
        </w:tblCellMar>
      </w:tblPr>
      <w:tr>
        <w:trPr>
          <w:trHeight w:val="190"/>
        </w:trPr>
        <w:tc>
          <w:tcPr>
            <w:tcW w:w="4100" w:type="dxa"/>
            <w:vAlign w:val="bottom"/>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60" w:type="dxa"/>
            <w:vAlign w:val="bottom"/>
          </w:tcPr>
          <w:p>
            <w:pPr>
              <w:spacing w:after="0"/>
              <w:rPr>
                <w:sz w:val="16"/>
                <w:szCs w:val="16"/>
                <w:color w:val="auto"/>
              </w:rPr>
            </w:pPr>
          </w:p>
        </w:tc>
        <w:tc>
          <w:tcPr>
            <w:tcW w:w="3400" w:type="dxa"/>
            <w:vAlign w:val="bottom"/>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27-0476525</w:t>
            </w:r>
          </w:p>
        </w:tc>
      </w:tr>
      <w:tr>
        <w:trPr>
          <w:trHeight w:val="179"/>
        </w:trPr>
        <w:tc>
          <w:tcPr>
            <w:tcW w:w="4100" w:type="dxa"/>
            <w:vAlign w:val="bottom"/>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460" w:type="dxa"/>
            <w:vAlign w:val="bottom"/>
          </w:tcPr>
          <w:p>
            <w:pPr>
              <w:spacing w:after="0"/>
              <w:rPr>
                <w:sz w:val="15"/>
                <w:szCs w:val="15"/>
                <w:color w:val="auto"/>
              </w:rPr>
            </w:pPr>
          </w:p>
        </w:tc>
        <w:tc>
          <w:tcPr>
            <w:tcW w:w="3400" w:type="dxa"/>
            <w:vAlign w:val="bottom"/>
          </w:tcPr>
          <w:p>
            <w:pPr>
              <w:jc w:val="center"/>
              <w:ind w:right="27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71"/>
        </w:trPr>
        <w:tc>
          <w:tcPr>
            <w:tcW w:w="4100" w:type="dxa"/>
            <w:vAlign w:val="bottom"/>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460" w:type="dxa"/>
            <w:vAlign w:val="bottom"/>
          </w:tcPr>
          <w:p>
            <w:pPr>
              <w:spacing w:after="0"/>
              <w:rPr>
                <w:sz w:val="14"/>
                <w:szCs w:val="14"/>
                <w:color w:val="auto"/>
              </w:rPr>
            </w:pPr>
          </w:p>
        </w:tc>
        <w:tc>
          <w:tcPr>
            <w:tcW w:w="3400" w:type="dxa"/>
            <w:vAlign w:val="bottom"/>
          </w:tcPr>
          <w:p>
            <w:pPr>
              <w:jc w:val="center"/>
              <w:ind w:right="27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89"/>
        </w:trPr>
        <w:tc>
          <w:tcPr>
            <w:tcW w:w="4100" w:type="dxa"/>
            <w:vAlign w:val="bottom"/>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1250 Page Mill Road</w:t>
            </w:r>
          </w:p>
        </w:tc>
        <w:tc>
          <w:tcPr>
            <w:tcW w:w="246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190"/>
        </w:trPr>
        <w:tc>
          <w:tcPr>
            <w:tcW w:w="4100" w:type="dxa"/>
            <w:vAlign w:val="bottom"/>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Palo Alto, CA</w:t>
            </w:r>
          </w:p>
        </w:tc>
        <w:tc>
          <w:tcPr>
            <w:tcW w:w="2460" w:type="dxa"/>
            <w:vAlign w:val="bottom"/>
          </w:tcPr>
          <w:p>
            <w:pPr>
              <w:spacing w:after="0"/>
              <w:rPr>
                <w:sz w:val="16"/>
                <w:szCs w:val="16"/>
                <w:color w:val="auto"/>
              </w:rPr>
            </w:pPr>
          </w:p>
        </w:tc>
        <w:tc>
          <w:tcPr>
            <w:tcW w:w="3400" w:type="dxa"/>
            <w:vAlign w:val="bottom"/>
          </w:tcPr>
          <w:p>
            <w:pPr>
              <w:jc w:val="right"/>
              <w:ind w:right="1632"/>
              <w:spacing w:after="0"/>
              <w:rPr>
                <w:sz w:val="20"/>
                <w:szCs w:val="20"/>
                <w:color w:val="auto"/>
              </w:rPr>
            </w:pPr>
            <w:r>
              <w:rPr>
                <w:rFonts w:ascii="Times New Roman" w:cs="Times New Roman" w:eastAsia="Times New Roman" w:hAnsi="Times New Roman"/>
                <w:sz w:val="14"/>
                <w:szCs w:val="14"/>
                <w:b w:val="1"/>
                <w:bCs w:val="1"/>
                <w:color w:val="auto"/>
              </w:rPr>
              <w:t>94304</w:t>
            </w:r>
          </w:p>
        </w:tc>
      </w:tr>
      <w:tr>
        <w:trPr>
          <w:trHeight w:val="169"/>
        </w:trPr>
        <w:tc>
          <w:tcPr>
            <w:tcW w:w="4100" w:type="dxa"/>
            <w:vAlign w:val="bottom"/>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460" w:type="dxa"/>
            <w:vAlign w:val="bottom"/>
          </w:tcPr>
          <w:p>
            <w:pPr>
              <w:spacing w:after="0"/>
              <w:rPr>
                <w:sz w:val="14"/>
                <w:szCs w:val="14"/>
                <w:color w:val="auto"/>
              </w:rPr>
            </w:pPr>
          </w:p>
        </w:tc>
        <w:tc>
          <w:tcPr>
            <w:tcW w:w="3400" w:type="dxa"/>
            <w:vAlign w:val="bottom"/>
          </w:tcPr>
          <w:p>
            <w:pPr>
              <w:jc w:val="center"/>
              <w:ind w:right="272"/>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5"/>
        </w:trPr>
        <w:tc>
          <w:tcPr>
            <w:tcW w:w="9960" w:type="dxa"/>
            <w:vAlign w:val="bottom"/>
            <w:gridSpan w:val="3"/>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281-0850</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460" w:type="dxa"/>
            <w:vAlign w:val="bottom"/>
          </w:tcPr>
          <w:p>
            <w:pPr>
              <w:spacing w:after="0"/>
              <w:rPr>
                <w:sz w:val="22"/>
                <w:szCs w:val="22"/>
                <w:color w:val="auto"/>
              </w:rPr>
            </w:pPr>
          </w:p>
        </w:tc>
        <w:tc>
          <w:tcPr>
            <w:tcW w:w="3400" w:type="dxa"/>
            <w:vAlign w:val="bottom"/>
          </w:tcPr>
          <w:p>
            <w:pPr>
              <w:spacing w:after="0"/>
              <w:rPr>
                <w:sz w:val="22"/>
                <w:szCs w:val="22"/>
                <w:color w:val="auto"/>
              </w:rPr>
            </w:pPr>
          </w:p>
        </w:tc>
      </w:tr>
      <w:tr>
        <w:trPr>
          <w:trHeight w:val="190"/>
        </w:trPr>
        <w:tc>
          <w:tcPr>
            <w:tcW w:w="4100" w:type="dxa"/>
            <w:vAlign w:val="bottom"/>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00" w:type="dxa"/>
            <w:vAlign w:val="bottom"/>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4100" w:type="dxa"/>
            <w:vAlign w:val="bottom"/>
          </w:tcPr>
          <w:p>
            <w:pPr>
              <w:jc w:val="center"/>
              <w:ind w:right="291"/>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24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8"/>
              </w:rPr>
              <w:t>KOD</w:t>
            </w:r>
          </w:p>
        </w:tc>
        <w:tc>
          <w:tcPr>
            <w:tcW w:w="3400" w:type="dxa"/>
            <w:vAlign w:val="bottom"/>
          </w:tcPr>
          <w:p>
            <w:pPr>
              <w:jc w:val="center"/>
              <w:ind w:left="652"/>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ind w:left="380" w:right="3160"/>
        <w:spacing w:after="0" w:line="22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37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37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59"/>
        </w:trPr>
        <w:tc>
          <w:tcPr>
            <w:tcW w:w="2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74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84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ind w:right="18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7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374"/>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48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ind w:right="120" w:firstLine="374"/>
        <w:spacing w:after="0" w:line="230"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a share of the registrant’s common stock on June 28, 2024, the last business day of the registrant’s most recently completed second fiscal quarter, as reported by the Nasdaq Global Market on such date, was approximately $76.1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February 28, 2025, the registrant had 52,748,343 shares of common stock, $0.0001 par value per share, outstanding.</w:t>
      </w:r>
    </w:p>
    <w:p>
      <w:pPr>
        <w:spacing w:after="0" w:line="2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8" w:lineRule="exact"/>
        <w:rPr>
          <w:sz w:val="24"/>
          <w:szCs w:val="24"/>
          <w:color w:val="auto"/>
        </w:rPr>
      </w:pPr>
    </w:p>
    <w:p>
      <w:pPr>
        <w:ind w:right="140" w:firstLine="374"/>
        <w:spacing w:after="0" w:line="243"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 on Form 10-K for the Fiscal Year Ended December 31, 2024</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910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100" w:type="dxa"/>
            <w:vAlign w:val="bottom"/>
            <w:gridSpan w:val="27"/>
            <w:vMerge w:val="continue"/>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88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 Summary</w:t>
            </w:r>
          </w:p>
        </w:tc>
        <w:tc>
          <w:tcPr>
            <w:tcW w:w="522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8"/>
        </w:trPr>
        <w:tc>
          <w:tcPr>
            <w:tcW w:w="1200" w:type="dxa"/>
            <w:vAlign w:val="bottom"/>
            <w:vMerge w:val="continue"/>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04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080" w:type="dxa"/>
            <w:vAlign w:val="bottom"/>
            <w:gridSpan w:val="2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340" w:type="dxa"/>
            <w:vAlign w:val="bottom"/>
            <w:gridSpan w:val="2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7740" w:type="dxa"/>
            <w:vAlign w:val="bottom"/>
            <w:gridSpan w:val="1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Stockholders Matters and Issuer Purchases of Equity Securities</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8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3"/>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4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3"/>
          </w:tcPr>
          <w:p>
            <w:pPr>
              <w:spacing w:after="0"/>
              <w:rPr>
                <w:sz w:val="17"/>
                <w:szCs w:val="17"/>
                <w:color w:val="auto"/>
              </w:rPr>
            </w:pPr>
          </w:p>
        </w:tc>
        <w:tc>
          <w:tcPr>
            <w:tcW w:w="47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800" w:type="dxa"/>
            <w:vAlign w:val="bottom"/>
            <w:tcBorders>
              <w:top w:val="single" w:sz="8" w:color="0000FF"/>
            </w:tcBorders>
            <w:gridSpan w:val="13"/>
          </w:tcPr>
          <w:p>
            <w:pPr>
              <w:spacing w:after="0"/>
              <w:rPr>
                <w:sz w:val="17"/>
                <w:szCs w:val="17"/>
                <w:color w:val="auto"/>
              </w:rPr>
            </w:pPr>
          </w:p>
        </w:tc>
        <w:tc>
          <w:tcPr>
            <w:tcW w:w="252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7760" w:type="dxa"/>
            <w:vAlign w:val="bottom"/>
            <w:gridSpan w:val="2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00" w:type="dxa"/>
            <w:vAlign w:val="bottom"/>
            <w:gridSpan w:val="8"/>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Stockholders Matters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900" w:type="dxa"/>
            <w:vAlign w:val="bottom"/>
            <w:tcBorders>
              <w:top w:val="single" w:sz="8" w:color="0000FF"/>
            </w:tcBorders>
            <w:gridSpan w:val="3"/>
          </w:tcPr>
          <w:p>
            <w:pPr>
              <w:spacing w:after="0"/>
              <w:rPr>
                <w:sz w:val="17"/>
                <w:szCs w:val="17"/>
                <w:color w:val="auto"/>
              </w:rPr>
            </w:pPr>
          </w:p>
        </w:tc>
        <w:tc>
          <w:tcPr>
            <w:tcW w:w="174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6"/>
          </w:tcPr>
          <w:p>
            <w:pPr>
              <w:spacing w:after="0"/>
              <w:rPr>
                <w:sz w:val="17"/>
                <w:szCs w:val="17"/>
                <w:color w:val="auto"/>
              </w:rPr>
            </w:pPr>
          </w:p>
        </w:tc>
        <w:tc>
          <w:tcPr>
            <w:tcW w:w="594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91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Annual Report on Form 10-K titled “Part I, Item 1A — Risk Factors” and elsewhere in this Annual Report. Forward-looking statements include, but are not limited to, statements about:</w:t>
      </w:r>
    </w:p>
    <w:p>
      <w:pPr>
        <w:spacing w:after="0" w:line="7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development activities, preclinical studies, clinical trials and regulatory filings;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manufacture and commercialize our product candidates;</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of our preclinical results and data and early clinical trial results in particular relating to safety, efficacy and durability into future clinical trials in humans;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durability, efficacy and safety of our product candidates;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of clinical trials planned for submission in our Biologics License Application, or BLA, of tarcocimab tedromer (formerly KSI-301, also known as tarcocimab);</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any product candidates we have or may develop, and conducting preclinical studies and clinical trials;</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Lonza’s ability to successfully execute on our manufacturing development plan;</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chemistry manufacturing and controls, or CMC, requirements of the United States Food and Drug Administration, or FDA, and other regulatory bodies to support any BLA submission and potential commercial launch;</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enhancements and benefits of new formulations of tarcocimab, KSI-501, KSI-101 or other ABC Platform derived molecules;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the potential to achieve FDA approval of any product candidates;</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if approved for commercial use,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or platform technologies that are or may become available;</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product candidates for which we obtain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as to the concentration of retinal specialists in the United States and its impact on our sales and marketing plans;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enter into manufacturing-related commitments, and the timing thereof;</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 agreements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 and third-party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unfavorable U.S. and global economic conditions on our business and operations, the business and operations of our collaborators, and on the global economy;</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the sufficiency of our cash resources, expenses, future revenue, capital requirements and needs for additional financing, as well as, our ability to continue as a going concern;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aspirational goals and objectives related to our human capital resources and workforce objectives;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managerial, scientific and medical personnel.</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Annual Report on Form 10-K titled “Part I, Item 1A — Risk Factors”.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73"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Annual Report are the property of their respective holders. Unless the context requires otherwise, references in this Annual Report to “Kodiak” the “Company,” “we,” “us,” and “our” refer to Kodiak Sciences Inc. and its subsidiaries.</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Kodiak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i w:val="1"/>
          <w:iCs w:val="1"/>
          <w:color w:val="auto"/>
        </w:rPr>
        <w:t>, Kodiak Sciences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i w:val="1"/>
          <w:iCs w:val="1"/>
          <w:color w:val="auto"/>
        </w:rPr>
        <w:t>, ABC</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i w:val="1"/>
          <w:iCs w:val="1"/>
          <w:color w:val="auto"/>
        </w:rPr>
        <w:t>, ABC Platform</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i w:val="1"/>
          <w:iCs w:val="1"/>
          <w:color w:val="auto"/>
        </w:rPr>
        <w:t>, ABCD</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i w:val="1"/>
          <w:iCs w:val="1"/>
          <w:color w:val="auto"/>
        </w:rPr>
        <w:t xml:space="preserve"> and the Kodiak logo are registered trademarks or trademarks of Kodiak Sciences Inc.</w:t>
      </w:r>
    </w:p>
    <w:p>
      <w:pPr>
        <w:spacing w:after="0"/>
        <w:rPr>
          <w:sz w:val="20"/>
          <w:szCs w:val="20"/>
          <w:color w:val="auto"/>
        </w:rPr>
      </w:pPr>
      <w:r>
        <w:rPr>
          <w:rFonts w:ascii="Times New Roman" w:cs="Times New Roman" w:eastAsia="Times New Roman" w:hAnsi="Times New Roman"/>
          <w:sz w:val="18"/>
          <w:szCs w:val="18"/>
          <w:i w:val="1"/>
          <w:iCs w:val="1"/>
          <w:color w:val="auto"/>
        </w:rPr>
        <w:t>in various global jurisdictions.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60" w:firstLine="51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numerous risks, including the risks described in “Part I, Item 1A — Risk Factors” of this Annual Report on Form 10-K, any one of which could materially adversely affect our business, financial condition, results of operations, and prospects. These risks include, among others, the following:</w:t>
      </w:r>
    </w:p>
    <w:p>
      <w:pPr>
        <w:spacing w:after="0" w:line="68" w:lineRule="exact"/>
        <w:rPr>
          <w:sz w:val="20"/>
          <w:szCs w:val="20"/>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in each period since our inception and anticipate that we will continue to incur significant and increasing net losses for the foreseeable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raises substantial doubt about our ability to continue as a going concern.</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additional financing, we may be unable to complete the development and, if approved, commercialization of our product candidates.</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are heavily dependent on our tarcocimab, KSI-501 and KSI-101 product candidates, which are currently in clinical development for multiple indications.</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pivotal studies of tarcocimab to meet their primary efficacy endpoints may lead us to pause, change or discontinue development of other product candidates based on our ABC Platform.</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for the development of tarcocimab, KSI-501 or KSI-101 may be unsuccessful.</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53"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may not be able to conduct or complete our clinical trials on the timelines we expect, if at all.</w:t>
      </w:r>
    </w:p>
    <w:p>
      <w:pPr>
        <w:spacing w:after="0" w:line="53"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53"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1"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auto"/>
        </w:rPr>
      </w:pPr>
    </w:p>
    <w:p>
      <w:pPr>
        <w:ind w:left="760" w:right="400" w:hanging="378"/>
        <w:spacing w:after="0" w:line="31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31" w:lineRule="exact"/>
        <w:rPr>
          <w:rFonts w:ascii="Times New Roman" w:cs="Times New Roman" w:eastAsia="Times New Roman" w:hAnsi="Times New Roman"/>
          <w:sz w:val="17"/>
          <w:szCs w:val="17"/>
          <w:color w:val="auto"/>
        </w:rPr>
      </w:pPr>
    </w:p>
    <w:p>
      <w:pPr>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ind w:left="380" w:right="4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200" w:lineRule="exact"/>
        <w:rPr>
          <w:sz w:val="20"/>
          <w:szCs w:val="20"/>
          <w:color w:val="auto"/>
        </w:rPr>
      </w:pPr>
    </w:p>
    <w:p>
      <w:pPr>
        <w:spacing w:after="0" w:line="2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1201" w:right="37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Since its founding in 2009, Kodiak Sciences Inc. (“Kodiak,” the “Company,” “we” or “our”) has developed a new technology platform, the Antibody Biopolymer Conjugate (“ABC”) Platform, for retinal medicines. Our goal is to prevent and treat the major causes of blindness by developing and commercializing next-generation therapeutics to address multiple unmet needs on the spectrum of retinal diseases.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Kodiak has developed three clinical programs based on its internal discovery and development engine. The lead investigational medicine, tarcocimab tedromer (“KSI-301” or “tarcocimab”), is built from Kodiak’s ABC Platform and to date, has completed three successful Phase 3 pivotal clinical studies across three high prevalence retinal vascular diseases. Tarcocimab is intended to be a mainstay intravitreal biologic that provides high immediacy, driven by the enhanced formulation, and high durability, driven by the ABC Platform and our science of durability, with the ultimate objective of providing, once approved, a flexible 1-month through 6-month label for all patients who may benefit from anti-vascular endothelial growth factor (“anti-VEGF”) therapy. Tarcocimab is currently being studied in two Phase 3 clinical studies, the GLOW2 study in diabetic retinopathy (“DR”) and the DAYBREAK study in wet age-related macular degeneration (“AMD”). GLOW2 has completed enrollment, and DAYBREAK is actively enrolling. Kodiak anticipates to be in a position to announce topline data for the primary endpoint for GLOW2 in 1Q 2026 and for the primary endpoint for DAYBREAK in 2Q 2026. If both are successful, we intend to file a single Biologics License Application (“BLA”) in 2026 in the three large indications of wet AMD, retinal vein occlusion (“RVO”) and DR.</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Kodiak’s second investigational medicine, KSI-501, is a first-in-class bispecific antibody biopolymer conjugate designed to inhibit interleukin-6 (“IL-6”)-mediated inflammation and VEGF-mediated vascular permeability. KSI-501 is being developed for the treatment of high prevalence retinal diseases to address the leading unmet needs targeting multiple disease biologies beyond VEGF for differentiated efficacy together with extended durability. KSI-501 is designed to provide high immediacy/efficacy, driven by the enhanced formulation, and high durability, driven by the ABC Platform and our science of durability. A Phase 1 study was conducted to evaluate KSI-501’s safety, tolerability and bioactivity. Based on the positive results from this study, Kodiak has advanced KSI-501 into the Phase 3 DAYBREAK study to evaluate its efficacy and safety in wet AMD. DAYBREAK is actively enrolling patients.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Kodiak is developing a third investigational medicine, KSI-101, an unconjugated bispecific protein targeting IL-6 and VEGF. KSI-101 is being developed for patients who have retinal fluid and inflammation, a new market segment separate from the established anti-VEGF market. KSI-101 is a clinical program with opportunities and risks uncoupled from the ABC Platform, and as such we believe it is an important part of our portfolio. We initiated the Phase 1b study APEX to evaluate KSI-101’s safety and tolerability and to identify two dose levels to progress into Phase 2b/3 pivotal studies (PEAK and PINNACLE). We expect to initiate our pivotal program in 2Q 2025. In January 2025, we presented early APEX data in patients with macular edema secondary to inflammation (“MESI”) that demonstrated strong treatment response at all KSI-101 dose levels. We expect to present additional APEX data at an Investor R&amp;D update in June 2025.</w:t>
      </w:r>
    </w:p>
    <w:p>
      <w:pPr>
        <w:spacing w:after="0" w:line="18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Beyond its clinical pipeline, Kodiak is advancing its platform technology to embed small molecules and other active pharmaceutical ingredients (“API”), into Kodiak’s proprietary biopolymer backbone to enable high drug-antibody ratio (“DAR”) medicines. The diverse APIs are designed to be released over time to achieve targeted, multi-specific and tailored modulation of biological pathways. We believe this unique combination of high DAR and extended therapeutic benefit offers potential for broad and important utility for multifactorial ophthalmic and systemic diseases. We call this platform extension our Antibody Biopolymer Conjugate Drug ("ABCD") Platform because we are extending our platform capabilities to include the conjugation of small molecule drugs whereas historically we primarily conjugated biologics such as antibodies. Our ABCD platform is advancing a next set of investigational therapies for high prevalence retinal diseases, including our novel “duet” technology for glaucoma and geographic atrophy.</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to advancing our pipeline, we have made progress in process development and commercial scale manufacturing, including the commissioning and regulatory approval of Ursus, our dedicated commercial-scale drug substance manufacturing facility that was custom-designed and built in collaboration with Lonza. We believe these manufacturing efforts could position Kodiak well for potential market share capture if tarcocimab and KSI-501 are approved.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Notably, up to this point, Kodiak has retained all global rights to make, use and sell its product candidates, which we believe preserves future value and allows for agile decision-making.</w:t>
      </w:r>
    </w:p>
    <w:p>
      <w:pPr>
        <w:spacing w:after="0" w:line="16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While engaged in these research and development efforts, we believe we have demonstrated a disciplined and creative approach to building and financing the Company. As of December 31, 2024, we had $168.1 million in cash and cash equivalents.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objective is to develop our retina-focused product candidates, seek FDA approval, and ultimately commercialize our product candidates.</w:t>
      </w:r>
    </w:p>
    <w:p>
      <w:pPr>
        <w:spacing w:after="0" w:line="22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Following from these efforts, we believe Kodiak has the potential to achieve our ambition of becoming an important retinal development and commercialization franchise, but we recognize there are substantial risks to realizing this potential.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Tarcocimab Clinical Program Summary and Update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Kodiak’s lead clinical program tarcocimab is an investigational anti-VEGF therapy built on Kodiak’s ABC Platform and is designed to maintain potent and effective drug levels in ocular tissues for longer than existing available agents. It is being developed as a mainstay intravitreal biologic monotherapy intended to provide high immediacy, driven by the enhanced formulation, and high durability, driven by the ABC Platform and our science of durability, with the ultimate objective of providing, once approved, a flexible 1-month through 6-month label. Kodiak’s objective with tarcocimab is to enable earlier treatment and prevention of vision loss for patients with diabetic retinopathy and to develop a new high immediacy and high durability agent to improve outcomes for patients with retinal vascular diseases.</w:t>
      </w:r>
    </w:p>
    <w:p>
      <w:pPr>
        <w:spacing w:after="0" w:line="187"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To date, tarcocimab has been studied in six pivotal clinical studies: Phase 3 GLOW1 study in diabetic retinopathy (“DR”), Phase 3 BEACON study in retinal vein occlusion (“RVO”), Phase 3 DAYLIGHT study in wet AMD, Phase 3 GLEAM and GLIMMER studies with identical study design in diabetic macular edema (“DME”), and Phase 2/3 DAZZLE study in wet AMD. Of the six registrational studies, GLOW1, BEACON and DAYLIGHT successfully met the primary endpoint. Tarcocimab is currently being studied in two Phase 3 clinical trials, the GLOW2 study in DR and the DAYBREAK study in wet AMD. GLOW2 has completed enrollment, and DAYBREAK is actively enrolling. Kodiak anticipates to be in a position to announce topline data for the primary endpoint for GLOW2 in 1Q 2026 and for the primary endpoint for DAYBREAK in 2Q 2026. Kodiak plans to wait for DAYBREAK topline data expected 2Q 2026 in order to file a single Biologics License Application (“BLA”) for tarcocimab in wet AMD, DR and RVO.</w:t>
      </w:r>
    </w:p>
    <w:p>
      <w:pPr>
        <w:spacing w:after="0" w:line="17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Both GLOW2 and DAYBREAK use tarcocimab’s enhanced 50 mg/mL formulation containing both conjugated and unconjugated antibody that is intended to deliver high immediacy and high durability.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 information about study design and results, if completed, from each individual pivotal study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Phase 3 Studies: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GLOW2 – Phase 3 Study in Patients with Diabetic Retinopathy</w:t>
      </w:r>
    </w:p>
    <w:p>
      <w:pPr>
        <w:spacing w:after="0" w:line="22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Phase 3 GLOW2 study is the second registrational trial of tarcocimab in DR. GLOW2 has a similar design as GLOW1 in which all patients randomized to investigational therapy will receive tarcocimab on extended, 6-month dosing. GLOW2 features the benefit of an additional, third monthly loading dose (baseline, Week 4, Week 8) to explore even further benefits with tarcocimab in diabetic retinopathy patients.</w:t>
      </w:r>
    </w:p>
    <w:p>
      <w:pPr>
        <w:spacing w:after="0" w:line="17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GLOW2 study is a prospective, randomized, double-masked, multi-center pivotal superiority study designed to evaluate the efficacy and safety of tarcocimab in treatment-naïve patients with DR. Patients are randomized 1:1 and receive either sham injections or tarcocimab via intravitreal injection at baseline, Week 4, Week 8, Week 20 and Week 44. The primary endpoint is the proportion of eyes improving ≥2 steps on Diabetic Retinopathy Severity Scale ("DRSS") from baseline at Week 48. Additional outcome measures include the proportion of eyes developing a sight threatening complication of diabetic retinopathy and the proportion of eyes improving ≥3 steps on DRSS from baseline at Week 48.</w:t>
      </w:r>
    </w:p>
    <w:p>
      <w:pPr>
        <w:spacing w:after="0" w:line="18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March 10, 2025, Kodiak announced that GLOW2 completed enrollment, randomizing more than 250 patients. Kodiak expects to be in a position to announce topline data in 1Q 2026.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i w:val="1"/>
          <w:iCs w:val="1"/>
          <w:color w:val="auto"/>
        </w:rPr>
        <w:t>DAYBREAK – Phase 3 Study in Patients with Wet Age-Related Macular Degeneration</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Phase 3 DAYBREAK study is a non-inferiority study evaluating parallel investigational arms of tarcocimab and KSI-501 against active comparator aflibercept. Patients randomized to tarcocimab will receive individualized dosing every 4 to 24 weeks on an as needed basis following four monthly loading doses. Patients randomized to aflibercept will be dosed per its label. The individualized dosing of tarcocimab is determined by a treat-to-dryness proactive approach, using presence of retinal fluid as a disease activity marker, instead of a combination of central subfield thickness ("CST") and vision loss, which resembles retina specialists' practice and optimizes each patient's treatment. The objectives for tarcocimab in DAYBREAK are to assess its 6-month durability potential, strengthen its competitive position in wet AMD and bolster the regulatory application package for the program.</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DAYBREAK is actively enrolling patients, and Kodiak anticipates to be in a position to announce topline data for the primary endpoint in 2Q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Completed Studies: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GLOW1 – Phase 3 Study in Patients with Non-Proliferative Diabetic Retinopathy without DME</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Phase 3 GLOW1 study was a global, multi-center, randomized pivotal superiority study designed to evaluate the efficacy and safety of tarcocimab in treatment-naïve patients with moderately severe to severe DR. Patients were randomized to receive either tarcocimab every six months after initiating doses given at baseline, 8 weeks and 20 weeks into the study, or to receive sham injections. The primary endpoint was at one year.</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November 6, 2023, Kodiak announced that GLOW1 met its primary endpoint of the proportion of patients with at least a 2-step improvement on the Diabetic Retinopathy Severity Scale (DRSS) score, a grading system measuring the degree of retinopathy. Tarcocimab achieved a 29-fold increased response rate ratio, with 41.1% of evaluable patients on tarcocimab demonstrating at least 2-step improvement versus 1.4% of evaluable patients in the sham group (p-value less than 0.0001). Visual acuity and retinal anatomy were improved and stable with tarcocimab on its extended-dosing intervals. At one year, GLOW1 also met its key secondary endpoint of greater reductions in the proportion of patients developing sight-threatening complications (such as diabetic macular edema and proliferative diabetic retinopathy), versus sham, demonstrating an 89% decreased risk, achieving 21.0% versus 2.3% (p-value less than 0.0001). Tarcocimab also showed a 95% risk reduction in the development of DME, versus sham, from 13.7% on sham versus 0.7% on tarcocimab. The rates of serious ocular adverse events and intraocular inflammation in patients treated with tarcocimab and sham were similar.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BEACON – Phase 3 Study in Patients with Treatment-Naïve Retinal Vein Occlusion</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Phase 3 BEACON study was a randomized, double-masked, multicenter, active comparator-controlled study in treatment naïve patients with vision loss and macular edema due to retinal vein occlusion, including both branch ("BRVO") and central ("CRVO") subtypes. In the initial six months of the study, patients received tarcocimab on a fixed every-8-week dosing regimen following 2 monthly loading doses or aflibercept 2mg on a fixed monthly dosing regimen per its label. In the second six months of the study, tarcocimab and aflibercept were tested head-to-head according to a pro re nata (“PRN") protocol in which patients in both groups were treated only when disease reactivated according to matched predefined disease activity criteria.</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August 2022, Kodiak announced that the BEACON study met the primary efficacy endpoint of non-inferior visual acuity change from baseline at week 24 for subjects given tarcocimab every two months after 2 monthly loading doses compared to subjects given monthly aflibercept.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9" w:name="page10"/>
    <w:bookmarkEnd w:id="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Kodiak announced new one-year results from the BEACON study. Tarcocimab demonstrated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tarcocimab-treated patients achieving an observed mean of 76.6 letters versus 75.6 letters for aflibercept treated patients. All RVO patients received a median of 5.0 injections on tarcocimab versus 7.0 injections of aflibercept. Despite materially fewer injections in tarcocimab treated patients, vision outcomes favored tarcocimab-treated patients achieving an observed mean of 74.6 letters versus 74.3 letters for aflibercept treated patients.</w:t>
      </w:r>
    </w:p>
    <w:p>
      <w:pPr>
        <w:spacing w:after="0" w:line="18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Safety and tolerability were comparable between tarcocimab and aflibercept. Intraocular inflammation (IOI) rate was comparable between groups (tarcocimab 2.5% vs aflibercept 0.7%). No cases of inflammation associated with vascular occlusion or vasculitis were reported.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DAYLIGHT – Phase 3 Study in Patients with Treatment-Naïve Wet AMD</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DAYLIGHT study was a randomized, double-masked, active comparator-controlled study evaluating the efficacy and safety of a high intensity dosing regimen of tarcocimab in 557 treatment-naïve subjects with wet AMD. On July 24, 2023, Kodiak announced that the DAYLIGHT study met the primary endpoint of non-inferior visual acuity gains at year 1 for tarcocimab dosed monthly compared to aflibercept dosed every 8 weeks following 3 monthly loading doses. Intraocular inflammation occurred in 3.3% of patients treated with monthly tarcocimab and 0.4% of patients treated with aflibercept with no vasculitis or occlusion.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GLEAM / GLIMMER – Paired Phase 3 Studies in Patients with Treatment-Naïve Diabetic Macular Edema</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GLEAM and GLIMMER studies were identically designed, randomized, double-masked, active comparator-controlled studies evaluating the efficacy, durability and safety of tarcocimab in 460 and 457 treatment-naïve subjects with DME, respectively, run in parallel.</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24, 2023, Kodiak announced that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 unexpected increase in cataract adverse events was reported over time in the tarcocimab arms of both GLEAM and GLIMMER, with 19% on tarcocimab versus 9% on aflibercept at the primary endpoint based on the pooled safety population. Kodiak’s evaluation suggested that the decline in visual acuity associated with cataracts likely contributed meaningfully to the failure of each study.</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i w:val="1"/>
          <w:iCs w:val="1"/>
          <w:color w:val="auto"/>
        </w:rPr>
        <w:t>DAZZLE – Phase 2b/3 Study in Patients with Treatment-Naïve Wet AMD</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DAZZLE study was a global, multi-center, randomized pivotal study designed to evaluate the durability, efficacy and safety of tarcocimab in patients with treatment-naïve wet AMD. In February 2022 Kodiak announced that this initial pivotal study did not meet its primary efficacy endpoint of non-inferior visual acuity gains for subjects dosed on extended regimens every 12-, 16- or 20 weeks with tarcocimab compared to subjects given aflibercept every 8 weeks. Following this announcement, Kodiak discontinued the study and concluded remaining trial-associated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Antibody Biopolymer Conjugate Drug Substance Manufacturing</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2020, we entered into a manufacturing agreement with Lonza Ltd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Under the agreement, Kodiak and Lonza planned a custom-built facility (“Ursus”) dedicated to the commercial-scale manufacturing of Kodiak’s drug substance. In January 2023, the custom-built manufacturing suite Ursus was commissioned as a cGMP facility. Kodiak worked together with Lonza and regulatory authorities to obtain approval for Ursus, and we released our first commercial scale cGMP batch of tarcocimab in July 2023. In October 2023, Kodiak made a final payment of $26.8 million to Lonza for final activation of Ursus. Separately, tarcocimab drug product based on our enhanced formulation was released in March 2024 and is being used in the GLOW2 and DAYBREAK pivotal studies.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KSI-501 Clinical Program Update</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KSI-501 is an anti-IL-6, VEGF-trap bispecific antibody biopolymer conjugate built on the ABC Platform and is being developed for high prevalence retinal vascular diseases to address the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Higher intraocular levels of IL-6 are correlated with poorer BCVA outcomes over time in wet AMD patients treated with anti-VEGF monotherapy, which suggests that IL-6 inhibition in combination with anti-VEGF therapy could lead to improved outcomes. In preclinical models, KSI-501 was shown to be a potent inhibitor of VEGF and IL-6 and, further, was shown to normalize the blood retinal barrier, opening up the possibility that KSI-501 may be a disease-modifying therapy for retinal vascular diseases. A completed Phase 1 multiple ascending dose study demonstrated that repeated monthly dosing of KSI-501 was well tolerated and achieved clinically meaningful and sustained improvement in visual acuity and fluid reduction in patients with diabetic macular edema.</w:t>
      </w:r>
    </w:p>
    <w:p>
      <w:pPr>
        <w:spacing w:after="0" w:line="187"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Kodiak has advanced KSI-501 into a Phase 3 study DAYBREAK to evaluate its efficacy and safety in wet AMD. The DAYBREAK study is a non-inferiority study evaluating parallel investigational arms of KSI-501 and tarcocimab against active comparator aflibercept. Patients randomized to KSI-501 will receive fixed every 8-week dosing with additional individualized dosing (up to monthly dosing) on an as needed basis after 4 monthly loading doses.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Patients randomized to aflibercept will be dosed per its label. The primary endpoint is non-inferiority in change in visual acuity from baseline to the average of Week 40, 44 and 48. DAYBREAK uses KSI-501's enhanced 50 mg/mL formulation containing both conjugated and unconjugated antibody that is intended to deliver high immediacy and high durability. The objective for KSI-501 in DAYBREAK is to explore the efficacy potential of bispecific VEGF and IL-6 inhibition in a broad treatment-naïve wet AMD population. DAYBREAK is now actively enrolling patients.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KSI-101 Clinical Program Update</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KSI-101 is a novel, potent and high strength (100 mg/mL) bispecific protein targeting IL-6 and VEGF. We are developing KSI-101 for patients who have retinal fluid and inflammation. Currently there are no available intravitreal biologic therapies addressing the spectrum of inflammatory conditions of the retina. We believe that retinal inflammatory conditions represent a new market segment separate from the established anti-VEGF market. KSI-101 is a clinical prospect with opportunities and risks uncoupled from the ABC Platform, and as such is an important part of our late-phase portfolio. We have initiated a dose-finding Phase 1b study APEX. The APEX study evaluates KSI-101 in two cohorts, Cohort 1 in patients with diabetic macular edema ("DME") and Cohort 2 in patients with macular edema secondary to inflammation ("MESI"). The goal of the APEX study is to evaluate the safety and tolerability of KSI-101 and to identify two dose levels to progress into dual Phase 2b/3 studies (PEAK and PINNACLE) in MESI. In January 2025, we presented early APEX data in patients with MESI that demonstrated strong treatment response at all KSI-101 dose levels.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APEX is continuing to actively enroll patients. Kodiak intends to present new APEX clinical trial data for KSI-101 in an Investor R&amp;D Update to be scheduled for June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KSI-501 and KSI-101 Manufacturing</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been progressing the manufacturing of KSI-501 and KSI-101 in preparation for the anticipated clinical studies. Clinical material for both KSI-501 (50 mg/mL strength in our enhanced formulation) and KSI-101 (100 mg/mL strength) were successfully manufactured in the first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ABC Platform Development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Kodiak is advancing its platform technology to embed small molecules and other active pharmaceutical ingredients ("API")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non-topical, long-durability therapy that delivers MOAs beyond IOP lowering and has the potential of quarterly dosing.</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Health Platform Development</w:t>
      </w:r>
    </w:p>
    <w:p>
      <w:pPr>
        <w:spacing w:after="0" w:line="229" w:lineRule="exact"/>
        <w:rPr>
          <w:sz w:val="20"/>
          <w:szCs w:val="20"/>
          <w:color w:val="auto"/>
        </w:rPr>
      </w:pPr>
    </w:p>
    <w:p>
      <w:pPr>
        <w:jc w:val="both"/>
        <w:ind w:right="220" w:firstLine="509"/>
        <w:spacing w:after="0" w:line="272" w:lineRule="auto"/>
        <w:rPr>
          <w:sz w:val="20"/>
          <w:szCs w:val="20"/>
          <w:color w:val="auto"/>
        </w:rPr>
      </w:pPr>
      <w:r>
        <w:rPr>
          <w:rFonts w:ascii="Times New Roman" w:cs="Times New Roman" w:eastAsia="Times New Roman" w:hAnsi="Times New Roman"/>
          <w:sz w:val="17"/>
          <w:szCs w:val="17"/>
          <w:color w:val="auto"/>
        </w:rPr>
        <w:t>Kodiak also continues to advance its VETi (Visual Engagement Technology and imager) program. VETi is built on Kodiak’s suite of proprietary LiDAR (Light Detection and Ranging) sensor technologies. VETi is an autonomous AI- and machine-learning-enabled headset that engages directly into the eye. Kodiak’s goal is to commercialize VETi together with Kodiak’s emerging portfolio of retinal medicines using apps that apply AI-enabled tools.</w:t>
      </w:r>
    </w:p>
    <w:p>
      <w:pPr>
        <w:spacing w:after="0" w:line="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Kodiak also believes VETi has future potential to be used to build correlations between VETi data and many human diseases outside of retina and then to be used to diagnose disease and monitor treatment. VETi may also have future potential as an AI-enabled device with similarities to a consumer smartwatch but with direct access into the body and the brain through the eye rather than through the skin.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current standard of care for DR (including DME), RVO and wet AMD is intravitreal administration of anti-VEGF therapies, principally Avastin, Lucentis and Eylea, which are well-established therapies and are widely accepted by physicians, patients and third-party payors.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newer competitors have received FDA approval in recent years, such as Vabysmo (faricimab) from Roche. Vabysmo is a bispecific antibody targeting VEGF and angiopoietin-2 (Ang-2) and received FDA approval for the treatment of wet AMD and DME in January 2022 and received FDA approval for RVO in October 2023. Vabysmo demonstrated non-inferiority in visual acuity gains to Eylea in wet AMD and DME, with extended dosing of up to once every 16 weeks for slightly less than half of patients in Phase 3 trials at the Year 1 primary endpoint. Vabysmo also demonstrated non-inferiority in visual acuity gains to Eylea in Phase 3 studies in RVO with monthly dosing regimen for both therapies. We believe Vabysmo may be perceived to offer better anatomical improvement (drying the retina) and, secondarily, incremental benefit in durability over currently established therapies such as Lucentis and Eylea. Vabysmo has been gaining adoption since launch and we believe it has become an important product in the marketplace.</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2023, Regeneron’s product, Eylea HD (high dose aflibercept) gained FDA approval for the treatment of wet AMD, DME and DR. High dose aflibercept demonstrated non-inferior visual acuity gains to Eylea in Phase 3 studies in wet AMD and DME while dosing a majority of patients on an every 3 or 4 month interval compared to Eylea dosed every 8 weeks per its label. We believe Eylea HD may become an important therapy in the marketplace given Regeneron’s incumbent position in retinal diseases.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There are also other companies and research organizations developing treatments targeting other molecular targets, potential gene therapy treatments, stem cell transplant treatments, medical devices as well as biosimilars for the treatment of DR, RVO and wet AMD. We believe the therapeutic space of retinal diseases may become increasingly competitive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future product candidates must be approved by the FDA through either a new drug application, or NDA, or a biologics license application,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 process before they may be legally marketed in the United States. The process generally involves the following:</w:t>
      </w:r>
    </w:p>
    <w:p>
      <w:pPr>
        <w:spacing w:after="0" w:line="99" w:lineRule="exact"/>
        <w:rPr>
          <w:sz w:val="20"/>
          <w:szCs w:val="20"/>
          <w:color w:val="auto"/>
        </w:rPr>
      </w:pPr>
    </w:p>
    <w:p>
      <w:pPr>
        <w:ind w:left="760" w:right="4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trial site before each trial may be initiated;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accept the filing for review;</w:t>
      </w:r>
    </w:p>
    <w:p>
      <w:pPr>
        <w:spacing w:after="0" w:line="11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and/or clinical trial sites that generated the data in support of the NDA or BLA;</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including consideration of the views of any FDA advisory committee, prior to any commercial marketing or sale of the drug or biologic in the United States;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and may overlap.</w:t>
      </w:r>
    </w:p>
    <w:p>
      <w:pPr>
        <w:spacing w:after="0" w:line="117" w:lineRule="exact"/>
        <w:rPr>
          <w:sz w:val="20"/>
          <w:szCs w:val="20"/>
          <w:color w:val="auto"/>
        </w:rPr>
      </w:pPr>
    </w:p>
    <w:p>
      <w:pPr>
        <w:jc w:val="both"/>
        <w:ind w:left="760" w:right="2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67"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6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NDA/BLA Review Process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or BLA must be accompanied by a user fee. The FDA adjusts the PDUFA user fees on an annual basis. PDUFA also imposes an annual program fee for approved human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firstLine="509"/>
        <w:spacing w:after="0" w:line="266"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7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Licensure Pathway of Biological Products as Biosimilar or Interchangeable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biological products shown to be highly similar to an FDA-licensed reference biological product. An application for licensure of a biosimilar product must include information demonstrating biosimilarity based upon the following, unless the FDA determines otherwise:</w:t>
      </w:r>
    </w:p>
    <w:p>
      <w:pPr>
        <w:spacing w:after="0" w:line="68" w:lineRule="exact"/>
        <w:rPr>
          <w:sz w:val="20"/>
          <w:szCs w:val="20"/>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studies demonstrating that the proposed biosimilar product is highly similar to the approved product notwithstanding minor differences in clinically inactive components;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studies (including the assessment of toxicity); and</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an application must include information demonstrating that:</w:t>
      </w:r>
    </w:p>
    <w:p>
      <w:pPr>
        <w:spacing w:after="0" w:line="117" w:lineRule="exact"/>
        <w:rPr>
          <w:sz w:val="20"/>
          <w:szCs w:val="20"/>
          <w:color w:val="auto"/>
        </w:rPr>
      </w:pPr>
    </w:p>
    <w:p>
      <w:pPr>
        <w:ind w:left="760" w:right="400" w:hanging="378"/>
        <w:spacing w:after="0" w:line="312" w:lineRule="auto"/>
        <w:tabs>
          <w:tab w:leader="none" w:pos="7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31" w:lineRule="exact"/>
        <w:rPr>
          <w:rFonts w:ascii="Times New Roman" w:cs="Times New Roman" w:eastAsia="Times New Roman" w:hAnsi="Times New Roman"/>
          <w:sz w:val="17"/>
          <w:szCs w:val="17"/>
          <w:color w:val="auto"/>
        </w:rPr>
      </w:pPr>
    </w:p>
    <w:p>
      <w:pPr>
        <w:ind w:left="760" w:right="74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or conditions of use prescribed, recommended, or suggested in the labeling for the proposed biosimilar product have been previously approved for the reference product;</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route of administration, the dosage form, and the strength of the proposed biosimilar product are the same as those for the reference product; and</w:t>
      </w:r>
    </w:p>
    <w:p>
      <w:pPr>
        <w:spacing w:after="0" w:line="53"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in which the biological product is manufactured, processed, packed or held meets standards designed to assure that the biological product continues to be safe, pure, and potent.</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7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product is biosimilar to the reference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product is expected to produce the same clinical result as the reference product in any given patient;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left="760" w:right="18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FDA approval is required before a biosimilar may be marketed in the United States. In addition, as with BLAs, biosimilar product applications will not be approved unless the product is manufactured in facilities designed to assure and preserve the biological product’s safety, purity and potency.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or 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Laws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the United States in addition to the FDA, including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Health Care Act, as amended by the Health Care and Education Reconciliation Act, or collectively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8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payor. In addition, the federal physician payment transparency requirements, sometimes referred to as the “Physician Payments Sunshine Act,” created under the ACA and its implementing regulations, require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such individually identifiable health information. In addition, state data privacy laws that protect the security of health information may differ from each other and may not be preempted by federal law.</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Moreover, several states and local jurisdictions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 In addition, the approval and commercialization of any of our product candidates outside the United States will also likely subject us to foreign equivalents of the healthcare laws mentioned above.</w:t>
      </w:r>
    </w:p>
    <w:p>
      <w:pPr>
        <w:spacing w:after="0" w:line="7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Failure to maintain compliance with these healthcare laws could result in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Data privacy and security laws in the U.S. are also increasingly complex and changing rapidly. Numerous U.S. states have enacted comprehensive privacy laws that impose certain obligations on covered businesses, including providing specific disclosures in privacy notices and affording residents with certain rights concerning their personal data. These state laws allow for statutory fines for noncompliance.</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processing of personal data in connection with clinical trials in the EU must comply with the EU’s General Data Protection Regulation, or EU GDPR. The EU GDPR imposes stringent data protection requirements and provides for penalties for noncompliance that can include bans on processing personal data and fines of up to the greater of 20 million euros or four percent of worldwide annual revenues. The EU GDPR requires organizations to give detailed disclosures about how they collect, use and share personal data; under certain conditions, obtain explicit consent to process sensitive personal data,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afford individuals’ data protection rights, including their rights to access, correct and delete their personal data.</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European data protection laws generally restrict the transfer of personal data from Europe, including from the European Economic Area, the United Kingdom and Switzerland, to the U.S. and most other countries unless the parties to the transfer have implemented specific safeguards to protect the transferred personal data. Legal challenges have in the past and may in the future be successful in limiting the mechanisms available to transfer personal data across national borders.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regulatory, or other legal requirements may result in legal and regulatory actions. Depending on the circumstances, failure to meet applicable obligations can result in significant penalties, including administrative, civil, and criminal penalties, fines, imprisonment, disgorgement, injunctions, exclusion from participation in federal healthcare programs, integrity oversight and reporting obligations, requests for recall, seizure of products, total or partial suspension of production, denial or withdrawal of product approvals or refusal to allow a firm to enter into supply contracts, including government contracts. Any action against us for violation of these obligations,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 Care Reform</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Further, the United States, there have been and continue to be a number of healthcare-related legislative initiatives that have significantly affected the healthcare industry. For example, on August 16, 2022,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any additional challenges and healthcare form measures of the second Trump administration will impact the ACA and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IRA, among other things, (i) directs HHS to negotiate the price of certain high-expenditure, single-source drugs that have been on the market for at least 7 years and biologics that have been on the market for at least 11 years covered under Medicare, and subject drug manufacturers to civil monetary penalties and a potential excise tax by offering a price that is not equal to or less than the negotiated “maximum fair price” for such drugs and biologics under the law, or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8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Patent-Term Restoration and Marketing Exclusivity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firstLine="509"/>
        <w:spacing w:after="0" w:line="253" w:lineRule="auto"/>
        <w:rPr>
          <w:sz w:val="20"/>
          <w:szCs w:val="20"/>
          <w:color w:val="auto"/>
        </w:rPr>
      </w:pPr>
      <w:r>
        <w:rPr>
          <w:rFonts w:ascii="Times New Roman" w:cs="Times New Roman" w:eastAsia="Times New Roman" w:hAnsi="Times New Roman"/>
          <w:sz w:val="18"/>
          <w:szCs w:val="18"/>
          <w:color w:val="auto"/>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in the United States, medicinal products can be marketed only if a marketing authorization from the competent regulatory agencies has been obtained.</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81"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68" w:lineRule="exact"/>
        <w:rPr>
          <w:sz w:val="20"/>
          <w:szCs w:val="20"/>
          <w:color w:val="auto"/>
        </w:rPr>
      </w:pPr>
    </w:p>
    <w:p>
      <w:pPr>
        <w:ind w:left="760" w:right="240" w:hanging="378"/>
        <w:spacing w:after="0" w:line="254"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83" w:lineRule="exact"/>
        <w:rPr>
          <w:rFonts w:ascii="Times New Roman" w:cs="Times New Roman" w:eastAsia="Times New Roman" w:hAnsi="Times New Roman"/>
          <w:sz w:val="18"/>
          <w:szCs w:val="18"/>
          <w:color w:val="auto"/>
        </w:rPr>
      </w:pPr>
    </w:p>
    <w:p>
      <w:pPr>
        <w:ind w:left="760" w:right="40" w:hanging="378"/>
        <w:spacing w:after="0" w:line="253"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in the RMS and the Member States Concerned).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CMS has proposed to expand Medicaid rebate liability to the territories of the United States as well.</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on Form 10-K,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prosecuted numerous patents and patent applications and possess know-how and trade secrets relating to the development and commercialization of our ABC Platform and product candidates, including related manufacturing processes and technology. As of December 31, 2024, we were the assignee of record for approximately 14 U.S. issued patents, and the applicant for approximately 18 U.S. pending patent applications and 9 pending PCT applications directed to certain of our proprietary technology, inventions, and improvements and our most advanced product candidates, as well as 49 patents issued in jurisdictions outside of the United States and 63 patent applications pending in jurisdictions outside of the United States that, in many cases, are counterparts to the foregoing U.S. patents and patent applications. For example, these patents and patent applications include claims directed to:</w:t>
      </w:r>
    </w:p>
    <w:p>
      <w:pPr>
        <w:spacing w:after="0" w:line="8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proteins and biologically active agents conjugated to a biopolymer;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therapeutics;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components of our therapeutics.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patents and patent applications (including anticipated 20-year expiration dates, which could be altered by, for example, a disclaimer, patent term adjustment or patent term extension) relate to tarcocimab, KSI-501, KSI-101 and/or ABC Platform:</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 U.S.</w:t>
            </w: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8"/>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Patent and Patent Application Numbers</w:t>
            </w:r>
          </w:p>
        </w:tc>
        <w:tc>
          <w:tcPr>
            <w:tcW w:w="14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20" w:type="dxa"/>
            <w:vAlign w:val="bottom"/>
          </w:tcPr>
          <w:p>
            <w:pPr>
              <w:spacing w:after="0"/>
              <w:rPr>
                <w:sz w:val="20"/>
                <w:szCs w:val="20"/>
                <w:color w:val="auto"/>
              </w:rPr>
            </w:pPr>
          </w:p>
        </w:tc>
        <w:tc>
          <w:tcPr>
            <w:tcW w:w="4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 of Representative U.S. Claims</w:t>
            </w:r>
          </w:p>
        </w:tc>
      </w:tr>
      <w:tr>
        <w:trPr>
          <w:trHeight w:val="33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8,846,021</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2/28/2027</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 claims include conjugates</w:t>
            </w:r>
          </w:p>
        </w:tc>
      </w:tr>
      <w:tr>
        <w:trPr>
          <w:trHeight w:val="3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Appl. No. 18/638556, AU Patent No.</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4/15/2031</w:t>
            </w:r>
          </w:p>
        </w:tc>
        <w:tc>
          <w:tcPr>
            <w:tcW w:w="1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 claims include conjugates</w:t>
            </w:r>
          </w:p>
        </w:tc>
      </w:tr>
    </w:tbl>
    <w:p>
      <w:pPr>
        <w:ind w:left="20"/>
        <w:spacing w:after="0"/>
        <w:rPr>
          <w:sz w:val="20"/>
          <w:szCs w:val="20"/>
          <w:color w:val="auto"/>
        </w:rPr>
      </w:pPr>
      <w:r>
        <w:rPr>
          <w:rFonts w:ascii="Times New Roman" w:cs="Times New Roman" w:eastAsia="Times New Roman" w:hAnsi="Times New Roman"/>
          <w:sz w:val="18"/>
          <w:szCs w:val="18"/>
          <w:color w:val="auto"/>
        </w:rPr>
        <w:t>2011239434, AU Patent No. 2017201930, BR Patent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 11 2012 0261185, CA Patent No. 2795667, EP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Patent No. 2558538, EP Patent No. 3549963, HK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Patent No. 40015590, JP Patent No. 6568748, JP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color w:val="auto"/>
        </w:rPr>
        <w:t>Patent No. 6754749, JP Patent No. 7217245, KR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Patent No. 10-2416359, KR Patent No. 10-2562175,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MX Patent No. 365521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8,765,432, US 11,819,531, US Appl. No.</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5/10/2030</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copolymers and methods</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18/490,182, AU Patent No. 2010330727, BR Patent</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making copolymers (ABC Platform specifically)</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1120120145568, CA Patent No. 2783615, CA</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No. 3039426, EP Patent No. 2512462, EP</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No. 3254678, EP Patent No. 3659591, CN</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No. ZL201080062252.7, HK Patent No.</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1247828, IN Patent No. 319269, JP Patent No.</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5760007, JP Patent No. 5990629, JP Patent No.</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6416832, JP Patent No. 6777706, MX Patent No.</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346423, MX Patent No. 374020, KR Patent No. 10-</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1852044, and MO Patent No. J/002943</w:t>
            </w:r>
          </w:p>
        </w:tc>
        <w:tc>
          <w:tcPr>
            <w:tcW w:w="20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10,702,608, US 11,590,235, US 12,214,044, EP</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12/21/2034</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polymers and method of</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No. 3041513, JP Patent No. 6463361, JP</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making polymers</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No. 6732056, JP Patent No. 7232796, and</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applications in certain jurisdictions claiming</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to PCT/US2014/054622</w:t>
            </w:r>
          </w:p>
        </w:tc>
        <w:tc>
          <w:tcPr>
            <w:tcW w:w="20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11,066,465, US Appl. No. 17/301599, AU Patent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12/29/2036</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antibody and antibody</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2016381964, IL Patent No. 260323, JP Patent</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conjugate, and methods of making and using the</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7088454, JP Patent No. 7414371, MX Patent No.</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conjugates</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407292, RU Patent No. 2744860, and foreign</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applications in certain jurisdictions claiming priority</w:t>
            </w:r>
          </w:p>
        </w:tc>
        <w:tc>
          <w:tcPr>
            <w:tcW w:w="20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PCT/US2016/069336</w:t>
            </w:r>
          </w:p>
        </w:tc>
        <w:tc>
          <w:tcPr>
            <w:tcW w:w="20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Patent No. 11,912,784, US Appl. No. 18/504723,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10/9/2040</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method of treating an</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foreign applications in certain jurisdictions</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eye disorder using the antibody conjugates</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claiming priority to PCT/US2020/055074</w:t>
            </w:r>
          </w:p>
        </w:tc>
        <w:tc>
          <w:tcPr>
            <w:tcW w:w="20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Appl. No. 18/555122, EP and HK applications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4/13/2042</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method of treating an</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claiming priority to PCT/US2022/024598</w:t>
            </w:r>
          </w:p>
        </w:tc>
        <w:tc>
          <w:tcPr>
            <w:tcW w:w="2060" w:type="dxa"/>
            <w:vAlign w:val="bottom"/>
          </w:tcPr>
          <w:p>
            <w:pPr>
              <w:spacing w:after="0"/>
              <w:rPr>
                <w:sz w:val="20"/>
                <w:szCs w:val="20"/>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eye disorder using the antibody conjugates</w:t>
            </w: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Appl. No. 18/166755 and foreign applications in</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2/9/2043</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method of purifying the</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jurisdictions claiming priority to</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antibody conjugates</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PCT/US2023/062322</w:t>
            </w:r>
          </w:p>
        </w:tc>
        <w:tc>
          <w:tcPr>
            <w:tcW w:w="206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PCT Application No. PCT/US2023/074805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9/21/2043</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methods of preparing a</w:t>
            </w:r>
          </w:p>
        </w:tc>
      </w:tr>
      <w:tr>
        <w:trPr>
          <w:trHeight w:val="234"/>
        </w:trPr>
        <w:tc>
          <w:tcPr>
            <w:tcW w:w="4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protein solution or therapeutic formulation</w:t>
            </w: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Patent No. 12,071,476, US Appl. No. 18/736105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3/1/2039</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fusion proteins and</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foreign applications in certain jurisdictions</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conjugates thereof, and methods of making and using</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claiming priority to PCT/US2019/020418</w:t>
            </w:r>
          </w:p>
        </w:tc>
        <w:tc>
          <w:tcPr>
            <w:tcW w:w="2060" w:type="dxa"/>
            <w:vAlign w:val="bottom"/>
          </w:tcPr>
          <w:p>
            <w:pPr>
              <w:spacing w:after="0"/>
              <w:rPr>
                <w:sz w:val="20"/>
                <w:szCs w:val="20"/>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fusion proteins and the conjugates</w:t>
            </w:r>
          </w:p>
        </w:tc>
      </w:tr>
      <w:tr>
        <w:trPr>
          <w:trHeight w:val="3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Appl. No. 17/997866 and EP application claiming</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5/6/2041</w:t>
            </w: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Representative claims include method of treating a</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to PCT/US2021/031194</w:t>
            </w: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disorder related to an infection or a systemic</w:t>
            </w:r>
          </w:p>
        </w:tc>
      </w:tr>
      <w:tr>
        <w:trPr>
          <w:trHeight w:val="216"/>
        </w:trPr>
        <w:tc>
          <w:tcPr>
            <w:tcW w:w="4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inflammatory condition using fusion proteins and</w:t>
            </w:r>
          </w:p>
        </w:tc>
      </w:tr>
      <w:tr>
        <w:trPr>
          <w:trHeight w:val="234"/>
        </w:trPr>
        <w:tc>
          <w:tcPr>
            <w:tcW w:w="4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conjugates thereof</w:t>
            </w:r>
          </w:p>
        </w:tc>
      </w:tr>
      <w:tr>
        <w:trPr>
          <w:trHeight w:val="553"/>
        </w:trPr>
        <w:tc>
          <w:tcPr>
            <w:tcW w:w="4520" w:type="dxa"/>
            <w:vAlign w:val="bottom"/>
          </w:tcPr>
          <w:p>
            <w:pPr>
              <w:spacing w:after="0"/>
              <w:rPr>
                <w:sz w:val="24"/>
                <w:szCs w:val="24"/>
                <w:color w:val="auto"/>
              </w:rPr>
            </w:pPr>
          </w:p>
        </w:tc>
        <w:tc>
          <w:tcPr>
            <w:tcW w:w="20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19</w:t>
            </w:r>
          </w:p>
        </w:tc>
        <w:tc>
          <w:tcPr>
            <w:tcW w:w="4660" w:type="dxa"/>
            <w:vAlign w:val="bottom"/>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PCT Application No. PCT/US2023/082545</w:t>
            </w:r>
          </w:p>
        </w:tc>
        <w:tc>
          <w:tcPr>
            <w:tcW w:w="2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12/5/2043</w:t>
            </w: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Representative claims include formulations of a fusion</w:t>
            </w:r>
          </w:p>
        </w:tc>
      </w:tr>
      <w:tr>
        <w:trPr>
          <w:trHeight w:val="216"/>
        </w:trPr>
        <w:tc>
          <w:tcPr>
            <w:tcW w:w="4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protein and conjugates thereof, and methods of</w:t>
            </w:r>
          </w:p>
        </w:tc>
      </w:tr>
      <w:tr>
        <w:trPr>
          <w:trHeight w:val="234"/>
        </w:trPr>
        <w:tc>
          <w:tcPr>
            <w:tcW w:w="4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producing the same</w:t>
            </w:r>
          </w:p>
        </w:tc>
      </w:tr>
      <w:tr>
        <w:trPr>
          <w:trHeight w:val="31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PCT Application No. PCT/US2024/032770</w:t>
            </w:r>
          </w:p>
        </w:tc>
        <w:tc>
          <w:tcPr>
            <w:tcW w:w="2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6/6/2044</w:t>
            </w: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Representative claims include protein conjugate</w:t>
            </w:r>
          </w:p>
        </w:tc>
      </w:tr>
      <w:tr>
        <w:trPr>
          <w:trHeight w:val="234"/>
        </w:trPr>
        <w:tc>
          <w:tcPr>
            <w:tcW w:w="4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formulation and methods of preparing the formulation</w:t>
            </w:r>
          </w:p>
        </w:tc>
      </w:tr>
      <w:tr>
        <w:trPr>
          <w:trHeight w:val="31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PCT Application No. PCT/US2024/032771</w:t>
            </w:r>
          </w:p>
        </w:tc>
        <w:tc>
          <w:tcPr>
            <w:tcW w:w="2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6/6/2044</w:t>
            </w: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Representative claims include method and apparatus</w:t>
            </w:r>
          </w:p>
        </w:tc>
      </w:tr>
      <w:tr>
        <w:trPr>
          <w:trHeight w:val="216"/>
        </w:trPr>
        <w:tc>
          <w:tcPr>
            <w:tcW w:w="4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 analyzing a mixed formulation of proteins and</w:t>
            </w:r>
          </w:p>
        </w:tc>
      </w:tr>
      <w:tr>
        <w:trPr>
          <w:trHeight w:val="234"/>
        </w:trPr>
        <w:tc>
          <w:tcPr>
            <w:tcW w:w="4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protein conjugates thereof</w:t>
            </w:r>
          </w:p>
        </w:tc>
      </w:tr>
      <w:tr>
        <w:trPr>
          <w:trHeight w:val="31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PCT Application No. PCT/US2024/058543</w:t>
            </w:r>
          </w:p>
        </w:tc>
        <w:tc>
          <w:tcPr>
            <w:tcW w:w="2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12/4/2044</w:t>
            </w: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Representative claims include fusion protein /</w:t>
            </w:r>
          </w:p>
        </w:tc>
      </w:tr>
      <w:tr>
        <w:trPr>
          <w:trHeight w:val="234"/>
        </w:trPr>
        <w:tc>
          <w:tcPr>
            <w:tcW w:w="4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conjugate formulations</w:t>
            </w:r>
          </w:p>
        </w:tc>
      </w:tr>
    </w:tbl>
    <w:p>
      <w:pPr>
        <w:spacing w:after="0" w:line="19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issued U.S. patents will expire on dates ranging from 2027 to 2040. If patents are issued on our pending patent applications, the resulting patents are projected to expire on dates ranging from 2030 to 2044.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7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have a total of 33 pending trademark applications and issued trademark registrations. These include two trademark registrations and three pending trademark applications in the United States, and 27 trademark registrations and one pending trademark application in jurisdictions outside of the United States. Of the trademark registrations in jurisdictions outside of the United States, 17 are in China, 2 are in each of the European Union, Japan and the United Kingdom, and one is in each of Canada, India, Singapore and Switzerland. The pending trademark application in a jurisdiction outside of the United States is in Canada.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refer to the section on “Part I, Item 1A — Risk Factors—Risks Related to Our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109 employees worldwide, of whom 10 were based outside of the United States. Of these employees, 74 employees were engaged in or support research, development and clinical activities, 29 of whom hold a Ph.D. degree or M.D. (or equivalent) degree. None of our employees is subject to a collective bargaining agreement. We continually assess employee turnover, recruitment initiatives, compensation and benefits programs, safety in performing critical laboratory work, diversity and other matters relevant to human capital management, and we review results with our Board of Directors on a periodic basis. We aim to offer competitive compensation (including salary, incentive bonus, and equity) and benefits packages in each of our locations and in each of employee groups at each level around the globe as assessed with internal and external benchmarking data.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were formed as a limited liability company on June 22, 2009 under the name Oligasis LLC, and subsequently changed our name to Kodiak Sciences Inc. and converted into a corporation which was incorporated in the state of Delaware on September 8, 2015. Our principal executive office is located at 1250 Page Mill Road, Palo Alto, California 94304. Our telephone number is (650) 281-0850.</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maintain an internet website at the following address: https://kodiak.com. The information on our website is not incorporated by reference in this Annual Report on Form 10-K or in any other filings we make with the Securities and Exchange Commission, or SEC.</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In addition, the SEC maintains a website at www.sec.gov that contains reports, proxy and information statements, and other information regarding issuers that file electronically with the SEC.</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You should consider carefully the following risk factors, together with all the other information in this report, including the section of this report titled “Part II, Item 7 — Management’s Discussion and Analysis of Financial Condition and Results of Operations” and our consolidated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GLOW2 clinical trial of tarcocimab in patients with DR and continued enrollment for the on-going Phase 3 DAYBREAK clinical trial of tarcocimab and KSI-501 in patients with wet AMD and Phase 1b APEX clinical trial of KSI-101 in patients with DME and patients with MESI.</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obtained marketing approval for any of our product candidates, manufactured a commercial scale product,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are heavily dependent on our tarcocimab, KSI-501 and KSI-101 product candidates, which are currently in clinical development for multiple indications.</w:t>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prospects will be heavily dependent on our tarcocimab, KSI-501 and KSI-101 product candidates and the results of planned or pending clinical studies. We cannot be certain that our product candidates will be successful in any of the planned or pending clinical trials.</w:t>
      </w:r>
    </w:p>
    <w:p>
      <w:pPr>
        <w:spacing w:after="0" w:line="5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previous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conducted a Phase 1 study of KSI-501 to evaluate the safety, tolerability and bioactivity of KSI-501 in DME. Although we have continued enrolling patients in the Phase 3 DAYBREAK study for patients with wet AMD, it could take years before a registrational-type trial is completed, if at all. In addition, we initiated a dose-finding Phase 1b APEX study in 2024 and may initiate dual Phase 2b/3 studies, PEAK and PINNACLE.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pivotal studies of tarcocimab to meet their primary efficacy endpoints may lead us to pause, change or discontinue development of other product candidates based on our ABC Platform.</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patients with DR. Although we resumed the development of tarcocimab in November 2023, we may again determine to discontinue development of tarcocimab or our ABC Platform or other product candidates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plan for the development of tarcocimab, KSI-501 or KSI-101 may be unsuccessful.</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resumed further development of tarcocimab in November 2023 following the outcomes of two other trials that were then underway. While we have previous trials with favorable results and we have since resumed development of tarcocimab, further development of tarcocimab may ultimately not be successful.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5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3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have in the past and may in the future not successfully complete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approval may be for indications, dosage and administration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therapeutics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platform technologies that render our ABC Platform obsolete or less attractive;</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 or commercially attractive;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9" w:name="page30"/>
    <w:bookmarkEnd w:id="29"/>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8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51"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clinical trial sites or other third-party vendors, the terms of which can be subject to extensive negotiation and may vary significantly among different clinical trial sites or vendors;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or IRB, approval at each clinical trial site;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third parties or us to adhere to clinical trial requirements;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good clinical practices, or GCPs, requirements, or applicable EMA or other regulatory guidelines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CMOs or by us, and delays or failure by our CMOs or us to make any necessary changes to such manufacturing process;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1" w:name="page32"/>
    <w:bookmarkEnd w:id="31"/>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p>
    <w:p>
      <w:pPr>
        <w:spacing w:after="0" w:line="8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w:t>
      </w:r>
    </w:p>
    <w:p>
      <w:pPr>
        <w:spacing w:after="0" w:line="84"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firstLine="509"/>
        <w:spacing w:after="0" w:line="255" w:lineRule="auto"/>
        <w:rPr>
          <w:sz w:val="20"/>
          <w:szCs w:val="20"/>
          <w:color w:val="auto"/>
        </w:rPr>
      </w:pPr>
      <w:r>
        <w:rPr>
          <w:rFonts w:ascii="Times New Roman" w:cs="Times New Roman" w:eastAsia="Times New Roman" w:hAnsi="Times New Roman"/>
          <w:sz w:val="18"/>
          <w:szCs w:val="18"/>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a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including the resulting shelter-in-place, travel or similar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safety events may cause physicians to decrease patient enrollment in our current or planned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targeting patient populations meeting our patient eligibility criteria;</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such trials, for any reason.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5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spacing w:after="0" w:line="17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5"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refer to section “Part I, Item 1A — Risk Factors—Risks Related to Our Intellectual Property” of this Annual Report on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highly complex and requires substantial lead time to produce.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w:t>
      </w:r>
    </w:p>
    <w:p>
      <w:pPr>
        <w:spacing w:after="0" w:line="81"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manufacturing or formulation of product candidates may result in additional costs or delay.</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program and timeline of tarcocimab may impact our ability to use the Ursus Facility as intended, which could result in an excess of capital expenditures.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117" w:lineRule="exact"/>
        <w:rPr>
          <w:sz w:val="20"/>
          <w:szCs w:val="20"/>
          <w:color w:val="auto"/>
        </w:rPr>
      </w:pPr>
    </w:p>
    <w:p>
      <w:pPr>
        <w:ind w:left="1020" w:right="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any future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pivotal clinical trials and published in peer-reviewed journals;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label as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appropriate patient access programs, such as co-pay assistance;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physicians recommend our products to their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dosing and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EMA or other regulatory agencies;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how the product is distributed;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candidates we develop do not achieve an adequate level of acceptance, we may not generate significant product revenue, and we may not become profitable.</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Drug pricing and access policies in the United States and internationally may change and negatively impact the commercial viability of our product candidates. Proposed policy changes, including the potential for Medicare to negotiate with drug manufacturers, or the Medicare Drug Price Negotiation Program,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9" w:name="page40"/>
    <w:bookmarkEnd w:id="39"/>
    <w:p>
      <w:pPr>
        <w:jc w:val="both"/>
        <w:ind w:right="280" w:firstLine="509"/>
        <w:spacing w:after="0" w:line="272" w:lineRule="auto"/>
        <w:rPr>
          <w:sz w:val="20"/>
          <w:szCs w:val="20"/>
          <w:color w:val="auto"/>
        </w:rPr>
      </w:pPr>
      <w:r>
        <w:rPr>
          <w:rFonts w:ascii="Times New Roman" w:cs="Times New Roman" w:eastAsia="Times New Roman" w:hAnsi="Times New Roman"/>
          <w:sz w:val="17"/>
          <w:szCs w:val="17"/>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implementation or results of our clinical trials or the portfolio of clinical trials planned for submission in our BLA;</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comparable foreign regulatory authorities that a product candidate’s risk-benefit ratio for its proposed indication(s), when compared to the standard of care, is acceptable;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data may not be positive in all clinical trials demonstrating a mix of positive and negative clinical trial results;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312"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31" w:lineRule="exact"/>
        <w:rPr>
          <w:rFonts w:ascii="Times New Roman" w:cs="Times New Roman" w:eastAsia="Times New Roman" w:hAnsi="Times New Roman"/>
          <w:sz w:val="17"/>
          <w:szCs w:val="17"/>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significantly change in a manner rendering our clinical data insufficient for approval.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1" w:name="page42"/>
    <w:bookmarkEnd w:id="41"/>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clinical trials for our product candidates outside the United States (or the respective jurisdictions of other regulatory authorities), and the FDA (or EMA and applicable foreign regulatory authorities) may not accept data from such trials.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p>
    <w:p>
      <w:pPr>
        <w:spacing w:after="0" w:line="5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fines, warning letters or other enforcement-related letters that would result in adverse publicity;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policies of the FDA and of other regulatory authorities may change and additional government regulations may be enacted that could prevent, limit or delay regulatory approval of our product candidates. For example, the U.S. Supreme Court’s June 2024 decision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v. Raimondo </w:t>
      </w:r>
      <w:r>
        <w:rPr>
          <w:rFonts w:ascii="Times New Roman" w:cs="Times New Roman" w:eastAsia="Times New Roman" w:hAnsi="Times New Roman"/>
          <w:sz w:val="18"/>
          <w:szCs w:val="18"/>
          <w:color w:val="auto"/>
        </w:rPr>
        <w:t>overturned the longstanding Chevron doctrine, under which courts were required to give deference to regulatory agencies’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the ACA’s enactment, there have been numerous challenges and amendments to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second Trump administration will impact the ACA and our business.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Further, on March 11, 2021, the American Rescue Plan Act of 2021 was signed into law, which eliminates the statutory Medicaid drug rebate cap for single source and innovator multiple source drugs, effective January 1, 2024.</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4" w:name="page45"/>
    <w:bookmarkEnd w:id="44"/>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IRA, among other things, (i) directs HHS to negotiate the price of certain high-expenditure, single-source drugs that have been on the market for at least 7 years and biologics that have been on the market for at least 11 years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began to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8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51"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50" w:lineRule="exact"/>
        <w:rPr>
          <w:sz w:val="20"/>
          <w:szCs w:val="20"/>
          <w:color w:val="auto"/>
        </w:rPr>
      </w:pPr>
    </w:p>
    <w:p>
      <w:pPr>
        <w:ind w:left="1020" w:right="2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0" w:lineRule="exact"/>
        <w:rPr>
          <w:rFonts w:ascii="Times New Roman" w:cs="Times New Roman" w:eastAsia="Times New Roman" w:hAnsi="Times New Roman"/>
          <w:sz w:val="18"/>
          <w:szCs w:val="18"/>
          <w:color w:val="auto"/>
        </w:rPr>
      </w:pPr>
    </w:p>
    <w:p>
      <w:pPr>
        <w:ind w:left="1020" w:right="4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or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left="1020" w:right="20" w:hanging="503"/>
        <w:spacing w:after="0" w:line="253"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provincial, state, national, and foreign laws and regulations, as well as guidance, industry standards,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provides for civil penalties and a private right of action for certain data breaches (which could lead to the recovery of significant statutory damages). Although these laws may exempt some data processed in the context of clinical trials, these laws increase compliance costs and potential liability for us and the third parties with whom we work. Similar laws are being considered in other states as well as at the federal and local levels. We expect more states to pass similar laws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or EU GDPR, and the United Kingdom’s GDPR, or UK GDPR (collectively, GDPR), impose strict requirements for processing personal data. Violators of these laws face significant penalties. For example, government regulators may impose temporary or definitive bans on data processing and other corrective actions,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transfers.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spacing w:after="0" w:line="8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privacy and security. Regulators in the U.S. are increasingly scrutinizing these statements, and if these statements are found to be deficient, lacking in transparency, deceptive, unfair, misleading or misrepresentative of our practices, we may be subject to investigation, enforcement actions and other adverse consequences.</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or FCPA, and similar anti-bribery and anti-corruption laws.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currently rely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5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54"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0" w:name="page51"/>
    <w:bookmarkEnd w:id="50"/>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we may develop, pose the following risks to us:</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generally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collaborations;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the cooperation of our collaborators to enforce or defend any intellectual property we contribute to or that arises out of our collaborations, which may not be provided to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 candidates may not commit sufficient resources to the marketing and distribution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undergo a change of control and the new owners may decide to take the collaboration in a direction which is not in our best interest;</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at our collaborators may leave, which could negatively impact our ability to productively work with our collaborators;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require us to incur short and long-term expenditures, issue securities that dilute our stockholders, or disrupt our management and business;</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patent applications does not issue as a patent in any jurisdiction, we may not be able to compete effectively.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3" w:name="page54"/>
    <w:bookmarkEnd w:id="53"/>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w:t>
      </w:r>
    </w:p>
    <w:p>
      <w:pPr>
        <w:spacing w:after="0" w:line="190"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7" w:name="page58"/>
    <w:bookmarkEnd w:id="57"/>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or our collaborators may prevent or delay the development and commercialization of our product candidates, the ABC Platform and other technologies.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As stated above, this reform adds uncertainty to the possibility of challenge to our patents in the future.</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8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or KSI-501. If this were to occur, we may be required to challenge the validity of the claims, obtain a license, modify tarcocimab or KSI-501,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spacing w:after="0" w:line="84"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firstLine="509"/>
        <w:spacing w:after="0" w:line="253" w:lineRule="auto"/>
        <w:rPr>
          <w:sz w:val="20"/>
          <w:szCs w:val="20"/>
          <w:color w:val="auto"/>
        </w:rPr>
      </w:pPr>
      <w:r>
        <w:rPr>
          <w:rFonts w:ascii="Times New Roman" w:cs="Times New Roman" w:eastAsia="Times New Roman" w:hAnsi="Times New Roman"/>
          <w:sz w:val="18"/>
          <w:szCs w:val="18"/>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2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or utilize similar technology but that are not covered by the claims of the patents that we may license or own;</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54"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109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retaining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operational, financial and management controls, reporting systems and procedures;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increasing operational and managerial complexity.</w:t>
      </w:r>
    </w:p>
    <w:p>
      <w:pPr>
        <w:spacing w:after="0" w:line="11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1" w:name="page62"/>
    <w:bookmarkEnd w:id="61"/>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personal data and other sensitive information, including proprietary and confidential business data, trade secrets, intellectual property, data collected about trial participants in connection with clinical trials, and sensitive third-party data.</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contractors, consultants, and other third parties with whom we work, are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with whom we work are vulnerable to a heightened risk of attacks, including retaliatory cyber-attacks that could materially disrupt our systems and operations and supply chain.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or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Additionally, certain personnel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the integrity, confidentiality and security of the sensitive information under our control, we cannot assure you that our security measures, or those of the third parties with whom we work will be effective in preventing security incidents.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There are many different and rapidly evolving cybercrime and hacking techniques, and we may be unable to anticipate attempted security incidents, identify them before our information is exploited, or react in a timely manner. We have in the past and may in the future be unable to detect vulnerabilities in our information technology systems and software. Further, we have in the past (and may in the future) experienced delays in developing and deploying remedial measures designed to address any such identified vulnerabilities. 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access to our sensitive information, or interruptions or stoppages in our business operations (including our clinical trials).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 parties for many aspects of our business, including research and development activities and manufacturing of our product candidates, and similar events relating to their computer systems could also have a material adverse effect on our business.</w:t>
      </w:r>
    </w:p>
    <w:p>
      <w:pPr>
        <w:spacing w:after="0" w:line="80"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litigation or other liability, fines, harm to our reputation, significant costs, or other materially adverse effects. Some of our contracts may not contain limitations of liability, and even where they do, there can be no assurance that limitations or exclusions of liability in our contracts may not be enforceable or adequate or protect us from liability or damages.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international operations.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54" w:lineRule="exact"/>
        <w:rPr>
          <w:sz w:val="20"/>
          <w:szCs w:val="20"/>
          <w:color w:val="auto"/>
        </w:rPr>
      </w:pPr>
    </w:p>
    <w:p>
      <w:pPr>
        <w:ind w:left="5540" w:right="2360" w:hanging="5023"/>
        <w:spacing w:after="0" w:line="532" w:lineRule="auto"/>
        <w:tabs>
          <w:tab w:leader="none" w:pos="10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pricing and reimbursement regimes in non-U.S. countries;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the effects of disease outbreaks, epidemics and pandemics, as well as the business or operations of our third parties with whom we conduct business.</w:t>
      </w:r>
    </w:p>
    <w:p>
      <w:pPr>
        <w:spacing w:after="0" w:line="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and Capital Requirements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51"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We have incurred net losses in each reporting period since our inception, including net losses of $176.2 million, $260.5 million and $333.8 million for the years ended December 31, 2024, 2023 and 2022, respectively. As of December 31, 2024, we had an accumulated deficit of $1,328.7 million.</w:t>
      </w:r>
    </w:p>
    <w:p>
      <w:pPr>
        <w:spacing w:after="0" w:line="3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or, in the future, establish and operate a manufacturing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discovery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current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contract manufacturers or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ABC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and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ind w:left="1020" w:right="1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 adequate price for our product candidates, both in the United States and in foreign countries where our products are commercialized;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raises substantial doubt about our ability to continue as a going concern.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$168.1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stockholders;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an acquisition or strategic partnership;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if we undertake such a transaction, we may incur large one-time expenses and acquire intangible assets that could result in significant future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and global economic conditions could adversely affect our business, financial condition or results of operations.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$111.5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 may impact our financial position and results.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p>
    <w:p>
      <w:pPr>
        <w:spacing w:after="0" w:line="17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67"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These reporting and other obligations place significant demands on our management and administrative and operational resources, including accounting resources.</w:t>
      </w:r>
    </w:p>
    <w:p>
      <w:pPr>
        <w:spacing w:after="0" w:line="7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 purchasing shares.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For example, the closing price of our common stock from December 31, 2023 to December 31, 2024 ranged from a low of $2.20 to a high of $10.90 and from January 1, 2025 to February 28, 2025, ranged from a low of $3.84 to a high of $9.57. As a result, shareholders may not be able to sell their common stock at or above the price that they paid for such shares. Some of the factors that may cause the market price of our common stock to fluctuate include:</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for our current product candidates and any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our ABC Platform;</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current inflationary environment, lowered consumer confidence, bank failures, major geopolitical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firstLine="509"/>
        <w:spacing w:after="0" w:line="253"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 even if our business is doing well.</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be filled only by a majority of directors then in office, even though less than a quorum;</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exclusive right to elect a director to fill a vacancy or newly created directorship;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by a majority vote, to amend the bylaws;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at least 66 2/3% or more of the outstanding shares of common stock to amend many of the provisions described above.</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sectPr>
      </w:pPr>
    </w:p>
    <w:bookmarkStart w:id="72" w:name="page73"/>
    <w:bookmarkEnd w:id="72"/>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hardware, software, and our high value data, including intellectual property, trade secrets, confidential and sensitive information (collectively, "Information Systems and Data").</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management team works with our digital transformation team in an effort to identify, assess and manage the Company's cybersecurity threats and risks. Depending on the environment, we implement and maintain various technical, physical and organizational measures, processes, standards and policies designed to manage, mitigate and remediate material risk from cybersecurity threats to our Information Systems and Data. These measures include but are not limited to firewalls, endpoint detection and response, antivirus programs, email security measures, backups and recovery procedures, privileged access management, multi-factor authentication schemes, data encryption, automatic patching, and security system information event monitoring to detect and respond to any emerging threats. Our information security and privacy policy framework includes standards for incident response, vulnerability management, data protection and logical access controls.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Company's overall risk management process, which, in part, establishes intended uses of our computerized systems and identifies critical and/or material risks. After a system reaches operation, the risk management approach continues following processes for change control, system maintenance, logical access control, discrepancy management and periodic review.</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use independent service providers to assist us from time to time in an effort to identify, assess, and manage material risks from cybersecurity threats. We periodically conduct vulnerability assessments and perform intrusion and penetration testing to evaluate our cybersecurity response capabilities.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maintain cybersecurity awareness training for our employees and periodically perform phishing simulations. We routinely communicate with employees about the potential for cybersecurity threats, including the latest adversary trends and social engineering techniques and how to avoid them, and the best use of our established communications channels.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a vendor management process designed to manage cybersecurity risks associated with our use of third parties. Depending on the nature of the services provided, the sensitivity of the Information Systems and Data at issue, and the identity of the provider, our vendor management process may involve varying methods of assessment designed to help identify cybersecurity risks associated with a provider and impose contractual obligations related to cybersecurity on the provider.</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a description of the risks from cybersecurity threats that may materially affect the Company and how they may do so, see our risk factors under “Part I, Item 1A. — Risk Factors” in this Annual Report on Form 10-K, including the risk factor titled </w:t>
      </w:r>
      <w:r>
        <w:rPr>
          <w:rFonts w:ascii="Times New Roman" w:cs="Times New Roman" w:eastAsia="Times New Roman" w:hAnsi="Times New Roman"/>
          <w:sz w:val="18"/>
          <w:szCs w:val="18"/>
          <w:b w:val="1"/>
          <w:bCs w:val="1"/>
          <w:i w:val="1"/>
          <w:iCs w:val="1"/>
          <w:color w:val="auto"/>
        </w:rPr>
        <w:t>“If our information technology systems, or those of third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with whom we 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is responsible for overseeing cybersecurity risk management processes, including oversight and mitigation of risk from cybersecurity threats. The Nominating and Corporate Governance Committee receives reports, as necessary, from the Chief Financial Officer of the Company regarding cybersecurity threats or incidents.</w:t>
      </w:r>
    </w:p>
    <w:p>
      <w:pPr>
        <w:spacing w:after="0" w:line="6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our digital transformation team under the supervision of the Chief Financial Officer and Chief Executive Officer of the Company, both of whom have experience in business operations including risk management and oversight of information technology functions within the biopharmaceutical industry. Our digital transformation team includes members with relevant expertise in cybersecurity, incident response, and the safeguarding of company assets. The digital transformation team undertakes efforts to learn about the Company’s cybersecurity threats by reviewing security assessments and other security-related reports.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follow our information security and privacy policy framework. This framework is designed to escalate certain cybersecurity incidents to the Chief Financial Officer and, depending upon an incident’s particular facts, the Chief Financial Officer will report certain cybersecurity incidents to the Nominating and Corporate Governance Committee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Our corporate offices are located in Palo Alto, California, where we lease approximately 155,000 square feet of office, research and development, engineering and laboratory space pursuant to lease agreements that commenced in June 2020. Our corporate offices in Palo Alto, California house substantially all of our personnel. The initial lease term for 1200 Page Mill Road is 6.5 years, with an option to extend the lease term for a period of 6.5 years. The initial lease term for 1250 Page Mill Road is 13 years, with two options to extend the lease term for a period of 5 years each.</w:t>
      </w:r>
    </w:p>
    <w:p>
      <w:pPr>
        <w:spacing w:after="0" w:line="5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March 2025, we entered into a sublease agreement for the corporate office space located at 1200 Page Mill Road for the remainder of the initial lease term until February 2027. We retain the option to reoccupy the space and to extend the lease term of the building located at 1200 Page Mill Road for a period of 6.5 years.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April 2020, we entered into a lease agreement for office and laboratory space at Rottenstrasse 5 in Visp, Switzerland. The space is approximately 1,000 square meters. The initial lease term is 5 years, with automatic renewals every 5 years for a maximum lease term of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trades on the Nasdaq Global Market under the trading symbol “KOD”.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28, 2025, there were approximately 21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“Part I, Item 1A — Risk Factors” and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Kodiak Sciences (“we”, the “Company” or “Kodiak”) is a biopharmaceutical company committed to researching, developing, and commercializing transformative therapeutics to treat a broad spectrum of retinal diseases. We are focused on bringing new science to the design and manufacture of next generation retinal medicines to prevent and treat the leading causes of blindness globally. Our ABC Platform uses molecular engineering to merge the fields of protein-based and chemistry-based therapies and has been at the core of Kodiak's discovery engine. We are developing a portfolio of three clinical programs, two of which are late-stage today and derived from our ABC Platform and one which is platform-independent and which we believe can progress rapidly into pivotal studies.</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Kodiak's lead investigational medicine, tarcocimab, is a novel anti-VEGF antibody biopolymer conjugate under development for the treatment of high prevalence retinal vascular diseases. Tarcocimab is currently being studied in two Phase 3 clinical trials, GLOW2 in patients with diabetic retinopathy and DAYBREAK in patients with wet AMD. GLOW2 enrollment is complete, and DAYBREAK is actively enrolling patients.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KSI-501 is our second investigational medicine, a first-in-class anti-IL-6, VEGF-trap bispecific antibody biopolymer conjugate designed to inhibit both IL-6 mediated inflammation and VEGF-mediated angiogenesis and vascular permeability. KSI-501 is being developed for the treatment of high prevalence retinal vascular diseases to address the unmet needs of extended durability and targeting disease biology beyond VEGF for differentiated efficacy. The Phase 3 DAYBREAK study of KSI-501 in wet AMD is actively enrolling patients.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KSI-101, our third product candidate, is a novel anti-IL-6, VEGF-trap bispecific protein. Kodiak is developing KSI-101 for the treatment of retinal inflammatory diseases, as currently there are no available intravitreal biologic therapies addressing the spectrum of inflammatory conditions of the retina. The Phase 1b APEX study of KSI-101 is actively enrolling patients, as a precursor to activating the Phase 2b/3 studies in patients with macular edema secondary to inflammation (“MESI”).</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Kodiak is advancing its platform technology to embed small molecules and other active pharmaceutical ingredients ("APIs")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conjugated biologics such as antibodies.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Tarcocimab Clinical Program Summary and Update</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Kodiak’s lead clinical program tarcocimab is an investigational anti-VEGF therapy built on Kodiak’s ABC Platform and is designed to maintain potent and effective drug levels in ocular tissues for longer than existing available agents. It is being developed as a mainstay intravitreal biologic monotherapy intended to provide high immediacy, driven by the enhanced formulation, and high durability, driven by the ABC Platform and our science of durability, with the ultimate objective of providing, once approved, a flexible 1-month through 6-month label. Kodiak’s objective with tarcocimab is to enable earlier treatment and prevention of vision loss for patients with diabetic retinopathy and to develop a new high immediacy and high durability agent to improve outcomes for patients with retinal vascular diseases.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To date, tarcocimab has been studied in six pivotal clinical studies: Phase 3 GLOW1 study in diabetic retinopathy (“DR”), Phase 3 BEACON study in retinal vein occlusion (“RVO”), Phase 3 DAYLIGHT study in wet AMD, Phase 3 GLEAM and GLIMMER studies with identical study design in diabetic macular edema (“DME”), and Phase 2/3 DAZZLE study in wet AMD. Of the six registrational studies, GLOW1, BEACON and DAYLIGHT successfully met the primary endpoint. Tarcocimab is currently being studied in two Phase 3 clinical trials, the GLOW2 study in DR and the DAYBREAK study in wet AMD. GLOW2 has completed enrollment and DAYBREAK is actively enrolling. Kodiak anticipates to be in a position to announce topline data for the primary endpoint for GLOW2 in 1Q 2026 and for the primary endpoint for DAYBREAK in 2Q 2026. Kodiak plans to wait for DAYBREAK topline data expected 2Q 2026 in order to file a single Biologics License Application (“BLA”) for tarcocimab in wet AMD, DR and RVO.</w:t>
      </w:r>
    </w:p>
    <w:p>
      <w:pPr>
        <w:spacing w:after="0" w:line="17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Both GLOW2 and DAYBREAK use tarcocimab’s enhanced 50 mg/mL formulation containing both conjugated and unconjugated antibody that is intended to deliver high immediacy and high durability.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 information about study design and results, if completed, from each individual pivotal study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Phase 3 Studies: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GLOW2 – Phase 3 Study in Patients with Diabetic Retinopathy</w:t>
      </w:r>
    </w:p>
    <w:p>
      <w:pPr>
        <w:spacing w:after="0" w:line="22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Phase 3 GLOW2 study is the second registrational trial of tarcocimab in DR. GLOW2 has a similar design as GLOW1 in which all patients randomized to investigational therapy will receive tarcocimab on extended, 6-month dosing. GLOW2 features the benefit of an additional, third monthly loading dose (baseline, Week 4, Week 8) to explore even further benefits with tarcocimab in diabetic retinopathy patients.</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GLOW2 study is a prospective, randomized, double-masked, multi-center pivotal superiority study designed to evaluate the efficacy and safety of tarcocimab in treatment-naïve patients with DR. Patients are randomized 1:1 and receive either sham injections or tarcocimab via intravitreal injection at baseline, Week 4, Week 8, Week 20 and Week 44. The primary endpoint is the proportion of eyes improving ≥2 steps on Diabetic Retinopathy Severity Scale ("DRSS") from baseline at Week 48. Additional outcome measures include the proportion of eyes developing a sight threatening complication of diabetic retinopathy and the proportion of eyes improving ≥3 steps on DRSS from baseline at Week 48.</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March 10, 2025, Kodiak announced that GLOW2 completed enrollment, randomizing more than 250 patients. Kodiak expects to be in a position to announce topline data in 1Q 2026.</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DAYBREAK – Phase 3 Study in Patients with Wet Age-Related Macular Degeneration</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Phase 3 DAYBREAK study is a non-inferiority study evaluating parallel investigational arms of tarcocimab and KSI-501 against active comparator aflibercept. Patients randomized to tarcocimab will receive individualized dosing every 4 to 24 weeks on an as needed basis following four monthly loading doses. Patients randomized to aflibercept will be dosed per its label. The individualized dosing of tarcocimab is determined by a treat-to-dryness proactive approach, using presence of retinal fluid as a disease activity marker, instead of a combination of central subfield thickness ("CST") and vision loss, which resembles retina specialists' practice and optimizes each patient's treatment. The objectives for tarcocimab in DAYBREAK are to assess its 6-month durability potential, strengthen its competitive position in wet AMD and bolster the regulatory application package for the program.</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DAYBREAK is actively enrolling patients, and Kodiak anticipates to be in a position to announce topline data for the primary endpoint in 2Q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Completed Studies: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GLOW1 – Phase 3 Study in Patients with Non-Proliferative Diabetic Retinopathy without DME</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Phase 3 GLOW1 study was a global, multi-center, randomized pivotal superiority study designed to evaluate the efficacy and safety of tarcocimab in treatment-naïve patients with moderately severe to severe DR. Patients were randomized to receive either tarcocimab every six months after initiating doses given at baseline, 8 weeks and 20 weeks into the study, or to receive sham injections. The primary endpoint was at one year.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78" w:name="page79"/>
    <w:bookmarkEnd w:id="78"/>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November 6, 2023, Kodiak announced that GLOW1 met its primary endpoint of the proportion of patients with at least a 2-step improvement on the Diabetic Retinopathy Severity Scale (DRSS) score, a grading system measuring the degree of retinopathy. Tarcocimab achieved a 29-fold increased response rate ratio, with 41.1% of evaluable patients on tarcocimab demonstrating at least 2-step improvement versus 1.4% of evaluable patients in the sham group (p-value less than 0.0001). Visual acuity and retinal anatomy were improved and stable with tarcocimab on its extended-dosing intervals. At one year, GLOW1 also met its key secondary endpoint of greater reductions in the proportion of patients developing sight-threatening complications (such as diabetic macular edema and proliferative diabetic retinopathy), versus sham, demonstrating an 89% decreased risk, achieving 21.0% versus 2.3% (p-value less than 0.0001). Tarcocimab also showed a 95% risk reduction in the development of DME, versus sham, from 13.7% on sham versus 0.7% on tarcocimab. The rates of serious ocular adverse events and intraocular inflammation in patients treated with tarcocimab and sham were similar.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BEACON – Phase 3 Study in Patients with Treatment-Naïve Retinal Vein Occlusion</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Phase 3 BEACON study was a randomized, double-masked, multicenter, active comparator-controlled study in treatment naïve patients with vision loss and macular edema due to retinal vein occlusion, including both branch ("BRVO") and central ("CRVO") subtypes. In the initial six months of the study, patients received tarcocimab on a fixed every-8-week dosing regimen following 2 monthly loading doses or aflibercept 2mg on a fixed monthly dosing regimen per its label. In the second six months of the study, tarcocimab and aflibercept were tested head-to-head according to a pro re nata (“PRN") protocol in which patients in both groups were treated only when disease reactivated according to matched predefined disease activity criteria.</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August 2022, Kodiak announced that the BEACON study met the primary efficacy endpoint of non-inferior visual acuity change from baseline at week 24 for subjects given tarcocimab every two months after 2 monthly loading doses compared to subjects given monthly aflibercept.</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Kodiak announced new one-year results from the BEACON study. Tarcocimab demonstrated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tarcocimab-treated patients achieving an observed mean of 76.6 letters versus 75.6 letters for aflibercept treated patients. All RVO patients received a median of 5.0 injections on tarcocimab versus 7.0 injections of aflibercept. Despite materially fewer injections in tarcocimab treated patients, vision outcomes favored tarcocimab-treated patients achieving an observed mean of 74.6 letters versus 74.3 letters for aflibercept treated patients.</w:t>
      </w:r>
    </w:p>
    <w:p>
      <w:pPr>
        <w:spacing w:after="0" w:line="18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Safety and tolerability were comparable between tarcocimab and aflibercept. Intraocular inflammation (IOI) rate was comparable between groups (tarcocimab 2.5% vs aflibercept 0.7%). No cases of inflammation associated with vascular occlusion or vasculitis were reported.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DAYLIGHT – Phase 3 Study in Patients with Treatment-Naïve Wet AMD</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DAYLIGHT study was a randomized, double-masked, active comparator-controlled study evaluating the efficacy and safety of a high intensity dosing regimen of tarcocimab in 557 treatment-naïve subjects with wet AMD. On July 24, 2023, Kodiak announced that the DAYLIGHT study met the primary endpoint of non-inferior visual acuity gains at year 1 for tarcocimab dosed monthly compared to aflibercept dosed every 8 weeks following 3 monthly loading doses. Intraocular inflammation occurred in 3.3% of patients treated with monthly tarcocimab and 0.4% of patients treated with aflibercept with no vasculitis or occlusion.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GLEAM / GLIMMER – Paired Phase 3 Studies in Patients with Treatment-Naïve Diabetic Macular Edema</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GLEAM and GLIMMER studies were identically designed, randomized, double-masked, active comparator-controlled studies evaluating the efficacy, durability and safety of tarcocimab in 460 and 457 treatment-naïve subjects with DME, respectively, run in parallel.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24, 2023, Kodiak announced that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 unexpected increase in cataract adverse events was reported over time in the tarcocimab arms of both GLEAM and GLIMMER, with 19% on tarcocimab versus 9% on aflibercept at the primary endpoint based on the pooled safety population. Kodiak’s evaluation suggested that the decline in visual acuity associated with cataracts likely contributed meaningfully to the failure of each study.</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DAZZLE – Phase 2b/3 Study in Patients with Treatment-Naïve Wet AMD</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DAZZLE study was a global, multi-center, randomized pivotal study designed to evaluate the durability, efficacy and safety of tarcocimab in patients with treatment-naïve wet AMD. In February 2022 Kodiak announced that this initial pivotal study did not meet its primary efficacy endpoint of non-inferior visual acuity gains for subjects dosed on extended regimens every 12-, 16- or 20 weeks with tarcocimab compared to subjects given aflibercept every 8 weeks. Following this announcement, Kodiak discontinued the study and concluded remaining trial-associated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Antibody Biopolymer Conjugate Drug Substance Manufacturing</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2020, we entered into a manufacturing agreement with Lonza Ltd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Under the agreement, Kodiak and Lonza planned a custom-built facility (“Ursus”) dedicated to the commercial-scale manufacturing of Kodiak’s drug substance. In January 2023, the custom-built manufacturing suite Ursus was commissioned as a cGMP facility. Kodiak worked together with Lonza and regulatory authorities to obtain approval for Ursus, and we released our first commercial scale cGMP batch of tarcocimab in July 2023. In October 2023, Kodiak made a final payment of $26.8 million to Lonza for final activation of Ursus. Separately, tarcocimab drug product based on our enhanced formulation was released in March 2024 and is being used in the GLOW2 and DAYBREAK pivotal studies.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KSI-501 Clinical Program Update</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KSI-501 is an anti-IL-6, VEGF-trap bispecific antibody biopolymer conjugate built on the ABC Platform and is being developed for high prevalence retinal vascular diseases to address the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0" w:name="page81"/>
    <w:bookmarkEnd w:id="80"/>
    <w:p>
      <w:pPr>
        <w:ind w:firstLine="509"/>
        <w:spacing w:after="0" w:line="256" w:lineRule="auto"/>
        <w:rPr>
          <w:sz w:val="20"/>
          <w:szCs w:val="20"/>
          <w:color w:val="auto"/>
        </w:rPr>
      </w:pPr>
      <w:r>
        <w:rPr>
          <w:rFonts w:ascii="Times New Roman" w:cs="Times New Roman" w:eastAsia="Times New Roman" w:hAnsi="Times New Roman"/>
          <w:sz w:val="18"/>
          <w:szCs w:val="18"/>
          <w:color w:val="auto"/>
        </w:rPr>
        <w:t>Higher intraocular levels of IL-6 are correlated with poorer BCVA outcomes over time in wet AMD patients treated with anti-VEGF monotherapy, which suggests that IL-6 inhibition in combination with anti-VEGF therapy could lead to improved outcomes. In preclinical models, KSI-501 was shown to be a potent inhibitor of VEGF and IL-6 and, further, was shown to normalize the blood retinal barrier, opening up the possibility that KSI-501 may be a disease-modifying therapy for retinal vascular diseases. A completed Phase 1 multiple ascending dose study demonstrated that repeated monthly dosing of KSI-501 was well tolerated and achieved clinically meaningful and sustained improvement in visual acuity and fluid reduction in patients with diabetic macular edema.</w:t>
      </w:r>
    </w:p>
    <w:p>
      <w:pPr>
        <w:spacing w:after="0" w:line="187"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Kodiak has advanced KSI-501 into a Phase 3 study DAYBREAK to evaluate its efficacy and safety in wet AMD. The DAYBREAK study is a non-inferiority study evaluating parallel investigational arms of KSI-501 and tarcocimab against active comparator aflibercept. Patients randomized to KSI-501 will receive fixed every 8-week dosing with additional individualized dosing (up to monthly dosing) on an as needed basis after 4 monthly loading doses.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Patients randomized to aflibercept will be dosed per its label. The primary endpoint is non-inferiority in change in visual acuity from baseline to the average of Week 40, 44 and 48. DAYBREAK uses KSI-501's enhanced 50 mg/mL formulation containing both conjugated and unconjugated antibody that is intended to deliver high immediacy and high durability. The objective for KSI-501 in DAYBREAK is to explore the efficacy potential of bispecific VEGF and IL-6 inhibition in a broad treatment-naïve wet AMD population. DAYBREAK is now actively enrolling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KSI-101 Clinical Program Update</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KSI-101 is a novel, potent and high strength (100 mg/mL) bispecific protein targeting IL-6 and VEGF. We are developing KSI-101 for patients who have retinal fluid and inflammation. Currently there are no available intravitreal biologic therapies addressing the spectrum of inflammatory conditions of the retina. We believe that retinal inflammatory conditions represent a new market segment separate from the established anti-VEGF market. KSI-101 is a clinical prospect with opportunities and risks uncoupled from the ABC Platform, and as such is an important part of our late-phase portfolio. We have initiated a dose-finding Phase 1b study APEX. The APEX study evaluates KSI-101 in two cohorts, Cohort 1 in patients with diabetic macular edema ("DME") and Cohort 2 in patients with macular edema secondary to inflammation ("MESI"). The goal of the APEX study is to evaluate the safety and tolerability of KSI-101 and to identify two dose levels to progress into dual Phase 2b/3 studies (PEAK and PINNACLE) in MESI.</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January 2025, we presented early APEX data in patients with MESI that demonstrated strong treatment response at all KSI-101 dose levels. We expect to present additional APEX data at an Investor R&amp;D update in June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KSI-501 and KSI-101 Manufacturing</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been progressing the manufacturing of KSI-501 and KSI-101 in preparation for the anticipated clinical studies. Clinical material for both KSI-501 (50 mg/mL strength in our enhanced formulation) and KSI-101 (100 mg/mL strength) were successfully manufactured in the first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ABC Platform Development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Kodiak is advancing its platform technology to embed small molecules and other active pharmaceutical ingredients ("API")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non-topical, long-durability therapy that delivers MOAs beyond IOP lowering and has the potential of quarterly dosing.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ind w:firstLine="509"/>
        <w:spacing w:after="0" w:line="256" w:lineRule="auto"/>
        <w:rPr>
          <w:sz w:val="20"/>
          <w:szCs w:val="20"/>
          <w:color w:val="auto"/>
        </w:rPr>
      </w:pPr>
      <w:r>
        <w:rPr>
          <w:rFonts w:ascii="Times New Roman" w:cs="Times New Roman" w:eastAsia="Times New Roman" w:hAnsi="Times New Roman"/>
          <w:sz w:val="18"/>
          <w:szCs w:val="18"/>
          <w:color w:val="auto"/>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Health Platform Development</w:t>
      </w:r>
    </w:p>
    <w:p>
      <w:pPr>
        <w:spacing w:after="0" w:line="229" w:lineRule="exact"/>
        <w:rPr>
          <w:sz w:val="20"/>
          <w:szCs w:val="20"/>
          <w:color w:val="auto"/>
        </w:rPr>
      </w:pPr>
    </w:p>
    <w:p>
      <w:pPr>
        <w:jc w:val="both"/>
        <w:ind w:right="220" w:firstLine="509"/>
        <w:spacing w:after="0" w:line="272" w:lineRule="auto"/>
        <w:rPr>
          <w:sz w:val="20"/>
          <w:szCs w:val="20"/>
          <w:color w:val="auto"/>
        </w:rPr>
      </w:pPr>
      <w:r>
        <w:rPr>
          <w:rFonts w:ascii="Times New Roman" w:cs="Times New Roman" w:eastAsia="Times New Roman" w:hAnsi="Times New Roman"/>
          <w:sz w:val="17"/>
          <w:szCs w:val="17"/>
          <w:color w:val="auto"/>
        </w:rPr>
        <w:t>Kodiak also continues to advance its VETi (Visual Engagement Technology and imager) program. VETi is built on Kodiak’s suite of proprietary LiDAR (Light Detection and Ranging) sensor technologies. VETi is an autonomous AI- and machine-learning-enabled headset that engages directly into the eye. Kodiak’s goal is to commercialize VETi together with Kodiak’s emerging portfolio of retinal medicines using apps that apply AI-enabled tools.</w:t>
      </w:r>
    </w:p>
    <w:p>
      <w:pPr>
        <w:spacing w:after="0" w:line="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Kodiak also believes VETi has future potential to be used to build correlations between VETi data and many human diseases outside of retina and then to be used to diagnose disease and monitor treatment. VETi may also have future potential as an AI-enabled device with similarities to a consumer smartwatch but with direct access into the body and the brain through the eye rather than through the skin.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a broad spectrum of retinal diseases. We do not have any products approved for sale and have not generated any product revenue since inception. We have funded our operations primarily through the issuance of common stock and the sale of future royalties.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8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primarily of the change in fair value and settlement of derivative contracts and tax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periods indicated (in thousands, except percentages):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8"/>
                <w:szCs w:val="18"/>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(80,203 )</w:t>
            </w:r>
          </w:p>
        </w:tc>
        <w:tc>
          <w:tcPr>
            <w:tcW w:w="3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(10,269 )</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4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(186,849 )</w:t>
            </w:r>
          </w:p>
        </w:tc>
        <w:tc>
          <w:tcPr>
            <w:tcW w:w="5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(277,321 )</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(5,585 )</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(506 )</w:t>
            </w: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(616 )</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(176,207 )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(260,491 )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-727710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-727710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-727710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-727710</wp:posOffset>
            </wp:positionV>
            <wp:extent cx="154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-170815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is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decreased $80.2 million, or 39%, during the year ended December 31, 2024 as compared to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Tarcocimab program expenses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39,496</w:t>
            </w:r>
          </w:p>
        </w:tc>
        <w:tc>
          <w:tcPr>
            <w:tcW w:w="8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90,513</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(51,017 )</w:t>
            </w:r>
          </w:p>
        </w:tc>
        <w:tc>
          <w:tcPr>
            <w:tcW w:w="0" w:type="dxa"/>
            <w:vAlign w:val="bottom"/>
          </w:tcPr>
          <w:p>
            <w:pPr>
              <w:spacing w:after="0"/>
              <w:rPr>
                <w:sz w:val="1"/>
                <w:szCs w:val="1"/>
                <w:color w:val="auto"/>
              </w:rPr>
            </w:pPr>
          </w:p>
        </w:tc>
      </w:tr>
      <w:tr>
        <w:trPr>
          <w:trHeight w:val="198"/>
        </w:trPr>
        <w:tc>
          <w:tcPr>
            <w:tcW w:w="5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KSI-501 and KSI-101 program</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ABC Platform and other</w:t>
            </w:r>
          </w:p>
        </w:tc>
        <w:tc>
          <w:tcPr>
            <w:tcW w:w="1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program expenses</w:t>
            </w:r>
          </w:p>
        </w:tc>
        <w:tc>
          <w:tcPr>
            <w:tcW w:w="1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(8,082 )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(19,860 )</w:t>
            </w:r>
          </w:p>
        </w:tc>
        <w:tc>
          <w:tcPr>
            <w:tcW w:w="0" w:type="dxa"/>
            <w:vAlign w:val="bottom"/>
          </w:tcPr>
          <w:p>
            <w:pPr>
              <w:spacing w:after="0"/>
              <w:rPr>
                <w:sz w:val="1"/>
                <w:szCs w:val="1"/>
                <w:color w:val="auto"/>
              </w:rPr>
            </w:pPr>
          </w:p>
        </w:tc>
      </w:tr>
      <w:tr>
        <w:trPr>
          <w:trHeight w:val="198"/>
        </w:trPr>
        <w:tc>
          <w:tcPr>
            <w:tcW w:w="52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Facilities and other research and</w:t>
            </w:r>
          </w:p>
        </w:tc>
        <w:tc>
          <w:tcPr>
            <w:tcW w:w="1120" w:type="dxa"/>
            <w:vAlign w:val="bottom"/>
            <w:shd w:val="clear" w:color="auto" w:fill="CFF0FC"/>
          </w:tcPr>
          <w:p>
            <w:pPr>
              <w:spacing w:after="0"/>
              <w:rPr>
                <w:sz w:val="17"/>
                <w:szCs w:val="17"/>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(2,475 )</w:t>
            </w:r>
          </w:p>
        </w:tc>
        <w:tc>
          <w:tcPr>
            <w:tcW w:w="0" w:type="dxa"/>
            <w:vAlign w:val="bottom"/>
          </w:tcPr>
          <w:p>
            <w:pPr>
              <w:spacing w:after="0"/>
              <w:rPr>
                <w:sz w:val="1"/>
                <w:szCs w:val="1"/>
                <w:color w:val="auto"/>
              </w:rPr>
            </w:pPr>
          </w:p>
        </w:tc>
      </w:tr>
      <w:tr>
        <w:trPr>
          <w:trHeight w:val="221"/>
        </w:trPr>
        <w:tc>
          <w:tcPr>
            <w:tcW w:w="5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development expenses</w:t>
            </w:r>
          </w:p>
        </w:tc>
        <w:tc>
          <w:tcPr>
            <w:tcW w:w="112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11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300" w:type="dxa"/>
            <w:vAlign w:val="bottom"/>
            <w:vMerge w:val="restart"/>
          </w:tcPr>
          <w:p>
            <w:pPr>
              <w:spacing w:after="0"/>
              <w:rPr>
                <w:sz w:val="16"/>
                <w:szCs w:val="16"/>
                <w:color w:val="auto"/>
              </w:rPr>
            </w:pP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206,298</w:t>
            </w:r>
          </w:p>
        </w:tc>
        <w:tc>
          <w:tcPr>
            <w:tcW w:w="280" w:type="dxa"/>
            <w:vAlign w:val="bottom"/>
            <w:vMerge w:val="restart"/>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(80,203 )</w:t>
            </w:r>
          </w:p>
        </w:tc>
        <w:tc>
          <w:tcPr>
            <w:tcW w:w="0" w:type="dxa"/>
            <w:vAlign w:val="bottom"/>
          </w:tcPr>
          <w:p>
            <w:pPr>
              <w:spacing w:after="0"/>
              <w:rPr>
                <w:sz w:val="1"/>
                <w:szCs w:val="1"/>
                <w:color w:val="auto"/>
              </w:rPr>
            </w:pPr>
          </w:p>
        </w:tc>
      </w:tr>
      <w:tr>
        <w:trPr>
          <w:trHeight w:val="194"/>
        </w:trPr>
        <w:tc>
          <w:tcPr>
            <w:tcW w:w="52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1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-281940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-281940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Tarcocimab program expenses decreased $51.0 million during the year ended December 31, 2024 as compared to 2023, primarily driven by reduced manufacturing activities and decreased clinical activities for completed trials, partially offset by costs from active clinical trials for the tarcocimab development program.</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KSI-501 and KSI-101 program expenses increased $1.2 million during the year ended December 31, 2024 as compared to 2023, stemming from expanding clinical activities for both product candidates.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ABC Platform and other program expenses decreased $8.1 million during the year ended December 31, 2024 as compared to 2023, due to reduced manufacturing activities.</w:t>
      </w:r>
    </w:p>
    <w:p>
      <w:pPr>
        <w:spacing w:after="0" w:line="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Payroll and personnel expenses decreased $19.9 million during the year ended December 31, 2024 as compared to 2023, mainly attributable to timing of forfeitures of equity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83" w:name="page84"/>
    <w:bookmarkEnd w:id="83"/>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Facilities and other research and development expenses decreased $2.5 million during the year ended December 31, 2024 as compared to 2023, primarily driven by reduced costs for digital transformation activities as well as currency fluctuations in the revaluation of our lease and capital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$10.3 million, or 14%, during the year ended December 31, 2024 as compared to 2023, primarily driven by stock-based compensation expense related to previously issued higher value awards becoming fully 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$5.6 million during the year ended December 31, 2024 as compared to 2023, which was mainly attributable to the decrease in cash available to earn interest during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$0.6 million during the year ended December 31, 2024 as compared to 2023, which was mainly attributable to the settlement of foreign currency forward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Fiscal Years Ended December 31, 2023 and 2022</w:t>
      </w:r>
    </w:p>
    <w:p>
      <w:pPr>
        <w:spacing w:after="0" w:line="11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December 31, 2023 and 2022, refer to “Part II, Item 7 — Management’s Discussion and Analysis of Financial Condition and Results of Operations” in our Annual Report on Form 10-K for the fiscal year ended December 31, 2023, filed with the SEC on March 28,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issuance of common stock and the sale of future royalties. As of December 31, 2024, we had cash and cash equivalents of $168.1 million. We believe that our current cash and cash equivalents will be sufficient to support our current and planned operations into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inception. As of December 31, 2024, we had an accumulated deficit of $1,328.7 million. We expect to continue to incur operating losses and negative operating cash flows for the foreseeable future and as a result, there is substantial doubt regarding our ability to continue as a going concern.</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plan to raise additional capital to maintain current operations and to continue research and development activities. If we raise additional funds by issuing equity securities, our stockholders may experience dilution. Any future debt financing into which we 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failure to raise capital as and when needed could have a negative impact on our financial condition and our ability to pursue our business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strategies. Refer to the section of this report titled “Part I, Item 1A — Risk Factors” for additional risks associated with our substantial capital requirements.</w:t>
      </w:r>
    </w:p>
    <w:p>
      <w:pPr>
        <w:spacing w:after="0" w:line="9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and capital requirements will depend on many factors, including:</w:t>
      </w:r>
    </w:p>
    <w:p>
      <w:pPr>
        <w:spacing w:after="0" w:line="117" w:lineRule="exact"/>
        <w:rPr>
          <w:sz w:val="20"/>
          <w:szCs w:val="20"/>
          <w:color w:val="auto"/>
        </w:rPr>
      </w:pPr>
    </w:p>
    <w:p>
      <w:pPr>
        <w:ind w:left="760" w:right="4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preclinical development activities,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11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(117,319 )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(154,183 )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(755 )</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(117,573 )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95,074</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decreased to $117.3 million for the year ended December 31, 2024, based on operational spend of $88.9 million and changes in operating assets and liabilities of $28.4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Material Cash Requirements and Material Known 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lease payments represent our commitment for future minimum rent made under non-cancelable leases for our corporate offices in Palo Alto, California, office and laboratory space in Visp, Switzerland, and related to our Ursus Facility. Total future undiscounted payments for our operating lease obligations as of December 31, 2024 were $88.6 million, of which $14.9 million is due in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Agreements</w:t>
      </w:r>
    </w:p>
    <w:p>
      <w:pPr>
        <w:spacing w:after="0" w:line="11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service and equipment purchase agreements in the normal course of business with various providers, which can contain minimum commitments or other noncancelable obligations.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future contractual obligations related to these manufacturing agreements that may be subject to cancellation fees were $19.4 million, of which $15.0 million is expected to be due in the next twelve months.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future manufacturing contractual obligations totaling approximately 105.3 million Swiss Francs may be incurred for the potential clinical and commercial supply of tarcocimab and other antibody biopolymer conjugates medicines based on the agreements with Lonza for production at the Ursus Facility.</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further information on our leases and manufacturing agreements, refer to Note 8 to our consolidated financial statements included in “Part II, Item 8 — Financial Statements and Supplementary Data” of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Agreements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may incur potential contingent payments upon our achievement of clinical, regulatory and commercial milestones, as applicable. Due to the uncertainty of the achievement and timing of the events requiring payment under these agreements, the amounts to be paid by us are not fixed or determinable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determined accrual estimates through reports from and discussions with clinical personnel and outside service providers as to the progress of trials, or the services completed. The estimated costs of research and development provided, but not yet invoiced, are included in accrued liabilities and other current liabilities on the consolidated balance sheet. If the actual timing of the performance of services or the level of effort varies from the original estimates, we will adjust the accrual accordingly. Payments made to third parties under these arrangements in advance of the performance of the related services are recorded as prepaid expenses and other assets until the services are rendered.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80" w:lineRule="exact"/>
        <w:rPr>
          <w:sz w:val="20"/>
          <w:szCs w:val="20"/>
          <w:color w:val="auto"/>
        </w:rPr>
      </w:pPr>
    </w:p>
    <w:p>
      <w:pPr>
        <w:ind w:right="80" w:firstLine="509"/>
        <w:spacing w:after="0" w:line="259" w:lineRule="exact"/>
        <w:rPr>
          <w:sz w:val="20"/>
          <w:szCs w:val="20"/>
          <w:color w:val="auto"/>
        </w:rPr>
      </w:pPr>
      <w:r>
        <w:rPr>
          <w:rFonts w:ascii="Times New Roman" w:cs="Times New Roman" w:eastAsia="Times New Roman" w:hAnsi="Times New Roman"/>
          <w:sz w:val="18"/>
          <w:szCs w:val="18"/>
          <w:color w:val="auto"/>
        </w:rPr>
        <w:t>We measure and recognize compensation expense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made to employees, directors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based on estimated fair values of the awards on the grant date and recognized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requisite service period.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6" w:name="page87"/>
    <w:bookmarkEnd w:id="86"/>
    <w:p>
      <w:pPr>
        <w:ind w:right="320" w:firstLine="509"/>
        <w:spacing w:after="0" w:line="228" w:lineRule="exact"/>
        <w:rPr>
          <w:sz w:val="20"/>
          <w:szCs w:val="20"/>
          <w:color w:val="auto"/>
        </w:rPr>
      </w:pPr>
      <w:r>
        <w:rPr>
          <w:rFonts w:ascii="Times New Roman" w:cs="Times New Roman" w:eastAsia="Times New Roman" w:hAnsi="Times New Roman"/>
          <w:sz w:val="18"/>
          <w:szCs w:val="18"/>
          <w:color w:val="auto"/>
        </w:rPr>
        <w:t>The fair value of options is estimated on the grant date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valuation model or Monte Carlo simulation model. The calculation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requires that we make certain assumptions and judgments about a number of complex and subjective variables used in the valuation model, including the expected term, expected volatility of the underlying common stock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Our stock-based awards are subject to either service, performance-based or market-based vesting conditions. We evaluate whether achievement of the performance conditions is probable and record expense over the appropriate service period based on this assessment.</w:t>
      </w:r>
    </w:p>
    <w:p>
      <w:pPr>
        <w:spacing w:after="0" w:line="9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Changes in these assumptions can materially affect the fair value and ultimately how much stock-based compensation expense is recognized. These inputs are subjective and generally require significant analysis and judgment to develop.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amounts of the assets may not be recoverable. Recoverability is measured by comparing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applied significant judgment in determining we have one asset group and that there is no lower level to group assets for impairment testing. The determination of the asset group primarily considers the interdependencies of our assets, shared cost structure, and the interrelated future cash flow generation. We assessed the recoverability of our asset group during the year ended December 31, 2023 based on our decision to wind-down the tarcocimab program following the topline results from the Phase 3 GLEAM and GLIMMER studies. We determined that the estimated undiscounted net cash flows which the asset group was forecasted to generate exceeded the carrying amount of the asset group and therefore, no impairment loss was recognized in 2023. There was no such impairment of long-lived assets in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discussed under Note 2 to our consolidated financial statements included in “Part II, Item 8 — Financial Statements and Supplementary Data” of this Annual Report on Form 10-K.</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2024, we had cash and cash equivalents of $168.1 million, primarily invested in money market funds. As of December 31, 2023, we had cash and cash equivalents of $285.5 million, primarily invested in money market funds. Due to the nature of the cash equivalents, we do not believe that interest rate risk had a material impact on our consolidated financial statements.</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other market risks, like foreign currency exchange rate risk, had a significant impact on our results of operations for any periods presented herein.</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40" w:type="dxa"/>
            <w:vAlign w:val="bottom"/>
          </w:tcPr>
          <w:p>
            <w:pPr>
              <w:spacing w:after="0"/>
              <w:rPr>
                <w:sz w:val="20"/>
                <w:szCs w:val="20"/>
                <w:color w:val="auto"/>
              </w:rPr>
            </w:pPr>
          </w:p>
        </w:tc>
      </w:tr>
      <w:tr>
        <w:trPr>
          <w:trHeight w:val="648"/>
        </w:trPr>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40" w:type="dxa"/>
            <w:vAlign w:val="bottom"/>
          </w:tcPr>
          <w:p>
            <w:pPr>
              <w:spacing w:after="0"/>
              <w:rPr>
                <w:sz w:val="24"/>
                <w:szCs w:val="24"/>
                <w:color w:val="auto"/>
              </w:rPr>
            </w:pPr>
          </w:p>
        </w:tc>
      </w:tr>
      <w:tr>
        <w:trPr>
          <w:trHeight w:val="392"/>
        </w:trPr>
        <w:tc>
          <w:tcPr>
            <w:tcW w:w="9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8"/>
        </w:trPr>
        <w:tc>
          <w:tcPr>
            <w:tcW w:w="560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4"/>
        </w:trPr>
        <w:tc>
          <w:tcPr>
            <w:tcW w:w="950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80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95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290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7"/>
                <w:szCs w:val="17"/>
                <w:color w:val="auto"/>
              </w:rPr>
            </w:pPr>
          </w:p>
        </w:tc>
        <w:tc>
          <w:tcPr>
            <w:tcW w:w="594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95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668"/>
        </w:trPr>
        <w:tc>
          <w:tcPr>
            <w:tcW w:w="3160" w:type="dxa"/>
            <w:vAlign w:val="bottom"/>
            <w:tcBorders>
              <w:top w:val="single" w:sz="8" w:color="0000FF"/>
            </w:tcBorders>
            <w:gridSpan w:val="3"/>
          </w:tcPr>
          <w:p>
            <w:pPr>
              <w:spacing w:after="0"/>
              <w:rPr>
                <w:sz w:val="24"/>
                <w:szCs w:val="24"/>
                <w:color w:val="auto"/>
              </w:rPr>
            </w:pPr>
          </w:p>
        </w:tc>
        <w:tc>
          <w:tcPr>
            <w:tcW w:w="6340" w:type="dxa"/>
            <w:vAlign w:val="bottom"/>
            <w:gridSpan w:val="4"/>
          </w:tcPr>
          <w:p>
            <w:pPr>
              <w:jc w:val="right"/>
              <w:ind w:right="3780"/>
              <w:spacing w:after="0"/>
              <w:rPr>
                <w:sz w:val="20"/>
                <w:szCs w:val="20"/>
                <w:color w:val="auto"/>
              </w:rPr>
            </w:pPr>
            <w:r>
              <w:rPr>
                <w:rFonts w:ascii="Times New Roman" w:cs="Times New Roman" w:eastAsia="Times New Roman" w:hAnsi="Times New Roman"/>
                <w:sz w:val="18"/>
                <w:szCs w:val="18"/>
                <w:color w:val="auto"/>
              </w:rPr>
              <w:t>82</w:t>
            </w:r>
          </w:p>
        </w:tc>
        <w:tc>
          <w:tcPr>
            <w:tcW w:w="174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8" w:name="page89"/>
    <w:bookmarkEnd w:id="8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Kodiak Sciences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Kodiak Sciences Inc.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net losses and negative cash flows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Research and Development Costs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 The Company has entered into various agreements with various third parties, including clinical investigator sites, contract research organizations ("CROs") and contract manufacturing organizations ("CMOs"), to provide research and development activities. The Company’s research and development expense for the year ended December 31, 2024 was $126.1 million, of which a portion relates to certain research and development costs.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certain research and development costs is a critical audit matter is a high degree of auditor effort in performing procedures related to the Company’s certain research and development costs.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certain research and development costs on a sample basis by agreeing relevant information and expenses incurred to date to the (i) underlying agreements with outside vendors engaged to conduct preclinical studies, clinical trials, and clinical supply manufacturing; (ii) purchase orders; (iii) invoices received; and (iv) underlying payments made for expenses incurred on the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5" w:right="439" w:bottom="1440" w:gutter="0" w:footer="0" w:header="0"/>
        </w:sectPr>
      </w:pPr>
    </w:p>
    <w:bookmarkStart w:id="90" w:name="page91"/>
    <w:bookmarkEnd w:id="90"/>
    <w:p>
      <w:pPr>
        <w:ind w:left="48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168,074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285,507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171,936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289,309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102,222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120,482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54,541</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335,578</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479,372</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18,351</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59,717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71,862</w:t>
            </w:r>
          </w:p>
        </w:tc>
        <w:tc>
          <w:tcPr>
            <w:tcW w:w="100" w:type="dxa"/>
            <w:vAlign w:val="bottom"/>
            <w:shd w:val="clear" w:color="auto" w:fill="CFF0FC"/>
          </w:tcPr>
          <w:p>
            <w:pPr>
              <w:spacing w:after="0"/>
              <w:rPr>
                <w:sz w:val="17"/>
                <w:szCs w:val="17"/>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9"/>
                <w:szCs w:val="19"/>
                <w:color w:val="auto"/>
              </w:rPr>
            </w:pPr>
          </w:p>
        </w:tc>
      </w:tr>
      <w:tr>
        <w:trPr>
          <w:trHeight w:val="189"/>
        </w:trPr>
        <w:tc>
          <w:tcPr>
            <w:tcW w:w="77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185,290</w:t>
            </w: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auto"/>
            </w:tcBorders>
            <w:shd w:val="clear" w:color="auto" w:fill="CFF0FC"/>
          </w:tcPr>
          <w:p>
            <w:pPr>
              <w:spacing w:after="0"/>
              <w:rPr>
                <w:sz w:val="16"/>
                <w:szCs w:val="16"/>
                <w:color w:val="auto"/>
              </w:rPr>
            </w:pPr>
          </w:p>
        </w:tc>
        <w:tc>
          <w:tcPr>
            <w:tcW w:w="13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213,591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 shares issued and outstanding at December 31, 2024 and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490,000,000 shares authorized</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at December 31, 2024 and December 31, 2023; 52,726,916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52,508,602 shares issued and outstanding at December 31, 2024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1,479,021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1,418,307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(1,328,738 )</w:t>
            </w: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(1,152,531 )</w:t>
            </w:r>
          </w:p>
        </w:tc>
      </w:tr>
      <w:tr>
        <w:trPr>
          <w:trHeight w:val="19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150,288</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265,781</w:t>
            </w:r>
          </w:p>
        </w:tc>
        <w:tc>
          <w:tcPr>
            <w:tcW w:w="100" w:type="dxa"/>
            <w:vAlign w:val="bottom"/>
            <w:tcBorders>
              <w:top w:val="single" w:sz="8" w:color="CFF0FC"/>
            </w:tcBorders>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335,578</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479,372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-3068320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-1871980</wp:posOffset>
            </wp:positionV>
            <wp:extent cx="93980" cy="1708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126,095</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206,298</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60,754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71,023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73,788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186,849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(186,849 )</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(277,321 )</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(341,379 )</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(13 )</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(506 )</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(176,207 )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(260,491 )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(333,823 )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(3.35 )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(4.97 )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(6.39 )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Weighted-average shares of common stock outstanding used</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52,583,148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52,414,256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52,249,620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140"/>
              <w:spacing w:after="0" w:line="176" w:lineRule="exact"/>
              <w:rPr>
                <w:sz w:val="20"/>
                <w:szCs w:val="20"/>
                <w:color w:val="auto"/>
              </w:rPr>
            </w:pPr>
            <w:r>
              <w:rPr>
                <w:rFonts w:ascii="Times New Roman" w:cs="Times New Roman" w:eastAsia="Times New Roman" w:hAnsi="Times New Roman"/>
                <w:sz w:val="16"/>
                <w:szCs w:val="16"/>
                <w:color w:val="auto"/>
              </w:rPr>
              <w:t>in computing net loss per common share, 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unrealized gains (losses) related to available-for-sale</w:t>
            </w:r>
          </w:p>
        </w:tc>
        <w:tc>
          <w:tcPr>
            <w:tcW w:w="30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(1,307 )</w:t>
            </w:r>
          </w:p>
        </w:tc>
        <w:tc>
          <w:tcPr>
            <w:tcW w:w="0" w:type="dxa"/>
            <w:vAlign w:val="bottom"/>
          </w:tcPr>
          <w:p>
            <w:pPr>
              <w:spacing w:after="0"/>
              <w:rPr>
                <w:sz w:val="1"/>
                <w:szCs w:val="1"/>
                <w:color w:val="auto"/>
              </w:rPr>
            </w:pPr>
          </w:p>
        </w:tc>
      </w:tr>
      <w:tr>
        <w:trPr>
          <w:trHeight w:val="203"/>
        </w:trPr>
        <w:tc>
          <w:tcPr>
            <w:tcW w:w="6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debt securities, net of tax</w:t>
            </w:r>
          </w:p>
        </w:tc>
        <w:tc>
          <w:tcPr>
            <w:tcW w:w="300" w:type="dxa"/>
            <w:vAlign w:val="bottom"/>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(1,307 )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(176,207 )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(259,184 )</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(335,130 )</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-2454910</wp:posOffset>
            </wp:positionV>
            <wp:extent cx="93980" cy="1708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-2454910</wp:posOffset>
            </wp:positionV>
            <wp:extent cx="93980" cy="1708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-2454910</wp:posOffset>
            </wp:positionV>
            <wp:extent cx="102870" cy="170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-1910715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-1910715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-1113790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-1096645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-1113790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-1096645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-702310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-685165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-702310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-685165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-702310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-685165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100" w:type="dxa"/>
            <w:vAlign w:val="bottom"/>
            <w:gridSpan w:val="3"/>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10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06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80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Balances at December 31, 2021</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51,826,257</w:t>
            </w:r>
          </w:p>
        </w:tc>
        <w:tc>
          <w:tcPr>
            <w:tcW w:w="1040" w:type="dxa"/>
            <w:vAlign w:val="bottom"/>
            <w:gridSpan w:val="2"/>
            <w:shd w:val="clear" w:color="auto" w:fill="CFF0FC"/>
          </w:tcPr>
          <w:p>
            <w:pPr>
              <w:jc w:val="right"/>
              <w:ind w:right="6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38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1,221,532</w:t>
            </w:r>
          </w:p>
        </w:tc>
        <w:tc>
          <w:tcPr>
            <w:tcW w:w="360" w:type="dxa"/>
            <w:vAlign w:val="bottom"/>
            <w:gridSpan w:val="3"/>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(558,217 )</w:t>
            </w:r>
          </w:p>
        </w:tc>
        <w:tc>
          <w:tcPr>
            <w:tcW w:w="2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663,320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126,999</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vesting of restricted stock</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103,032</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pursuant to employee stock</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27,863</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exercise of common stock</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warrants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249,699</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(1,307 )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(1,307 )</w:t>
            </w:r>
          </w:p>
        </w:tc>
        <w:tc>
          <w:tcPr>
            <w:tcW w:w="0" w:type="dxa"/>
            <w:vAlign w:val="bottom"/>
          </w:tcPr>
          <w:p>
            <w:pPr>
              <w:spacing w:after="0"/>
              <w:rPr>
                <w:sz w:val="1"/>
                <w:szCs w:val="1"/>
                <w:color w:val="auto"/>
              </w:rPr>
            </w:pPr>
          </w:p>
        </w:tc>
      </w:tr>
      <w:tr>
        <w:trPr>
          <w:trHeight w:val="135"/>
        </w:trPr>
        <w:tc>
          <w:tcPr>
            <w:tcW w:w="3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(333,823 )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(333,823 )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4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Balances at December 31, 2022</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52,333,850</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1,329,509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(1,307 )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(892,040 )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436,167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7,528</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vesting of restricted stock</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116,403</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pursuant to employee stock</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50,821</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88,556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(260,491 )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(260,491 )</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4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Balances at December 31, 2023</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52,508,602</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1,418,307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(1,152,531 )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265,781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82,790</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vesting of restricted stock</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86,559</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pursuant to employee stock</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purchase plan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48,965</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(176,207 )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(176,207 )</w:t>
            </w: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Balances at December 31, 2024</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52,726,916</w:t>
            </w:r>
          </w:p>
        </w:tc>
        <w:tc>
          <w:tcPr>
            <w:tcW w:w="240" w:type="dxa"/>
            <w:vAlign w:val="bottom"/>
          </w:tcPr>
          <w:p>
            <w:pPr>
              <w:spacing w:after="0"/>
              <w:rPr>
                <w:sz w:val="11"/>
                <w:szCs w:val="11"/>
                <w:color w:val="auto"/>
              </w:rPr>
            </w:pPr>
          </w:p>
        </w:tc>
        <w:tc>
          <w:tcPr>
            <w:tcW w:w="800" w:type="dxa"/>
            <w:vAlign w:val="bottom"/>
          </w:tcPr>
          <w:p>
            <w:pPr>
              <w:jc w:val="right"/>
              <w:ind w:right="6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1,479,021</w:t>
            </w:r>
          </w:p>
        </w:tc>
        <w:tc>
          <w:tcPr>
            <w:tcW w:w="220" w:type="dxa"/>
            <w:vAlign w:val="bottom"/>
            <w:gridSpan w:val="2"/>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(1,328,738 )</w:t>
            </w:r>
          </w:p>
        </w:tc>
        <w:tc>
          <w:tcPr>
            <w:tcW w:w="2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150,288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-1156335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-1156335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-1156335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-1156335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-1156335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-1156335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-119380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-119380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-119380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-119380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-119380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65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(176,207 )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(260,491 )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(333,823 )</w:t>
            </w: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2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60,213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88,556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106,033</w:t>
            </w: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long-lived assets</w:t>
            </w:r>
          </w:p>
        </w:tc>
        <w:tc>
          <w:tcPr>
            <w:tcW w:w="30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amortization (accretion) of premium (discount) on marketable securities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(846 )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(1,068 )</w:t>
            </w:r>
          </w:p>
        </w:tc>
      </w:tr>
      <w:tr>
        <w:trPr>
          <w:trHeight w:val="203"/>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Settlement of derivative contracts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(616 )</w:t>
            </w:r>
          </w:p>
        </w:tc>
      </w:tr>
      <w:tr>
        <w:trPr>
          <w:trHeight w:val="20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30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(60 )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(2,744 )</w:t>
            </w:r>
          </w:p>
        </w:tc>
      </w:tr>
      <w:tr>
        <w:trPr>
          <w:trHeight w:val="203"/>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7,384</w:t>
            </w: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(9,693 )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Pr>
          <w:p>
            <w:pPr>
              <w:spacing w:after="0"/>
              <w:rPr>
                <w:sz w:val="17"/>
                <w:szCs w:val="17"/>
                <w:color w:val="auto"/>
              </w:rPr>
            </w:pPr>
          </w:p>
        </w:tc>
      </w:tr>
      <w:tr>
        <w:trPr>
          <w:trHeight w:val="203"/>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(7,371 )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(12,907 )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(2,246 )</w:t>
            </w:r>
          </w:p>
        </w:tc>
      </w:tr>
      <w:tr>
        <w:trPr>
          <w:trHeight w:val="203"/>
        </w:trPr>
        <w:tc>
          <w:tcPr>
            <w:tcW w:w="6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(11,250 )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(8,922 )</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(117,319 )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(154,183 )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(206,459 )</w:t>
            </w:r>
          </w:p>
        </w:tc>
      </w:tr>
      <w:tr>
        <w:trPr>
          <w:trHeight w:val="196"/>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(375 )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(41,350 )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(37,021 )</w:t>
            </w: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property and equipment</w:t>
            </w:r>
          </w:p>
        </w:tc>
        <w:tc>
          <w:tcPr>
            <w:tcW w:w="30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(25 )</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(77 )</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(10,342 )</w:t>
            </w: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(49,347 )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(427,766 )</w:t>
            </w: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138,000</w:t>
            </w:r>
          </w:p>
        </w:tc>
        <w:tc>
          <w:tcPr>
            <w:tcW w:w="12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 of derivative contracts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(355 )</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shd w:val="clear" w:color="auto" w:fill="CFF0FC"/>
          </w:tcPr>
          <w:p>
            <w:pPr>
              <w:spacing w:after="0"/>
              <w:rPr>
                <w:sz w:val="17"/>
                <w:szCs w:val="17"/>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5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(755 )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249,226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(336,513 )</w:t>
            </w:r>
          </w:p>
        </w:tc>
      </w:tr>
      <w:tr>
        <w:trPr>
          <w:trHeight w:val="19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options exercise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pursuant to employee stock purchase plan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FF0FC"/>
          </w:tcPr>
          <w:p>
            <w:pPr>
              <w:spacing w:after="0"/>
              <w:rPr>
                <w:sz w:val="17"/>
                <w:szCs w:val="17"/>
                <w:color w:val="auto"/>
              </w:rPr>
            </w:pPr>
          </w:p>
        </w:tc>
      </w:tr>
      <w:tr>
        <w:trPr>
          <w:trHeight w:val="202"/>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of tenant improvement allowance payable</w:t>
            </w:r>
          </w:p>
        </w:tc>
        <w:tc>
          <w:tcPr>
            <w:tcW w:w="300" w:type="dxa"/>
            <w:vAlign w:val="bottom"/>
          </w:tcPr>
          <w:p>
            <w:pPr>
              <w:spacing w:after="0"/>
              <w:rPr>
                <w:sz w:val="17"/>
                <w:szCs w:val="17"/>
                <w:color w:val="auto"/>
              </w:rPr>
            </w:pP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(211 )</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(49 )</w:t>
            </w:r>
          </w:p>
        </w:tc>
      </w:tr>
      <w:tr>
        <w:trPr>
          <w:trHeight w:val="196"/>
        </w:trPr>
        <w:tc>
          <w:tcPr>
            <w:tcW w:w="65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(117,573 )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95,074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(541,077 )</w:t>
            </w:r>
          </w:p>
        </w:tc>
      </w:tr>
      <w:tr>
        <w:trPr>
          <w:trHeight w:val="20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291,831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196,757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737,834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174,258</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291,831</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196,757</w:t>
            </w:r>
          </w:p>
        </w:tc>
        <w:tc>
          <w:tcPr>
            <w:tcW w:w="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consolidated balance sheets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168,074</w:t>
            </w:r>
          </w:p>
        </w:tc>
        <w:tc>
          <w:tcPr>
            <w:tcW w:w="26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285,507</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190,433</w:t>
            </w:r>
          </w:p>
        </w:tc>
        <w:tc>
          <w:tcPr>
            <w:tcW w:w="12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 in consolidated balance sheets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174,258</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291,831</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196,757</w:t>
            </w:r>
          </w:p>
        </w:tc>
        <w:tc>
          <w:tcPr>
            <w:tcW w:w="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(49 )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(170 )</w:t>
            </w:r>
          </w:p>
        </w:tc>
      </w:tr>
      <w:tr>
        <w:trPr>
          <w:trHeight w:val="20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under accounts payable and accruals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20" w:type="dxa"/>
            <w:vAlign w:val="bottom"/>
            <w:shd w:val="clear" w:color="auto" w:fill="CFF0FC"/>
          </w:tcPr>
          <w:p>
            <w:pPr>
              <w:spacing w:after="0"/>
              <w:rPr>
                <w:sz w:val="17"/>
                <w:szCs w:val="17"/>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 of deposits to property and equipment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44,300</w:t>
            </w:r>
          </w:p>
        </w:tc>
        <w:tc>
          <w:tcPr>
            <w:tcW w:w="2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-5812155</wp:posOffset>
            </wp:positionV>
            <wp:extent cx="93980" cy="1708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-5812155</wp:posOffset>
            </wp:positionV>
            <wp:extent cx="93980" cy="170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-5812155</wp:posOffset>
            </wp:positionV>
            <wp:extent cx="102870" cy="1708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-3458845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-3458845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-3458845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-2679065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-2679065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-2679065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-2031365</wp:posOffset>
            </wp:positionV>
            <wp:extent cx="939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-2031365</wp:posOffset>
            </wp:positionV>
            <wp:extent cx="939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-2031365</wp:posOffset>
            </wp:positionV>
            <wp:extent cx="10287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-1616075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-1616075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-1616075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-1067435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-1067435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-1067435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Kodiak Sciences Inc. (the “Company”) is a clinical stage biopharmaceutical company committed to researching, developing and commercializing transformative therapeutics to treat a broad spectrum of retinal diseases.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$168.1 million. The Company has incurred net losses and negative cash flows from operations since inception. The Company has incurred net losses of $176.2 million, $260.5 million and $333.8 million for the years ended December 31, 2024, 2023 and 2022, respectively. The net cash used in operating activities was $117.3 million, $154.2 million and $206.5 million for the years ended December 31, 2024, 2023 and 2022, respectively.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on terms which are favorable or at all. The Company could be required to pause, scale back or discontinue one or more of its development programs, which could adversely affect the Company’s business, financial condition and results of operations.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existing cash and cash equivalents may not be sufficient to meet the anticipated operating and capital expenditure requirements for the 12 months following the date of this Annual Report on Form 10-K.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prior period amounts in the consolidated financial statements have been reclassified to conform to the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Company’s accounts and its subsidiaries. All intercompany accounts and transactions have been eliminated. The functional and reporting currency of the Company and its subsidiaries is the U.S. dollar. The aggregate foreign currency transaction gain (loss) included in determining net loss was $0.3 million, $(0.1) million, and $0.3 million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operates and manages its business as one operating and reportable segment. Refer to Note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health epidemics, labor shortages, bank failures, inflation and monetary supply shifts, tariffs,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spacing w:after="0" w:line="79"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As of December 31, 2024 and 2023, cash and cash equivalents were invested primarily in money market funds through highly rated financial institutions. Investments are restricted, in accordance with the Company’s investment policy, to a concentration limit per issuer or sector.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stated maturities of three months or less at the date of purchase to be cash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may invest excess cash balances in marketable securities. The investments in marketable securities are classified as either held-to-maturity or available-for-sale based on facts and circumstances present at the time of purchase. Marketable securities with a remaining maturity date greater than one year are classified as non-current. The Company’s marketable securities can consist of U.S. treasury securities, commercial paper, and corporate bonds. Marketable debt securities that are available for sale, are carried at fair value with the unrealized gains and losses included in other comprehensive income (loss) as a component of stockholders’ equity until realized. Any premium or discount arising at purchase of marketable debt securities is amortized and/or accreted to interest income or expense over the life of the instrument. Realized gains and losses are determined using the specific identification method and are included in other income (expense), net.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$6.2 and $6.3 million of long-term restricted cash deposited with financial institutions. The entire amount is held in separate bank accounts to support letter of credit agreements related to the Company’s U.S. corporate offices.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Derivative instruments that do not qualify for hedge accounting are recognized on the consolidated balance sheet at fair value, with changes in the fair value recognized on the consolidated statement of operations and comprehensive loss as a component of other income (expense), net. The cash flows associated with these derivatives are reflected as cash flows from investing activities in the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7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—Observable inputs, such as quoted prices in active markets for identical assets or liabilities at the measurement date.</w:t>
      </w:r>
    </w:p>
    <w:p>
      <w:pPr>
        <w:spacing w:after="0" w:line="117"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50"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which reflect management’s best estimate of what market participants would use in pricing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Consideration is given to the risk inherent in the valuation technique and inputs to the model.</w:t>
      </w:r>
    </w:p>
    <w:p>
      <w:pPr>
        <w:spacing w:after="0" w:line="5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consisting of cash and cash equivalents, prepaid expenses and other current assets, accounts payable and accrued liabilities and other current liabilities, approximate fair value due to their relatively short maturities.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 of use assets and operating lease liabilities and are recognized in the period in which the obligation for those payments is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Construction in progress reflects amounts incurred for construction or improvements of property or equipment that have not been placed in service. Construction in progress is transferred to specific property and equipment and depreciated when these assets are ready for their intended use. Depreciation is computed using the straight-line method over the estimated useful lives of the assets, which generally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280" w:type="dxa"/>
            <w:vAlign w:val="bottom"/>
          </w:tcPr>
          <w:p>
            <w:pPr>
              <w:spacing w:after="0"/>
              <w:rPr>
                <w:sz w:val="20"/>
                <w:szCs w:val="20"/>
                <w:color w:val="auto"/>
              </w:rPr>
            </w:pPr>
          </w:p>
        </w:tc>
        <w:tc>
          <w:tcPr>
            <w:tcW w:w="692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FF0FC"/>
          </w:tcPr>
          <w:p>
            <w:pPr>
              <w:spacing w:after="0"/>
              <w:rPr>
                <w:sz w:val="18"/>
                <w:szCs w:val="18"/>
                <w:color w:val="auto"/>
              </w:rPr>
            </w:pPr>
          </w:p>
        </w:tc>
        <w:tc>
          <w:tcPr>
            <w:tcW w:w="6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Pr>
          <w:p>
            <w:pPr>
              <w:spacing w:after="0"/>
              <w:rPr>
                <w:sz w:val="18"/>
                <w:szCs w:val="18"/>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 to 10 years</w:t>
            </w: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280" w:type="dxa"/>
            <w:vAlign w:val="bottom"/>
            <w:shd w:val="clear" w:color="auto" w:fill="CFF0FC"/>
          </w:tcPr>
          <w:p>
            <w:pPr>
              <w:spacing w:after="0"/>
              <w:rPr>
                <w:sz w:val="18"/>
                <w:szCs w:val="18"/>
                <w:color w:val="auto"/>
              </w:rPr>
            </w:pPr>
          </w:p>
        </w:tc>
        <w:tc>
          <w:tcPr>
            <w:tcW w:w="6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Lesser of the useful life or the term of the respective lease</w:t>
            </w:r>
          </w:p>
        </w:tc>
      </w:tr>
    </w:tbl>
    <w:p>
      <w:pPr>
        <w:spacing w:after="0" w:line="1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amounts of the assets may not be recoverable. Recoverability is measured by comparing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applied significant judgment in determining it has one asset group and that there is no lower level to group assets for impairment testing. The determination of the asset group primarily considers the interdependencies of its assets, shared cost structure, and the interrelated future cash flow generation. The Company assessed the recoverability of its asset group during the year ended December 31, 2023 based on the Company’s decision to wind-down the tarcocimab program following the topline results from the Phase 3 GLEAM and GLIMMER studies. The Company determined that the estimated undiscounted net cash flows which the asset group was forecasted to generate exceeded the carrying amount of the asset group. Therefore, no impairment loss was recognized in 2023. There was no such impairment of long-lived assets in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depreciation and utilities.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agreements with various third parties, including clinical investigator sites, contract research organizations (“CROs”) and contract manufacturing organizations (“CMOs”), to provide research and development activities. The Company’s accrued research and development costs are estimated based on the level of services performed, including the phase or completion of events, and contracted costs. Accrued clinical trial and related costs are estimated using data such as patient enrollment, clinical site activations or information provided by outside service providers regarding their actual costs incurred. Management determines accrual estimates through reports from and discussions with clinical personnel and outside service providers as to the progress of trials, or the services completed. The estimated costs of research and development provided, but not yet invoiced, are included in accrued and other current liabilities on the consolidated balance sheet.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or other assets until the services are rendered.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measures stock-based compensation expense for stock options and restricted stock units granted to its employees, directors and non-employees based on the estimated fair value of the awards on the grant date. The fair value of options is calculated using the Black-Scholes valuation model or the Monte Carlo simulation model, which requires the input of subjective assumptions, including (i) the calculation of expected term of the award, (ii) the expected stock price volatility, (iii) the risk-free interest rate, and (iv) expected dividends.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expected term is determined based on hypothetical exercise data for unexercised stock options.</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expected volatility is estimated based on the Company's historical information for its common stock and supplemented by the historical stock price volatility of a representative peer group over a period equivalent to the expected term of the equity award.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estimated based on the U.S. Treasury securities with maturity dates commensurate with the expected term of the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never paid, and does not expect to pay, dividends in the foreseeable future.</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expense is recorded on a straight-line basis over the requisite service period, which is generally the vesting period, for the entire award. The Company accounts for forfeitures as they occur.</w:t>
      </w:r>
    </w:p>
    <w:p>
      <w:pPr>
        <w:spacing w:after="0" w:line="54"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has certain stock options and restricted stock units that vest in conjunction with certain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 Refer to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is composed of net loss and other comprehensive income (loss). Other comprehensive income (loss) consists primarily of unrealized gains and losses on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Sale of Future Royalties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December 1, 2019, the Company and its subsidiary Kodiak Sciences GmbH entered into a funding agreement with Baker Bros. Advisors, LP ("BBA"), which holds more than 5% of the Company’s stock, pursuant to which BBA purchased the right to receive a capped 4.5% royalty on future net sales of tarcocimab, the Company’s anti-VEGF antibody biopolymer conjugate therapy, in exchange for $225.0 million. Under the terms of the funding agreement, there is no obligation to repay any funding amount received, other than through the capped royalty payments on future product revenues. The Company recorded the funding amount paid by BBA as a liability on the consolidated balance sheet net of issuance costs,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Under ASC 730, the significant related party relationship between the Company and BBA creates an implicit obligation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funding amount paid to the Company.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In July 2021, the funding agreement was amended, at the Company’s request, that the remaining funding amount of $125.0 million would not be paid. Refer to Note 16.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Since the Company has reported net loss for all periods presented, diluted net loss per share is the same as basic net loss per common share for those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under its ASC or other standard setting bodies, and adopted by the Company as of the specified effective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disclosure of incremental segment information on an annual and interim basis. The ASU was adopted by the Company for the annual period ended December 31, 2024 and for the interim periods beginning January 1, 2025. Refer to Note 13.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7" w:lineRule="exact"/>
        <w:rPr>
          <w:sz w:val="20"/>
          <w:szCs w:val="20"/>
          <w:color w:val="auto"/>
        </w:rPr>
      </w:pPr>
    </w:p>
    <w:p>
      <w:pPr>
        <w:ind w:right="20" w:firstLine="509"/>
        <w:spacing w:after="0" w:line="290"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enhances the disclosures required for income taxes in annual consolidated financial statements. The ASU is effective for fiscal years beginning after December 15, 2024, and early adoption is permitted. The Company is assessing the impact of this amendment on its consolidated financial statements and related disclosures.</w:t>
      </w:r>
    </w:p>
    <w:p>
      <w:pPr>
        <w:spacing w:after="0" w:line="4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is assessing the impact of this standard on its consolidated financial statements and related disclosures.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6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00" w:type="dxa"/>
            <w:vAlign w:val="bottom"/>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700" w:type="dxa"/>
            <w:vAlign w:val="bottom"/>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7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7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17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7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143,034</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(41,262 )</w:t>
            </w:r>
          </w:p>
        </w:tc>
        <w:tc>
          <w:tcPr>
            <w:tcW w:w="3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(22,552 )</w:t>
            </w:r>
          </w:p>
        </w:tc>
      </w:tr>
      <w:tr>
        <w:trPr>
          <w:trHeight w:val="210"/>
        </w:trPr>
        <w:tc>
          <w:tcPr>
            <w:tcW w:w="6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700" w:type="dxa"/>
            <w:vAlign w:val="bottom"/>
            <w:tcBorders>
              <w:top w:val="single" w:sz="8" w:color="auto"/>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3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120,482</w:t>
            </w:r>
          </w:p>
        </w:tc>
        <w:tc>
          <w:tcPr>
            <w:tcW w:w="100" w:type="dxa"/>
            <w:vAlign w:val="bottom"/>
            <w:tcBorders>
              <w:top w:val="single" w:sz="8" w:color="CFF0FC"/>
            </w:tcBorders>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-453390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property and equipment are maintained in the United States and Switzerland with net book values of $35.6 million and $66.6 million, respectively, as of December 31, 2024 compared to $40.2 million and $80.3 million, respectively, as of December 31, 2023. Depreciation expense was $18.7 million, $18.3 million and $3.8 million for the years ended December 31, 2024, 2023 and 2022,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Accrued and Other Current Liabilities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5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and related costs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manufacturing and research &amp; development costs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fees and professional fees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18,351</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2024</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120" w:type="dxa"/>
            <w:vAlign w:val="bottom"/>
          </w:tcPr>
          <w:p>
            <w:pPr>
              <w:spacing w:after="0"/>
              <w:rPr>
                <w:sz w:val="18"/>
                <w:szCs w:val="18"/>
                <w:color w:val="auto"/>
              </w:rPr>
            </w:pPr>
          </w:p>
        </w:tc>
      </w:tr>
      <w:tr>
        <w:trPr>
          <w:trHeight w:val="250"/>
        </w:trPr>
        <w:tc>
          <w:tcPr>
            <w:tcW w:w="58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120" w:type="dxa"/>
            <w:vAlign w:val="bottom"/>
          </w:tcPr>
          <w:p>
            <w:pPr>
              <w:spacing w:after="0"/>
              <w:rPr>
                <w:sz w:val="18"/>
                <w:szCs w:val="18"/>
                <w:color w:val="auto"/>
              </w:rPr>
            </w:pPr>
          </w:p>
        </w:tc>
      </w:tr>
      <w:tr>
        <w:trPr>
          <w:trHeight w:val="250"/>
        </w:trPr>
        <w:tc>
          <w:tcPr>
            <w:tcW w:w="35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274,466</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629"/>
        </w:trPr>
        <w:tc>
          <w:tcPr>
            <w:tcW w:w="35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-933450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-916305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-1079500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-916305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-1079500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-916305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fair value of the liability related to sale of future royalties is based on the Company's current estimates of future royalties expected to be paid to BBA, which are considered Level 3 inputs. Refer to Note 16.</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the fair value measurement levels during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were no marketable securities. There were no reclassifications out of accumulated other comprehensive income (loss), impairment charges or recoveries and no allowance for credit losses recorded for the years ended December 31, 2024,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Company uses certain derivative instruments, that are not designated as hedges for accounting purposes, which include foreign currency forward contracts. As of December 31, 2024 and 2023, the Company did not have any outstanding derivative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Palo Alto, California 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2020, the Company entered into lease agreements for two buildings at 1200 and 1250 Page Mill Road in Palo Alto, California, which are now the Company’s U.S. corporate offices. The facilities are approximately 82,662 square feet and 72,812 square feet, respectively and include office and laboratory space. For 1200 Page Mill Road, the monthly rent during the initial 6.5-year term will be approximately $0.6 million, with annual year-over-year increases of 3% plus certain operating expenses and taxes and total rent abatement of approximately $7.2 million. The Company has an option to extend the lease term for a period of 6.5 years. For 1250 Page Mill Road, the monthly rent during the initial 13-year term will be approximately $0.5 million, with annual year-over-year increases of 3% plus certain operating expenses and taxes and total rent abatement of approximately $6.3 million. The Company has two options to extend the lease term for a period of 5 years each. The Company determined that the renewal options were not reasonably certain at lease inception for the two buildings. The Company executed a $10.9 million cash-collateralized letter of credit, which was subsequently reduced to $6.2 million as a result of meeting certain reduction requirements specified therein in 2020. The cash collateralizing the letter of credit is classified as restricted cash on the Company’s consolidated balance sheet. The Landlord will provide a tenant improvement allowance of approximately $1.2 million for 1200 Page Mill Road and $10.6 million for 1250 Page Mill Road. The Company has fully utilized $10.6 million of the tenant improvement allowance for 1250 Page Mill Road. Under ASC 842, the Company classified these leases as operating leases and recorded right-of-use assets and lease liabilities on the lease commencement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 Lease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entered into a lease agreement for office and laboratory space at Rottenstrasse 5 in Visp, Switzerland. The space is approximately 1,000 square meters. The initial lease term is 5 years, with automatic renewals every 5 years for a maximum lease term of 15 years. The monthly rent during the initial 5-year term will be approximately 32.0 thousand Swiss Francs plus certain operating expenses and taxes. Under ASC 842, the Company classified this lease as an operating lease and recorded a right-of-use asset and lease liability on the lease commencement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Ursus Facility</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The manufacturing agreement has an initial term of 8 years, and the Company has the right to extend the term up to a total of 16 years. The Company and Lonza each have the ability to terminate this agreement upon the occurrence of certain events.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p>
    <w:p>
      <w:pPr>
        <w:spacing w:after="0" w:line="72"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this agreement contained an embedded lease as the custom-built manufacturing suite would be dedicated for the Company’s use. On January 31, 2023, the custom-built manufacturing suite was commissioned as a cGMP facility. The consideration was allocated to lease and non-lease components as this agreement contained a significant service component (manufacturing services). Under ASC 842, the Company classified the lease portion as an operating lease and recorded a right-of-use asset and lease liability on the lease commencement date.</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Fixed assets of $81.7 million, in leasehold improvements and machinery and equipment, were placed in service and capitalized as of January 31, 2023. In October 2023, payment was made for the remaining $26.8 million of these fixed assets.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maturities of the operating lease liabilities, including the Ursus Facility lease, as of December 31, 2024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00" w:type="dxa"/>
            <w:vAlign w:val="bottom"/>
          </w:tcPr>
          <w:p>
            <w:pPr>
              <w:spacing w:after="0"/>
              <w:rPr>
                <w:sz w:val="20"/>
                <w:szCs w:val="20"/>
                <w:color w:val="auto"/>
              </w:rPr>
            </w:pPr>
          </w:p>
        </w:tc>
        <w:tc>
          <w:tcPr>
            <w:tcW w:w="2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tcPr>
          <w:p>
            <w:pPr>
              <w:spacing w:after="0"/>
              <w:rPr>
                <w:sz w:val="18"/>
                <w:szCs w:val="18"/>
                <w:color w:val="auto"/>
              </w:rPr>
            </w:pPr>
          </w:p>
        </w:tc>
      </w:tr>
      <w:tr>
        <w:trPr>
          <w:trHeight w:val="216"/>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tcPr>
          <w:p>
            <w:pPr>
              <w:spacing w:after="0"/>
              <w:rPr>
                <w:sz w:val="18"/>
                <w:szCs w:val="18"/>
                <w:color w:val="auto"/>
              </w:rPr>
            </w:pPr>
          </w:p>
        </w:tc>
      </w:tr>
      <w:tr>
        <w:trPr>
          <w:trHeight w:val="216"/>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100" w:type="dxa"/>
            <w:vAlign w:val="bottom"/>
          </w:tcPr>
          <w:p>
            <w:pPr>
              <w:spacing w:after="0"/>
              <w:rPr>
                <w:sz w:val="18"/>
                <w:szCs w:val="18"/>
                <w:color w:val="auto"/>
              </w:rPr>
            </w:pPr>
          </w:p>
        </w:tc>
      </w:tr>
      <w:tr>
        <w:trPr>
          <w:trHeight w:val="210"/>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88,625</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(18,280 )</w:t>
            </w:r>
          </w:p>
        </w:tc>
      </w:tr>
      <w:tr>
        <w:trPr>
          <w:trHeight w:val="250"/>
        </w:trPr>
        <w:tc>
          <w:tcPr>
            <w:tcW w:w="8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minimum lease payments above do not include any related common area maintenance charges or real estate taxes. The operating lease expenses for the years ended December 31, 2024, 2023 and 2022 were $13.0 million, $13.2 million and $12.8 million, respectively. Variable lease expenses, including common area maintenance charges and real estate taxes, for the years ended December 31, 2024, 2023 and 2022 were $3.3 million, $3.6 million and $3.1 million,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5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40" w:type="dxa"/>
            <w:vAlign w:val="bottom"/>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r>
      <w:tr>
        <w:trPr>
          <w:trHeight w:val="209"/>
        </w:trPr>
        <w:tc>
          <w:tcPr>
            <w:tcW w:w="8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7"/>
              </w:rPr>
              <w:t>6.8</w:t>
            </w: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97"/>
              </w:rPr>
              <w:t>7.5</w:t>
            </w:r>
          </w:p>
        </w:tc>
        <w:tc>
          <w:tcPr>
            <w:tcW w:w="180" w:type="dxa"/>
            <w:vAlign w:val="bottom"/>
            <w:shd w:val="clear" w:color="auto" w:fill="CFF0FC"/>
          </w:tcPr>
          <w:p>
            <w:pPr>
              <w:spacing w:after="0"/>
              <w:rPr>
                <w:sz w:val="18"/>
                <w:szCs w:val="18"/>
                <w:color w:val="auto"/>
              </w:rPr>
            </w:pPr>
          </w:p>
        </w:tc>
      </w:tr>
      <w:tr>
        <w:trPr>
          <w:trHeight w:val="234"/>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6.8 %</w:t>
            </w:r>
          </w:p>
        </w:tc>
        <w:tc>
          <w:tcPr>
            <w:tcW w:w="20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5"/>
              </w:rPr>
              <w:t>6.8 %</w:t>
            </w:r>
          </w:p>
        </w:tc>
      </w:tr>
      <w:tr>
        <w:trPr>
          <w:trHeight w:val="630"/>
        </w:trPr>
        <w:tc>
          <w:tcPr>
            <w:tcW w:w="70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97</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70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future contractual obligations related to these manufacturing agreements that may be subject to cancellation fees, was $19.4 million. This amount represents our minimal contractual obligations, excluding the commitments under the Ursus Facility arrangement. Purchases under these manufacturing agreements for the years ended December 31, 2024, 2023 and 2022 were $25.8 million, $59.7 million and $47.4 million, respectively.</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future manufacturing contractual obligations totaling approximately 105.3 million Swiss Francs may be incurred for the potential clinical and commercial supply of tarcocimab and other antibody biopolymer conjugates medicines based on the agreements with Lonza for production at the Ursus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Management is currently not aware of any matters that could have a material adverse effect on the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 (in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(118,783 )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(143,256 )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(163,240 )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(57,404 )</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(117,176 )</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(170,550 )</w:t>
            </w: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(176,187 )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(260,432 )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(333,790 )</w:t>
            </w:r>
          </w:p>
        </w:tc>
      </w:tr>
      <w:tr>
        <w:trPr>
          <w:trHeight w:val="426"/>
        </w:trPr>
        <w:tc>
          <w:tcPr>
            <w:tcW w:w="660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(in thousands):</w:t>
            </w: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15"/>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r>
      <w:tr>
        <w:trPr>
          <w:trHeight w:val="4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-2502535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-2485390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-2502535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-2485390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-316865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net deferred tax assets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3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146,537</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163,841</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w:t>
            </w: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174 Capitalized R&amp;D</w:t>
            </w:r>
          </w:p>
        </w:tc>
        <w:tc>
          <w:tcPr>
            <w:tcW w:w="3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385,657</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(247,216 )</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(373,474 )</w:t>
            </w: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3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(8,822 )</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(10,362 )</w:t>
            </w: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3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(1,462 )</w:t>
            </w: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(10,284 )</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(12,183 )</w:t>
            </w:r>
          </w:p>
        </w:tc>
        <w:tc>
          <w:tcPr>
            <w:tcW w:w="0" w:type="dxa"/>
            <w:vAlign w:val="bottom"/>
          </w:tcPr>
          <w:p>
            <w:pPr>
              <w:spacing w:after="0"/>
              <w:rPr>
                <w:sz w:val="1"/>
                <w:szCs w:val="1"/>
                <w:color w:val="auto"/>
              </w:rPr>
            </w:pPr>
          </w:p>
        </w:tc>
      </w:tr>
      <w:tr>
        <w:trPr>
          <w:trHeight w:val="210"/>
        </w:trPr>
        <w:tc>
          <w:tcPr>
            <w:tcW w:w="42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3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4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99</w:t>
            </w: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-1079500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2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its net deferred tax assets due to the uncertainty as to whether such assets will be realized. The net change in the total valuation allowance for the years ended December 31, 2024 and 2023, was a decrease of approximately $126.3 million and an increase of $25.7 million, respectively. The decrease in the year ended December 31, 2024 was due to the expiration of a foreign intangible asset.</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The Company periodically completes a Section 382 analysis. Subsequent ownership changes since the most recent study may further affect the limitation in future years.</w:t>
      </w:r>
    </w:p>
    <w:p>
      <w:pPr>
        <w:spacing w:after="0" w:line="7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$111.5 million of federal and $616.3 million of state net operating loss available to offset future taxable income. A portion of the federal net operating loss carryforwards begin to expire in 2035 and the state net operating loss carryforwards begin to expire in 2035, if not utilized. $93.4 million of the federal net operating loss are not subject to expiration.</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also had federal and state research and development credit carryforwards of approximately $31.5 million and $9.9 million, respectively. The federal research and development credit carryforwards expire beginning 2035. The California tax credit can be carried forward indefinitely.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94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r>
      <w:tr>
        <w:trPr>
          <w:trHeight w:val="20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(4.3 )</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valuation</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(86.2 )</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(5.1 )</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(10.5 )</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(20.0 )</w:t>
            </w:r>
          </w:p>
        </w:tc>
      </w:tr>
      <w:tr>
        <w:trPr>
          <w:trHeight w:val="20"/>
        </w:trPr>
        <w:tc>
          <w:tcPr>
            <w:tcW w:w="59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-24765</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120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1200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the intangible valuation in the year ended December 31, 2024 was due to the expiration of a foreign intangible asset.</w:t>
      </w:r>
    </w:p>
    <w:p>
      <w:pPr>
        <w:spacing w:after="0" w:line="18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2024, 2023 and 2022, none of the unrecognized tax benefits would affect income tax expense with consideration of the valuation allowance. The Company does not anticipate the uncertain tax positions will materially change in the next 12 months.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shd w:val="clear" w:color="auto" w:fill="CFF0FC"/>
          </w:tcPr>
          <w:p>
            <w:pPr>
              <w:spacing w:after="0"/>
              <w:rPr>
                <w:sz w:val="21"/>
                <w:szCs w:val="21"/>
                <w:color w:val="auto"/>
              </w:rPr>
            </w:pPr>
          </w:p>
        </w:tc>
      </w:tr>
      <w:tr>
        <w:trPr>
          <w:trHeight w:val="629"/>
        </w:trPr>
        <w:tc>
          <w:tcPr>
            <w:tcW w:w="452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jc w:val="right"/>
              <w:ind w:right="79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-933450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28"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Switzerland. The Company is not currently under examination by income tax authorities in federal, state or other jurisdictions. All US tax returns remain open for examination by the federal and state authorities for three and four years, respectively, from the date of utilization of any net operating loss or credits.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Company’s amended and restated certificate of incorporation authorized the Company to issue up to 10,000,000 shares of preferred stock at the par value of $0.0001 per share. As of December 31, 2024, there are no shares of the Company’s preferred stock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Company’s amended and restated certificate of incorporation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reserved common stock for future issuances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0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09"/>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options outstanding and release of restricted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19,994,733</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17,766,283</w:t>
            </w:r>
          </w:p>
        </w:tc>
        <w:tc>
          <w:tcPr>
            <w:tcW w:w="120" w:type="dxa"/>
            <w:vAlign w:val="bottom"/>
            <w:shd w:val="clear" w:color="auto" w:fill="CFF0F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2018</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1,862,920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2,460,375</w:t>
            </w:r>
          </w:p>
        </w:tc>
        <w:tc>
          <w:tcPr>
            <w:tcW w:w="120" w:type="dxa"/>
            <w:vAlign w:val="bottom"/>
          </w:tcPr>
          <w:p>
            <w:pPr>
              <w:spacing w:after="0"/>
              <w:rPr>
                <w:sz w:val="18"/>
                <w:szCs w:val="18"/>
                <w:color w:val="auto"/>
              </w:rPr>
            </w:pPr>
          </w:p>
        </w:tc>
      </w:tr>
      <w:tr>
        <w:trPr>
          <w:trHeight w:val="216"/>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2018</w:t>
            </w:r>
          </w:p>
        </w:tc>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325,393</w:t>
            </w:r>
          </w:p>
        </w:tc>
        <w:tc>
          <w:tcPr>
            <w:tcW w:w="24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22,183,046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20,601,016</w:t>
            </w:r>
          </w:p>
        </w:tc>
        <w:tc>
          <w:tcPr>
            <w:tcW w:w="12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("NSOs"), restricted stock, restricted stock units (“RSUs”), stock appreciation rights, performance units and performance shares to employees, directors and consultants of the Company. The number of shares available for issuance increases annually on the first day of each fiscal year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of stock, then the term may not exceed five years and the exercise price must be equal to at least 110% of the fair market value of the common stock on the grant date. Options and RSUs granted generally vest over four years.</w:t>
      </w:r>
    </w:p>
    <w:p>
      <w:pPr>
        <w:spacing w:after="0" w:line="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available for issuance increased by 2,100,344 shares in 2024 and there were 1,862,920 shares available for grant under the 2018 Plan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Long-Term Performance Incentive Plan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2021 Long-Term Performance Incentive Plan (“2021 LTPIP”) was designed to be a long-term, pay-for-performance, incentive plan that would further align the interests of management and other eligible employees with the creation of substantial long-term value for the Company's stockholders. During 2021, eligible employees were provided a one-time opportunity to "opt-in" and forgo a portion of their annual equity incentive awards in exchange for a one-time grant of performance-based stock options from the 2021 LTPIP and 2018 Plan, collectively referred to as the "LTPIP Program". There were no options granted under the LTPIP Program for the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Shares underlying the options granted under the LTPIP Program may be earned based on the achievement of the performance-based requirement based on stock price goals and/or certain operational milestones based on approval by the U.S. Food and Drug Administration of a Biologics License Application in respect of a first, second, and third major indication and based on sales. The performance-based requirement and operational milestones were not achieved as of December 31, 2024.</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the exchange of the original award of annual equity incentive awards with the modified award of options granted under the LTPIP Program represented a change in the original terms and conditions. The modification resulted in additional compensation cost equal to the incremental value between the original and modified awards to be recognized. For the annual equity incentive awards, the Company continues to record the unrecognized compensation expense over the original vesting period. For the options granted under the LTPIP Program, the stock-based compensation expense recognized during the years ended December 31, 2024, 2023 and 2022 was $42.9 million, $53.7 million and $65.1 million, respectively.</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$96.3 million of unrecognized stock-based compensation expense related to the 5,659,816 options granted under the LTPIP Program, but not yet earned or vested, to be recognized over a weighted-average period of 2.07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Stock option activity, including stock options and performance-based stock options under the 2021 LTPIP, 2018 Plan and 2015 Plan is summarized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4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54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2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45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17,601,466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4,249,650</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(82,790 )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canceled</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(1,895,253 )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19,873,073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exercisable December 31, 2024</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11,334,432</w:t>
            </w:r>
          </w:p>
        </w:tc>
        <w:tc>
          <w:tcPr>
            <w:tcW w:w="3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33.97</w:t>
            </w:r>
          </w:p>
        </w:tc>
        <w:tc>
          <w:tcPr>
            <w:tcW w:w="1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5.94</w:t>
            </w:r>
          </w:p>
        </w:tc>
        <w:tc>
          <w:tcPr>
            <w:tcW w:w="4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22,755</w:t>
            </w:r>
          </w:p>
        </w:tc>
        <w:tc>
          <w:tcPr>
            <w:tcW w:w="100" w:type="dxa"/>
            <w:vAlign w:val="bottom"/>
          </w:tcPr>
          <w:p>
            <w:pPr>
              <w:spacing w:after="0"/>
              <w:rPr>
                <w:sz w:val="17"/>
                <w:szCs w:val="17"/>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19,873,073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-299720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-281940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the time-vested stock options granted for 2024, 2023 and 2022 was $1.74, $4.51 and $6.31 per share, respectively. The total intrinsic value of stock options exercised during 2024, 2023 and 2022 was $0.3 million, not significant, $6.1 million, respectively. The intrinsic value represents the amount by which the market price of the underlying stock exceeds the exercise price of an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employee stock options using the Black-Scholes valuation model. The fair value of time-vested employee stock options was estimated using the following weighted-average assumptions: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980" w:type="dxa"/>
            <w:vAlign w:val="bottom"/>
          </w:tcPr>
          <w:p>
            <w:pPr>
              <w:spacing w:after="0"/>
              <w:rPr>
                <w:sz w:val="18"/>
                <w:szCs w:val="18"/>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8"/>
                <w:szCs w:val="18"/>
                <w:color w:val="auto"/>
              </w:rPr>
            </w:pPr>
          </w:p>
        </w:tc>
        <w:tc>
          <w:tcPr>
            <w:tcW w:w="1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r>
      <w:tr>
        <w:trPr>
          <w:trHeight w:val="210"/>
        </w:trPr>
        <w:tc>
          <w:tcPr>
            <w:tcW w:w="6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2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3.91 %</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3.55 %</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2.86 %</w:t>
            </w:r>
          </w:p>
        </w:tc>
      </w:tr>
      <w:tr>
        <w:trPr>
          <w:trHeight w:val="216"/>
        </w:trPr>
        <w:tc>
          <w:tcPr>
            <w:tcW w:w="6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2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20"/>
                <w:szCs w:val="20"/>
                <w:color w:val="auto"/>
              </w:rPr>
            </w:pPr>
          </w:p>
        </w:tc>
      </w:tr>
      <w:tr>
        <w:trPr>
          <w:trHeight w:val="630"/>
        </w:trPr>
        <w:tc>
          <w:tcPr>
            <w:tcW w:w="6260" w:type="dxa"/>
            <w:vAlign w:val="bottom"/>
            <w:gridSpan w:val="2"/>
          </w:tcPr>
          <w:p>
            <w:pPr>
              <w:ind w:left="548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granted 4,195,650 options to employees in 2024. The total fair value of employee options vested during the years ended December 31, 2024, 2023 and 2022 was $13.4 million, $25.6 million and $28.9 million, respectively. Stock-based compensation expense recognized during the years ended December 31, 2024, 2023 and 2022 for options granted to employees, including the options granted under the LTPIP Program, was $56.7 million, $80.8 million and $93.8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Restricted share activity, including restricted stock awards, restricted stock units, and performance-based restricted stock units, under the 2018 Plan is summarized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520" w:type="dxa"/>
            <w:vAlign w:val="bottom"/>
          </w:tcPr>
          <w:p>
            <w:pPr>
              <w:spacing w:after="0"/>
              <w:rPr>
                <w:sz w:val="18"/>
                <w:szCs w:val="18"/>
                <w:color w:val="auto"/>
              </w:rPr>
            </w:pPr>
          </w:p>
        </w:tc>
        <w:tc>
          <w:tcPr>
            <w:tcW w:w="15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520" w:type="dxa"/>
            <w:vAlign w:val="bottom"/>
          </w:tcPr>
          <w:p>
            <w:pPr>
              <w:spacing w:after="0"/>
              <w:rPr>
                <w:sz w:val="18"/>
                <w:szCs w:val="18"/>
                <w:color w:val="auto"/>
              </w:rPr>
            </w:pPr>
          </w:p>
        </w:tc>
        <w:tc>
          <w:tcPr>
            <w:tcW w:w="15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520" w:type="dxa"/>
            <w:vAlign w:val="bottom"/>
          </w:tcPr>
          <w:p>
            <w:pPr>
              <w:spacing w:after="0"/>
              <w:rPr>
                <w:sz w:val="20"/>
                <w:szCs w:val="20"/>
                <w:color w:val="auto"/>
              </w:rPr>
            </w:pPr>
          </w:p>
        </w:tc>
        <w:tc>
          <w:tcPr>
            <w:tcW w:w="15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r>
      <w:tr>
        <w:trPr>
          <w:trHeight w:val="209"/>
        </w:trPr>
        <w:tc>
          <w:tcPr>
            <w:tcW w:w="8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164,817</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shd w:val="clear" w:color="auto" w:fill="CFF0FC"/>
          </w:tcPr>
          <w:p>
            <w:pPr>
              <w:spacing w:after="0"/>
              <w:rPr>
                <w:sz w:val="18"/>
                <w:szCs w:val="18"/>
                <w:color w:val="auto"/>
              </w:rPr>
            </w:pPr>
          </w:p>
        </w:tc>
      </w:tr>
      <w:tr>
        <w:trPr>
          <w:trHeight w:val="21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3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r>
      <w:tr>
        <w:trPr>
          <w:trHeight w:val="216"/>
        </w:trPr>
        <w:tc>
          <w:tcPr>
            <w:tcW w:w="8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(86,559 )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(31,698 )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tcPr>
          <w:p>
            <w:pPr>
              <w:spacing w:after="0"/>
              <w:rPr>
                <w:sz w:val="18"/>
                <w:szCs w:val="18"/>
                <w:color w:val="auto"/>
              </w:rPr>
            </w:pPr>
          </w:p>
        </w:tc>
      </w:tr>
      <w:tr>
        <w:trPr>
          <w:trHeight w:val="24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52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121,660</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Restricted Stock Units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granted 75,100 RSUs to employees in 2024. The total fair value of RSUs vested during the year ended December 31, 2024, 2023, and 2022 was $3.5 million, $4.8 million and $4.9 million, respectively. Stock-based compensation expense recognized during the years ended December 31, 2024, 2023 and 2022 for RSUs was $2.4 million, $4.5 million, and $4.6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Awards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granted 54,000 stock options to non-employees during the year ended December 31, 2024. The Company granted 22,500 stock options and 1,500 RSUs to non-employees during the year ended December 31, 2023. The fair value of non-employee stock options was estimated using the following weighted-average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18"/>
                <w:szCs w:val="18"/>
                <w:color w:val="auto"/>
              </w:rPr>
            </w:pP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20" w:type="dxa"/>
            <w:vAlign w:val="bottom"/>
          </w:tcPr>
          <w:p>
            <w:pPr>
              <w:spacing w:after="0"/>
              <w:rPr>
                <w:sz w:val="20"/>
                <w:szCs w:val="20"/>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0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4.44 %</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3.82 %</w:t>
            </w:r>
          </w:p>
        </w:tc>
        <w:tc>
          <w:tcPr>
            <w:tcW w:w="140" w:type="dxa"/>
            <w:vAlign w:val="bottom"/>
          </w:tcPr>
          <w:p>
            <w:pPr>
              <w:spacing w:after="0"/>
              <w:rPr>
                <w:sz w:val="18"/>
                <w:szCs w:val="18"/>
                <w:color w:val="auto"/>
              </w:rPr>
            </w:pPr>
          </w:p>
        </w:tc>
        <w:tc>
          <w:tcPr>
            <w:tcW w:w="19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3.28</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during the years ended December 31, 2024, 2023 and 2022 for equity awards granted to non-employees was $0.2 million, $0.9 million and $1.2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2019, the Company granted 170,150 performance-based stock options and 128,900 performance-based RSUs (collectively "2019 PSA"). These equity awards would vest 25% upon the achievement of specific clinical development milestones. The remaining awards would then vest in three equal annual installments after that date. The performance criteria for 2019 PSA was achieved in June 2021. 37,925 of the performance-based stock options and 21,570 of the performance-based restricted stock vested during 2024. The total fair value of the performance-based stock options and RSUs vested during the years ended December 31, 2024, 2023 and 2022 was $3.4 million, $3.7 million and $3.9 million, respectively.</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2019 PSA using the Black-Scholes valuation model and significant assumptions included an expected volatility of 72%, a risk-free rate of 1.67%, expected dividend yield of 0%, and expected term of 6.31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February 2021, the Company granted 190,831 performance-based stock options ("2021 Feb PSO"). These stock options will vest 25% upon the achievement of specific clinical development milestones. The remaining awards would then vest in 36 successive equal monthly installments after the performance criteria is achieved. The performance criteria for 2021 Feb PSOs was achieved in February 2022. 44,695 of the performance-based stock options vested during 2024. The total fair value of the performance-based stock options vested during the year ended December 31, 2024, 2023 and 2022 was $3.5 million, $3.1 million and $6.2 million, respectively.</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2021 Feb PSO using the Black-Scholes valuation model. Significant assumptions utilized in estimating the fair value of 2021 Feb PSO include an expected volatility of 66%, a risk-free rate of 0.66%, expected dividend yield of 0%, and expected term of 5.94 years.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 granted 478,750 performance-based stock options ("2021 Aug PSO"). These stock options will vest upon the achievement of specific clinical development milestones with the percentage of shares earned being dependent on the relative total stockholder return over the performance period. As of December 31, 2023, the requisite performance criteria for the 2021 Aug PSO was not achieved and the shares were cancelled and returned to the plan. No stock-based compensation expense was recognized related to these stock options.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Performance-based awards are recorded as expense beginning when vesting events are determined to be probable. Stock-based compensation expense recognized during the years ended December 31, 2024, 2023 and 2022 for the performance-based equity awards was $0.8 million, $2.2 million and $6.3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Employee Share Purchase Plan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 Each offering period is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spacing w:after="0" w:line="7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issued 48,965 shares under the ESPP during the year ended December 31, 2024. Stock-based compensation expense recognized during the year ended December 31, 2024, 2023 and 2022 for the ESPP was $0.1 million, $0.2 million and $0.2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is classified in the consolidated statements of operations and comprehensive loss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60" w:type="dxa"/>
            <w:vAlign w:val="bottom"/>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5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44,014</w:t>
            </w:r>
          </w:p>
        </w:tc>
        <w:tc>
          <w:tcPr>
            <w:tcW w:w="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59,288</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44,542</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46,745</w:t>
            </w:r>
          </w:p>
        </w:tc>
        <w:tc>
          <w:tcPr>
            <w:tcW w:w="100" w:type="dxa"/>
            <w:vAlign w:val="bottom"/>
          </w:tcPr>
          <w:p>
            <w:pPr>
              <w:spacing w:after="0"/>
              <w:rPr>
                <w:sz w:val="18"/>
                <w:szCs w:val="18"/>
                <w:color w:val="auto"/>
              </w:rPr>
            </w:pPr>
          </w:p>
        </w:tc>
      </w:tr>
      <w:tr>
        <w:trPr>
          <w:trHeight w:val="250"/>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60,213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680" w:firstLine="509"/>
        <w:spacing w:after="0" w:line="312" w:lineRule="auto"/>
        <w:rPr>
          <w:sz w:val="20"/>
          <w:szCs w:val="20"/>
          <w:color w:val="auto"/>
        </w:rPr>
      </w:pPr>
      <w:r>
        <w:rPr>
          <w:rFonts w:ascii="Times New Roman" w:cs="Times New Roman" w:eastAsia="Times New Roman" w:hAnsi="Times New Roman"/>
          <w:sz w:val="17"/>
          <w:szCs w:val="17"/>
          <w:color w:val="auto"/>
        </w:rPr>
        <w:t>As of December 31, 2024, the Company had $115.7 million of unrecognized compensation expense related to unvested share-based awards including options granted under the LTPIP Program and ESPP, which is expected to be recognized over a weighted-average period of 2.08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Repurchase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right of repurchase with respect to unvested shares issued upon early exercise of options at an amount equal to the lower of (1) 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2024, there were no early exercised stock options subject to the Company’s right of repurchase.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and reportable segment, which is the business of researching, developing and commercializing transformative therapeutics to treat a broad spectrum of retinal diseases. The chief operating decision maker (“CODM”) is the Chief Executive Officer. The CODM uses net loss to allocate resources and assess performance when making decisions on the timing and extent of the Company's development programs for its product candidates. The assets are managed on a consolidated basis as reported on the consolidated balance sheets.</w:t>
      </w:r>
    </w:p>
    <w:p>
      <w:pPr>
        <w:spacing w:after="0" w:line="7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significant expense categories within net loss are presented on the consolidated statements of operations. The research and development expenses have been disaggregated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Tarcocimab program expenses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39,496</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90,513</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132,953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KSI-501 and KSI-101 program expenses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ABC Platform and other program expenses</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79,314</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Facilities and other research and development expenses</w:t>
            </w: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22,142</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206,298</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267,591</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Common Share</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(176,207 )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(260,491 )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(333,823 )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5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Weighted-average shares outstanding used in</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computing net loss per share attributable to</w:t>
            </w:r>
          </w:p>
        </w:tc>
        <w:tc>
          <w:tcPr>
            <w:tcW w:w="3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52,583,148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52,414,256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52,249,620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common stockholders, basic and diluted</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8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(3.35 )</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(4.97 )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r>
        <w:trPr>
          <w:trHeight w:val="214"/>
        </w:trPr>
        <w:tc>
          <w:tcPr>
            <w:tcW w:w="558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were excluded from the computation of diluted net loss per common share for the periods presented because their inclusion would have been antidilutive: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40" w:type="dxa"/>
            <w:vAlign w:val="bottom"/>
          </w:tcPr>
          <w:p>
            <w:pPr>
              <w:spacing w:after="0"/>
              <w:rPr>
                <w:sz w:val="18"/>
                <w:szCs w:val="18"/>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19,873,073</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17,601,466</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16,542,107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shares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164,817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280,522</w:t>
            </w:r>
          </w:p>
        </w:tc>
        <w:tc>
          <w:tcPr>
            <w:tcW w:w="100" w:type="dxa"/>
            <w:vAlign w:val="bottom"/>
          </w:tcPr>
          <w:p>
            <w:pPr>
              <w:spacing w:after="0"/>
              <w:rPr>
                <w:sz w:val="18"/>
                <w:szCs w:val="18"/>
                <w:color w:val="auto"/>
              </w:rPr>
            </w:pPr>
          </w:p>
        </w:tc>
      </w:tr>
      <w:tr>
        <w:trPr>
          <w:trHeight w:val="250"/>
        </w:trPr>
        <w:tc>
          <w:tcPr>
            <w:tcW w:w="53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19,994,733</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17,766,283</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16,822,629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628"/>
        </w:trPr>
        <w:tc>
          <w:tcPr>
            <w:tcW w:w="5340" w:type="dxa"/>
            <w:vAlign w:val="bottom"/>
          </w:tcPr>
          <w:p>
            <w:pPr>
              <w:spacing w:after="0"/>
              <w:rPr>
                <w:sz w:val="24"/>
                <w:szCs w:val="24"/>
                <w:color w:val="auto"/>
              </w:rPr>
            </w:pPr>
          </w:p>
        </w:tc>
        <w:tc>
          <w:tcPr>
            <w:tcW w:w="17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-933450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-916940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-1079500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-933450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-916940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401(k) Plan</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$10,250. For the years ended December 31, 2024, 2023 and 2022, the expense related to the matching contributions was $0.9 million, $0.9 million and $0.9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Liability related to Sale of Future Royalties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1, 2019, the Company and its subsidiary Kodiak Sciences GmbH entered into a funding agreement with BBA, which holds more than 5% of the Company’s stock, pursuant to which BBA purchased the right to receive a capped 4.5% royalty on future net sales of tarcocimab, the Company’s anti-VEGF antibody biopolymer conjugate therapy, in exchange for $225.0 million. Under the terms of the funding agreement, there is no obligation to repay any funding amount received, other than through the capped royalty payments on future product revenues. The royalty terminates upon the date that BBA has received an aggregate amount equal to 4.5 times the funding amount paid to the Company, unless earlier terminated or repurchased by the Company. The Company has the option, exercisable at any point during the term of the funding agreement, to repurchase 100% of the royalties due to BBA for a purchase price equal to 4.5 times the funding amount paid to the Company as of such time, less amounts paid by the Company to BBA.</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closing of the funding agreement was subject to certain conditions and occurred in February 2020. The Company received $100.0 million of the funding on February 4, 2020. The remaining $125.0 million, subject to delivery of notice by the Company, was payable upon enrollment of 50% of the patients in the RVO clinical program. In July 2021, the funding agreement was amended, at the Company’s request, that the remaining funding amount of $125.0 million would not be paid.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the initial $100.0 million payment as a liability on the consolidated balance sheet net of issuance costs. Once royalty payments to BBA are determined to be probable and estimable, and if such amounts exceed the liability balance, the Company will impute interest to accrete the liability on a prospective basis based on such estimates. If and when the Company makes royalty payments under the funding agreement, it would reduce the liability balance at such time. As of December 31, 2024, royalty payments are not probable and estimable. For the years ended December 31, 2024, 2023, and 2022, no interest expense was recognized for the liability related to the sale of future royalties.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March 2025, the Company entered into a sublease agreement for the corporate office space located at 1200 Page Mill Road for the remainder of the initial lease term until February 2027. The Company retains the option to reoccupy the space and to extend the lease term of the building located at 1200 Page Mill Road for a period of 6.5 years.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or persons performing similar functions, as appropriate to allow timely decisions regarding required disclosure.</w:t>
      </w:r>
    </w:p>
    <w:p>
      <w:pPr>
        <w:spacing w:after="0" w:line="75"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December 31, 2024. Based upon such evaluation, our principal executive officer and principal financial officer concluded that the design and operation of our disclosure controls and procedures were effective at a reasonable assurance level as of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 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 Integrated Framework” (2013). Based on this assessment, management concluded that our internal control over financial reporting was effective as of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2024,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 Attestation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non-accelerated filer under the Exchange Act and not required to comply with the auditor attestation requirements of Section 404(b) of the Sarbanes-Oxley Act of 2002. Therefore, this Annual Report does not include an attestation report of our registered public accounting firm regarding the effectiveness of internal control over financial reporting as of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13" w:name="page114"/>
    <w:bookmarkEnd w:id="113"/>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to be filed with the SEC in connection with the Annual Meeting of Stockholders within 120 days after December 31, 2024, or the Proxy Statement, under the captions “Executive Officers” and “Board of Directors and Corporate Governance”, and is incorporated in this Annual Report on Form 10-K by reference.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ir.kodiak.com/corporate-governance/governance-overview.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insider trading policies and procedures that govern the purchase, sale, and other dispositions of our securities by our directors, officers, and employees. We believe these policies and procedures are reasonably designed to promote compliance with insider trading laws, rules, and regulations, and applicable listing standards. A copy of our insider trading policy is filed as Exhibit 19.1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captions “Executive Compensation” (excluding the information presented under the subheading “Pay Versus Performance”) and “Non-Employee Director Compensation” and is incorporated in this Annual Report on Form 10-K by reference.</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captions “Security Ownership of Certain Beneficial Owners and Management” and “Securities Authorized for Issuance Under Equity Compensation Plans” and is incorporated in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captions “Related-Person Transactions” and “Board of Directors and Corporate Governance – Director Independence”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caption “Ratification of Appointment of Independent Registered Public Accounting Firm” and is incorporated in this Annual Report on Form 10-K by reference.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14" w:name="page115"/>
    <w:bookmarkEnd w:id="11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760" w:hanging="243"/>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are filed as part of this Annual Report on Form 10-K under Item 8.</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All schedules to the consolidated financial statements are omitted as the required information is either inapplicable or presented in the consolidated financial statements.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 EXHIBITS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r>
        <w:trPr>
          <w:trHeight w:val="142"/>
        </w:trPr>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1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6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2"/>
                <w:szCs w:val="12"/>
                <w:color w:val="auto"/>
              </w:rPr>
            </w:pPr>
          </w:p>
        </w:tc>
        <w:tc>
          <w:tcPr>
            <w:tcW w:w="108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2"/>
                <w:szCs w:val="12"/>
                <w:color w:val="auto"/>
              </w:rPr>
            </w:pPr>
          </w:p>
        </w:tc>
        <w:tc>
          <w:tcPr>
            <w:tcW w:w="152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90"/>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Amended and Restated Certificate of Incorporation of</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11/16/2018</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Kodiak Sciences Inc</w:t>
              </w:r>
              <w:r>
                <w:rPr>
                  <w:rFonts w:ascii="Times New Roman" w:cs="Times New Roman" w:eastAsia="Times New Roman" w:hAnsi="Times New Roman"/>
                  <w:sz w:val="18"/>
                  <w:szCs w:val="18"/>
                  <w:u w:val="single" w:color="auto"/>
                  <w:color w:val="0563C1"/>
                </w:rPr>
                <w:t>.</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Amended and Restated Bylaws of Kodiak Sciences Inc.</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11/16/2018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Common Stock Certificate</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Investors’ Rights Agreement, dated September 8, 2015, as</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amended, by and among the registrant and the investors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and founders named therein</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7"/>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Class B Share Warrant</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9/7/2018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Description of Securities</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3/16/2020</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Registration Rights Agreement, dated March 1, 2021, by</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4.7</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3/1/2021</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and among the registrant and the investors named therein</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Form of Director and Officer Indemnification Agreement</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7"/>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2009 Options and Profits Interest Plan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9/7/2018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2015 Share Incentive Plan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9/7/2018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10.4+</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of Notice of Stock Option Grant and Stock Option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9/7/2018</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Agreement under the 2009 Option and Profits Interest</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Plan</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10.5+</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Notice of Stock Option Grant and Stock Option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10.5</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9/7/2018</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Borders>
              <w:right w:val="single" w:sz="8" w:color="0000FF"/>
            </w:tcBorders>
            <w:gridSpan w:val="5"/>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Agreement under the 2015 Share Incentive Plan</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FF"/>
            </w:tcBorders>
            <w:gridSpan w:val="5"/>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10.6+</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2018 Equity Incentive Plan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10.6</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gridSpan w:val="5"/>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10.7+</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Form of Notice of Stock Option Grant and Stock Option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10.7</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8"/>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Agreement under the 2018 Equity Incentive Plan</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40" w:type="dxa"/>
            <w:vAlign w:val="bottom"/>
            <w:gridSpan w:val="8"/>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10.8+</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Form of Notice of Restricted Stock Unit Grant and Terms</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10.8</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40" w:type="dxa"/>
            <w:vAlign w:val="bottom"/>
            <w:gridSpan w:val="8"/>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and Conditions of Restricted Stock Unit Grant under the</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40" w:type="dxa"/>
            <w:vAlign w:val="bottom"/>
            <w:gridSpan w:val="8"/>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16"/>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2018 Equity Incentive Plan</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gridSpan w:val="5"/>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317"/>
        </w:trPr>
        <w:tc>
          <w:tcPr>
            <w:tcW w:w="10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5"/>
              </w:rPr>
              <w:t>10.9+</w:t>
            </w:r>
          </w:p>
        </w:tc>
        <w:tc>
          <w:tcPr>
            <w:tcW w:w="140" w:type="dxa"/>
            <w:vAlign w:val="bottom"/>
          </w:tcPr>
          <w:p>
            <w:pPr>
              <w:spacing w:after="0"/>
              <w:rPr>
                <w:sz w:val="24"/>
                <w:szCs w:val="24"/>
                <w:color w:val="auto"/>
              </w:rPr>
            </w:pPr>
          </w:p>
        </w:tc>
        <w:tc>
          <w:tcPr>
            <w:tcW w:w="4200" w:type="dxa"/>
            <w:vAlign w:val="bottom"/>
            <w:gridSpan w:val="16"/>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2018 Employee Stock Purchase Plan</w:t>
              </w:r>
            </w:hyperlink>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10.9</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9/24/2018</w:t>
            </w:r>
          </w:p>
        </w:tc>
      </w:tr>
      <w:tr>
        <w:trPr>
          <w:trHeight w:val="669"/>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75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3"/>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42"/>
        </w:trPr>
        <w:tc>
          <w:tcPr>
            <w:tcW w:w="108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27"/>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06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2"/>
                <w:szCs w:val="12"/>
                <w:color w:val="auto"/>
              </w:rPr>
            </w:pPr>
          </w:p>
        </w:tc>
        <w:tc>
          <w:tcPr>
            <w:tcW w:w="10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2"/>
                <w:szCs w:val="12"/>
                <w:color w:val="auto"/>
              </w:rPr>
            </w:pPr>
          </w:p>
        </w:tc>
        <w:tc>
          <w:tcPr>
            <w:tcW w:w="15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9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of Subscription Agreement under the 2018</w:t>
              </w:r>
            </w:hyperlink>
          </w:p>
        </w:tc>
        <w:tc>
          <w:tcPr>
            <w:tcW w:w="66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10.10</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9/24/2018</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331">
              <w:r>
                <w:rPr>
                  <w:rFonts w:ascii="Times New Roman" w:cs="Times New Roman" w:eastAsia="Times New Roman" w:hAnsi="Times New Roman"/>
                  <w:sz w:val="18"/>
                  <w:szCs w:val="18"/>
                  <w:color w:val="0000FF"/>
                  <w:w w:val="98"/>
                </w:rPr>
                <w:t>Employee Stock Purchase Plan</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21"/>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Executive Employment Agreement, effective as of</w:t>
              </w:r>
            </w:hyperlink>
          </w:p>
        </w:tc>
        <w:tc>
          <w:tcPr>
            <w:tcW w:w="52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10.11</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9/24/2018</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September 6, 2018, between the Registrant and Victor</w:t>
              </w:r>
            </w:hyperlink>
          </w:p>
        </w:tc>
        <w:tc>
          <w:tcPr>
            <w:tcW w:w="2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332">
              <w:r>
                <w:rPr>
                  <w:rFonts w:ascii="Times New Roman" w:cs="Times New Roman" w:eastAsia="Times New Roman" w:hAnsi="Times New Roman"/>
                  <w:sz w:val="18"/>
                  <w:szCs w:val="18"/>
                  <w:color w:val="0000FF"/>
                  <w:w w:val="96"/>
                </w:rPr>
                <w:t>Perlroth</w:t>
              </w:r>
            </w:hyperlink>
          </w:p>
        </w:tc>
        <w:tc>
          <w:tcPr>
            <w:tcW w:w="3620" w:type="dxa"/>
            <w:vAlign w:val="bottom"/>
            <w:gridSpan w:val="28"/>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Amended Executive Employment Agreement, effective</w:t>
              </w:r>
            </w:hyperlink>
          </w:p>
        </w:tc>
        <w:tc>
          <w:tcPr>
            <w:tcW w:w="1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9/24/2018</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as of September 6, 2018, between the Registrant and John</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Borgeson</w:t>
              </w:r>
            </w:hyperlink>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30"/>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Executive Incentive Compensation Plan</w:t>
              </w:r>
            </w:hyperlink>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333-227237</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10.15</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9/24/2018</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Funding Agreement, dated as of December 1, 2019,</w:t>
              </w:r>
            </w:hyperlink>
          </w:p>
        </w:tc>
        <w:tc>
          <w:tcPr>
            <w:tcW w:w="4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12/2/2019</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between Kodiak Sciences Inc., Kodiak Sciences GmbH</w:t>
              </w:r>
            </w:hyperlink>
          </w:p>
        </w:tc>
        <w:tc>
          <w:tcPr>
            <w:tcW w:w="1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and Baker Bros. Advisors, LP</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23"/>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Lease Agreement for 1200 Page Mill Road, Building 3,</w:t>
              </w:r>
            </w:hyperlink>
          </w:p>
        </w:tc>
        <w:tc>
          <w:tcPr>
            <w:tcW w:w="1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001-38682</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8/10/2020</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by and between the Registrant and 1050 Page Mill Road</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Property, LLC, dated June 19, 2020</w:t>
              </w:r>
            </w:hyperlink>
          </w:p>
        </w:tc>
        <w:tc>
          <w:tcPr>
            <w:tcW w:w="20" w:type="dxa"/>
            <w:vAlign w:val="bottom"/>
            <w:tcBorders>
              <w:bottom w:val="single" w:sz="8" w:color="0000EE"/>
            </w:tcBorders>
          </w:tcPr>
          <w:p>
            <w:pPr>
              <w:spacing w:after="0"/>
              <w:rPr>
                <w:sz w:val="17"/>
                <w:szCs w:val="17"/>
                <w:color w:val="auto"/>
              </w:rPr>
            </w:pPr>
          </w:p>
        </w:tc>
        <w:tc>
          <w:tcPr>
            <w:tcW w:w="1600" w:type="dxa"/>
            <w:vAlign w:val="bottom"/>
            <w:gridSpan w:val="19"/>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Lease Agreement for 1250 Page Mill Road, Building 4,</w:t>
              </w:r>
            </w:hyperlink>
          </w:p>
        </w:tc>
        <w:tc>
          <w:tcPr>
            <w:tcW w:w="1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001-38682</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8/10/2020</w:t>
            </w: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by and between the Registrant and 1050 Page Mill Road</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Property, LLC, dated June 19, 2020</w:t>
              </w:r>
            </w:hyperlink>
          </w:p>
        </w:tc>
        <w:tc>
          <w:tcPr>
            <w:tcW w:w="20" w:type="dxa"/>
            <w:vAlign w:val="bottom"/>
            <w:tcBorders>
              <w:bottom w:val="single" w:sz="8" w:color="0000EE"/>
            </w:tcBorders>
          </w:tcPr>
          <w:p>
            <w:pPr>
              <w:spacing w:after="0"/>
              <w:rPr>
                <w:sz w:val="17"/>
                <w:szCs w:val="17"/>
                <w:color w:val="auto"/>
              </w:rPr>
            </w:pPr>
          </w:p>
        </w:tc>
        <w:tc>
          <w:tcPr>
            <w:tcW w:w="1600" w:type="dxa"/>
            <w:vAlign w:val="bottom"/>
            <w:gridSpan w:val="19"/>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30"/>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Letter Agreement, dated July 22, 2021</w:t>
              </w:r>
            </w:hyperlink>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7/23/2021</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2021 Long-Term Performance Incentive Plan</w:t>
              </w:r>
            </w:hyperlink>
          </w:p>
        </w:tc>
        <w:tc>
          <w:tcPr>
            <w:tcW w:w="920" w:type="dxa"/>
            <w:vAlign w:val="bottom"/>
            <w:gridSpan w:val="15"/>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001-38682</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11/9/2021</w:t>
            </w: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Kodiak Sciences Inc. Insider Trading Policy</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Subsidiaries of the Company</w:t>
            </w:r>
          </w:p>
        </w:tc>
        <w:tc>
          <w:tcPr>
            <w:tcW w:w="20" w:type="dxa"/>
            <w:vAlign w:val="bottom"/>
            <w:tcBorders>
              <w:top w:val="single" w:sz="8" w:color="0000FF"/>
              <w:bottom w:val="single" w:sz="8" w:color="0000EE"/>
            </w:tcBorders>
          </w:tcPr>
          <w:p>
            <w:pPr>
              <w:spacing w:after="0"/>
              <w:rPr>
                <w:sz w:val="24"/>
                <w:szCs w:val="24"/>
                <w:color w:val="auto"/>
              </w:rPr>
            </w:pPr>
          </w:p>
        </w:tc>
        <w:tc>
          <w:tcPr>
            <w:tcW w:w="1080" w:type="dxa"/>
            <w:vAlign w:val="bottom"/>
            <w:tcBorders>
              <w:top w:val="single" w:sz="8" w:color="0000FF"/>
            </w:tcBorders>
            <w:gridSpan w:val="9"/>
          </w:tcPr>
          <w:p>
            <w:pPr>
              <w:spacing w:after="0"/>
              <w:rPr>
                <w:sz w:val="24"/>
                <w:szCs w:val="24"/>
                <w:color w:val="auto"/>
              </w:rPr>
            </w:pPr>
          </w:p>
        </w:tc>
        <w:tc>
          <w:tcPr>
            <w:tcW w:w="1020" w:type="dxa"/>
            <w:vAlign w:val="bottom"/>
            <w:gridSpan w:val="16"/>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2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Power of Attorney (included in signature page)</w:t>
            </w:r>
          </w:p>
        </w:tc>
        <w:tc>
          <w:tcPr>
            <w:tcW w:w="20" w:type="dxa"/>
            <w:vAlign w:val="bottom"/>
            <w:tcBorders>
              <w:bottom w:val="single" w:sz="8" w:color="0000EE"/>
            </w:tcBorders>
          </w:tcPr>
          <w:p>
            <w:pPr>
              <w:spacing w:after="0"/>
              <w:rPr>
                <w:sz w:val="24"/>
                <w:szCs w:val="24"/>
                <w:color w:val="auto"/>
              </w:rPr>
            </w:pPr>
          </w:p>
        </w:tc>
        <w:tc>
          <w:tcPr>
            <w:tcW w:w="78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48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20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69"/>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3"/>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209"/>
        </w:trPr>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10"/>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8"/>
                <w:szCs w:val="18"/>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91"/>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56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Rules 13a-14(a) and 15d-14(a) under</w:t>
            </w:r>
          </w:p>
        </w:tc>
        <w:tc>
          <w:tcPr>
            <w:tcW w:w="1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720" w:type="dxa"/>
            <w:vAlign w:val="bottom"/>
            <w:gridSpan w:val="8"/>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w:t>
            </w:r>
          </w:p>
        </w:tc>
        <w:tc>
          <w:tcPr>
            <w:tcW w:w="40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28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18 U.S.C. Section 1350, as Adopted Pursuant to Section</w:t>
            </w:r>
          </w:p>
        </w:tc>
        <w:tc>
          <w:tcPr>
            <w:tcW w:w="22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56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w:t>
            </w:r>
          </w:p>
        </w:tc>
        <w:tc>
          <w:tcPr>
            <w:tcW w:w="24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 Act of</w:t>
            </w:r>
          </w:p>
        </w:tc>
        <w:tc>
          <w:tcPr>
            <w:tcW w:w="40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318"/>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2"/>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Incentive Compensation Recoupment Policy</w:t>
              </w:r>
            </w:hyperlink>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001-38682</w:t>
            </w:r>
          </w:p>
        </w:tc>
        <w:tc>
          <w:tcPr>
            <w:tcW w:w="124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97.1</w:t>
            </w:r>
          </w:p>
        </w:tc>
        <w:tc>
          <w:tcPr>
            <w:tcW w:w="16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3/28/2024</w:t>
            </w:r>
          </w:p>
        </w:tc>
      </w:tr>
      <w:tr>
        <w:trPr>
          <w:trHeight w:val="45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0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Linkbases Document</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103" w:lineRule="exact"/>
        <w:rPr>
          <w:sz w:val="20"/>
          <w:szCs w:val="20"/>
          <w:color w:val="auto"/>
        </w:rPr>
      </w:pPr>
    </w:p>
    <w:p>
      <w:pPr>
        <w:ind w:left="1200" w:right="6220" w:hanging="1179"/>
        <w:spacing w:after="0" w:line="282" w:lineRule="auto"/>
        <w:tabs>
          <w:tab w:leader="none" w:pos="12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KODIAK SCIENCES INC.</w:t>
      </w:r>
    </w:p>
    <w:p>
      <w:pPr>
        <w:spacing w:after="0" w:line="225" w:lineRule="exact"/>
        <w:rPr>
          <w:sz w:val="20"/>
          <w:szCs w:val="20"/>
          <w:color w:val="auto"/>
        </w:rPr>
      </w:pPr>
    </w:p>
    <w:p>
      <w:pPr>
        <w:ind w:left="1760"/>
        <w:spacing w:after="0"/>
        <w:tabs>
          <w:tab w:leader="none" w:pos="51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4445</wp:posOffset>
            </wp:positionV>
            <wp:extent cx="35572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ind w:left="760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8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26"/>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Victor Perlroth</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20" w:type="dxa"/>
            <w:vAlign w:val="bottom"/>
          </w:tcPr>
          <w:p>
            <w:pPr>
              <w:spacing w:after="0"/>
              <w:rPr>
                <w:sz w:val="24"/>
                <w:szCs w:val="24"/>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Victor Perlroth, M.D.</w:t>
            </w:r>
          </w:p>
        </w:tc>
        <w:tc>
          <w:tcPr>
            <w:tcW w:w="120" w:type="dxa"/>
            <w:vAlign w:val="bottom"/>
          </w:tcPr>
          <w:p>
            <w:pPr>
              <w:spacing w:after="0"/>
              <w:rPr>
                <w:sz w:val="7"/>
                <w:szCs w:val="7"/>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Borgeson</w:t>
            </w:r>
          </w:p>
        </w:tc>
        <w:tc>
          <w:tcPr>
            <w:tcW w:w="1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Borgeson</w:t>
            </w:r>
          </w:p>
        </w:tc>
        <w:tc>
          <w:tcPr>
            <w:tcW w:w="1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Felix J. Baker</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Felix J. Baker, Ph.D.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Bancroft</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Charles Bancroft</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Bassil I. Dahiyat</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S. Levy</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Richard S. Levy, M.D.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Profusek</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Robert A. Profusek, J.D.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Taiyin Yang</w:t>
            </w:r>
          </w:p>
        </w:tc>
        <w:tc>
          <w:tcPr>
            <w:tcW w:w="120" w:type="dxa"/>
            <w:vAlign w:val="bottom"/>
          </w:tcPr>
          <w:p>
            <w:pPr>
              <w:spacing w:after="0"/>
              <w:rPr>
                <w:sz w:val="24"/>
                <w:szCs w:val="24"/>
                <w:color w:val="auto"/>
              </w:rPr>
            </w:pP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88"/>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Taiyin Yang, Ph.D.</w:t>
            </w:r>
          </w:p>
        </w:tc>
        <w:tc>
          <w:tcPr>
            <w:tcW w:w="12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0"/>
        </w:trPr>
        <w:tc>
          <w:tcPr>
            <w:tcW w:w="3380" w:type="dxa"/>
            <w:vAlign w:val="bottom"/>
          </w:tcPr>
          <w:p>
            <w:pPr>
              <w:spacing w:after="0"/>
              <w:rPr>
                <w:sz w:val="24"/>
                <w:szCs w:val="24"/>
                <w:color w:val="auto"/>
              </w:rPr>
            </w:pPr>
          </w:p>
        </w:tc>
        <w:tc>
          <w:tcPr>
            <w:tcW w:w="4940" w:type="dxa"/>
            <w:vAlign w:val="bottom"/>
            <w:gridSpan w:val="2"/>
          </w:tcPr>
          <w:p>
            <w:pPr>
              <w:jc w:val="right"/>
              <w:ind w:right="247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8" w:name="page119"/>
    <w:bookmarkEnd w:id="118"/>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1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KODIAK SCIENCES INC. INSIDER TRADING</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POLICY</w:t>
      </w:r>
    </w:p>
    <w:p>
      <w:pPr>
        <w:spacing w:after="0" w:line="200" w:lineRule="exact"/>
        <w:rPr>
          <w:sz w:val="20"/>
          <w:szCs w:val="20"/>
          <w:color w:val="auto"/>
        </w:rPr>
      </w:pPr>
    </w:p>
    <w:p>
      <w:pPr>
        <w:spacing w:after="0" w:line="312"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POLICY OVERVIEW</w:t>
      </w:r>
    </w:p>
    <w:p>
      <w:pPr>
        <w:spacing w:after="0" w:line="198" w:lineRule="exact"/>
        <w:rPr>
          <w:sz w:val="20"/>
          <w:szCs w:val="20"/>
          <w:color w:val="auto"/>
        </w:rPr>
      </w:pPr>
    </w:p>
    <w:p>
      <w:pPr>
        <w:jc w:val="both"/>
        <w:ind w:left="20" w:right="300" w:firstLine="749"/>
        <w:spacing w:after="0" w:line="266" w:lineRule="auto"/>
        <w:rPr>
          <w:sz w:val="20"/>
          <w:szCs w:val="20"/>
          <w:color w:val="auto"/>
        </w:rPr>
      </w:pPr>
      <w:r>
        <w:rPr>
          <w:rFonts w:ascii="Times New Roman" w:cs="Times New Roman" w:eastAsia="Times New Roman" w:hAnsi="Times New Roman"/>
          <w:sz w:val="18"/>
          <w:szCs w:val="18"/>
          <w:color w:val="auto"/>
        </w:rPr>
        <w:t>The purpose of this Insider Trading Policy (“Policy”) is to ensure that all directors, officers, employees, consultants, contractors and agents (e.g. auditors, consultants, board observers and attorneys) of Kodiak Sciences Inc. and its subsidiaries (“Company”) trade and transact the Company’s securities lawfully and ethically.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Subject to the limited exceptions described herein, this Policy prohibits any director, officer, employee, consultant, contractor and agent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from:</w:t>
      </w:r>
    </w:p>
    <w:p>
      <w:pPr>
        <w:spacing w:after="0" w:line="229" w:lineRule="exact"/>
        <w:rPr>
          <w:sz w:val="20"/>
          <w:szCs w:val="20"/>
          <w:color w:val="auto"/>
        </w:rPr>
      </w:pPr>
    </w:p>
    <w:p>
      <w:pPr>
        <w:ind w:left="1480" w:hanging="724"/>
        <w:spacing w:after="0"/>
        <w:tabs>
          <w:tab w:leader="none" w:pos="14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disclosing nonpublic information of the Company or of any third party to whom the Company owes a duty of confidentiality;</w:t>
      </w:r>
    </w:p>
    <w:p>
      <w:pPr>
        <w:spacing w:after="0" w:line="224" w:lineRule="exact"/>
        <w:rPr>
          <w:rFonts w:ascii="Times New Roman" w:cs="Times New Roman" w:eastAsia="Times New Roman" w:hAnsi="Times New Roman"/>
          <w:sz w:val="22"/>
          <w:szCs w:val="22"/>
          <w:color w:val="auto"/>
        </w:rPr>
      </w:pPr>
    </w:p>
    <w:p>
      <w:pPr>
        <w:ind w:left="1480" w:right="360" w:hanging="724"/>
        <w:spacing w:after="0" w:line="234" w:lineRule="auto"/>
        <w:tabs>
          <w:tab w:leader="none" w:pos="14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engaging in transactions in the Company’s securities or the securities of another company while in possession of material, nonpublic information regarding the issuer of the security or engaging in other actions to take advantage of that information; and</w:t>
      </w:r>
    </w:p>
    <w:p>
      <w:pPr>
        <w:spacing w:after="0" w:line="240" w:lineRule="exact"/>
        <w:rPr>
          <w:rFonts w:ascii="Times New Roman" w:cs="Times New Roman" w:eastAsia="Times New Roman" w:hAnsi="Times New Roman"/>
          <w:sz w:val="22"/>
          <w:szCs w:val="22"/>
          <w:color w:val="auto"/>
        </w:rPr>
      </w:pPr>
    </w:p>
    <w:p>
      <w:pPr>
        <w:ind w:left="1460" w:right="640" w:hanging="704"/>
        <w:spacing w:after="0" w:line="234" w:lineRule="auto"/>
        <w:tabs>
          <w:tab w:leader="none" w:pos="1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engaging in certain risky securities transactions or transactions that could lead to a violation of the insider-trading prohibition of this Policy.</w:t>
      </w:r>
    </w:p>
    <w:p>
      <w:pPr>
        <w:spacing w:after="0" w:line="213" w:lineRule="exact"/>
        <w:rPr>
          <w:sz w:val="20"/>
          <w:szCs w:val="20"/>
          <w:color w:val="auto"/>
        </w:rPr>
      </w:pPr>
    </w:p>
    <w:p>
      <w:pPr>
        <w:ind w:left="20" w:right="240" w:firstLine="749"/>
        <w:spacing w:after="0" w:line="282" w:lineRule="auto"/>
        <w:rPr>
          <w:sz w:val="20"/>
          <w:szCs w:val="20"/>
          <w:color w:val="auto"/>
        </w:rPr>
      </w:pPr>
      <w:r>
        <w:rPr>
          <w:rFonts w:ascii="Times New Roman" w:cs="Times New Roman" w:eastAsia="Times New Roman" w:hAnsi="Times New Roman"/>
          <w:sz w:val="18"/>
          <w:szCs w:val="18"/>
          <w:color w:val="auto"/>
        </w:rPr>
        <w:t>Your compliance with this Policy is at all times a condition of your continuing employment or of your ongoing service-provider relationship with the Company. Violating this Policy could also expose you to civil and criminal penalties under federal and state laws.</w:t>
      </w:r>
    </w:p>
    <w:p>
      <w:pPr>
        <w:spacing w:after="0" w:line="170"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KEY DEFINITIONS</w:t>
      </w:r>
    </w:p>
    <w:p>
      <w:pPr>
        <w:spacing w:after="0" w:line="220" w:lineRule="exact"/>
        <w:rPr>
          <w:sz w:val="20"/>
          <w:szCs w:val="20"/>
          <w:color w:val="auto"/>
        </w:rPr>
      </w:pPr>
    </w:p>
    <w:p>
      <w:pPr>
        <w:ind w:left="1500" w:hanging="744"/>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Nonpublic Information</w:t>
      </w:r>
    </w:p>
    <w:p>
      <w:pPr>
        <w:spacing w:after="0" w:line="198" w:lineRule="exact"/>
        <w:rPr>
          <w:sz w:val="20"/>
          <w:szCs w:val="20"/>
          <w:color w:val="auto"/>
        </w:rPr>
      </w:pPr>
    </w:p>
    <w:p>
      <w:pPr>
        <w:ind w:left="20" w:right="140" w:firstLine="749"/>
        <w:spacing w:after="0" w:line="282" w:lineRule="auto"/>
        <w:rPr>
          <w:sz w:val="20"/>
          <w:szCs w:val="20"/>
          <w:color w:val="auto"/>
        </w:rPr>
      </w:pPr>
      <w:r>
        <w:rPr>
          <w:rFonts w:ascii="Times New Roman" w:cs="Times New Roman" w:eastAsia="Times New Roman" w:hAnsi="Times New Roman"/>
          <w:sz w:val="18"/>
          <w:szCs w:val="18"/>
          <w:color w:val="auto"/>
        </w:rPr>
        <w:t>Information is “nonpublic” if the information has not been broadly disseminated to the public for a sufficient period of time to be reflected in the price of Company’s stock or other publicly traded securities.</w:t>
      </w:r>
    </w:p>
    <w:p>
      <w:pPr>
        <w:spacing w:after="0" w:line="173" w:lineRule="exact"/>
        <w:rPr>
          <w:sz w:val="20"/>
          <w:szCs w:val="20"/>
          <w:color w:val="auto"/>
        </w:rPr>
      </w:pPr>
    </w:p>
    <w:p>
      <w:pPr>
        <w:ind w:left="20" w:right="4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most circumstances you should consider information nonpublic until at least one </w:t>
      </w:r>
      <w:r>
        <w:rPr>
          <w:rFonts w:ascii="Times New Roman" w:cs="Times New Roman" w:eastAsia="Times New Roman" w:hAnsi="Times New Roman"/>
          <w:sz w:val="18"/>
          <w:szCs w:val="18"/>
          <w:i w:val="1"/>
          <w:iCs w:val="1"/>
          <w:color w:val="auto"/>
        </w:rPr>
        <w:t>full trading day</w:t>
      </w:r>
      <w:r>
        <w:rPr>
          <w:rFonts w:ascii="Times New Roman" w:cs="Times New Roman" w:eastAsia="Times New Roman" w:hAnsi="Times New Roman"/>
          <w:sz w:val="18"/>
          <w:szCs w:val="18"/>
          <w:color w:val="auto"/>
        </w:rPr>
        <w:t xml:space="preserve"> has elapsed after the information is broadly distributed to the public in a press release, a public filing with the SEC, a pre-announced public webcast or another broad, non-exclusionary form of public communication.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is a day on which U.S. national stock exchanges are open for trading. A full trading day has elapsed when, after the public disclosure, trading in the relevant security has opened and then closed.</w:t>
      </w:r>
    </w:p>
    <w:p>
      <w:pPr>
        <w:spacing w:after="0" w:line="33" w:lineRule="exact"/>
        <w:rPr>
          <w:sz w:val="20"/>
          <w:szCs w:val="20"/>
          <w:color w:val="auto"/>
        </w:rPr>
      </w:pPr>
    </w:p>
    <w:p>
      <w:pPr>
        <w:ind w:left="20" w:right="460" w:firstLine="749"/>
        <w:spacing w:after="0" w:line="282" w:lineRule="auto"/>
        <w:rPr>
          <w:sz w:val="20"/>
          <w:szCs w:val="20"/>
          <w:color w:val="auto"/>
        </w:rPr>
      </w:pPr>
      <w:r>
        <w:rPr>
          <w:rFonts w:ascii="Times New Roman" w:cs="Times New Roman" w:eastAsia="Times New Roman" w:hAnsi="Times New Roman"/>
          <w:sz w:val="18"/>
          <w:szCs w:val="18"/>
          <w:color w:val="auto"/>
        </w:rPr>
        <w:t>Unless you know for certain that material information was publicly disseminated, you should assume the information is nonpublic. If you have any questions or uncertainty as to whether information is nonpublic then consult with the Company’s Compliance Officer.</w:t>
      </w:r>
    </w:p>
    <w:p>
      <w:pPr>
        <w:spacing w:after="0" w:line="170" w:lineRule="exact"/>
        <w:rPr>
          <w:sz w:val="20"/>
          <w:szCs w:val="20"/>
          <w:color w:val="auto"/>
        </w:rPr>
      </w:pPr>
    </w:p>
    <w:p>
      <w:pPr>
        <w:ind w:left="1500" w:hanging="744"/>
        <w:spacing w:after="0"/>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Material Information</w:t>
      </w:r>
    </w:p>
    <w:p>
      <w:pPr>
        <w:spacing w:after="0" w:line="211" w:lineRule="exact"/>
        <w:rPr>
          <w:sz w:val="20"/>
          <w:szCs w:val="20"/>
          <w:color w:val="auto"/>
        </w:rPr>
      </w:pPr>
    </w:p>
    <w:p>
      <w:pPr>
        <w:ind w:left="20" w:right="200" w:firstLine="749"/>
        <w:spacing w:after="0" w:line="258" w:lineRule="auto"/>
        <w:rPr>
          <w:sz w:val="20"/>
          <w:szCs w:val="20"/>
          <w:color w:val="auto"/>
        </w:rPr>
      </w:pPr>
      <w:r>
        <w:rPr>
          <w:rFonts w:ascii="Times New Roman" w:cs="Times New Roman" w:eastAsia="Times New Roman" w:hAnsi="Times New Roman"/>
          <w:sz w:val="18"/>
          <w:szCs w:val="18"/>
          <w:color w:val="auto"/>
        </w:rPr>
        <w:t>Information is material if there is a substantial likelihood that a reasonable investor would consider the information important in deciding whether to buy, hold or sell securities or would view the information, whether positive or negative, as significantly altering the total mix of information in the marketplace about the issuer of the security. In general, any information that could reasonably be expected to affect the market price of a security is likely to be material. If you have any questions or uncertainty as to whether information is material, then consult with the Company’s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346710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19" w:name="page120"/>
    <w:bookmarkEnd w:id="119"/>
    <w:p>
      <w:pPr>
        <w:spacing w:after="0" w:line="3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Material information includes but is not limited to:</w:t>
      </w:r>
    </w:p>
    <w:p>
      <w:pPr>
        <w:spacing w:after="0" w:line="266" w:lineRule="exact"/>
        <w:rPr>
          <w:sz w:val="20"/>
          <w:szCs w:val="20"/>
          <w:color w:val="auto"/>
        </w:rPr>
      </w:pPr>
    </w:p>
    <w:p>
      <w:pPr>
        <w:ind w:left="1480" w:right="140" w:hanging="744"/>
        <w:spacing w:after="0" w:line="234" w:lineRule="auto"/>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financial results or condition; earnings preannouncements, guidance, projections or forecasts, particularly if inconsistent with the Company’s guidance or the investment- community’s expectations;</w:t>
      </w:r>
    </w:p>
    <w:p>
      <w:pPr>
        <w:spacing w:after="0" w:line="207"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business plans or budgets;</w:t>
      </w:r>
    </w:p>
    <w:p>
      <w:pPr>
        <w:spacing w:after="0" w:line="224" w:lineRule="exact"/>
        <w:rPr>
          <w:rFonts w:ascii="Times New Roman" w:cs="Times New Roman" w:eastAsia="Times New Roman" w:hAnsi="Times New Roman"/>
          <w:sz w:val="22"/>
          <w:szCs w:val="22"/>
          <w:color w:val="auto"/>
        </w:rPr>
      </w:pPr>
    </w:p>
    <w:p>
      <w:pPr>
        <w:ind w:left="1480" w:right="120" w:hanging="744"/>
        <w:spacing w:after="0" w:line="234" w:lineRule="auto"/>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business developments like executing, modifying or terminating important agreements or significant orders from or to customers, suppliers, manufacturers or other business partners;</w:t>
      </w:r>
    </w:p>
    <w:p>
      <w:pPr>
        <w:spacing w:after="0" w:line="221"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introductions, modifications, defects or recalls or significant price changes or other key product announcements;</w:t>
      </w:r>
    </w:p>
    <w:p>
      <w:pPr>
        <w:spacing w:after="0" w:line="206"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results in research and development or intellectual property;</w:t>
      </w:r>
    </w:p>
    <w:p>
      <w:pPr>
        <w:spacing w:after="0" w:line="206" w:lineRule="exact"/>
        <w:rPr>
          <w:rFonts w:ascii="Times New Roman" w:cs="Times New Roman" w:eastAsia="Times New Roman" w:hAnsi="Times New Roman"/>
          <w:sz w:val="22"/>
          <w:szCs w:val="22"/>
          <w:color w:val="auto"/>
        </w:rPr>
      </w:pPr>
    </w:p>
    <w:p>
      <w:pPr>
        <w:ind w:left="1460" w:hanging="724"/>
        <w:spacing w:after="0"/>
        <w:tabs>
          <w:tab w:leader="none" w:pos="14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legal or regulatory developments, whether actual or threatened, including litigation or resolving litigation;</w:t>
      </w:r>
    </w:p>
    <w:p>
      <w:pPr>
        <w:spacing w:after="0" w:line="224" w:lineRule="exact"/>
        <w:rPr>
          <w:rFonts w:ascii="Times New Roman" w:cs="Times New Roman" w:eastAsia="Times New Roman" w:hAnsi="Times New Roman"/>
          <w:sz w:val="22"/>
          <w:szCs w:val="22"/>
          <w:color w:val="auto"/>
        </w:rPr>
      </w:pPr>
    </w:p>
    <w:p>
      <w:pPr>
        <w:ind w:left="1460" w:right="720" w:hanging="724"/>
        <w:spacing w:after="0" w:line="234" w:lineRule="auto"/>
        <w:tabs>
          <w:tab w:leader="none" w:pos="14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corporate events such as a pending or proposed merger, joint venture or tender offer; a significant investment; acquiring or disposing of a significant business or asset; or a change in control;</w:t>
      </w:r>
    </w:p>
    <w:p>
      <w:pPr>
        <w:spacing w:after="0" w:line="221"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major personnel changes, such as changes in senior management or employee layoffs;</w:t>
      </w:r>
    </w:p>
    <w:p>
      <w:pPr>
        <w:spacing w:after="0" w:line="206"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restating financial results, material impairments, write-offs or restructurings;</w:t>
      </w:r>
    </w:p>
    <w:p>
      <w:pPr>
        <w:spacing w:after="0" w:line="224" w:lineRule="exact"/>
        <w:rPr>
          <w:rFonts w:ascii="Times New Roman" w:cs="Times New Roman" w:eastAsia="Times New Roman" w:hAnsi="Times New Roman"/>
          <w:sz w:val="22"/>
          <w:szCs w:val="22"/>
          <w:color w:val="auto"/>
        </w:rPr>
      </w:pPr>
    </w:p>
    <w:p>
      <w:pPr>
        <w:ind w:left="1460" w:right="500" w:hanging="724"/>
        <w:spacing w:after="0" w:line="234" w:lineRule="auto"/>
        <w:tabs>
          <w:tab w:leader="none" w:pos="14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or disputes with the Company’s independent auditors, or notification that the Company may no longer rely on an audit report;</w:t>
      </w:r>
    </w:p>
    <w:p>
      <w:pPr>
        <w:spacing w:after="0" w:line="207"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new financial obligations;</w:t>
      </w:r>
    </w:p>
    <w:p>
      <w:pPr>
        <w:spacing w:after="0" w:line="71"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significant default under, or acceleration of, a financial obligation;</w:t>
      </w:r>
    </w:p>
    <w:p>
      <w:pPr>
        <w:spacing w:after="0" w:line="206"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impending bankruptcy or financial liquidity problems;</w:t>
      </w:r>
    </w:p>
    <w:p>
      <w:pPr>
        <w:spacing w:after="0" w:line="224" w:lineRule="exact"/>
        <w:rPr>
          <w:rFonts w:ascii="Times New Roman" w:cs="Times New Roman" w:eastAsia="Times New Roman" w:hAnsi="Times New Roman"/>
          <w:sz w:val="22"/>
          <w:szCs w:val="22"/>
          <w:color w:val="auto"/>
        </w:rPr>
      </w:pPr>
    </w:p>
    <w:p>
      <w:pPr>
        <w:jc w:val="both"/>
        <w:ind w:left="1440" w:right="480" w:hanging="704"/>
        <w:spacing w:after="0" w:line="239" w:lineRule="auto"/>
        <w:tabs>
          <w:tab w:leader="none" w:pos="1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events involving the Company’s securities, including a call for redemption; adopting a stock repurchase program; option repricings; stock splits; changes in dividend policies; public or private securities offerings; modifying security-holder rights; or a notice of delisting;</w:t>
      </w:r>
    </w:p>
    <w:p>
      <w:pPr>
        <w:spacing w:after="0" w:line="208"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special blackout period; and</w:t>
      </w:r>
    </w:p>
    <w:p>
      <w:pPr>
        <w:spacing w:after="0" w:line="206"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updates regarding any prior material disclosure that has materially changed.</w:t>
      </w:r>
    </w:p>
    <w:p>
      <w:pPr>
        <w:spacing w:after="0" w:line="206" w:lineRule="exact"/>
        <w:rPr>
          <w:sz w:val="20"/>
          <w:szCs w:val="20"/>
          <w:color w:val="auto"/>
        </w:rPr>
      </w:pPr>
    </w:p>
    <w:p>
      <w:pPr>
        <w:ind w:left="1480" w:hanging="744"/>
        <w:spacing w:after="0"/>
        <w:tabs>
          <w:tab w:leader="none" w:pos="14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Insider</w:t>
      </w:r>
    </w:p>
    <w:p>
      <w:pPr>
        <w:spacing w:after="0" w:line="21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An individual is an “Insider” if he or she possesses material, nonpublic information about the Company or another company whose securities are publicly traded. Insiders may include Company directors, officers, employees, consultants, contractors and agents.</w:t>
      </w:r>
    </w:p>
    <w:p>
      <w:pPr>
        <w:spacing w:after="0" w:line="183" w:lineRule="exact"/>
        <w:rPr>
          <w:sz w:val="20"/>
          <w:szCs w:val="20"/>
          <w:color w:val="auto"/>
        </w:rPr>
      </w:pPr>
    </w:p>
    <w:p>
      <w:pPr>
        <w:ind w:left="1480" w:hanging="744"/>
        <w:spacing w:after="0"/>
        <w:tabs>
          <w:tab w:leader="none" w:pos="14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Related Party</w:t>
      </w:r>
    </w:p>
    <w:p>
      <w:pPr>
        <w:spacing w:after="0" w:line="19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References to an individual include members of his or her immediate family, persons with whom that individual shares a household, his or her economic dependents, and any other individuals or entities whose transactions in securities he or she influences, directs or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187325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60" w:top="1440" w:right="539" w:bottom="1440" w:gutter="0" w:footer="0" w:header="0"/>
        </w:sectPr>
      </w:pPr>
    </w:p>
    <w:bookmarkStart w:id="120" w:name="page121"/>
    <w:bookmarkEnd w:id="120"/>
    <w:p>
      <w:pPr>
        <w:spacing w:after="0" w:line="200" w:lineRule="exact"/>
        <w:rPr>
          <w:sz w:val="20"/>
          <w:szCs w:val="20"/>
          <w:color w:val="auto"/>
        </w:rPr>
      </w:pPr>
    </w:p>
    <w:p>
      <w:pPr>
        <w:spacing w:after="0" w:line="353" w:lineRule="exact"/>
        <w:rPr>
          <w:sz w:val="20"/>
          <w:szCs w:val="20"/>
          <w:color w:val="auto"/>
        </w:rPr>
      </w:pPr>
    </w:p>
    <w:p>
      <w:pPr>
        <w:ind w:left="1492" w:hanging="744"/>
        <w:spacing w:after="0"/>
        <w:tabs>
          <w:tab w:leader="none" w:pos="149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Section 16 Reporting Persons</w:t>
      </w:r>
    </w:p>
    <w:p>
      <w:pPr>
        <w:spacing w:after="0" w:line="198" w:lineRule="exact"/>
        <w:rPr>
          <w:sz w:val="20"/>
          <w:szCs w:val="20"/>
          <w:color w:val="auto"/>
        </w:rPr>
      </w:pPr>
    </w:p>
    <w:p>
      <w:pPr>
        <w:ind w:left="12" w:firstLine="749"/>
        <w:spacing w:after="0" w:line="261" w:lineRule="auto"/>
        <w:rPr>
          <w:sz w:val="20"/>
          <w:szCs w:val="20"/>
          <w:color w:val="auto"/>
        </w:rPr>
      </w:pPr>
      <w:r>
        <w:rPr>
          <w:rFonts w:ascii="Times New Roman" w:cs="Times New Roman" w:eastAsia="Times New Roman" w:hAnsi="Times New Roman"/>
          <w:sz w:val="18"/>
          <w:szCs w:val="18"/>
          <w:color w:val="auto"/>
        </w:rPr>
        <w:t xml:space="preserve">Under U.S. federal securities law, corporate directors and certain corporate officers, referred to as “Section 16 reporting persons,” are subject to higher scrutiny for insider trading violations and accordingly are subject to greater regulation. The Company’s Section 16 reporting persons are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 Compliance Officer may amend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from time to time as appropriate to reflect the election of new officers or directors, any change in the responsibilities of officers or other employees and any promotions, demotions, resignations or departures.</w:t>
      </w:r>
    </w:p>
    <w:p>
      <w:pPr>
        <w:spacing w:after="0" w:line="201" w:lineRule="exact"/>
        <w:rPr>
          <w:sz w:val="20"/>
          <w:szCs w:val="20"/>
          <w:color w:val="auto"/>
        </w:rPr>
      </w:pPr>
    </w:p>
    <w:p>
      <w:pPr>
        <w:ind w:left="1492" w:hanging="744"/>
        <w:spacing w:after="0"/>
        <w:tabs>
          <w:tab w:leader="none" w:pos="149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Compliance Officer</w:t>
      </w:r>
    </w:p>
    <w:p>
      <w:pPr>
        <w:spacing w:after="0" w:line="211" w:lineRule="exact"/>
        <w:rPr>
          <w:sz w:val="20"/>
          <w:szCs w:val="20"/>
          <w:color w:val="auto"/>
        </w:rPr>
      </w:pPr>
    </w:p>
    <w:p>
      <w:pPr>
        <w:ind w:left="12" w:right="320" w:firstLine="749"/>
        <w:spacing w:after="0" w:line="282" w:lineRule="auto"/>
        <w:rPr>
          <w:sz w:val="20"/>
          <w:szCs w:val="20"/>
          <w:color w:val="auto"/>
        </w:rPr>
      </w:pPr>
      <w:r>
        <w:rPr>
          <w:rFonts w:ascii="Times New Roman" w:cs="Times New Roman" w:eastAsia="Times New Roman" w:hAnsi="Times New Roman"/>
          <w:sz w:val="18"/>
          <w:szCs w:val="18"/>
          <w:color w:val="auto"/>
        </w:rPr>
        <w:t>For purposes of this Policy, the Company’s Compliance Officer is the Company’s Chief Financial Officer. The Compliance Officer may designate others, from time to time, to assist with the execution of his or her duties under this Policy.</w:t>
      </w:r>
    </w:p>
    <w:p>
      <w:pPr>
        <w:spacing w:after="0" w:line="170" w:lineRule="exact"/>
        <w:rPr>
          <w:sz w:val="20"/>
          <w:szCs w:val="20"/>
          <w:color w:val="auto"/>
        </w:rPr>
      </w:pPr>
    </w:p>
    <w:p>
      <w:pPr>
        <w:ind w:left="752" w:hanging="752"/>
        <w:spacing w:after="0"/>
        <w:tabs>
          <w:tab w:leader="none" w:pos="75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TO WHOM DOES THIS POLICY APPLY?</w:t>
      </w:r>
    </w:p>
    <w:p>
      <w:pPr>
        <w:spacing w:after="0" w:line="211" w:lineRule="exact"/>
        <w:rPr>
          <w:sz w:val="20"/>
          <w:szCs w:val="20"/>
          <w:color w:val="auto"/>
        </w:rPr>
      </w:pPr>
    </w:p>
    <w:p>
      <w:pPr>
        <w:ind w:left="12" w:right="60" w:firstLine="749"/>
        <w:spacing w:after="0" w:line="281" w:lineRule="auto"/>
        <w:rPr>
          <w:sz w:val="20"/>
          <w:szCs w:val="20"/>
          <w:color w:val="auto"/>
        </w:rPr>
      </w:pPr>
      <w:r>
        <w:rPr>
          <w:rFonts w:ascii="Times New Roman" w:cs="Times New Roman" w:eastAsia="Times New Roman" w:hAnsi="Times New Roman"/>
          <w:sz w:val="17"/>
          <w:szCs w:val="17"/>
          <w:color w:val="auto"/>
        </w:rPr>
        <w:t>This Policy applies to all Company directors, officers, employees, consultants, contractors and agents, both inside and outside the United States. This policy does not apply to an entity controlled or affiliated with a person covered under this policy if that entity's principal business is the investment of securities (e.g., an investment fund or partnership) and the entity has established its own insider trading controls and procedures in compliance with applicable securities laws. Every person subject to this Policy is responsible for ensuring that their related parties also comply with it.</w:t>
      </w:r>
    </w:p>
    <w:p>
      <w:pPr>
        <w:spacing w:after="0" w:line="186" w:lineRule="exact"/>
        <w:rPr>
          <w:sz w:val="20"/>
          <w:szCs w:val="20"/>
          <w:color w:val="auto"/>
        </w:rPr>
      </w:pPr>
    </w:p>
    <w:p>
      <w:pPr>
        <w:ind w:left="692" w:hanging="692"/>
        <w:spacing w:after="0"/>
        <w:tabs>
          <w:tab w:leader="none" w:pos="692"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WHAT KINDS OF SECURITIES TRANSACTIONS ARE COVERED BY THIS POLICY?</w:t>
      </w:r>
    </w:p>
    <w:p>
      <w:pPr>
        <w:spacing w:after="0" w:line="198" w:lineRule="exact"/>
        <w:rPr>
          <w:sz w:val="20"/>
          <w:szCs w:val="20"/>
          <w:color w:val="auto"/>
        </w:rPr>
      </w:pPr>
    </w:p>
    <w:p>
      <w:pPr>
        <w:ind w:left="12" w:right="220" w:firstLine="749"/>
        <w:spacing w:after="0" w:line="266" w:lineRule="auto"/>
        <w:rPr>
          <w:sz w:val="20"/>
          <w:szCs w:val="20"/>
          <w:color w:val="auto"/>
        </w:rPr>
      </w:pPr>
      <w:r>
        <w:rPr>
          <w:rFonts w:ascii="Times New Roman" w:cs="Times New Roman" w:eastAsia="Times New Roman" w:hAnsi="Times New Roman"/>
          <w:sz w:val="18"/>
          <w:szCs w:val="18"/>
          <w:color w:val="auto"/>
        </w:rPr>
        <w:t>Except as discussed in Section 10 (Limited Exceptions), this Policy applies to all transactions involving the Company’s securities or other companies’ securities for which you possess material, nonpublic information obtained in the course of your service with the Company. This Policy therefore applies to:</w:t>
      </w:r>
    </w:p>
    <w:p>
      <w:pPr>
        <w:spacing w:after="0" w:line="216" w:lineRule="exact"/>
        <w:rPr>
          <w:sz w:val="20"/>
          <w:szCs w:val="20"/>
          <w:color w:val="auto"/>
        </w:rPr>
      </w:pPr>
    </w:p>
    <w:p>
      <w:pPr>
        <w:ind w:left="1472" w:right="480" w:hanging="724"/>
        <w:spacing w:after="0" w:line="234" w:lineRule="auto"/>
        <w:tabs>
          <w:tab w:leader="none" w:pos="147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purchases, sales and other transfers of equity securities (including common stock, options, warrants and preferred stock) and debt securities of the Company and such other companies;</w:t>
      </w:r>
    </w:p>
    <w:p>
      <w:pPr>
        <w:spacing w:after="0" w:line="240" w:lineRule="exact"/>
        <w:rPr>
          <w:rFonts w:ascii="Times New Roman" w:cs="Times New Roman" w:eastAsia="Times New Roman" w:hAnsi="Times New Roman"/>
          <w:sz w:val="22"/>
          <w:szCs w:val="22"/>
          <w:color w:val="auto"/>
        </w:rPr>
      </w:pPr>
    </w:p>
    <w:p>
      <w:pPr>
        <w:ind w:left="1472" w:right="60" w:hanging="724"/>
        <w:spacing w:after="0" w:line="239" w:lineRule="auto"/>
        <w:tabs>
          <w:tab w:leader="none" w:pos="147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other arrangements that generate gains or losses from or based-on changes in the prices of such securities including derivative securities (e.g., exchange traded put or call options), hedging transactions, short sales and certain arrangements regarding participation in benefit plans; and</w:t>
      </w:r>
    </w:p>
    <w:p>
      <w:pPr>
        <w:spacing w:after="0" w:line="208" w:lineRule="exact"/>
        <w:rPr>
          <w:rFonts w:ascii="Times New Roman" w:cs="Times New Roman" w:eastAsia="Times New Roman" w:hAnsi="Times New Roman"/>
          <w:sz w:val="22"/>
          <w:szCs w:val="22"/>
          <w:color w:val="auto"/>
        </w:rPr>
      </w:pPr>
    </w:p>
    <w:p>
      <w:pPr>
        <w:ind w:left="1492" w:hanging="744"/>
        <w:spacing w:after="0"/>
        <w:tabs>
          <w:tab w:leader="none" w:pos="14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offers to engage in the transactions discussed above.</w:t>
      </w:r>
    </w:p>
    <w:p>
      <w:pPr>
        <w:spacing w:after="0" w:line="19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There are no exceptions from insider trading laws or this Policy based on the size of the transaction.</w:t>
      </w:r>
    </w:p>
    <w:p>
      <w:pPr>
        <w:spacing w:after="0" w:line="247" w:lineRule="exact"/>
        <w:rPr>
          <w:sz w:val="20"/>
          <w:szCs w:val="20"/>
          <w:color w:val="auto"/>
        </w:rPr>
      </w:pPr>
    </w:p>
    <w:p>
      <w:pPr>
        <w:ind w:left="752" w:hanging="752"/>
        <w:spacing w:after="0"/>
        <w:tabs>
          <w:tab w:leader="none" w:pos="752"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WHOSE INFORMATION IS COVERED BY THIS POLICY?</w:t>
      </w:r>
    </w:p>
    <w:p>
      <w:pPr>
        <w:spacing w:after="0" w:line="198" w:lineRule="exact"/>
        <w:rPr>
          <w:sz w:val="20"/>
          <w:szCs w:val="20"/>
          <w:color w:val="auto"/>
        </w:rPr>
      </w:pPr>
    </w:p>
    <w:p>
      <w:pPr>
        <w:ind w:left="12" w:right="120" w:firstLine="749"/>
        <w:spacing w:after="0" w:line="282" w:lineRule="auto"/>
        <w:rPr>
          <w:sz w:val="20"/>
          <w:szCs w:val="20"/>
          <w:color w:val="auto"/>
        </w:rPr>
      </w:pPr>
      <w:r>
        <w:rPr>
          <w:rFonts w:ascii="Times New Roman" w:cs="Times New Roman" w:eastAsia="Times New Roman" w:hAnsi="Times New Roman"/>
          <w:sz w:val="18"/>
          <w:szCs w:val="18"/>
          <w:color w:val="auto"/>
        </w:rPr>
        <w:t>This Policy covers material, nonpublic information of the Company as well as that of other companies, such as the Company’s distributors, vendors, customers, collaborators, suppliers and competitors.</w:t>
      </w:r>
    </w:p>
    <w:p>
      <w:pPr>
        <w:spacing w:after="0" w:line="183" w:lineRule="exact"/>
        <w:rPr>
          <w:sz w:val="20"/>
          <w:szCs w:val="20"/>
          <w:color w:val="auto"/>
        </w:rPr>
      </w:pPr>
    </w:p>
    <w:p>
      <w:pPr>
        <w:ind w:left="752" w:hanging="752"/>
        <w:spacing w:after="0"/>
        <w:tabs>
          <w:tab w:leader="none" w:pos="752"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POLICIES REGARDING NONPUBLIC INFORMATION</w:t>
      </w:r>
    </w:p>
    <w:p>
      <w:pPr>
        <w:spacing w:after="0" w:line="220" w:lineRule="exact"/>
        <w:rPr>
          <w:sz w:val="20"/>
          <w:szCs w:val="20"/>
          <w:color w:val="auto"/>
        </w:rPr>
      </w:pPr>
    </w:p>
    <w:p>
      <w:pPr>
        <w:ind w:left="1492" w:hanging="744"/>
        <w:spacing w:after="0"/>
        <w:tabs>
          <w:tab w:leader="none" w:pos="149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Confidentiality of Nonpublic Information</w:t>
      </w:r>
    </w:p>
    <w:p>
      <w:pPr>
        <w:spacing w:after="0" w:line="198" w:lineRule="exact"/>
        <w:rPr>
          <w:sz w:val="20"/>
          <w:szCs w:val="20"/>
          <w:color w:val="auto"/>
        </w:rPr>
      </w:pPr>
    </w:p>
    <w:p>
      <w:pPr>
        <w:ind w:left="12" w:right="320" w:firstLine="749"/>
        <w:spacing w:after="0" w:line="282" w:lineRule="auto"/>
        <w:rPr>
          <w:sz w:val="20"/>
          <w:szCs w:val="20"/>
          <w:color w:val="auto"/>
        </w:rPr>
      </w:pPr>
      <w:r>
        <w:rPr>
          <w:rFonts w:ascii="Times New Roman" w:cs="Times New Roman" w:eastAsia="Times New Roman" w:hAnsi="Times New Roman"/>
          <w:sz w:val="18"/>
          <w:szCs w:val="18"/>
          <w:color w:val="auto"/>
        </w:rPr>
        <w:t>This Policy supplements your existing obligations under the Company’s Employee Confidential Information and Inventions Assignment Agreement and the Company’s External Communications Policy.</w:t>
      </w:r>
    </w:p>
    <w:p>
      <w:pPr>
        <w:spacing w:after="0" w:line="175" w:lineRule="exact"/>
        <w:rPr>
          <w:sz w:val="20"/>
          <w:szCs w:val="20"/>
          <w:color w:val="auto"/>
        </w:rPr>
      </w:pPr>
    </w:p>
    <w:p>
      <w:pPr>
        <w:ind w:left="12" w:right="80" w:firstLine="749"/>
        <w:spacing w:after="0" w:line="261" w:lineRule="auto"/>
        <w:rPr>
          <w:sz w:val="20"/>
          <w:szCs w:val="20"/>
          <w:color w:val="auto"/>
        </w:rPr>
      </w:pPr>
      <w:r>
        <w:rPr>
          <w:rFonts w:ascii="Times New Roman" w:cs="Times New Roman" w:eastAsia="Times New Roman" w:hAnsi="Times New Roman"/>
          <w:sz w:val="18"/>
          <w:szCs w:val="18"/>
          <w:color w:val="auto"/>
        </w:rPr>
        <w:t>Under this Policy, your unauthorized use or disclosure of nonpublic information relating to the Company or other companies is prohibited. You may only use nonpublic information you acquire in the course of your service with the Company for legitimate Company business purposes. You should handle the nonpublic information of parties other than the Company in accordance with the terms of any relevant nondisclosure agreements with that other party, and you must limit your use of any such nonpublic information to the purpose for which it was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198755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12"/>
          </w:cols>
          <w:pgMar w:left="448" w:top="1440" w:right="539" w:bottom="1440" w:gutter="0" w:footer="0" w:header="0"/>
        </w:sectPr>
      </w:pPr>
    </w:p>
    <w:bookmarkStart w:id="121" w:name="page122"/>
    <w:bookmarkEnd w:id="121"/>
    <w:p>
      <w:pPr>
        <w:spacing w:after="0" w:line="369" w:lineRule="exact"/>
        <w:rPr>
          <w:sz w:val="20"/>
          <w:szCs w:val="20"/>
          <w:color w:val="auto"/>
        </w:rPr>
      </w:pPr>
    </w:p>
    <w:p>
      <w:pPr>
        <w:ind w:left="12" w:right="520" w:firstLine="749"/>
        <w:spacing w:after="0" w:line="282" w:lineRule="auto"/>
        <w:rPr>
          <w:sz w:val="20"/>
          <w:szCs w:val="20"/>
          <w:color w:val="auto"/>
        </w:rPr>
      </w:pPr>
      <w:r>
        <w:rPr>
          <w:rFonts w:ascii="Times New Roman" w:cs="Times New Roman" w:eastAsia="Times New Roman" w:hAnsi="Times New Roman"/>
          <w:sz w:val="18"/>
          <w:szCs w:val="18"/>
          <w:color w:val="auto"/>
        </w:rPr>
        <w:t>In cases where you are required to disclose nonpublic information to third parties by law or otherwise, coordinate with the Company’s Compliance Officer prior to disclosing the information.</w:t>
      </w:r>
    </w:p>
    <w:p>
      <w:pPr>
        <w:spacing w:after="0" w:line="183" w:lineRule="exact"/>
        <w:rPr>
          <w:sz w:val="20"/>
          <w:szCs w:val="20"/>
          <w:color w:val="auto"/>
        </w:rPr>
      </w:pPr>
    </w:p>
    <w:p>
      <w:pPr>
        <w:ind w:left="1492" w:hanging="744"/>
        <w:spacing w:after="0"/>
        <w:tabs>
          <w:tab w:leader="none" w:pos="14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No Trading on Material, Nonpublic Information</w:t>
      </w:r>
    </w:p>
    <w:p>
      <w:pPr>
        <w:spacing w:after="0" w:line="209" w:lineRule="exact"/>
        <w:rPr>
          <w:sz w:val="20"/>
          <w:szCs w:val="20"/>
          <w:color w:val="auto"/>
        </w:rPr>
      </w:pPr>
    </w:p>
    <w:p>
      <w:pPr>
        <w:ind w:left="12" w:right="180" w:firstLine="749"/>
        <w:spacing w:after="0" w:line="258" w:lineRule="auto"/>
        <w:rPr>
          <w:sz w:val="20"/>
          <w:szCs w:val="20"/>
          <w:color w:val="auto"/>
        </w:rPr>
      </w:pPr>
      <w:r>
        <w:rPr>
          <w:rFonts w:ascii="Times New Roman" w:cs="Times New Roman" w:eastAsia="Times New Roman" w:hAnsi="Times New Roman"/>
          <w:sz w:val="18"/>
          <w:szCs w:val="18"/>
          <w:color w:val="auto"/>
        </w:rPr>
        <w:t>Except as discussed in Section 10 (</w:t>
      </w:r>
      <w:r>
        <w:rPr>
          <w:rFonts w:ascii="Times New Roman" w:cs="Times New Roman" w:eastAsia="Times New Roman" w:hAnsi="Times New Roman"/>
          <w:sz w:val="18"/>
          <w:szCs w:val="18"/>
          <w:i w:val="1"/>
          <w:iCs w:val="1"/>
          <w:color w:val="auto"/>
        </w:rPr>
        <w:t>Limited Exceptions</w:t>
      </w:r>
      <w:r>
        <w:rPr>
          <w:rFonts w:ascii="Times New Roman" w:cs="Times New Roman" w:eastAsia="Times New Roman" w:hAnsi="Times New Roman"/>
          <w:sz w:val="18"/>
          <w:szCs w:val="18"/>
          <w:color w:val="auto"/>
        </w:rPr>
        <w:t xml:space="preserve">), you may not, either directly or indirectly through others, engage in any transaction involving the Company’s securities while you are aware of material, nonpublic information relating to the Company. It is not a defense that you did not “use” the information in your transaction. Similarly, you may not engage in transactions involving the securities of any other company if you are aware of material, nonpublic information about that company (except to the extent the transactions are analogous to those presented in Section 10 </w:t>
      </w:r>
      <w:r>
        <w:rPr>
          <w:rFonts w:ascii="Times New Roman" w:cs="Times New Roman" w:eastAsia="Times New Roman" w:hAnsi="Times New Roman"/>
          <w:sz w:val="18"/>
          <w:szCs w:val="18"/>
          <w:i w:val="1"/>
          <w:iCs w:val="1"/>
          <w:color w:val="auto"/>
        </w:rPr>
        <w:t>(Limited Exceptions)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492" w:hanging="744"/>
        <w:spacing w:after="0"/>
        <w:tabs>
          <w:tab w:leader="none" w:pos="149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No “Tipping” Others; Avoid Speculation</w:t>
      </w:r>
    </w:p>
    <w:p>
      <w:pPr>
        <w:spacing w:after="0" w:line="211" w:lineRule="exact"/>
        <w:rPr>
          <w:sz w:val="20"/>
          <w:szCs w:val="20"/>
          <w:color w:val="auto"/>
        </w:rPr>
      </w:pPr>
    </w:p>
    <w:p>
      <w:pPr>
        <w:ind w:left="12" w:right="220" w:firstLine="749"/>
        <w:spacing w:after="0" w:line="266" w:lineRule="auto"/>
        <w:rPr>
          <w:sz w:val="20"/>
          <w:szCs w:val="20"/>
          <w:color w:val="auto"/>
        </w:rPr>
      </w:pPr>
      <w:r>
        <w:rPr>
          <w:rFonts w:ascii="Times New Roman" w:cs="Times New Roman" w:eastAsia="Times New Roman" w:hAnsi="Times New Roman"/>
          <w:sz w:val="18"/>
          <w:szCs w:val="18"/>
          <w:color w:val="auto"/>
        </w:rPr>
        <w:t>You may not make recommendations or express opinions based on material, nonpublic information as to trading in the securities of companies to which such information relates. This prohibition prohibits disclosure (even anonymous disclosure) via the Internet or in blogs, investor forums or chat rooms, and it applies whether or not you derive any profit or personal benefit from doing so.</w:t>
      </w:r>
    </w:p>
    <w:p>
      <w:pPr>
        <w:spacing w:after="0" w:line="198" w:lineRule="exact"/>
        <w:rPr>
          <w:sz w:val="20"/>
          <w:szCs w:val="20"/>
          <w:color w:val="auto"/>
        </w:rPr>
      </w:pPr>
    </w:p>
    <w:p>
      <w:pPr>
        <w:ind w:left="1492" w:hanging="744"/>
        <w:spacing w:after="0"/>
        <w:tabs>
          <w:tab w:leader="none" w:pos="149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Refer All External Inquiries to Appropriate Individuals</w:t>
      </w:r>
    </w:p>
    <w:p>
      <w:pPr>
        <w:spacing w:after="0" w:line="198" w:lineRule="exact"/>
        <w:rPr>
          <w:sz w:val="20"/>
          <w:szCs w:val="20"/>
          <w:color w:val="auto"/>
        </w:rPr>
      </w:pPr>
    </w:p>
    <w:p>
      <w:pPr>
        <w:ind w:left="12" w:right="260" w:firstLine="749"/>
        <w:spacing w:after="0" w:line="266" w:lineRule="auto"/>
        <w:rPr>
          <w:sz w:val="20"/>
          <w:szCs w:val="20"/>
          <w:color w:val="auto"/>
        </w:rPr>
      </w:pPr>
      <w:r>
        <w:rPr>
          <w:rFonts w:ascii="Times New Roman" w:cs="Times New Roman" w:eastAsia="Times New Roman" w:hAnsi="Times New Roman"/>
          <w:sz w:val="18"/>
          <w:szCs w:val="18"/>
          <w:color w:val="auto"/>
        </w:rPr>
        <w:t>You may not respond to any inquiries or requests from third parties for nonpublic information; if you receive such a request then refer the third party to the appropriate Company individual(s) per the Company’s External Communications Policy. If you don’t know who the appropriate individuals are then refer the inquiry or request to the Compliance Officer.</w:t>
      </w:r>
    </w:p>
    <w:p>
      <w:pPr>
        <w:spacing w:after="0" w:line="198" w:lineRule="exact"/>
        <w:rPr>
          <w:sz w:val="20"/>
          <w:szCs w:val="20"/>
          <w:color w:val="auto"/>
        </w:rPr>
      </w:pPr>
    </w:p>
    <w:p>
      <w:pPr>
        <w:ind w:left="752" w:hanging="752"/>
        <w:spacing w:after="0"/>
        <w:tabs>
          <w:tab w:leader="none" w:pos="752"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TRADING BLACKOUT PERIODS</w:t>
      </w:r>
    </w:p>
    <w:p>
      <w:pPr>
        <w:spacing w:after="0" w:line="211" w:lineRule="exact"/>
        <w:rPr>
          <w:sz w:val="20"/>
          <w:szCs w:val="20"/>
          <w:color w:val="auto"/>
        </w:rPr>
      </w:pPr>
    </w:p>
    <w:p>
      <w:pPr>
        <w:ind w:left="12" w:right="20" w:firstLine="749"/>
        <w:spacing w:after="0" w:line="261" w:lineRule="auto"/>
        <w:rPr>
          <w:sz w:val="20"/>
          <w:szCs w:val="20"/>
          <w:color w:val="auto"/>
        </w:rPr>
      </w:pPr>
      <w:r>
        <w:rPr>
          <w:rFonts w:ascii="Times New Roman" w:cs="Times New Roman" w:eastAsia="Times New Roman" w:hAnsi="Times New Roman"/>
          <w:sz w:val="18"/>
          <w:szCs w:val="18"/>
          <w:color w:val="auto"/>
        </w:rPr>
        <w:t>To limit the likelihood of trading at times when there is a significant risk of insider trading exposure, the Company has instituted quarterly trading blackout periods. The Company may also institute special trading blackout periods from time to time. It is important for you to note that whether or not you are subject to blackout periods, you remain subject to all prohibitions on trading on the basis of material, nonpublic information and any other applicable restrictions in this Policy.</w:t>
      </w:r>
    </w:p>
    <w:p>
      <w:pPr>
        <w:spacing w:after="0" w:line="188" w:lineRule="exact"/>
        <w:rPr>
          <w:sz w:val="20"/>
          <w:szCs w:val="20"/>
          <w:color w:val="auto"/>
        </w:rPr>
      </w:pPr>
    </w:p>
    <w:p>
      <w:pPr>
        <w:ind w:left="1492" w:hanging="744"/>
        <w:spacing w:after="0"/>
        <w:tabs>
          <w:tab w:leader="none" w:pos="14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Quarterly Blackout Periods</w:t>
      </w:r>
    </w:p>
    <w:p>
      <w:pPr>
        <w:spacing w:after="0" w:line="209" w:lineRule="exact"/>
        <w:rPr>
          <w:sz w:val="20"/>
          <w:szCs w:val="20"/>
          <w:color w:val="auto"/>
        </w:rPr>
      </w:pPr>
    </w:p>
    <w:p>
      <w:pPr>
        <w:ind w:left="12" w:right="640" w:firstLine="749"/>
        <w:spacing w:after="0" w:line="315" w:lineRule="auto"/>
        <w:rPr>
          <w:sz w:val="20"/>
          <w:szCs w:val="20"/>
          <w:color w:val="auto"/>
        </w:rPr>
      </w:pPr>
      <w:r>
        <w:rPr>
          <w:rFonts w:ascii="Times New Roman" w:cs="Times New Roman" w:eastAsia="Times New Roman" w:hAnsi="Times New Roman"/>
          <w:sz w:val="17"/>
          <w:szCs w:val="17"/>
          <w:color w:val="auto"/>
        </w:rPr>
        <w:t>Except as discussed in Section 10 (</w:t>
      </w:r>
      <w:r>
        <w:rPr>
          <w:rFonts w:ascii="Times New Roman" w:cs="Times New Roman" w:eastAsia="Times New Roman" w:hAnsi="Times New Roman"/>
          <w:sz w:val="17"/>
          <w:szCs w:val="17"/>
          <w:i w:val="1"/>
          <w:iCs w:val="1"/>
          <w:color w:val="auto"/>
        </w:rPr>
        <w:t>Limited Exceptions</w:t>
      </w:r>
      <w:r>
        <w:rPr>
          <w:rFonts w:ascii="Times New Roman" w:cs="Times New Roman" w:eastAsia="Times New Roman" w:hAnsi="Times New Roman"/>
          <w:sz w:val="17"/>
          <w:szCs w:val="17"/>
          <w:color w:val="auto"/>
        </w:rPr>
        <w:t xml:space="preserve">), the individuals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may not conduct transactions involving the Company’s securities during quarterly blackout periods. The Compliance Officer may update the list of individuals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at any time.</w:t>
      </w:r>
    </w:p>
    <w:p>
      <w:pPr>
        <w:spacing w:after="0" w:line="150" w:lineRule="exact"/>
        <w:rPr>
          <w:sz w:val="20"/>
          <w:szCs w:val="20"/>
          <w:color w:val="auto"/>
        </w:rPr>
      </w:pPr>
    </w:p>
    <w:p>
      <w:pPr>
        <w:ind w:left="12" w:right="60" w:firstLine="749"/>
        <w:spacing w:after="0" w:line="281" w:lineRule="auto"/>
        <w:rPr>
          <w:sz w:val="20"/>
          <w:szCs w:val="20"/>
          <w:color w:val="auto"/>
        </w:rPr>
      </w:pPr>
      <w:r>
        <w:rPr>
          <w:rFonts w:ascii="Times New Roman" w:cs="Times New Roman" w:eastAsia="Times New Roman" w:hAnsi="Times New Roman"/>
          <w:sz w:val="18"/>
          <w:szCs w:val="18"/>
          <w:color w:val="auto"/>
        </w:rPr>
        <w:t>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 w:lineRule="exact"/>
        <w:rPr>
          <w:sz w:val="20"/>
          <w:szCs w:val="20"/>
          <w:color w:val="auto"/>
        </w:rPr>
      </w:pPr>
    </w:p>
    <w:p>
      <w:pPr>
        <w:ind w:left="12" w:firstLine="749"/>
        <w:spacing w:after="0" w:line="282" w:lineRule="auto"/>
        <w:rPr>
          <w:sz w:val="20"/>
          <w:szCs w:val="20"/>
          <w:color w:val="auto"/>
        </w:rPr>
      </w:pPr>
      <w:r>
        <w:rPr>
          <w:rFonts w:ascii="Times New Roman" w:cs="Times New Roman" w:eastAsia="Times New Roman" w:hAnsi="Times New Roman"/>
          <w:sz w:val="18"/>
          <w:szCs w:val="18"/>
          <w:color w:val="auto"/>
        </w:rPr>
        <w:t>Quarterly blackout periods begin on the 1st day of the month following the end of a fiscal quarter (i.e., April 1, July 1, October 1 and January 1) and end at the start of the second full trading day following the date of public disclosure of the financial results for that fiscal quarter.</w:t>
      </w:r>
    </w:p>
    <w:p>
      <w:pPr>
        <w:spacing w:after="0" w:line="183" w:lineRule="exact"/>
        <w:rPr>
          <w:sz w:val="20"/>
          <w:szCs w:val="20"/>
          <w:color w:val="auto"/>
        </w:rPr>
      </w:pPr>
    </w:p>
    <w:p>
      <w:pPr>
        <w:ind w:left="1492" w:hanging="744"/>
        <w:spacing w:after="0"/>
        <w:tabs>
          <w:tab w:leader="none" w:pos="149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Special Blackout Periods</w:t>
      </w:r>
    </w:p>
    <w:p>
      <w:pPr>
        <w:spacing w:after="0" w:line="198" w:lineRule="exact"/>
        <w:rPr>
          <w:sz w:val="20"/>
          <w:szCs w:val="20"/>
          <w:color w:val="auto"/>
        </w:rPr>
      </w:pPr>
    </w:p>
    <w:p>
      <w:pPr>
        <w:ind w:left="12" w:right="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 may also prohibit certain individuals, including but not necessarily limited to those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from engaging in transactions involving the Company’s securities when, in the judgment of the Compliance Officer, a trading blackout is warranted. The Company may impose special blackout periods when there are material developments known to the Company but not yet public (e.g., in anticipation of announcing out-of-cycle earnings guidance, a significant transaction or business development or clinical trial results), but may also impose a special blackout period for any reason. The Company will notify those individuals subject to a special blackout period before the special blackout period starts. If you are so-notified then you may not engage in any transaction involving the Company’s securities until instructed otherwise by the Compliance Officer, and you may not disclose the existence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212725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448" w:top="1440" w:right="519" w:bottom="1440" w:gutter="0" w:footer="0" w:header="0"/>
        </w:sectPr>
      </w:pPr>
    </w:p>
    <w:bookmarkStart w:id="122" w:name="page123"/>
    <w:bookmarkEnd w:id="122"/>
    <w:p>
      <w:pPr>
        <w:spacing w:after="0" w:line="31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the special blackout period to others.</w:t>
      </w:r>
    </w:p>
    <w:p>
      <w:pPr>
        <w:spacing w:after="0" w:line="247" w:lineRule="exact"/>
        <w:rPr>
          <w:sz w:val="20"/>
          <w:szCs w:val="20"/>
          <w:color w:val="auto"/>
        </w:rPr>
      </w:pPr>
    </w:p>
    <w:p>
      <w:pPr>
        <w:ind w:left="752" w:hanging="752"/>
        <w:spacing w:after="0"/>
        <w:tabs>
          <w:tab w:leader="none" w:pos="752"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PRE-CLEARING TRADES</w:t>
      </w:r>
    </w:p>
    <w:p>
      <w:pPr>
        <w:spacing w:after="0" w:line="198" w:lineRule="exact"/>
        <w:rPr>
          <w:sz w:val="20"/>
          <w:szCs w:val="20"/>
          <w:color w:val="auto"/>
        </w:rPr>
      </w:pPr>
    </w:p>
    <w:p>
      <w:pPr>
        <w:ind w:left="12" w:firstLine="749"/>
        <w:spacing w:after="0" w:line="276" w:lineRule="auto"/>
        <w:rPr>
          <w:sz w:val="20"/>
          <w:szCs w:val="20"/>
          <w:color w:val="auto"/>
        </w:rPr>
      </w:pPr>
      <w:r>
        <w:rPr>
          <w:rFonts w:ascii="Times New Roman" w:cs="Times New Roman" w:eastAsia="Times New Roman" w:hAnsi="Times New Roman"/>
          <w:sz w:val="17"/>
          <w:szCs w:val="17"/>
          <w:color w:val="auto"/>
        </w:rPr>
        <w:t xml:space="preserve">Those individuals listed on </w:t>
      </w:r>
      <w:r>
        <w:rPr>
          <w:rFonts w:ascii="Times New Roman" w:cs="Times New Roman" w:eastAsia="Times New Roman" w:hAnsi="Times New Roman"/>
          <w:sz w:val="17"/>
          <w:szCs w:val="17"/>
          <w:u w:val="single" w:color="auto"/>
          <w:color w:val="auto"/>
        </w:rPr>
        <w:t>Schedule III</w:t>
      </w:r>
      <w:r>
        <w:rPr>
          <w:rFonts w:ascii="Times New Roman" w:cs="Times New Roman" w:eastAsia="Times New Roman" w:hAnsi="Times New Roman"/>
          <w:sz w:val="17"/>
          <w:szCs w:val="17"/>
          <w:color w:val="auto"/>
        </w:rPr>
        <w:t xml:space="preserve"> must obtain clearance from the Compliance Officer prior to conducting any transaction involving the Company’s securities. The Compliance Officer may, at any time, add or remove persons subject to the pre-clearance requirement and revise </w:t>
      </w:r>
      <w:r>
        <w:rPr>
          <w:rFonts w:ascii="Times New Roman" w:cs="Times New Roman" w:eastAsia="Times New Roman" w:hAnsi="Times New Roman"/>
          <w:sz w:val="17"/>
          <w:szCs w:val="17"/>
          <w:u w:val="single" w:color="auto"/>
          <w:color w:val="auto"/>
        </w:rPr>
        <w:t>Schedule</w:t>
      </w:r>
    </w:p>
    <w:p>
      <w:pPr>
        <w:spacing w:after="0" w:line="1" w:lineRule="exact"/>
        <w:rPr>
          <w:sz w:val="20"/>
          <w:szCs w:val="20"/>
          <w:color w:val="auto"/>
        </w:rPr>
      </w:pPr>
    </w:p>
    <w:p>
      <w:pPr>
        <w:ind w:left="12" w:right="140" w:hanging="8"/>
        <w:spacing w:after="0" w:line="260" w:lineRule="auto"/>
        <w:tabs>
          <w:tab w:leader="none" w:pos="237" w:val="left"/>
        </w:tabs>
        <w:numPr>
          <w:ilvl w:val="0"/>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accordingly. Attached as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is a pre-clearance request form to be submitted to the Compliance Officer prior to an individual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engaging in any transactions.</w:t>
      </w:r>
    </w:p>
    <w:p>
      <w:pPr>
        <w:spacing w:after="0" w:line="195" w:lineRule="exact"/>
        <w:rPr>
          <w:sz w:val="20"/>
          <w:szCs w:val="20"/>
          <w:color w:val="auto"/>
        </w:rPr>
      </w:pPr>
    </w:p>
    <w:p>
      <w:pPr>
        <w:ind w:left="12" w:right="260" w:firstLine="749"/>
        <w:spacing w:after="0" w:line="282" w:lineRule="auto"/>
        <w:rPr>
          <w:sz w:val="20"/>
          <w:szCs w:val="20"/>
          <w:color w:val="auto"/>
        </w:rPr>
      </w:pPr>
      <w:r>
        <w:rPr>
          <w:rFonts w:ascii="Times New Roman" w:cs="Times New Roman" w:eastAsia="Times New Roman" w:hAnsi="Times New Roman"/>
          <w:sz w:val="18"/>
          <w:szCs w:val="18"/>
          <w:color w:val="auto"/>
        </w:rPr>
        <w:t>The Compliance Officer must obtain clearance from the Company’s Chief Executive Officer or Chief Financial Officer (provided that the Compliance Officer is not the Chief Financial Officer) prior to conducting any transaction involving the Company’s securities.</w:t>
      </w:r>
    </w:p>
    <w:p>
      <w:pPr>
        <w:spacing w:after="0" w:line="17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If you are subject to pre-clearance then you must complete each pre-cleared transaction within three (3) trading days of the clearance.</w:t>
      </w:r>
    </w:p>
    <w:p>
      <w:pPr>
        <w:spacing w:after="0" w:line="225" w:lineRule="exact"/>
        <w:rPr>
          <w:sz w:val="20"/>
          <w:szCs w:val="20"/>
          <w:color w:val="auto"/>
        </w:rPr>
      </w:pPr>
    </w:p>
    <w:p>
      <w:pPr>
        <w:ind w:left="12" w:right="60" w:firstLine="749"/>
        <w:spacing w:after="0" w:line="261" w:lineRule="auto"/>
        <w:rPr>
          <w:sz w:val="20"/>
          <w:szCs w:val="20"/>
          <w:color w:val="auto"/>
        </w:rPr>
      </w:pPr>
      <w:r>
        <w:rPr>
          <w:rFonts w:ascii="Times New Roman" w:cs="Times New Roman" w:eastAsia="Times New Roman" w:hAnsi="Times New Roman"/>
          <w:sz w:val="18"/>
          <w:szCs w:val="18"/>
          <w:color w:val="auto"/>
        </w:rPr>
        <w:t>These pre-clearance procedures decrease, but do not eliminate, risks for those individuals with regular or special access to material nonpublic information when executing certain securities transactions. Pre-clearing a transaction is not a defense to a claim of insider trading and does not excuse you from otherwise complying with insider trading laws or this Policy. Further, pre-clearing a transaction does not constitute an affirmation by the Company or the Compliance Officer that you are not in possession of material, nonpublic information.</w:t>
      </w:r>
    </w:p>
    <w:p>
      <w:pPr>
        <w:spacing w:after="0" w:line="193" w:lineRule="exact"/>
        <w:rPr>
          <w:sz w:val="20"/>
          <w:szCs w:val="20"/>
          <w:color w:val="auto"/>
        </w:rPr>
      </w:pPr>
    </w:p>
    <w:p>
      <w:pPr>
        <w:jc w:val="both"/>
        <w:ind w:left="12" w:right="140" w:firstLine="749"/>
        <w:spacing w:after="0" w:line="266" w:lineRule="auto"/>
        <w:rPr>
          <w:sz w:val="20"/>
          <w:szCs w:val="20"/>
          <w:color w:val="auto"/>
        </w:rPr>
      </w:pPr>
      <w:r>
        <w:rPr>
          <w:rFonts w:ascii="Times New Roman" w:cs="Times New Roman" w:eastAsia="Times New Roman" w:hAnsi="Times New Roman"/>
          <w:sz w:val="18"/>
          <w:szCs w:val="18"/>
          <w:color w:val="auto"/>
        </w:rPr>
        <w:t>The Compliance Officer is under no obligation to approve a transaction submitted for pre- clearance. The Company assumes no liability to you in any manner regarding your trading activity or any proposed transaction. Even where the Company has reviewed and pre-clears a transaction, it is your responsibility to ensure that your trading activity complies with all applicable laws and requirements.</w:t>
      </w:r>
    </w:p>
    <w:p>
      <w:pPr>
        <w:spacing w:after="0" w:line="198" w:lineRule="exact"/>
        <w:rPr>
          <w:sz w:val="20"/>
          <w:szCs w:val="20"/>
          <w:color w:val="auto"/>
        </w:rPr>
      </w:pPr>
    </w:p>
    <w:p>
      <w:pPr>
        <w:ind w:left="752" w:hanging="752"/>
        <w:spacing w:after="0"/>
        <w:tabs>
          <w:tab w:leader="none" w:pos="752"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ADDITIONAL RESTRICTIONS AND GUIDANCE</w:t>
      </w:r>
    </w:p>
    <w:p>
      <w:pPr>
        <w:spacing w:after="0" w:line="36" w:lineRule="exact"/>
        <w:rPr>
          <w:sz w:val="20"/>
          <w:szCs w:val="20"/>
          <w:color w:val="auto"/>
        </w:rPr>
      </w:pPr>
    </w:p>
    <w:p>
      <w:pPr>
        <w:ind w:left="12" w:right="280" w:firstLine="749"/>
        <w:spacing w:after="0" w:line="266" w:lineRule="auto"/>
        <w:rPr>
          <w:sz w:val="20"/>
          <w:szCs w:val="20"/>
          <w:color w:val="auto"/>
        </w:rPr>
      </w:pPr>
      <w:r>
        <w:rPr>
          <w:rFonts w:ascii="Times New Roman" w:cs="Times New Roman" w:eastAsia="Times New Roman" w:hAnsi="Times New Roman"/>
          <w:sz w:val="18"/>
          <w:szCs w:val="18"/>
          <w:color w:val="auto"/>
        </w:rPr>
        <w:t>In addition to restricting you from buying and selling securities while you possess material, nonpublic information, this Policy may also restrict your ability to enter into certain risky securities transactions or transactions that could easily lead to the violation of insider-trading laws and requirements.</w:t>
      </w:r>
    </w:p>
    <w:p>
      <w:pPr>
        <w:spacing w:after="0" w:line="198" w:lineRule="exact"/>
        <w:rPr>
          <w:sz w:val="20"/>
          <w:szCs w:val="20"/>
          <w:color w:val="auto"/>
        </w:rPr>
      </w:pPr>
    </w:p>
    <w:p>
      <w:pPr>
        <w:ind w:left="1492" w:hanging="744"/>
        <w:spacing w:after="0"/>
        <w:tabs>
          <w:tab w:leader="none" w:pos="149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Short Sales Prohibited</w:t>
      </w:r>
    </w:p>
    <w:p>
      <w:pPr>
        <w:spacing w:after="0" w:line="198" w:lineRule="exact"/>
        <w:rPr>
          <w:sz w:val="20"/>
          <w:szCs w:val="20"/>
          <w:color w:val="auto"/>
        </w:rPr>
      </w:pPr>
    </w:p>
    <w:p>
      <w:pPr>
        <w:ind w:left="12" w:right="120" w:firstLine="749"/>
        <w:spacing w:after="0" w:line="282" w:lineRule="auto"/>
        <w:rPr>
          <w:sz w:val="20"/>
          <w:szCs w:val="20"/>
          <w:color w:val="auto"/>
        </w:rPr>
      </w:pPr>
      <w:r>
        <w:rPr>
          <w:rFonts w:ascii="Times New Roman" w:cs="Times New Roman" w:eastAsia="Times New Roman" w:hAnsi="Times New Roman"/>
          <w:sz w:val="18"/>
          <w:szCs w:val="18"/>
          <w:color w:val="auto"/>
        </w:rPr>
        <w:t>You are prohibited from entering into short sales (i.e., sale of a security that you don’t own at the time of the sale) and “selling short against the box” (i.e., a sale with a delayed delivery) with respect to Company securities.</w:t>
      </w:r>
    </w:p>
    <w:p>
      <w:pPr>
        <w:spacing w:after="0" w:line="183" w:lineRule="exact"/>
        <w:rPr>
          <w:sz w:val="20"/>
          <w:szCs w:val="20"/>
          <w:color w:val="auto"/>
        </w:rPr>
      </w:pPr>
    </w:p>
    <w:p>
      <w:pPr>
        <w:ind w:left="1492" w:hanging="744"/>
        <w:spacing w:after="0"/>
        <w:tabs>
          <w:tab w:leader="none" w:pos="14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Derivative Security and Hedging Transactions Prohibited</w:t>
      </w:r>
    </w:p>
    <w:p>
      <w:pPr>
        <w:spacing w:after="0" w:line="211" w:lineRule="exact"/>
        <w:rPr>
          <w:sz w:val="20"/>
          <w:szCs w:val="20"/>
          <w:color w:val="auto"/>
        </w:rPr>
      </w:pPr>
    </w:p>
    <w:p>
      <w:pPr>
        <w:ind w:left="12" w:right="40" w:firstLine="749"/>
        <w:spacing w:after="0" w:line="258" w:lineRule="auto"/>
        <w:rPr>
          <w:sz w:val="20"/>
          <w:szCs w:val="20"/>
          <w:color w:val="auto"/>
        </w:rPr>
      </w:pPr>
      <w:r>
        <w:rPr>
          <w:rFonts w:ascii="Times New Roman" w:cs="Times New Roman" w:eastAsia="Times New Roman" w:hAnsi="Times New Roman"/>
          <w:sz w:val="18"/>
          <w:szCs w:val="18"/>
          <w:color w:val="auto"/>
        </w:rPr>
        <w:t>You are prohibited from engaging in transactions in publicly traded or privately negotiated options, such as puts and calls, and other derivative securities (whether or not publicly traded) involving the Company’s securities. This prohibition applies to any hedging or similar transaction designed to decrease the risks associated with holding Company securities. Stock options, stock appreciation rights, and other securities issued pursuant to Company benefit plans or other compensatory arrangements with the Company, and broad-based index options, futures or baskets are not subject to this prohibition.</w:t>
      </w:r>
    </w:p>
    <w:p>
      <w:pPr>
        <w:spacing w:after="0" w:line="192" w:lineRule="exact"/>
        <w:rPr>
          <w:sz w:val="20"/>
          <w:szCs w:val="20"/>
          <w:color w:val="auto"/>
        </w:rPr>
      </w:pPr>
    </w:p>
    <w:p>
      <w:pPr>
        <w:ind w:left="1492" w:hanging="744"/>
        <w:spacing w:after="0"/>
        <w:tabs>
          <w:tab w:leader="none" w:pos="149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Open Orders Restricted</w:t>
      </w:r>
    </w:p>
    <w:p>
      <w:pPr>
        <w:spacing w:after="0" w:line="211" w:lineRule="exact"/>
        <w:rPr>
          <w:sz w:val="20"/>
          <w:szCs w:val="20"/>
          <w:color w:val="auto"/>
        </w:rPr>
      </w:pPr>
    </w:p>
    <w:p>
      <w:pPr>
        <w:ind w:left="12" w:right="120" w:firstLine="749"/>
        <w:spacing w:after="0" w:line="258" w:lineRule="auto"/>
        <w:rPr>
          <w:sz w:val="20"/>
          <w:szCs w:val="20"/>
          <w:color w:val="auto"/>
        </w:rPr>
      </w:pPr>
      <w:r>
        <w:rPr>
          <w:rFonts w:ascii="Times New Roman" w:cs="Times New Roman" w:eastAsia="Times New Roman" w:hAnsi="Times New Roman"/>
          <w:sz w:val="18"/>
          <w:szCs w:val="18"/>
          <w:color w:val="auto"/>
        </w:rPr>
        <w:t>This Policy strongly discourages you from placing open orders, such as limit orders or stop orders, that could come into effect during, or extend into, a blackout period or other closed trading window. You may only place open orders for trades you know will occur during an open trading window. You are responsible for violations of law or of this Policy for any trades that occur at a time when you are aware of material, nonpublic information or otherwise are not permitted to trade in Company securities, even if the trades were made pursuant to an open order placed during an open trading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346710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448" w:top="1440" w:right="519" w:bottom="1440" w:gutter="0" w:footer="0" w:header="0"/>
        </w:sectPr>
      </w:pPr>
    </w:p>
    <w:bookmarkStart w:id="123" w:name="page124"/>
    <w:bookmarkEnd w:id="123"/>
    <w:p>
      <w:pPr>
        <w:spacing w:after="0" w:line="323" w:lineRule="exact"/>
        <w:rPr>
          <w:sz w:val="20"/>
          <w:szCs w:val="20"/>
          <w:color w:val="auto"/>
        </w:rPr>
      </w:pPr>
    </w:p>
    <w:p>
      <w:pPr>
        <w:ind w:left="752" w:hanging="752"/>
        <w:spacing w:after="0"/>
        <w:tabs>
          <w:tab w:leader="none" w:pos="752"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LIMITED EXCEPTIONS</w:t>
      </w:r>
    </w:p>
    <w:p>
      <w:pPr>
        <w:spacing w:after="0" w:line="211" w:lineRule="exact"/>
        <w:rPr>
          <w:rFonts w:ascii="Times New Roman" w:cs="Times New Roman" w:eastAsia="Times New Roman" w:hAnsi="Times New Roman"/>
          <w:sz w:val="22"/>
          <w:szCs w:val="22"/>
          <w:b w:val="1"/>
          <w:bCs w:val="1"/>
          <w:color w:val="auto"/>
        </w:rPr>
      </w:pPr>
    </w:p>
    <w:p>
      <w:pPr>
        <w:ind w:left="75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There are very few exceptions to the restrictions this Policy imposes on you. These exceptions are enumerated below.</w:t>
      </w:r>
    </w:p>
    <w:p>
      <w:pPr>
        <w:spacing w:after="0" w:line="225" w:lineRule="exact"/>
        <w:rPr>
          <w:sz w:val="20"/>
          <w:szCs w:val="20"/>
          <w:color w:val="auto"/>
        </w:rPr>
      </w:pPr>
    </w:p>
    <w:p>
      <w:pPr>
        <w:jc w:val="both"/>
        <w:ind w:left="12" w:right="200" w:firstLine="749"/>
        <w:spacing w:after="0" w:line="266" w:lineRule="auto"/>
        <w:rPr>
          <w:sz w:val="20"/>
          <w:szCs w:val="20"/>
          <w:color w:val="auto"/>
        </w:rPr>
      </w:pPr>
      <w:r>
        <w:rPr>
          <w:rFonts w:ascii="Times New Roman" w:cs="Times New Roman" w:eastAsia="Times New Roman" w:hAnsi="Times New Roman"/>
          <w:sz w:val="18"/>
          <w:szCs w:val="18"/>
          <w:color w:val="auto"/>
        </w:rPr>
        <w:t>Even if a transaction falls within an exception to this Policy, there is no guarantee that the transaction will not run afoul of applicable law. For example, a transaction that is not prohibited under this Policy can still be subject to the “short-swing” trading restrictions under Section 16 of the Exchange Act. You are responsible for complying with all applicable laws at all times.</w:t>
      </w:r>
    </w:p>
    <w:p>
      <w:pPr>
        <w:spacing w:after="0" w:line="198" w:lineRule="exact"/>
        <w:rPr>
          <w:sz w:val="20"/>
          <w:szCs w:val="20"/>
          <w:color w:val="auto"/>
        </w:rPr>
      </w:pPr>
    </w:p>
    <w:p>
      <w:pPr>
        <w:ind w:left="1492" w:hanging="744"/>
        <w:spacing w:after="0"/>
        <w:tabs>
          <w:tab w:leader="none" w:pos="14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Transactions Pursuant to a Trading Plan that Complies with SEC Rules</w:t>
      </w:r>
    </w:p>
    <w:p>
      <w:pPr>
        <w:spacing w:after="0" w:line="211" w:lineRule="exact"/>
        <w:rPr>
          <w:sz w:val="20"/>
          <w:szCs w:val="20"/>
          <w:color w:val="auto"/>
        </w:rPr>
      </w:pPr>
    </w:p>
    <w:p>
      <w:pPr>
        <w:ind w:left="12" w:firstLine="749"/>
        <w:spacing w:after="0" w:line="261" w:lineRule="auto"/>
        <w:rPr>
          <w:sz w:val="20"/>
          <w:szCs w:val="20"/>
          <w:color w:val="auto"/>
        </w:rPr>
      </w:pPr>
      <w:r>
        <w:rPr>
          <w:rFonts w:ascii="Times New Roman" w:cs="Times New Roman" w:eastAsia="Times New Roman" w:hAnsi="Times New Roman"/>
          <w:sz w:val="18"/>
          <w:szCs w:val="18"/>
          <w:color w:val="auto"/>
        </w:rPr>
        <w:t>Transactions made pursuant to written instructions that comply with Rule 10b5-1 of the Exchange Act and are approved by the Compliance Officer (a “Trading Plan”), are not subject to the restrictions in this Policy. In approving a Trading Plan, or any proposed modification or termination of a Trading Plan, the Compliance Officer may, in furtherance of the objectives expressed in this Policy, impose criteria in addition to those set forth in Rule 10b5-1. Therefore, you must confer with the Compliance Officer prior to entering into, amending, or terminating any Trading Plan.</w:t>
      </w:r>
    </w:p>
    <w:p>
      <w:pPr>
        <w:spacing w:after="0" w:line="269" w:lineRule="exact"/>
        <w:rPr>
          <w:sz w:val="20"/>
          <w:szCs w:val="20"/>
          <w:color w:val="auto"/>
        </w:rPr>
      </w:pPr>
    </w:p>
    <w:p>
      <w:pPr>
        <w:ind w:left="1472" w:hanging="724"/>
        <w:spacing w:after="0"/>
        <w:tabs>
          <w:tab w:leader="none" w:pos="147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Receipt and Vesting of Stock Options, Restricted Stock Units, Restricted Stock and Stock Appreciation Rights</w:t>
      </w:r>
    </w:p>
    <w:p>
      <w:pPr>
        <w:spacing w:after="0" w:line="211" w:lineRule="exact"/>
        <w:rPr>
          <w:sz w:val="20"/>
          <w:szCs w:val="20"/>
          <w:color w:val="auto"/>
        </w:rPr>
      </w:pPr>
    </w:p>
    <w:p>
      <w:pPr>
        <w:ind w:left="12"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restrictions under this Policy do not apply to the grant or award to you of stock options, restricted stock units, restricted stock or stock appreciation rights by the Company. The trading restrictions under this Policy also do not apply to the vesting, cancellation or forfeiture of stock options, restricted stock units, restricted stock or stock appreciation rights in accordance with applicable plans and agreements. However, the trading restrictions do apply to any subsequent sales of any such securities.</w:t>
      </w:r>
    </w:p>
    <w:p>
      <w:pPr>
        <w:spacing w:after="0" w:line="201" w:lineRule="exact"/>
        <w:rPr>
          <w:sz w:val="20"/>
          <w:szCs w:val="20"/>
          <w:color w:val="auto"/>
        </w:rPr>
      </w:pPr>
    </w:p>
    <w:p>
      <w:pPr>
        <w:ind w:left="1492" w:hanging="744"/>
        <w:spacing w:after="0"/>
        <w:tabs>
          <w:tab w:leader="none" w:pos="149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Exercising Stock Options</w:t>
      </w:r>
    </w:p>
    <w:p>
      <w:pPr>
        <w:spacing w:after="0" w:line="19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The trading restrictions under this Policy do not apply to you exercising:</w:t>
      </w:r>
    </w:p>
    <w:p>
      <w:pPr>
        <w:spacing w:after="0" w:line="247" w:lineRule="exact"/>
        <w:rPr>
          <w:sz w:val="20"/>
          <w:szCs w:val="20"/>
          <w:color w:val="auto"/>
        </w:rPr>
      </w:pPr>
    </w:p>
    <w:p>
      <w:pPr>
        <w:ind w:left="1492" w:hanging="744"/>
        <w:spacing w:after="0"/>
        <w:tabs>
          <w:tab w:leader="none" w:pos="14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stock options for cash under the Company’s stock option plans;</w:t>
      </w:r>
    </w:p>
    <w:p>
      <w:pPr>
        <w:spacing w:after="0" w:line="224" w:lineRule="exact"/>
        <w:rPr>
          <w:rFonts w:ascii="Times New Roman" w:cs="Times New Roman" w:eastAsia="Times New Roman" w:hAnsi="Times New Roman"/>
          <w:sz w:val="22"/>
          <w:szCs w:val="22"/>
          <w:color w:val="auto"/>
        </w:rPr>
      </w:pPr>
    </w:p>
    <w:p>
      <w:pPr>
        <w:ind w:left="1432" w:right="720" w:hanging="684"/>
        <w:spacing w:after="0" w:line="234" w:lineRule="auto"/>
        <w:tabs>
          <w:tab w:leader="none" w:pos="14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stock for stock exercise with the Company, assuming you have disclosed any material, nonpublic information you know to the Company; or</w:t>
      </w:r>
    </w:p>
    <w:p>
      <w:pPr>
        <w:spacing w:after="0" w:line="91" w:lineRule="exact"/>
        <w:rPr>
          <w:rFonts w:ascii="Times New Roman" w:cs="Times New Roman" w:eastAsia="Times New Roman" w:hAnsi="Times New Roman"/>
          <w:sz w:val="22"/>
          <w:szCs w:val="22"/>
          <w:color w:val="auto"/>
        </w:rPr>
      </w:pPr>
    </w:p>
    <w:p>
      <w:pPr>
        <w:ind w:left="1472" w:right="240" w:hanging="724"/>
        <w:spacing w:after="0" w:line="256" w:lineRule="auto"/>
        <w:tabs>
          <w:tab w:leader="none" w:pos="147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 election to have the Company withhold securities to cover tax obligations in connection with an option exercise or settlement of another equity award, assuming you have disclosed any material, nonpublic information you know to the Company.</w:t>
      </w:r>
    </w:p>
    <w:p>
      <w:pPr>
        <w:spacing w:after="0" w:line="18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The trading restrictions under this Policy do apply to you exercising:</w:t>
      </w:r>
    </w:p>
    <w:p>
      <w:pPr>
        <w:spacing w:after="0" w:line="247" w:lineRule="exact"/>
        <w:rPr>
          <w:sz w:val="20"/>
          <w:szCs w:val="20"/>
          <w:color w:val="auto"/>
        </w:rPr>
      </w:pPr>
    </w:p>
    <w:p>
      <w:pPr>
        <w:ind w:left="1492" w:hanging="744"/>
        <w:spacing w:after="0"/>
        <w:tabs>
          <w:tab w:leader="none" w:pos="14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sale of any securities issued upon the exercise of a stock option;</w:t>
      </w:r>
    </w:p>
    <w:p>
      <w:pPr>
        <w:spacing w:after="0" w:line="224" w:lineRule="exact"/>
        <w:rPr>
          <w:rFonts w:ascii="Times New Roman" w:cs="Times New Roman" w:eastAsia="Times New Roman" w:hAnsi="Times New Roman"/>
          <w:sz w:val="22"/>
          <w:szCs w:val="22"/>
          <w:color w:val="auto"/>
        </w:rPr>
      </w:pPr>
    </w:p>
    <w:p>
      <w:pPr>
        <w:ind w:left="1472" w:right="620" w:hanging="724"/>
        <w:spacing w:after="0" w:line="234" w:lineRule="auto"/>
        <w:tabs>
          <w:tab w:leader="none" w:pos="147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cashless exercise of a stock option through a broker, since a cashless exercise involves selling a portion of the underlying shares to cover the costs of exercise; or</w:t>
      </w:r>
    </w:p>
    <w:p>
      <w:pPr>
        <w:spacing w:after="0" w:line="207" w:lineRule="exact"/>
        <w:rPr>
          <w:rFonts w:ascii="Times New Roman" w:cs="Times New Roman" w:eastAsia="Times New Roman" w:hAnsi="Times New Roman"/>
          <w:sz w:val="22"/>
          <w:szCs w:val="22"/>
          <w:color w:val="auto"/>
        </w:rPr>
      </w:pPr>
    </w:p>
    <w:p>
      <w:pPr>
        <w:ind w:left="1432" w:hanging="684"/>
        <w:spacing w:after="0"/>
        <w:tabs>
          <w:tab w:leader="none" w:pos="14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other market sale for the purpose of generating the cash needed to pay the exercise price of an option.</w:t>
      </w:r>
    </w:p>
    <w:p>
      <w:pPr>
        <w:spacing w:after="0" w:line="206" w:lineRule="exact"/>
        <w:rPr>
          <w:sz w:val="20"/>
          <w:szCs w:val="20"/>
          <w:color w:val="auto"/>
        </w:rPr>
      </w:pPr>
    </w:p>
    <w:p>
      <w:pPr>
        <w:ind w:left="1492" w:hanging="744"/>
        <w:spacing w:after="0"/>
        <w:tabs>
          <w:tab w:leader="none" w:pos="14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Stock Splits, Stock Dividends and Similar Transactions</w:t>
      </w:r>
    </w:p>
    <w:p>
      <w:pPr>
        <w:spacing w:after="0" w:line="211" w:lineRule="exact"/>
        <w:rPr>
          <w:sz w:val="20"/>
          <w:szCs w:val="20"/>
          <w:color w:val="auto"/>
        </w:rPr>
      </w:pPr>
    </w:p>
    <w:p>
      <w:pPr>
        <w:ind w:left="12" w:right="300" w:firstLine="749"/>
        <w:spacing w:after="0" w:line="282" w:lineRule="auto"/>
        <w:rPr>
          <w:sz w:val="20"/>
          <w:szCs w:val="20"/>
          <w:color w:val="auto"/>
        </w:rPr>
      </w:pPr>
      <w:r>
        <w:rPr>
          <w:rFonts w:ascii="Times New Roman" w:cs="Times New Roman" w:eastAsia="Times New Roman" w:hAnsi="Times New Roman"/>
          <w:sz w:val="18"/>
          <w:szCs w:val="18"/>
          <w:color w:val="auto"/>
        </w:rPr>
        <w:t>The trading restrictions under this Policy do not apply to a change in the number of securities you hold as a result of a stock split or stock dividend applying equally to all securities of a class,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332740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448" w:top="1440" w:right="519" w:bottom="1440" w:gutter="0" w:footer="0" w:header="0"/>
        </w:sectPr>
      </w:pPr>
    </w:p>
    <w:bookmarkStart w:id="124" w:name="page125"/>
    <w:bookmarkEnd w:id="124"/>
    <w:p>
      <w:pPr>
        <w:spacing w:after="0" w:line="323" w:lineRule="exact"/>
        <w:rPr>
          <w:sz w:val="20"/>
          <w:szCs w:val="20"/>
          <w:color w:val="auto"/>
        </w:rPr>
      </w:pPr>
    </w:p>
    <w:p>
      <w:pPr>
        <w:ind w:left="1492" w:hanging="744"/>
        <w:spacing w:after="0"/>
        <w:tabs>
          <w:tab w:leader="none" w:pos="149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Bona fide Gifts and Inheritance</w:t>
      </w:r>
    </w:p>
    <w:p>
      <w:pPr>
        <w:spacing w:after="0" w:line="211" w:lineRule="exact"/>
        <w:rPr>
          <w:sz w:val="20"/>
          <w:szCs w:val="20"/>
          <w:color w:val="auto"/>
        </w:rPr>
      </w:pPr>
    </w:p>
    <w:p>
      <w:pPr>
        <w:jc w:val="both"/>
        <w:ind w:left="12" w:right="120" w:firstLine="749"/>
        <w:spacing w:after="0" w:line="266" w:lineRule="auto"/>
        <w:rPr>
          <w:sz w:val="20"/>
          <w:szCs w:val="20"/>
          <w:color w:val="auto"/>
        </w:rPr>
      </w:pPr>
      <w:r>
        <w:rPr>
          <w:rFonts w:ascii="Times New Roman" w:cs="Times New Roman" w:eastAsia="Times New Roman" w:hAnsi="Times New Roman"/>
          <w:sz w:val="18"/>
          <w:szCs w:val="18"/>
          <w:color w:val="auto"/>
        </w:rPr>
        <w:t>The trading restrictions under this Policy do not apply to bona fide gifts of Company securities or transfers by will or by the laws of descent and distribution. However, the trading restrictions under this policy do apply to any subsequent trading of such securities if the donee is a related party of the donor.</w:t>
      </w:r>
    </w:p>
    <w:p>
      <w:pPr>
        <w:spacing w:after="0" w:line="184" w:lineRule="exact"/>
        <w:rPr>
          <w:sz w:val="20"/>
          <w:szCs w:val="20"/>
          <w:color w:val="auto"/>
        </w:rPr>
      </w:pPr>
    </w:p>
    <w:p>
      <w:pPr>
        <w:ind w:left="1492" w:hanging="744"/>
        <w:spacing w:after="0"/>
        <w:tabs>
          <w:tab w:leader="none" w:pos="149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Change in Form of Ownership</w:t>
      </w:r>
    </w:p>
    <w:p>
      <w:pPr>
        <w:spacing w:after="0" w:line="21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7"/>
          <w:szCs w:val="17"/>
          <w:color w:val="auto"/>
        </w:rPr>
        <w:t>Transactions that involve merely a change in the form in which you own securities are not subject to the trading restrictions under this Policy.</w:t>
      </w:r>
    </w:p>
    <w:p>
      <w:pPr>
        <w:spacing w:after="0" w:line="3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For example, you may transfer shares to an inter vivos trust of which you are the sole beneficiary during your lifetime.</w:t>
      </w:r>
    </w:p>
    <w:p>
      <w:pPr>
        <w:spacing w:after="0" w:line="215" w:lineRule="exact"/>
        <w:rPr>
          <w:sz w:val="20"/>
          <w:szCs w:val="20"/>
          <w:color w:val="auto"/>
        </w:rPr>
      </w:pPr>
    </w:p>
    <w:p>
      <w:pPr>
        <w:ind w:left="1492" w:hanging="744"/>
        <w:spacing w:after="0"/>
        <w:tabs>
          <w:tab w:leader="none" w:pos="149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Other Exceptions</w:t>
      </w:r>
    </w:p>
    <w:p>
      <w:pPr>
        <w:spacing w:after="0" w:line="211" w:lineRule="exact"/>
        <w:rPr>
          <w:sz w:val="20"/>
          <w:szCs w:val="20"/>
          <w:color w:val="auto"/>
        </w:rPr>
      </w:pPr>
    </w:p>
    <w:p>
      <w:pPr>
        <w:ind w:left="12" w:right="620" w:firstLine="749"/>
        <w:spacing w:after="0" w:line="282" w:lineRule="auto"/>
        <w:rPr>
          <w:sz w:val="20"/>
          <w:szCs w:val="20"/>
          <w:color w:val="auto"/>
        </w:rPr>
      </w:pPr>
      <w:r>
        <w:rPr>
          <w:rFonts w:ascii="Times New Roman" w:cs="Times New Roman" w:eastAsia="Times New Roman" w:hAnsi="Times New Roman"/>
          <w:sz w:val="18"/>
          <w:szCs w:val="18"/>
          <w:color w:val="auto"/>
        </w:rPr>
        <w:t>Any other Policy exceptions must be approved by the Compliance Officer, possibly in consultation with the Board of Directors or an independent committee of the Board of Directors.</w:t>
      </w:r>
    </w:p>
    <w:p>
      <w:pPr>
        <w:spacing w:after="0" w:line="183" w:lineRule="exact"/>
        <w:rPr>
          <w:sz w:val="20"/>
          <w:szCs w:val="20"/>
          <w:color w:val="auto"/>
        </w:rPr>
      </w:pPr>
    </w:p>
    <w:p>
      <w:pPr>
        <w:ind w:left="752" w:hanging="752"/>
        <w:spacing w:after="0"/>
        <w:tabs>
          <w:tab w:leader="none" w:pos="752"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ADDITIONAL REQUIREMENTS FOR SECTION 16 REPORTING PERSONS</w:t>
      </w:r>
    </w:p>
    <w:p>
      <w:pPr>
        <w:spacing w:after="0" w:line="206" w:lineRule="exact"/>
        <w:rPr>
          <w:sz w:val="20"/>
          <w:szCs w:val="20"/>
          <w:color w:val="auto"/>
        </w:rPr>
      </w:pPr>
    </w:p>
    <w:p>
      <w:pPr>
        <w:ind w:left="1492" w:hanging="744"/>
        <w:spacing w:after="0"/>
        <w:tabs>
          <w:tab w:leader="none" w:pos="149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Expanded reporting obligations</w:t>
      </w:r>
    </w:p>
    <w:p>
      <w:pPr>
        <w:spacing w:after="0" w:line="211" w:lineRule="exact"/>
        <w:rPr>
          <w:sz w:val="20"/>
          <w:szCs w:val="20"/>
          <w:color w:val="auto"/>
        </w:rPr>
      </w:pPr>
    </w:p>
    <w:p>
      <w:pPr>
        <w:ind w:left="12" w:right="120" w:firstLine="749"/>
        <w:spacing w:after="0" w:line="258" w:lineRule="auto"/>
        <w:rPr>
          <w:sz w:val="20"/>
          <w:szCs w:val="20"/>
          <w:color w:val="auto"/>
        </w:rPr>
      </w:pPr>
      <w:r>
        <w:rPr>
          <w:rFonts w:ascii="Times New Roman" w:cs="Times New Roman" w:eastAsia="Times New Roman" w:hAnsi="Times New Roman"/>
          <w:sz w:val="18"/>
          <w:szCs w:val="18"/>
          <w:color w:val="auto"/>
        </w:rPr>
        <w:t>If you are a Section 16 reporting person then you must provide, or ensure that your broker provides, the Company with detailed information (e.g., trade date, number of shares, exact price, etc.) about your transactions involving the Company’s securities, including gifts, transfers, pledges and transactions pursuant to a Trading Plan, both prior to (to confirm compliance with pre-clearance procedures) and promptly following execution. The obligation to file Section 16 reports, and to otherwise comply with Section 16, lies with you. The Company is not responsible for your failure to comply with Section 16.</w:t>
      </w:r>
    </w:p>
    <w:p>
      <w:pPr>
        <w:spacing w:after="0" w:line="205" w:lineRule="exact"/>
        <w:rPr>
          <w:sz w:val="20"/>
          <w:szCs w:val="20"/>
          <w:color w:val="auto"/>
        </w:rPr>
      </w:pPr>
    </w:p>
    <w:p>
      <w:pPr>
        <w:ind w:left="1492" w:hanging="744"/>
        <w:spacing w:after="0"/>
        <w:tabs>
          <w:tab w:leader="none" w:pos="149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Limitations on “Short-Swing” Transactions</w:t>
      </w:r>
    </w:p>
    <w:p>
      <w:pPr>
        <w:spacing w:after="0" w:line="198" w:lineRule="exact"/>
        <w:rPr>
          <w:sz w:val="20"/>
          <w:szCs w:val="20"/>
          <w:color w:val="auto"/>
        </w:rPr>
      </w:pPr>
    </w:p>
    <w:p>
      <w:pPr>
        <w:ind w:left="12" w:right="280" w:firstLine="749"/>
        <w:spacing w:after="0" w:line="282" w:lineRule="auto"/>
        <w:rPr>
          <w:sz w:val="20"/>
          <w:szCs w:val="20"/>
          <w:color w:val="auto"/>
        </w:rPr>
      </w:pPr>
      <w:r>
        <w:rPr>
          <w:rFonts w:ascii="Times New Roman" w:cs="Times New Roman" w:eastAsia="Times New Roman" w:hAnsi="Times New Roman"/>
          <w:sz w:val="18"/>
          <w:szCs w:val="18"/>
          <w:color w:val="auto"/>
        </w:rPr>
        <w:t>If you are a Section 16 reporting person then you are required to return any profits you make from any purchase and any sale of Company stock if both transactions occur within a six-month window.</w:t>
      </w:r>
    </w:p>
    <w:p>
      <w:pPr>
        <w:spacing w:after="0" w:line="183" w:lineRule="exact"/>
        <w:rPr>
          <w:sz w:val="20"/>
          <w:szCs w:val="20"/>
          <w:color w:val="auto"/>
        </w:rPr>
      </w:pPr>
    </w:p>
    <w:p>
      <w:pPr>
        <w:ind w:left="1492" w:hanging="744"/>
        <w:spacing w:after="0"/>
        <w:tabs>
          <w:tab w:leader="none" w:pos="149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Using Company Securities as Collateral for Loans</w:t>
      </w:r>
    </w:p>
    <w:p>
      <w:pPr>
        <w:spacing w:after="0" w:line="21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If you are a Section 16 reporting person then you are prohibited from pledging Company securities as collateral for loans.</w:t>
      </w:r>
    </w:p>
    <w:p>
      <w:pPr>
        <w:spacing w:after="0" w:line="233" w:lineRule="exact"/>
        <w:rPr>
          <w:sz w:val="20"/>
          <w:szCs w:val="20"/>
          <w:color w:val="auto"/>
        </w:rPr>
      </w:pPr>
    </w:p>
    <w:p>
      <w:pPr>
        <w:ind w:left="1492" w:hanging="744"/>
        <w:spacing w:after="0"/>
        <w:tabs>
          <w:tab w:leader="none" w:pos="149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Holding Company Securities in Margin Accounts</w:t>
      </w:r>
    </w:p>
    <w:p>
      <w:pPr>
        <w:spacing w:after="0" w:line="21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If you are a Section 16 reporting person then you are prohibited from holding Company securities in margin accounts.</w:t>
      </w:r>
    </w:p>
    <w:p>
      <w:pPr>
        <w:spacing w:after="0" w:line="247" w:lineRule="exact"/>
        <w:rPr>
          <w:sz w:val="20"/>
          <w:szCs w:val="20"/>
          <w:color w:val="auto"/>
        </w:rPr>
      </w:pPr>
    </w:p>
    <w:p>
      <w:pPr>
        <w:ind w:left="1492" w:hanging="744"/>
        <w:spacing w:after="0"/>
        <w:tabs>
          <w:tab w:leader="none" w:pos="149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Regulation BTR Blackouts</w:t>
      </w:r>
    </w:p>
    <w:p>
      <w:pPr>
        <w:spacing w:after="0" w:line="19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Under U.S. federal securities laws, Regulation Blackout Trading Restriction</w:t>
      </w:r>
    </w:p>
    <w:p>
      <w:pPr>
        <w:spacing w:after="0" w:line="27" w:lineRule="exact"/>
        <w:rPr>
          <w:sz w:val="20"/>
          <w:szCs w:val="20"/>
          <w:color w:val="auto"/>
        </w:rPr>
      </w:pPr>
    </w:p>
    <w:p>
      <w:pPr>
        <w:ind w:left="12" w:right="40"/>
        <w:spacing w:after="0" w:line="252" w:lineRule="auto"/>
        <w:rPr>
          <w:sz w:val="20"/>
          <w:szCs w:val="20"/>
          <w:color w:val="auto"/>
        </w:rPr>
      </w:pPr>
      <w:r>
        <w:rPr>
          <w:rFonts w:ascii="Times New Roman" w:cs="Times New Roman" w:eastAsia="Times New Roman" w:hAnsi="Times New Roman"/>
          <w:sz w:val="18"/>
          <w:szCs w:val="18"/>
          <w:color w:val="auto"/>
        </w:rPr>
        <w:t>(“Regulation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by a director or officer of the Company from transactions that violate Regulation BTR are recoverable by the Company, regardless of the intentions of the director or officer when effecting the transaction. If you engage in such transactions then you are subject to SEC sanction as well as potential criminal liability. The Company will notify directors and officers if they are subject to a blackout trading restriction under Regulation BTR. The Company will provide separate memoranda and other appropriate materials to its directors and executive officers regarding compliance with Regulation BTR.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349885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2"/>
          </w:cols>
          <w:pgMar w:left="448" w:top="1440" w:right="499" w:bottom="1440" w:gutter="0" w:footer="0" w:header="0"/>
        </w:sectPr>
      </w:pPr>
    </w:p>
    <w:bookmarkStart w:id="125" w:name="page126"/>
    <w:bookmarkEnd w:id="125"/>
    <w:p>
      <w:pPr>
        <w:spacing w:after="0" w:line="323" w:lineRule="exact"/>
        <w:rPr>
          <w:sz w:val="20"/>
          <w:szCs w:val="20"/>
          <w:color w:val="auto"/>
        </w:rPr>
      </w:pPr>
    </w:p>
    <w:p>
      <w:pPr>
        <w:ind w:left="752" w:hanging="752"/>
        <w:spacing w:after="0"/>
        <w:tabs>
          <w:tab w:leader="none" w:pos="752"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ADDITIONAL TERMS</w:t>
      </w:r>
    </w:p>
    <w:p>
      <w:pPr>
        <w:spacing w:after="0" w:line="220" w:lineRule="exact"/>
        <w:rPr>
          <w:sz w:val="20"/>
          <w:szCs w:val="20"/>
          <w:color w:val="auto"/>
        </w:rPr>
      </w:pPr>
    </w:p>
    <w:p>
      <w:pPr>
        <w:ind w:left="1492" w:hanging="744"/>
        <w:spacing w:after="0"/>
        <w:tabs>
          <w:tab w:leader="none" w:pos="149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Term of Applicability; Post-Departure Applicability</w:t>
      </w:r>
    </w:p>
    <w:p>
      <w:pPr>
        <w:spacing w:after="0" w:line="198" w:lineRule="exact"/>
        <w:rPr>
          <w:sz w:val="20"/>
          <w:szCs w:val="20"/>
          <w:color w:val="auto"/>
        </w:rPr>
      </w:pPr>
    </w:p>
    <w:p>
      <w:pPr>
        <w:ind w:left="12" w:right="100" w:firstLine="749"/>
        <w:spacing w:after="0" w:line="266" w:lineRule="auto"/>
        <w:rPr>
          <w:sz w:val="20"/>
          <w:szCs w:val="20"/>
          <w:color w:val="auto"/>
        </w:rPr>
      </w:pPr>
      <w:r>
        <w:rPr>
          <w:rFonts w:ascii="Times New Roman" w:cs="Times New Roman" w:eastAsia="Times New Roman" w:hAnsi="Times New Roman"/>
          <w:sz w:val="18"/>
          <w:szCs w:val="18"/>
          <w:color w:val="auto"/>
        </w:rPr>
        <w:t>You must comply with this Policy until the later of the time you (i) are no longer affiliated with the Company and (ii) no longer possess any material, nonpublic information subject to this Policy. If you are subject to a trading blackout under this Policy at the time you cease to be affiliated with the Company then you must abide by the applicable trading restrictions until at least the end of the relevant blackout period.</w:t>
      </w:r>
    </w:p>
    <w:p>
      <w:pPr>
        <w:spacing w:after="0" w:line="198" w:lineRule="exact"/>
        <w:rPr>
          <w:sz w:val="20"/>
          <w:szCs w:val="20"/>
          <w:color w:val="auto"/>
        </w:rPr>
      </w:pPr>
    </w:p>
    <w:p>
      <w:pPr>
        <w:ind w:left="1492" w:hanging="744"/>
        <w:spacing w:after="0"/>
        <w:tabs>
          <w:tab w:leader="none" w:pos="149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Personal Responsibility</w:t>
      </w:r>
    </w:p>
    <w:p>
      <w:pPr>
        <w:spacing w:after="0" w:line="211" w:lineRule="exact"/>
        <w:rPr>
          <w:sz w:val="20"/>
          <w:szCs w:val="20"/>
          <w:color w:val="auto"/>
        </w:rPr>
      </w:pPr>
    </w:p>
    <w:p>
      <w:pPr>
        <w:ind w:left="12" w:firstLine="749"/>
        <w:spacing w:after="0" w:line="261" w:lineRule="auto"/>
        <w:rPr>
          <w:sz w:val="20"/>
          <w:szCs w:val="20"/>
          <w:color w:val="auto"/>
        </w:rPr>
      </w:pPr>
      <w:r>
        <w:rPr>
          <w:rFonts w:ascii="Times New Roman" w:cs="Times New Roman" w:eastAsia="Times New Roman" w:hAnsi="Times New Roman"/>
          <w:sz w:val="18"/>
          <w:szCs w:val="18"/>
          <w:color w:val="auto"/>
        </w:rPr>
        <w:t>You are ultimately responsible for complying with this Policy and all applicable laws and regulations. The laws relating to insider trading are complex, and violating them can carry severe consequences. Seek assistance if you have any questions. Use your best judgment at all times and consult with your personal legal and financial advisors as needed. Note that the Company’s legal counsel, both internal and external, represent the Company and not you personally.</w:t>
      </w:r>
    </w:p>
    <w:p>
      <w:pPr>
        <w:spacing w:after="0" w:line="180" w:lineRule="exact"/>
        <w:rPr>
          <w:sz w:val="20"/>
          <w:szCs w:val="20"/>
          <w:color w:val="auto"/>
        </w:rPr>
      </w:pPr>
    </w:p>
    <w:p>
      <w:pPr>
        <w:ind w:left="12" w:firstLine="749"/>
        <w:spacing w:after="0" w:line="255" w:lineRule="auto"/>
        <w:rPr>
          <w:sz w:val="20"/>
          <w:szCs w:val="20"/>
          <w:color w:val="auto"/>
        </w:rPr>
      </w:pPr>
      <w:r>
        <w:rPr>
          <w:rFonts w:ascii="Times New Roman" w:cs="Times New Roman" w:eastAsia="Times New Roman" w:hAnsi="Times New Roman"/>
          <w:sz w:val="18"/>
          <w:szCs w:val="18"/>
          <w:color w:val="auto"/>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your failure to comply with this Policy. In addition, a blackout or trading- 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210" w:lineRule="exact"/>
        <w:rPr>
          <w:sz w:val="20"/>
          <w:szCs w:val="20"/>
          <w:color w:val="auto"/>
        </w:rPr>
      </w:pPr>
    </w:p>
    <w:p>
      <w:pPr>
        <w:ind w:left="1492" w:hanging="744"/>
        <w:spacing w:after="0"/>
        <w:tabs>
          <w:tab w:leader="none" w:pos="149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Policy Availability</w:t>
      </w:r>
    </w:p>
    <w:p>
      <w:pPr>
        <w:spacing w:after="0" w:line="211" w:lineRule="exact"/>
        <w:rPr>
          <w:sz w:val="20"/>
          <w:szCs w:val="20"/>
          <w:color w:val="auto"/>
        </w:rPr>
      </w:pPr>
    </w:p>
    <w:p>
      <w:pPr>
        <w:ind w:left="12"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 will make this Policy available to all Company directors, officers, employees, consultants, contractors and agents when they commence Company service. Each director, officer, employee, consultant, contractor and agent is required, if requested, to acknowledge that he or she understands, and agrees to comply with, this Policy. You may also obtain a copy of the Company’s policies regarding insider trading at any time from the Compliance Officer.</w:t>
      </w:r>
    </w:p>
    <w:p>
      <w:pPr>
        <w:spacing w:after="0" w:line="188" w:lineRule="exact"/>
        <w:rPr>
          <w:sz w:val="20"/>
          <w:szCs w:val="20"/>
          <w:color w:val="auto"/>
        </w:rPr>
      </w:pPr>
    </w:p>
    <w:p>
      <w:pPr>
        <w:ind w:left="1492" w:hanging="744"/>
        <w:spacing w:after="0"/>
        <w:tabs>
          <w:tab w:leader="none" w:pos="149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Amendments</w:t>
      </w:r>
    </w:p>
    <w:p>
      <w:pPr>
        <w:spacing w:after="0" w:line="21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The Company reserves the right to amend, alter or terminate this Policy at any time and for any reason, subject to applicable law.</w:t>
      </w:r>
    </w:p>
    <w:p>
      <w:pPr>
        <w:spacing w:after="0" w:line="247" w:lineRule="exact"/>
        <w:rPr>
          <w:sz w:val="20"/>
          <w:szCs w:val="20"/>
          <w:color w:val="auto"/>
        </w:rPr>
      </w:pPr>
    </w:p>
    <w:p>
      <w:pPr>
        <w:ind w:left="1492" w:hanging="744"/>
        <w:spacing w:after="0"/>
        <w:tabs>
          <w:tab w:leader="none" w:pos="149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Report Violations</w:t>
      </w:r>
    </w:p>
    <w:p>
      <w:pPr>
        <w:spacing w:after="0" w:line="198" w:lineRule="exact"/>
        <w:rPr>
          <w:sz w:val="20"/>
          <w:szCs w:val="20"/>
          <w:color w:val="auto"/>
        </w:rPr>
      </w:pPr>
    </w:p>
    <w:p>
      <w:pPr>
        <w:jc w:val="both"/>
        <w:ind w:left="12" w:right="340" w:firstLine="749"/>
        <w:spacing w:after="0" w:line="266" w:lineRule="auto"/>
        <w:rPr>
          <w:sz w:val="20"/>
          <w:szCs w:val="20"/>
          <w:color w:val="auto"/>
        </w:rPr>
      </w:pPr>
      <w:r>
        <w:rPr>
          <w:rFonts w:ascii="Times New Roman" w:cs="Times New Roman" w:eastAsia="Times New Roman" w:hAnsi="Times New Roman"/>
          <w:sz w:val="18"/>
          <w:szCs w:val="18"/>
          <w:color w:val="auto"/>
        </w:rPr>
        <w:t>It is your responsibility to understand, comply with and help enforce this Policy. You should be alert to possible violations and promptly report violations or suspected Policy violations to the Compliance Officer. If your situation requires that your identity be secret, the Company will preserve your anonymity to the greatest extent reasonably possible.</w:t>
      </w:r>
    </w:p>
    <w:p>
      <w:pPr>
        <w:spacing w:after="0" w:line="189" w:lineRule="exact"/>
        <w:rPr>
          <w:sz w:val="20"/>
          <w:szCs w:val="20"/>
          <w:color w:val="auto"/>
        </w:rPr>
      </w:pPr>
    </w:p>
    <w:p>
      <w:pPr>
        <w:ind w:left="12" w:right="260" w:firstLine="749"/>
        <w:spacing w:after="0" w:line="261" w:lineRule="auto"/>
        <w:rPr>
          <w:sz w:val="20"/>
          <w:szCs w:val="20"/>
          <w:color w:val="auto"/>
        </w:rPr>
      </w:pPr>
      <w:r>
        <w:rPr>
          <w:rFonts w:ascii="Times New Roman" w:cs="Times New Roman" w:eastAsia="Times New Roman" w:hAnsi="Times New Roman"/>
          <w:sz w:val="18"/>
          <w:szCs w:val="18"/>
          <w:color w:val="auto"/>
        </w:rPr>
        <w:t>The Company has contracted Openboard, an independent company, to handle these types of reports. You may report actual or suspected Policy violations using either the website or toll-free number on an anonymous basis; however, the investigation may be more effective in obtaining follow-up or clarifying information if you identify yourself. If you make an anonymous report then please provide as much detail as possible, including copies of any relevant documents. Openboard can be utilized:</w:t>
      </w:r>
    </w:p>
    <w:p>
      <w:pPr>
        <w:spacing w:after="0" w:line="18"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By phone (toll free): 866-217-8589</w:t>
      </w:r>
    </w:p>
    <w:p>
      <w:pPr>
        <w:spacing w:after="0" w:line="239"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By Web: http://www.openboard.info/KOD/</w:t>
      </w:r>
    </w:p>
    <w:p>
      <w:pPr>
        <w:spacing w:after="0" w:line="239" w:lineRule="exact"/>
        <w:rPr>
          <w:sz w:val="20"/>
          <w:szCs w:val="20"/>
          <w:color w:val="auto"/>
        </w:rPr>
      </w:pPr>
    </w:p>
    <w:p>
      <w:pPr>
        <w:ind w:left="2252"/>
        <w:spacing w:after="0"/>
        <w:tabs>
          <w:tab w:leader="none" w:pos="3312" w:val="left"/>
        </w:tabs>
        <w:rPr>
          <w:sz w:val="20"/>
          <w:szCs w:val="20"/>
          <w:color w:val="auto"/>
        </w:rPr>
      </w:pPr>
      <w:r>
        <w:rPr>
          <w:rFonts w:ascii="Times New Roman" w:cs="Times New Roman" w:eastAsia="Times New Roman" w:hAnsi="Times New Roman"/>
          <w:sz w:val="18"/>
          <w:szCs w:val="18"/>
          <w:color w:val="auto"/>
        </w:rPr>
        <w:t>By email:</w:t>
      </w:r>
      <w:r>
        <w:rPr>
          <w:sz w:val="20"/>
          <w:szCs w:val="20"/>
          <w:color w:val="auto"/>
        </w:rPr>
        <w:tab/>
      </w:r>
      <w:r>
        <w:rPr>
          <w:rFonts w:ascii="Times New Roman" w:cs="Times New Roman" w:eastAsia="Times New Roman" w:hAnsi="Times New Roman"/>
          <w:sz w:val="17"/>
          <w:szCs w:val="17"/>
          <w:color w:val="auto"/>
        </w:rPr>
        <w:t>KOD@openboard.info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373380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2"/>
          </w:cols>
          <w:pgMar w:left="448" w:top="1440" w:right="519" w:bottom="1440" w:gutter="0" w:footer="0" w:header="0"/>
        </w:sectPr>
      </w:pPr>
    </w:p>
    <w:bookmarkStart w:id="126" w:name="page127"/>
    <w:bookmarkEnd w:id="126"/>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 *</w:t>
      </w:r>
    </w:p>
    <w:p>
      <w:pPr>
        <w:spacing w:after="0" w:line="23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Policy creates or implies an employment contract or term of employment, or limits either the Company’s or employee’s right to terminate employment at any time for any reason. No employee of the Company except the Chief Executive Officer has any authority to enter into any agreement for employment for a specified period of time or to make any agreement or representation contrary to the Company’s policy of employment at-will, and any such agreement or representation must be in writing.</w:t>
      </w:r>
    </w:p>
    <w:p>
      <w:pPr>
        <w:spacing w:after="0" w:line="180" w:lineRule="exact"/>
        <w:rPr>
          <w:sz w:val="20"/>
          <w:szCs w:val="20"/>
          <w:color w:val="auto"/>
        </w:rPr>
      </w:pPr>
    </w:p>
    <w:p>
      <w:pPr>
        <w:ind w:right="4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proscriptions in this Policy do not constitute a complete list of restrictions or a complete list of the types of conduct that can result in discipline, up to and including discharge.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194945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440" w:right="359" w:bottom="1440" w:gutter="0" w:footer="0" w:header="0"/>
        </w:sectPr>
      </w:pPr>
    </w:p>
    <w:bookmarkStart w:id="127" w:name="page128"/>
    <w:bookmarkEnd w:id="127"/>
    <w:p>
      <w:pPr>
        <w:spacing w:after="0" w:line="200" w:lineRule="exact"/>
        <w:rPr>
          <w:sz w:val="20"/>
          <w:szCs w:val="20"/>
          <w:color w:val="auto"/>
        </w:rPr>
      </w:pPr>
    </w:p>
    <w:p>
      <w:pPr>
        <w:spacing w:after="0" w:line="246"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b w:val="1"/>
          <w:bCs w:val="1"/>
          <w:color w:val="auto"/>
        </w:rPr>
        <w:t>INDIVIDUALS SUBJECT TO</w:t>
      </w:r>
    </w:p>
    <w:p>
      <w:pPr>
        <w:spacing w:after="0" w:line="31"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7"/>
          <w:szCs w:val="17"/>
          <w:b w:val="1"/>
          <w:bCs w:val="1"/>
          <w:color w:val="auto"/>
        </w:rPr>
        <w:t>SECTION 16 REPORTING AND LIABILITY PROVISIONS</w:t>
      </w:r>
    </w:p>
    <w:p>
      <w:pPr>
        <w:spacing w:after="0" w:line="240" w:lineRule="exact"/>
        <w:rPr>
          <w:sz w:val="20"/>
          <w:szCs w:val="20"/>
          <w:color w:val="auto"/>
        </w:rPr>
      </w:pPr>
    </w:p>
    <w:p>
      <w:pPr>
        <w:ind w:left="752" w:hanging="752"/>
        <w:spacing w:after="0"/>
        <w:tabs>
          <w:tab w:leader="none" w:pos="752"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left="112"/>
        <w:spacing w:after="0"/>
        <w:tabs>
          <w:tab w:leader="none" w:pos="3412"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36830</wp:posOffset>
            </wp:positionV>
            <wp:extent cx="68408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58" w:lineRule="exact"/>
        <w:rPr>
          <w:sz w:val="20"/>
          <w:szCs w:val="20"/>
          <w:color w:val="auto"/>
        </w:rPr>
      </w:pPr>
    </w:p>
    <w:p>
      <w:pPr>
        <w:ind w:left="752" w:hanging="752"/>
        <w:spacing w:after="0"/>
        <w:tabs>
          <w:tab w:leader="none" w:pos="752"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OFFICERS (including officers who are also directors)</w:t>
      </w:r>
    </w:p>
    <w:p>
      <w:pPr>
        <w:spacing w:after="0" w:line="207" w:lineRule="exact"/>
        <w:rPr>
          <w:sz w:val="20"/>
          <w:szCs w:val="20"/>
          <w:color w:val="auto"/>
        </w:rPr>
      </w:pPr>
    </w:p>
    <w:p>
      <w:pPr>
        <w:ind w:left="112"/>
        <w:spacing w:after="0"/>
        <w:tabs>
          <w:tab w:leader="none" w:pos="3412"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36830</wp:posOffset>
            </wp:positionV>
            <wp:extent cx="68408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393065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128" w:name="page129"/>
    <w:bookmarkEnd w:id="128"/>
    <w:p>
      <w:pPr>
        <w:spacing w:after="0" w:line="325"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39"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b w:val="1"/>
          <w:bCs w:val="1"/>
          <w:color w:val="auto"/>
        </w:rPr>
        <w:t>INDIVIDUALS SUBJECT TO</w:t>
      </w:r>
    </w:p>
    <w:p>
      <w:pPr>
        <w:spacing w:after="0" w:line="31"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b w:val="1"/>
          <w:bCs w:val="1"/>
          <w:color w:val="auto"/>
        </w:rPr>
        <w:t>QUARTERLY BLACKOUT PERIODS</w:t>
      </w:r>
    </w:p>
    <w:p>
      <w:pPr>
        <w:spacing w:after="0" w:line="297" w:lineRule="exact"/>
        <w:rPr>
          <w:sz w:val="20"/>
          <w:szCs w:val="20"/>
          <w:color w:val="auto"/>
        </w:rPr>
      </w:pPr>
    </w:p>
    <w:p>
      <w:pPr>
        <w:ind w:left="752" w:hanging="752"/>
        <w:spacing w:after="0"/>
        <w:tabs>
          <w:tab w:leader="none" w:pos="75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306" w:lineRule="exact"/>
        <w:rPr>
          <w:sz w:val="20"/>
          <w:szCs w:val="20"/>
          <w:color w:val="auto"/>
        </w:rPr>
      </w:pPr>
    </w:p>
    <w:p>
      <w:pPr>
        <w:ind w:left="112"/>
        <w:spacing w:after="0"/>
        <w:tabs>
          <w:tab w:leader="none" w:pos="3412"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36830</wp:posOffset>
            </wp:positionV>
            <wp:extent cx="68408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46" w:lineRule="exact"/>
        <w:rPr>
          <w:sz w:val="20"/>
          <w:szCs w:val="20"/>
          <w:color w:val="auto"/>
        </w:rPr>
      </w:pPr>
    </w:p>
    <w:p>
      <w:pPr>
        <w:ind w:left="752" w:hanging="752"/>
        <w:spacing w:after="0"/>
        <w:tabs>
          <w:tab w:leader="none" w:pos="75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OFFICERS (including officers who are also directors)</w:t>
      </w:r>
    </w:p>
    <w:p>
      <w:pPr>
        <w:spacing w:after="0" w:line="239" w:lineRule="exact"/>
        <w:rPr>
          <w:sz w:val="20"/>
          <w:szCs w:val="20"/>
          <w:color w:val="auto"/>
        </w:rPr>
      </w:pPr>
    </w:p>
    <w:p>
      <w:pPr>
        <w:ind w:left="112"/>
        <w:spacing w:after="0"/>
        <w:tabs>
          <w:tab w:leader="none" w:pos="3412"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36830</wp:posOffset>
            </wp:positionV>
            <wp:extent cx="68408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40" w:lineRule="exact"/>
        <w:rPr>
          <w:sz w:val="20"/>
          <w:szCs w:val="20"/>
          <w:color w:val="auto"/>
        </w:rPr>
      </w:pPr>
    </w:p>
    <w:p>
      <w:pPr>
        <w:ind w:left="752" w:hanging="752"/>
        <w:spacing w:after="0"/>
        <w:tabs>
          <w:tab w:leader="none" w:pos="75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692785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129" w:name="page130"/>
    <w:bookmarkEnd w:id="129"/>
    <w:p>
      <w:pPr>
        <w:spacing w:after="0" w:line="200" w:lineRule="exact"/>
        <w:rPr>
          <w:sz w:val="20"/>
          <w:szCs w:val="20"/>
          <w:color w:val="auto"/>
        </w:rPr>
      </w:pPr>
    </w:p>
    <w:p>
      <w:pPr>
        <w:spacing w:after="0" w:line="246"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144" w:lineRule="exact"/>
        <w:rPr>
          <w:sz w:val="20"/>
          <w:szCs w:val="20"/>
          <w:color w:val="auto"/>
        </w:rPr>
      </w:pPr>
    </w:p>
    <w:p>
      <w:pPr>
        <w:ind w:left="4312"/>
        <w:spacing w:after="0"/>
        <w:rPr>
          <w:sz w:val="20"/>
          <w:szCs w:val="20"/>
          <w:color w:val="auto"/>
        </w:rPr>
      </w:pPr>
      <w:r>
        <w:rPr>
          <w:rFonts w:ascii="Times New Roman" w:cs="Times New Roman" w:eastAsia="Times New Roman" w:hAnsi="Times New Roman"/>
          <w:sz w:val="18"/>
          <w:szCs w:val="18"/>
          <w:b w:val="1"/>
          <w:bCs w:val="1"/>
          <w:u w:val="single" w:color="auto"/>
          <w:color w:val="auto"/>
        </w:rPr>
        <w:t>INDIVIDUALS SUBJECT TO</w:t>
      </w:r>
    </w:p>
    <w:p>
      <w:pPr>
        <w:spacing w:after="0" w:line="31"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17"/>
          <w:szCs w:val="17"/>
          <w:b w:val="1"/>
          <w:bCs w:val="1"/>
          <w:u w:val="single" w:color="auto"/>
          <w:color w:val="auto"/>
        </w:rPr>
        <w:t>PRE-CLEARANCE REQUIREMENTS</w:t>
      </w:r>
    </w:p>
    <w:p>
      <w:pPr>
        <w:spacing w:after="0" w:line="218"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The following individuals are subject to section 8 of this Policy.</w:t>
      </w:r>
    </w:p>
    <w:p>
      <w:pPr>
        <w:spacing w:after="0" w:line="247" w:lineRule="exact"/>
        <w:rPr>
          <w:sz w:val="20"/>
          <w:szCs w:val="20"/>
          <w:color w:val="auto"/>
        </w:rPr>
      </w:pPr>
    </w:p>
    <w:p>
      <w:pPr>
        <w:ind w:left="752" w:hanging="752"/>
        <w:spacing w:after="0"/>
        <w:tabs>
          <w:tab w:leader="none" w:pos="752"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DIRECTORS AND OFFICERS</w:t>
      </w:r>
    </w:p>
    <w:p>
      <w:pPr>
        <w:spacing w:after="0" w:line="207" w:lineRule="exact"/>
        <w:rPr>
          <w:sz w:val="20"/>
          <w:szCs w:val="20"/>
          <w:color w:val="auto"/>
        </w:rPr>
      </w:pPr>
    </w:p>
    <w:p>
      <w:pPr>
        <w:ind w:left="112"/>
        <w:spacing w:after="0"/>
        <w:tabs>
          <w:tab w:leader="none" w:pos="3412"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36830</wp:posOffset>
            </wp:positionV>
            <wp:extent cx="68408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58" w:lineRule="exact"/>
        <w:rPr>
          <w:sz w:val="20"/>
          <w:szCs w:val="20"/>
          <w:color w:val="auto"/>
        </w:rPr>
      </w:pPr>
    </w:p>
    <w:p>
      <w:pPr>
        <w:ind w:left="752" w:hanging="752"/>
        <w:spacing w:after="0"/>
        <w:tabs>
          <w:tab w:leader="none" w:pos="752"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493395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130" w:name="page131"/>
    <w:bookmarkEnd w:id="130"/>
    <w:p>
      <w:pPr>
        <w:spacing w:after="0" w:line="200" w:lineRule="exact"/>
        <w:rPr>
          <w:sz w:val="20"/>
          <w:szCs w:val="20"/>
          <w:color w:val="auto"/>
        </w:rPr>
      </w:pPr>
    </w:p>
    <w:p>
      <w:pPr>
        <w:spacing w:after="0" w:line="24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KODIAK SCIENCES INC.</w:t>
      </w: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INSIDER TRADING POLICY — PRE-CLEARANCE REQUEST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920230" cy="12020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6920230" cy="12020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Person requesting clearance to trade:</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proposed trade:</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Manner of trade:</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Proposed trade date:</w:t>
      </w:r>
    </w:p>
    <w:p>
      <w:pPr>
        <w:spacing w:after="0" w:line="27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 am not aware of material, nonpublic information regarding the Company at this time. The transaction is in accordance with the Insider Trading Policy and applicable law. I will comply with any applicable reporting and disclosure requirements on a timely basis.</w:t>
      </w:r>
    </w:p>
    <w:p>
      <w:pPr>
        <w:spacing w:after="0" w:line="3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(Signature of person requesting clearance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-126365</wp:posOffset>
            </wp:positionV>
            <wp:extent cx="342011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-126365</wp:posOffset>
            </wp:positionV>
            <wp:extent cx="34201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7" w:lineRule="exact"/>
        <w:rPr>
          <w:sz w:val="20"/>
          <w:szCs w:val="20"/>
          <w:color w:val="auto"/>
        </w:rPr>
      </w:pPr>
    </w:p>
    <w:p>
      <w:pPr>
        <w:ind w:left="1720" w:hanging="355"/>
        <w:spacing w:after="0"/>
        <w:tabs>
          <w:tab w:leader="none" w:pos="1720" w:val="left"/>
        </w:tabs>
        <w:numPr>
          <w:ilvl w:val="0"/>
          <w:numId w:val="10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request is approved. The approval is effective for trades effected within three</w:t>
      </w:r>
    </w:p>
    <w:p>
      <w:pPr>
        <w:spacing w:after="0" w:line="29" w:lineRule="exact"/>
        <w:rPr>
          <w:rFonts w:ascii="MS PGothic" w:cs="MS PGothic" w:eastAsia="MS PGothic" w:hAnsi="MS PGothic"/>
          <w:sz w:val="18"/>
          <w:szCs w:val="18"/>
          <w:color w:val="auto"/>
        </w:rPr>
      </w:pPr>
    </w:p>
    <w:p>
      <w:pPr>
        <w:ind w:left="2380" w:hanging="261"/>
        <w:spacing w:after="0"/>
        <w:tabs>
          <w:tab w:leader="none" w:pos="23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the proposed trade date shown above.</w:t>
      </w: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(Signature of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-126365</wp:posOffset>
            </wp:positionV>
            <wp:extent cx="34201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-126365</wp:posOffset>
            </wp:positionV>
            <wp:extent cx="34201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374650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60" w:top="1440" w:right="65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KODIAK SCIENCES INC.</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Kodiak Sciences Inc. at December 31, 2024. Certain subsidiaries have been omitted as they are not significant in the aggregate.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40" w:type="dxa"/>
            <w:vAlign w:val="bottom"/>
          </w:tcPr>
          <w:p>
            <w:pPr>
              <w:spacing w:after="0"/>
              <w:rPr>
                <w:sz w:val="20"/>
                <w:szCs w:val="20"/>
                <w:color w:val="auto"/>
              </w:rPr>
            </w:pPr>
          </w:p>
        </w:tc>
        <w:tc>
          <w:tcPr>
            <w:tcW w:w="5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 Incorporation or Formation</w:t>
            </w:r>
          </w:p>
        </w:tc>
      </w:tr>
      <w:tr>
        <w:trPr>
          <w:trHeight w:val="191"/>
        </w:trPr>
        <w:tc>
          <w:tcPr>
            <w:tcW w:w="54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Kodiak Sciences GmbH</w:t>
            </w:r>
          </w:p>
        </w:tc>
        <w:tc>
          <w:tcPr>
            <w:tcW w:w="340" w:type="dxa"/>
            <w:vAlign w:val="bottom"/>
          </w:tcPr>
          <w:p>
            <w:pPr>
              <w:spacing w:after="0"/>
              <w:rPr>
                <w:sz w:val="16"/>
                <w:szCs w:val="16"/>
                <w:color w:val="auto"/>
              </w:rPr>
            </w:pPr>
          </w:p>
        </w:tc>
        <w:tc>
          <w:tcPr>
            <w:tcW w:w="54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Kodiak Sciences Valais GmbH</w:t>
            </w:r>
          </w:p>
        </w:tc>
        <w:tc>
          <w:tcPr>
            <w:tcW w:w="340" w:type="dxa"/>
            <w:vAlign w:val="bottom"/>
          </w:tcPr>
          <w:p>
            <w:pPr>
              <w:spacing w:after="0"/>
              <w:rPr>
                <w:sz w:val="20"/>
                <w:szCs w:val="20"/>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1195"/>
        </w:trPr>
        <w:tc>
          <w:tcPr>
            <w:tcW w:w="5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6"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333-271043 and 333-271946)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333-227755, 333-231503, 333-253751, 333-261670, 333-264829, 333-270907 and 333-278339) of Kodiak Sciences Inc. of our report dated March 27, 2025 relating to the financial statements, which appears in this Form 10-</w:t>
      </w:r>
      <w:r>
        <w:rPr>
          <w:rFonts w:ascii="Georgia" w:cs="Georgia" w:eastAsia="Georgia" w:hAnsi="Georgia"/>
          <w:sz w:val="18"/>
          <w:szCs w:val="18"/>
          <w:color w:val="auto"/>
        </w:rPr>
        <w:t>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Kodiak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Kodiak 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Kodiak Sciences Inc. (the “Company”) on Form 10-K for the fiscal year ended December 31, 2024 as filed with the Securities and Exchange Commission on the date hereof (the “Report”), I certify, pursuant to 18 U.S.C. § 1350, as adopted pursuant to § 906 of the Sarbanes-Oxley Act of 2002, to the best of my knowledge, that:</w:t>
      </w:r>
    </w:p>
    <w:p>
      <w:pPr>
        <w:spacing w:after="0" w:line="176" w:lineRule="exact"/>
        <w:rPr>
          <w:sz w:val="20"/>
          <w:szCs w:val="20"/>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440" w:val="left"/>
          <w:tab w:leader="none" w:pos="790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4029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Victor Perlroth, M.D.</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Kodiak Sciences Inc. (the “Company”) on Form 10-K for the fiscal year ended December 31, 2024 as filed with the Securities and Exchange Commission on the date hereof (the “Report”), I certify, pursuant to 18 U.S.C. § 1350, as adopted pursuant to § 906 of the Sarbanes-Oxley Act of 2002, to the best of my knowledge, that:</w:t>
      </w:r>
    </w:p>
    <w:p>
      <w:pPr>
        <w:spacing w:after="0" w:line="176"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440" w:val="left"/>
          <w:tab w:leader="none" w:pos="7900" w:val="left"/>
        </w:tabs>
        <w:rPr>
          <w:sz w:val="20"/>
          <w:szCs w:val="20"/>
          <w:color w:val="auto"/>
        </w:rPr>
      </w:pPr>
      <w:r>
        <w:rPr>
          <w:rFonts w:ascii="Times New Roman" w:cs="Times New Roman" w:eastAsia="Times New Roman" w:hAnsi="Times New Roman"/>
          <w:sz w:val="18"/>
          <w:szCs w:val="18"/>
          <w:color w:val="auto"/>
        </w:rPr>
        <w:t>Date: March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4029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John Borgeson</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lowerLetter"/>
      <w:start w:val="1"/>
    </w:lvl>
  </w:abstractNum>
  <w:abstractNum w:abstractNumId="47">
    <w:nsid w:val="1A32234B"/>
    <w:multiLevelType w:val="hybridMultilevel"/>
    <w:lvl w:ilvl="0">
      <w:lvlJc w:val="left"/>
      <w:lvlText w:val="*"/>
      <w:numFmt w:val="bullet"/>
      <w:start w:val="1"/>
    </w:lvl>
    <w:lvl w:ilvl="1">
      <w:lvlJc w:val="left"/>
      <w:lvlText w:val="%2"/>
      <w:numFmt w:val="decimal"/>
      <w:start w:val="104"/>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2"/>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lowerLetter"/>
      <w:start w:val="2"/>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lowerLetter"/>
      <w:start w:val="3"/>
    </w:lvl>
  </w:abstractNum>
  <w:abstractNum w:abstractNumId="55">
    <w:nsid w:val="1A27709E"/>
    <w:multiLevelType w:val="hybridMultilevel"/>
    <w:lvl w:ilvl="0">
      <w:lvlJc w:val="left"/>
      <w:lvlText w:val="(%1)"/>
      <w:numFmt w:val="lowerLetter"/>
      <w:start w:val="4"/>
    </w:lvl>
  </w:abstractNum>
  <w:abstractNum w:abstractNumId="56">
    <w:nsid w:val="71EA1109"/>
    <w:multiLevelType w:val="hybridMultilevel"/>
    <w:lvl w:ilvl="0">
      <w:lvlJc w:val="left"/>
      <w:lvlText w:val="(%1)"/>
      <w:numFmt w:val="lowerLetter"/>
      <w:start w:val="5"/>
    </w:lvl>
  </w:abstractNum>
  <w:abstractNum w:abstractNumId="57">
    <w:nsid w:val="100F59DC"/>
    <w:multiLevelType w:val="hybridMultilevel"/>
    <w:lvl w:ilvl="0">
      <w:lvlJc w:val="left"/>
      <w:lvlText w:val="(%1)"/>
      <w:numFmt w:val="lowerLetter"/>
      <w:start w:val="6"/>
    </w:lvl>
  </w:abstractNum>
  <w:abstractNum w:abstractNumId="58">
    <w:nsid w:val="7FB7E0AA"/>
    <w:multiLevelType w:val="hybridMultilevel"/>
    <w:lvl w:ilvl="0">
      <w:lvlJc w:val="left"/>
      <w:lvlText w:val="%1."/>
      <w:numFmt w:val="decimal"/>
      <w:start w:val="3"/>
    </w:lvl>
  </w:abstractNum>
  <w:abstractNum w:abstractNumId="59">
    <w:nsid w:val="6EB5BD4"/>
    <w:multiLevelType w:val="hybridMultilevel"/>
    <w:lvl w:ilvl="0">
      <w:lvlJc w:val="left"/>
      <w:lvlText w:val="%1."/>
      <w:numFmt w:val="decimal"/>
      <w:start w:val="4"/>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1."/>
      <w:numFmt w:val="decimal"/>
      <w:start w:val="5"/>
    </w:lvl>
  </w:abstractNum>
  <w:abstractNum w:abstractNumId="62">
    <w:nsid w:val="885E1B"/>
    <w:multiLevelType w:val="hybridMultilevel"/>
    <w:lvl w:ilvl="0">
      <w:lvlJc w:val="left"/>
      <w:lvlText w:val="%1."/>
      <w:numFmt w:val="decimal"/>
      <w:start w:val="6"/>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2"/>
    </w:lvl>
  </w:abstractNum>
  <w:abstractNum w:abstractNumId="65">
    <w:nsid w:val="1716703B"/>
    <w:multiLevelType w:val="hybridMultilevel"/>
    <w:lvl w:ilvl="0">
      <w:lvlJc w:val="left"/>
      <w:lvlText w:val="(%1)"/>
      <w:numFmt w:val="lowerLetter"/>
      <w:start w:val="3"/>
    </w:lvl>
  </w:abstractNum>
  <w:abstractNum w:abstractNumId="66">
    <w:nsid w:val="14E17E33"/>
    <w:multiLevelType w:val="hybridMultilevel"/>
    <w:lvl w:ilvl="0">
      <w:lvlJc w:val="left"/>
      <w:lvlText w:val="(%1)"/>
      <w:numFmt w:val="lowerLetter"/>
      <w:start w:val="4"/>
    </w:lvl>
  </w:abstractNum>
  <w:abstractNum w:abstractNumId="67">
    <w:nsid w:val="3222E7CD"/>
    <w:multiLevelType w:val="hybridMultilevel"/>
    <w:lvl w:ilvl="0">
      <w:lvlJc w:val="left"/>
      <w:lvlText w:val="%1."/>
      <w:numFmt w:val="decimal"/>
      <w:start w:val="7"/>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2"/>
    </w:lvl>
  </w:abstractNum>
  <w:abstractNum w:abstractNumId="70">
    <w:nsid w:val="2DF6D648"/>
    <w:multiLevelType w:val="hybridMultilevel"/>
    <w:lvl w:ilvl="0">
      <w:lvlJc w:val="left"/>
      <w:lvlText w:val="%1."/>
      <w:numFmt w:val="decimal"/>
      <w:start w:val="8"/>
    </w:lvl>
  </w:abstractNum>
  <w:abstractNum w:abstractNumId="71">
    <w:nsid w:val="46B7D447"/>
    <w:multiLevelType w:val="hybridMultilevel"/>
    <w:lvl w:ilvl="0">
      <w:lvlJc w:val="left"/>
      <w:lvlText w:val="%1"/>
      <w:numFmt w:val="upperLetter"/>
      <w:start w:val="61"/>
    </w:lvl>
  </w:abstractNum>
  <w:abstractNum w:abstractNumId="72">
    <w:nsid w:val="4A2AC315"/>
    <w:multiLevelType w:val="hybridMultilevel"/>
    <w:lvl w:ilvl="0">
      <w:lvlJc w:val="left"/>
      <w:lvlText w:val="%1."/>
      <w:numFmt w:val="decimal"/>
      <w:start w:val="9"/>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2"/>
    </w:lvl>
  </w:abstractNum>
  <w:abstractNum w:abstractNumId="75">
    <w:nsid w:val="CC1016F"/>
    <w:multiLevelType w:val="hybridMultilevel"/>
    <w:lvl w:ilvl="0">
      <w:lvlJc w:val="left"/>
      <w:lvlText w:val="(%1)"/>
      <w:numFmt w:val="lowerLetter"/>
      <w:start w:val="3"/>
    </w:lvl>
  </w:abstractNum>
  <w:abstractNum w:abstractNumId="76">
    <w:nsid w:val="43F18422"/>
    <w:multiLevelType w:val="hybridMultilevel"/>
    <w:lvl w:ilvl="0">
      <w:lvlJc w:val="left"/>
      <w:lvlText w:val="%1."/>
      <w:numFmt w:val="decimal"/>
      <w:start w:val="10"/>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lowerLetter"/>
      <w:start w:val="2"/>
    </w:lvl>
  </w:abstractNum>
  <w:abstractNum w:abstractNumId="79">
    <w:nsid w:val="7F01579B"/>
    <w:multiLevelType w:val="hybridMultilevel"/>
    <w:lvl w:ilvl="0">
      <w:lvlJc w:val="left"/>
      <w:lvlText w:val="(%1)"/>
      <w:numFmt w:val="lowerLetter"/>
      <w:start w:val="3"/>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lowerLetter"/>
      <w:start w:val="4"/>
    </w:lvl>
  </w:abstractNum>
  <w:abstractNum w:abstractNumId="83">
    <w:nsid w:val="50801EE1"/>
    <w:multiLevelType w:val="hybridMultilevel"/>
    <w:lvl w:ilvl="0">
      <w:lvlJc w:val="left"/>
      <w:lvlText w:val="(%1)"/>
      <w:numFmt w:val="lowerLetter"/>
      <w:start w:val="5"/>
    </w:lvl>
  </w:abstractNum>
  <w:abstractNum w:abstractNumId="84">
    <w:nsid w:val="488AC1A"/>
    <w:multiLevelType w:val="hybridMultilevel"/>
    <w:lvl w:ilvl="0">
      <w:lvlJc w:val="left"/>
      <w:lvlText w:val="(%1)"/>
      <w:numFmt w:val="lowerLetter"/>
      <w:start w:val="6"/>
    </w:lvl>
  </w:abstractNum>
  <w:abstractNum w:abstractNumId="85">
    <w:nsid w:val="5FB8011C"/>
    <w:multiLevelType w:val="hybridMultilevel"/>
    <w:lvl w:ilvl="0">
      <w:lvlJc w:val="left"/>
      <w:lvlText w:val="(%1)"/>
      <w:numFmt w:val="lowerLetter"/>
      <w:start w:val="7"/>
    </w:lvl>
  </w:abstractNum>
  <w:abstractNum w:abstractNumId="86">
    <w:nsid w:val="6AA78F7F"/>
    <w:multiLevelType w:val="hybridMultilevel"/>
    <w:lvl w:ilvl="0">
      <w:lvlJc w:val="left"/>
      <w:lvlText w:val="%1."/>
      <w:numFmt w:val="decimal"/>
      <w:start w:val="11"/>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Letter"/>
      <w:start w:val="2"/>
    </w:lvl>
  </w:abstractNum>
  <w:abstractNum w:abstractNumId="89">
    <w:nsid w:val="6A5F7029"/>
    <w:multiLevelType w:val="hybridMultilevel"/>
    <w:lvl w:ilvl="0">
      <w:lvlJc w:val="left"/>
      <w:lvlText w:val="(%1)"/>
      <w:numFmt w:val="lowerLetter"/>
      <w:start w:val="3"/>
    </w:lvl>
  </w:abstractNum>
  <w:abstractNum w:abstractNumId="90">
    <w:nsid w:val="7D5E18F8"/>
    <w:multiLevelType w:val="hybridMultilevel"/>
    <w:lvl w:ilvl="0">
      <w:lvlJc w:val="left"/>
      <w:lvlText w:val="(%1)"/>
      <w:numFmt w:val="lowerLetter"/>
      <w:start w:val="4"/>
    </w:lvl>
  </w:abstractNum>
  <w:abstractNum w:abstractNumId="91">
    <w:nsid w:val="5F3534A4"/>
    <w:multiLevelType w:val="hybridMultilevel"/>
    <w:lvl w:ilvl="0">
      <w:lvlJc w:val="left"/>
      <w:lvlText w:val="(%1)"/>
      <w:numFmt w:val="lowerLetter"/>
      <w:start w:val="5"/>
    </w:lvl>
  </w:abstractNum>
  <w:abstractNum w:abstractNumId="92">
    <w:nsid w:val="73A1821B"/>
    <w:multiLevelType w:val="hybridMultilevel"/>
    <w:lvl w:ilvl="0">
      <w:lvlJc w:val="left"/>
      <w:lvlText w:val="%1."/>
      <w:numFmt w:val="decimal"/>
      <w:start w:val="12"/>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2"/>
    </w:lvl>
  </w:abstractNum>
  <w:abstractNum w:abstractNumId="95">
    <w:nsid w:val="3FA62ACA"/>
    <w:multiLevelType w:val="hybridMultilevel"/>
    <w:lvl w:ilvl="0">
      <w:lvlJc w:val="left"/>
      <w:lvlText w:val="(%1)"/>
      <w:numFmt w:val="lowerLetter"/>
      <w:start w:val="3"/>
    </w:lvl>
  </w:abstractNum>
  <w:abstractNum w:abstractNumId="96">
    <w:nsid w:val="14FCE74E"/>
    <w:multiLevelType w:val="hybridMultilevel"/>
    <w:lvl w:ilvl="0">
      <w:lvlJc w:val="left"/>
      <w:lvlText w:val="(%1)"/>
      <w:numFmt w:val="lowerLetter"/>
      <w:start w:val="4"/>
    </w:lvl>
  </w:abstractNum>
  <w:abstractNum w:abstractNumId="97">
    <w:nsid w:val="6A3DD3E8"/>
    <w:multiLevelType w:val="hybridMultilevel"/>
    <w:lvl w:ilvl="0">
      <w:lvlJc w:val="left"/>
      <w:lvlText w:val="(%1)"/>
      <w:numFmt w:val="lowerLetter"/>
      <w:start w:val="5"/>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2"/>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decimal"/>
      <w:start w:val="2"/>
    </w:lvl>
  </w:abstractNum>
  <w:abstractNum w:abstractNumId="102">
    <w:nsid w:val="5092CA79"/>
    <w:multiLevelType w:val="hybridMultilevel"/>
    <w:lvl w:ilvl="0">
      <w:lvlJc w:val="left"/>
      <w:lvlText w:val="%1."/>
      <w:numFmt w:val="decimal"/>
      <w:start w:val="3"/>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2"/>
    </w:lvl>
  </w:abstractNum>
  <w:abstractNum w:abstractNumId="105">
    <w:nsid w:val="288F1A34"/>
    <w:multiLevelType w:val="hybridMultilevel"/>
    <w:lvl w:ilvl="0">
      <w:lvlJc w:val="left"/>
      <w:lvlText w:val="☐"/>
      <w:numFmt w:val="bullet"/>
      <w:start w:val="1"/>
    </w:lvl>
    <w:lvl w:ilvl="1">
      <w:lvlJc w:val="left"/>
      <w:lvlText w:val="(%2)"/>
      <w:numFmt w:val="decimal"/>
      <w:start w:val="3"/>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13" Type="http://schemas.openxmlformats.org/officeDocument/2006/relationships/hyperlink" Target="https://www.sec.gov/Archives/edgar/data/0001468748/000156459018029743/kod-ex31_303.htm" TargetMode="External"/><Relationship Id="rId314" Type="http://schemas.openxmlformats.org/officeDocument/2006/relationships/hyperlink" Target="https://www.sec.gov/Archives/edgar/data/0001468748/000156459018029743/kod-ex32_302.htm" TargetMode="External"/><Relationship Id="rId315" Type="http://schemas.openxmlformats.org/officeDocument/2006/relationships/hyperlink" Target="https://www.sec.gov/Archives/edgar/data/0001468748/000119312518280419/d516071dex41.htm" TargetMode="External"/><Relationship Id="rId316" Type="http://schemas.openxmlformats.org/officeDocument/2006/relationships/hyperlink" Target="https://www.sec.gov/Archives/edgar/data/0001468748/000119312518280419/d516071dex42.htm" TargetMode="External"/><Relationship Id="rId317" Type="http://schemas.openxmlformats.org/officeDocument/2006/relationships/hyperlink" Target="https://www.sec.gov/Archives/edgar/data/0001468748/000119312518269221/d516071dex45.htm" TargetMode="External"/><Relationship Id="rId318" Type="http://schemas.openxmlformats.org/officeDocument/2006/relationships/hyperlink" Target="https://www.sec.gov/Archives/edgar/data/1468748/000156459020011186/kod-ex46_599.htm" TargetMode="External"/><Relationship Id="rId319" Type="http://schemas.openxmlformats.org/officeDocument/2006/relationships/hyperlink" Target="https://www.sec.gov/Archives/edgar/data/1468748/000156459021009946/kod-ex47_8.htm" TargetMode="External"/><Relationship Id="rId320" Type="http://schemas.openxmlformats.org/officeDocument/2006/relationships/hyperlink" Target="https://www.sec.gov/Archives/edgar/data/0001468748/000119312518280419/d516071dex101.htm" TargetMode="External"/><Relationship Id="rId321" Type="http://schemas.openxmlformats.org/officeDocument/2006/relationships/hyperlink" Target="https://www.sec.gov/Archives/edgar/data/0001468748/000119312518269221/d516071dex102.htm" TargetMode="External"/><Relationship Id="rId322" Type="http://schemas.openxmlformats.org/officeDocument/2006/relationships/hyperlink" Target="https://www.sec.gov/Archives/edgar/data/0001468748/000119312518269221/d516071dex103.htm" TargetMode="External"/><Relationship Id="rId323" Type="http://schemas.openxmlformats.org/officeDocument/2006/relationships/hyperlink" Target="https://www.sec.gov/Archives/edgar/data/0001468748/000119312518269221/d516071dex104.htm" TargetMode="External"/><Relationship Id="rId324" Type="http://schemas.openxmlformats.org/officeDocument/2006/relationships/hyperlink" Target="https://www.sec.gov/Archives/edgar/data/0001468748/000119312518269221/d516071dex105.htm" TargetMode="External"/><Relationship Id="rId325" Type="http://schemas.openxmlformats.org/officeDocument/2006/relationships/hyperlink" Target="https://www.sec.gov/Archives/edgar/data/0001468748/000119312518280419/d516071dex106.htm" TargetMode="External"/><Relationship Id="rId326" Type="http://schemas.openxmlformats.org/officeDocument/2006/relationships/hyperlink" Target="https://www.sec.gov/Archives/edgar/data/0001468748/000119312518280419/d516071dex107.htm" TargetMode="External"/><Relationship Id="rId327" Type="http://schemas.openxmlformats.org/officeDocument/2006/relationships/hyperlink" Target="https://www.sec.gov/Archives/edgar/data/0001468748/000119312518280419/d516071dex108.htm" TargetMode="External"/><Relationship Id="rId328" Type="http://schemas.openxmlformats.org/officeDocument/2006/relationships/hyperlink" Target="https://www.sec.gov/Archives/edgar/data/0001468748/000119312518280419/d516071dex109.htm" TargetMode="External"/><Relationship Id="rId331" Type="http://schemas.openxmlformats.org/officeDocument/2006/relationships/hyperlink" Target="https://www.sec.gov/Archives/edgar/data/0001468748/000119312518280419/d516071dex1010.htm" TargetMode="External"/><Relationship Id="rId332" Type="http://schemas.openxmlformats.org/officeDocument/2006/relationships/hyperlink" Target="https://www.sec.gov/Archives/edgar/data/0001468748/000119312518280419/d516071dex1011.htm" TargetMode="External"/><Relationship Id="rId333" Type="http://schemas.openxmlformats.org/officeDocument/2006/relationships/hyperlink" Target="https://www.sec.gov/Archives/edgar/data/0001468748/000119312518280419/d516071dex1012.htm" TargetMode="External"/><Relationship Id="rId334" Type="http://schemas.openxmlformats.org/officeDocument/2006/relationships/hyperlink" Target="https://www.sec.gov/Archives/edgar/data/0001468748/000119312518280419/d516071dex1015.htm" TargetMode="External"/><Relationship Id="rId335" Type="http://schemas.openxmlformats.org/officeDocument/2006/relationships/hyperlink" Target="https://www.sec.gov/Archives/edgar/data/0001468748/000119312519303683/d814017dex101.htm" TargetMode="External"/><Relationship Id="rId336" Type="http://schemas.openxmlformats.org/officeDocument/2006/relationships/hyperlink" Target="https://www.sec.gov/Archives/edgar/data/1468748/000156459020038897/kod-ex101_1339.htm" TargetMode="External"/><Relationship Id="rId337" Type="http://schemas.openxmlformats.org/officeDocument/2006/relationships/hyperlink" Target="https://www.sec.gov/Archives/edgar/data/1468748/000156459020038897/kod-ex102_1338.htm" TargetMode="External"/><Relationship Id="rId338" Type="http://schemas.openxmlformats.org/officeDocument/2006/relationships/hyperlink" Target="https://www.sec.gov/Archives/edgar/data/0001468748/000095017021000510/kod-20210721ex10_1.htm" TargetMode="External"/><Relationship Id="rId339" Type="http://schemas.openxmlformats.org/officeDocument/2006/relationships/hyperlink" Target="https://www.sec.gov/Archives/edgar/data/1468748/000095017021003800/kod-ex10_1.htm" TargetMode="External"/><Relationship Id="rId342" Type="http://schemas.openxmlformats.org/officeDocument/2006/relationships/hyperlink" Target="https://www.sec.gov/ix?doc=/Archives/edgar/data/0001468748/000095017024038025/kod-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2025-03-27T15:57:06Z</dcterms:created>
  <dcterms:modified xsi:type="dcterms:W3CDTF">2025-03-27T15:57:06Z</dcterms:modified>
</cp:coreProperties>
</file>