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Kodiak Sciences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001-38682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27-0476525</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1250 Page Mill Road</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Palo Alto, CA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94304</w:t>
      </w:r>
    </w:p>
    <w:p>
      <w:pPr>
        <w:spacing w:after="0" w:line="43"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00"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281-0850</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KOD</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June 2, 2026, Kodiak Sciences Inc. (the “Company”) held its 2026 Annual Meeting of Stockholders (the “Annual Meeting”). At the Annual Meeting, proxies representing 55,026,544 shares of the Company’s common stock, or 88.53% of the total shares entitled to vote, were present and voted on the following proposals, which are described in more detail in the Company’s definitive proxy statement filed with the United States Securities and Exchange Commission on April 22, 2026:</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One – Election of Class II Directors.</w:t>
      </w:r>
    </w:p>
    <w:p>
      <w:pPr>
        <w:spacing w:after="0" w:line="119"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The following nominees were each elected as a Class II director to serve until the 2029 annual meeting of stockholders or until his or her successor is duly elected and qualified.</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193"/>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32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260" w:type="dxa"/>
            <w:vAlign w:val="bottom"/>
          </w:tcPr>
          <w:p>
            <w:pPr>
              <w:spacing w:after="0"/>
              <w:rPr>
                <w:sz w:val="16"/>
                <w:szCs w:val="16"/>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1380" w:type="dxa"/>
            <w:vAlign w:val="bottom"/>
            <w:gridSpan w:val="2"/>
          </w:tcPr>
          <w:p>
            <w:pPr>
              <w:jc w:val="center"/>
              <w:ind w:left="156"/>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3"/>
        </w:trPr>
        <w:tc>
          <w:tcPr>
            <w:tcW w:w="38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Charles A. Bancroft</w:t>
            </w:r>
          </w:p>
        </w:tc>
        <w:tc>
          <w:tcPr>
            <w:tcW w:w="2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38,940,529</w:t>
            </w: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10,560,815</w:t>
            </w:r>
          </w:p>
        </w:tc>
        <w:tc>
          <w:tcPr>
            <w:tcW w:w="2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5,525,200</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Bassil I. Dahiyat, Ph.D.</w:t>
            </w:r>
          </w:p>
        </w:tc>
        <w:tc>
          <w:tcPr>
            <w:tcW w:w="2960" w:type="dxa"/>
            <w:vAlign w:val="bottom"/>
            <w:gridSpan w:val="2"/>
          </w:tcPr>
          <w:p>
            <w:pPr>
              <w:jc w:val="center"/>
              <w:ind w:left="2050"/>
              <w:spacing w:after="0"/>
              <w:rPr>
                <w:sz w:val="20"/>
                <w:szCs w:val="20"/>
                <w:color w:val="auto"/>
              </w:rPr>
            </w:pPr>
            <w:r>
              <w:rPr>
                <w:rFonts w:ascii="Times New Roman" w:cs="Times New Roman" w:eastAsia="Times New Roman" w:hAnsi="Times New Roman"/>
                <w:sz w:val="18"/>
                <w:szCs w:val="18"/>
                <w:color w:val="auto"/>
              </w:rPr>
              <w:t>48,843,144</w:t>
            </w:r>
          </w:p>
        </w:tc>
        <w:tc>
          <w:tcPr>
            <w:tcW w:w="10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658,200</w:t>
            </w:r>
          </w:p>
        </w:tc>
        <w:tc>
          <w:tcPr>
            <w:tcW w:w="1380" w:type="dxa"/>
            <w:vAlign w:val="bottom"/>
            <w:gridSpan w:val="2"/>
          </w:tcPr>
          <w:p>
            <w:pPr>
              <w:jc w:val="center"/>
              <w:ind w:left="176"/>
              <w:spacing w:after="0"/>
              <w:rPr>
                <w:sz w:val="20"/>
                <w:szCs w:val="20"/>
                <w:color w:val="auto"/>
              </w:rPr>
            </w:pPr>
            <w:r>
              <w:rPr>
                <w:rFonts w:ascii="Times New Roman" w:cs="Times New Roman" w:eastAsia="Times New Roman" w:hAnsi="Times New Roman"/>
                <w:sz w:val="18"/>
                <w:szCs w:val="18"/>
                <w:color w:val="auto"/>
                <w:w w:val="99"/>
              </w:rPr>
              <w:t>5,525,200</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Taiyin Yang, Ph.D.</w:t>
            </w:r>
          </w:p>
        </w:tc>
        <w:tc>
          <w:tcPr>
            <w:tcW w:w="2960" w:type="dxa"/>
            <w:vAlign w:val="bottom"/>
            <w:gridSpan w:val="2"/>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rPr>
              <w:t>49,192,610</w:t>
            </w:r>
          </w:p>
        </w:tc>
        <w:tc>
          <w:tcPr>
            <w:tcW w:w="108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308,734</w:t>
            </w:r>
          </w:p>
        </w:tc>
        <w:tc>
          <w:tcPr>
            <w:tcW w:w="1380" w:type="dxa"/>
            <w:vAlign w:val="bottom"/>
            <w:gridSpan w:val="2"/>
            <w:shd w:val="clear" w:color="auto" w:fill="CCEEFF"/>
          </w:tcPr>
          <w:p>
            <w:pPr>
              <w:jc w:val="center"/>
              <w:ind w:left="176"/>
              <w:spacing w:after="0"/>
              <w:rPr>
                <w:sz w:val="20"/>
                <w:szCs w:val="20"/>
                <w:color w:val="auto"/>
              </w:rPr>
            </w:pPr>
            <w:r>
              <w:rPr>
                <w:rFonts w:ascii="Times New Roman" w:cs="Times New Roman" w:eastAsia="Times New Roman" w:hAnsi="Times New Roman"/>
                <w:sz w:val="18"/>
                <w:szCs w:val="18"/>
                <w:color w:val="auto"/>
                <w:w w:val="99"/>
              </w:rPr>
              <w:t>5,525,200</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Two – Advisory Approval of the Compensation of Named Executive Officers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compensation of the Company’s named executive officers was approved, on an advisory basis, by the stockholders.</w:t>
      </w:r>
    </w:p>
    <w:p>
      <w:pPr>
        <w:spacing w:after="0" w:line="246" w:lineRule="exact"/>
        <w:rPr>
          <w:sz w:val="20"/>
          <w:szCs w:val="20"/>
          <w:color w:val="auto"/>
        </w:rPr>
      </w:pPr>
    </w:p>
    <w:tbl>
      <w:tblPr>
        <w:tblLayout w:type="fixed"/>
        <w:tblInd w:w="880" w:type="dxa"/>
        <w:tblCellMar>
          <w:top w:w="0" w:type="dxa"/>
          <w:left w:w="0" w:type="dxa"/>
          <w:bottom w:w="0" w:type="dxa"/>
          <w:right w:w="0" w:type="dxa"/>
        </w:tblCellMar>
      </w:tblP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8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2220" w:type="dxa"/>
            <w:vAlign w:val="bottom"/>
            <w:tcBorders>
              <w:top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49,157,143</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323,196</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21,005</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5,525,200</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Three – Ratification of the Appointment of Independent Registered Public Accounting Firm</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appointment of PricewaterhouseCoopers LLP as the Company’s independent registered public accounting firm for the Company’s fiscal year ending December 31, 2026 was ratified.</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0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2220" w:type="dxa"/>
            <w:vAlign w:val="bottom"/>
            <w:tcBorders>
              <w:top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54,716,676</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52,962</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256,906</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ectPr>
          <w:pgSz w:w="11900" w:h="16838" w:orient="portrait"/>
          <w:cols w:equalWidth="0" w:num="1">
            <w:col w:w="10960"/>
          </w:cols>
          <w:pgMar w:left="440" w:top="293" w:right="49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Victor Perlroth, M.D.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2026-06-04T16:36:08Z</dcterms:created>
  <dcterms:modified xsi:type="dcterms:W3CDTF">2026-06-04T16:36:08Z</dcterms:modified>
</cp:coreProperties>
</file>