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3" w:lineRule="exact"/>
        <w:rPr>
          <w:rFonts w:ascii="MS PGothic" w:cs="MS PGothic" w:eastAsia="MS PGothic" w:hAnsi="MS PGothic"/>
          <w:sz w:val="16"/>
          <w:szCs w:val="16"/>
          <w:color w:val="auto"/>
          <w:highlight w:val="black"/>
        </w:rPr>
      </w:pPr>
    </w:p>
    <w:p>
      <w:pPr>
        <w:ind w:left="424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fiscal year ended December 31, 2021</w:t>
      </w:r>
    </w:p>
    <w:p>
      <w:pPr>
        <w:spacing w:after="0" w:line="12" w:lineRule="exact"/>
        <w:rPr>
          <w:rFonts w:ascii="MS PGothic" w:cs="MS PGothic" w:eastAsia="MS PGothic" w:hAnsi="MS PGothic"/>
          <w:sz w:val="16"/>
          <w:szCs w:val="16"/>
          <w:color w:val="auto"/>
          <w:highlight w:val="black"/>
        </w:rPr>
      </w:pPr>
    </w:p>
    <w:p>
      <w:pPr>
        <w:ind w:left="552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OR</w:t>
      </w:r>
    </w:p>
    <w:p>
      <w:pPr>
        <w:spacing w:after="0" w:line="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3" w:lineRule="exact"/>
        <w:rPr>
          <w:rFonts w:ascii="MS PGothic" w:cs="MS PGothic" w:eastAsia="MS PGothic" w:hAnsi="MS PGothic"/>
          <w:sz w:val="16"/>
          <w:szCs w:val="16"/>
          <w:color w:val="auto"/>
          <w:highlight w:val="black"/>
        </w:rPr>
      </w:pPr>
    </w:p>
    <w:p>
      <w:pPr>
        <w:ind w:left="390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transition period from __________ to _________</w:t>
      </w:r>
    </w:p>
    <w:p>
      <w:pPr>
        <w:spacing w:after="0" w:line="12" w:lineRule="exact"/>
        <w:rPr>
          <w:rFonts w:ascii="MS PGothic" w:cs="MS PGothic" w:eastAsia="MS PGothic" w:hAnsi="MS PGothic"/>
          <w:sz w:val="16"/>
          <w:szCs w:val="16"/>
          <w:color w:val="auto"/>
          <w:highlight w:val="black"/>
        </w:rPr>
      </w:pPr>
    </w:p>
    <w:p>
      <w:pPr>
        <w:ind w:left="448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Commission File Number: 001-38682</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38"/>
          <w:szCs w:val="38"/>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-266700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p>
      <w:pPr>
        <w:spacing w:after="0" w:line="4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1700"/>
        <w:spacing w:after="0"/>
        <w:rPr>
          <w:sz w:val="20"/>
          <w:szCs w:val="20"/>
          <w:color w:val="auto"/>
        </w:rPr>
      </w:pPr>
      <w:r>
        <w:rPr>
          <w:rFonts w:ascii="Arial" w:cs="Arial" w:eastAsia="Arial" w:hAnsi="Arial"/>
          <w:sz w:val="14"/>
          <w:szCs w:val="14"/>
          <w:b w:val="1"/>
          <w:bCs w:val="1"/>
          <w:color w:val="auto"/>
        </w:rPr>
        <w:t>Delaware</w:t>
      </w:r>
    </w:p>
    <w:p>
      <w:pPr>
        <w:spacing w:after="0" w:line="46"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27-0476525</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42" w:lineRule="exact"/>
        <w:rPr>
          <w:sz w:val="24"/>
          <w:szCs w:val="24"/>
          <w:color w:val="auto"/>
        </w:rPr>
      </w:pPr>
    </w:p>
    <w:p>
      <w:pPr>
        <w:sectPr>
          <w:pgSz w:w="11900" w:h="16838" w:orient="portrait"/>
          <w:cols w:equalWidth="0" w:num="2">
            <w:col w:w="7280" w:space="700"/>
            <w:col w:w="3240"/>
          </w:cols>
          <w:pgMar w:left="320" w:top="468" w:right="359" w:bottom="1440" w:gutter="0" w:footer="0" w:header="0"/>
          <w:type w:val="continuous"/>
        </w:sectPr>
      </w:pPr>
    </w:p>
    <w:p>
      <w:pPr>
        <w:jc w:val="center"/>
        <w:ind w:right="2120"/>
        <w:spacing w:after="0"/>
        <w:rPr>
          <w:sz w:val="20"/>
          <w:szCs w:val="20"/>
          <w:color w:val="auto"/>
        </w:rPr>
      </w:pPr>
      <w:r>
        <w:rPr>
          <w:rFonts w:ascii="Arial" w:cs="Arial" w:eastAsia="Arial" w:hAnsi="Arial"/>
          <w:sz w:val="14"/>
          <w:szCs w:val="14"/>
          <w:b w:val="1"/>
          <w:bCs w:val="1"/>
          <w:color w:val="auto"/>
        </w:rPr>
        <w:t>1200 Page Mill Road</w:t>
      </w:r>
    </w:p>
    <w:p>
      <w:pPr>
        <w:spacing w:after="0" w:line="17"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Palo Alto, CA</w:t>
      </w:r>
    </w:p>
    <w:p>
      <w:pPr>
        <w:spacing w:after="0" w:line="44" w:lineRule="exact"/>
        <w:rPr>
          <w:sz w:val="24"/>
          <w:szCs w:val="24"/>
          <w:color w:val="auto"/>
        </w:rPr>
      </w:pPr>
    </w:p>
    <w:p>
      <w:pPr>
        <w:ind w:left="17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2" w:lineRule="exact"/>
        <w:rPr>
          <w:sz w:val="24"/>
          <w:szCs w:val="24"/>
          <w:color w:val="auto"/>
        </w:rPr>
      </w:pPr>
    </w:p>
    <w:p>
      <w:pPr>
        <w:ind w:left="3560"/>
        <w:spacing w:after="0"/>
        <w:rPr>
          <w:sz w:val="20"/>
          <w:szCs w:val="20"/>
          <w:color w:val="auto"/>
        </w:rPr>
      </w:pPr>
      <w:r>
        <w:rPr>
          <w:rFonts w:ascii="Arial" w:cs="Arial" w:eastAsia="Arial" w:hAnsi="Arial"/>
          <w:sz w:val="12"/>
          <w:szCs w:val="12"/>
          <w:b w:val="1"/>
          <w:bCs w:val="1"/>
          <w:color w:val="auto"/>
        </w:rPr>
        <w:t>Registrant’s telephone number, including area code: (650) 281-0850</w:t>
      </w:r>
    </w:p>
    <w:p>
      <w:pPr>
        <w:spacing w:after="0" w:line="105"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2460"/>
        <w:spacing w:after="0"/>
        <w:rPr>
          <w:sz w:val="20"/>
          <w:szCs w:val="20"/>
          <w:color w:val="auto"/>
        </w:rPr>
      </w:pPr>
      <w:r>
        <w:rPr>
          <w:rFonts w:ascii="Arial" w:cs="Arial" w:eastAsia="Arial" w:hAnsi="Arial"/>
          <w:sz w:val="14"/>
          <w:szCs w:val="14"/>
          <w:b w:val="1"/>
          <w:bCs w:val="1"/>
          <w:color w:val="auto"/>
        </w:rPr>
        <w:t>94304</w:t>
      </w:r>
    </w:p>
    <w:p>
      <w:pPr>
        <w:spacing w:after="0" w:line="4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(Zip Code)</w:t>
      </w:r>
    </w:p>
    <w:p>
      <w:pPr>
        <w:spacing w:after="0" w:line="529" w:lineRule="exact"/>
        <w:rPr>
          <w:sz w:val="24"/>
          <w:szCs w:val="24"/>
          <w:color w:val="auto"/>
        </w:rPr>
      </w:pPr>
    </w:p>
    <w:p>
      <w:pPr>
        <w:sectPr>
          <w:pgSz w:w="11900" w:h="16838" w:orient="portrait"/>
          <w:cols w:equalWidth="0" w:num="2">
            <w:col w:w="7700" w:space="480"/>
            <w:col w:w="3040"/>
          </w:cols>
          <w:pgMar w:left="320" w:top="468" w:right="359" w:bottom="1440" w:gutter="0" w:footer="0" w:header="0"/>
          <w:type w:val="continuous"/>
        </w:sectPr>
      </w:pPr>
    </w:p>
    <w:p>
      <w:pPr>
        <w:ind w:left="1720"/>
        <w:spacing w:after="0"/>
        <w:tabs>
          <w:tab w:leader="none" w:pos="5040" w:val="left"/>
          <w:tab w:leader="none" w:pos="764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Symbol(s)</w:t>
      </w:r>
      <w:r>
        <w:rPr>
          <w:sz w:val="20"/>
          <w:szCs w:val="20"/>
          <w:color w:val="auto"/>
        </w:rPr>
        <w:tab/>
      </w:r>
      <w:r>
        <w:rPr>
          <w:rFonts w:ascii="Arial" w:cs="Arial" w:eastAsia="Arial" w:hAnsi="Arial"/>
          <w:sz w:val="12"/>
          <w:szCs w:val="12"/>
          <w:b w:val="1"/>
          <w:bCs w:val="1"/>
          <w:color w:val="auto"/>
        </w:rPr>
        <w:t>Name of each exchange on which registered</w:t>
      </w:r>
    </w:p>
    <w:p>
      <w:pPr>
        <w:spacing w:after="0" w:line="25" w:lineRule="exact"/>
        <w:rPr>
          <w:sz w:val="24"/>
          <w:szCs w:val="24"/>
          <w:color w:val="auto"/>
        </w:rPr>
      </w:pPr>
    </w:p>
    <w:p>
      <w:pPr>
        <w:ind w:left="1260"/>
        <w:spacing w:after="0"/>
        <w:tabs>
          <w:tab w:leader="none" w:pos="5460" w:val="left"/>
          <w:tab w:leader="none" w:pos="8080" w:val="left"/>
        </w:tabs>
        <w:rPr>
          <w:sz w:val="20"/>
          <w:szCs w:val="20"/>
          <w:color w:val="auto"/>
        </w:rPr>
      </w:pPr>
      <w:r>
        <w:rPr>
          <w:rFonts w:ascii="Arial" w:cs="Arial" w:eastAsia="Arial" w:hAnsi="Arial"/>
          <w:sz w:val="14"/>
          <w:szCs w:val="14"/>
          <w:color w:val="auto"/>
        </w:rPr>
        <w:t>Common stock, par value $0.0001</w:t>
      </w:r>
      <w:r>
        <w:rPr>
          <w:sz w:val="20"/>
          <w:szCs w:val="20"/>
          <w:color w:val="auto"/>
        </w:rPr>
        <w:tab/>
      </w:r>
      <w:r>
        <w:rPr>
          <w:rFonts w:ascii="Arial" w:cs="Arial" w:eastAsia="Arial" w:hAnsi="Arial"/>
          <w:sz w:val="14"/>
          <w:szCs w:val="14"/>
          <w:color w:val="auto"/>
        </w:rPr>
        <w:t>KOD</w:t>
      </w:r>
      <w:r>
        <w:rPr>
          <w:sz w:val="20"/>
          <w:szCs w:val="20"/>
          <w:color w:val="auto"/>
        </w:rPr>
        <w:tab/>
      </w:r>
      <w:r>
        <w:rPr>
          <w:rFonts w:ascii="Arial" w:cs="Arial" w:eastAsia="Arial" w:hAnsi="Arial"/>
          <w:sz w:val="13"/>
          <w:szCs w:val="13"/>
          <w:color w:val="auto"/>
        </w:rPr>
        <w:t>The Nasdaq Stock Market LLC</w:t>
      </w:r>
    </w:p>
    <w:p>
      <w:pPr>
        <w:spacing w:after="0" w:line="31"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ind w:left="38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ind w:left="38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20" w:firstLine="374"/>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37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374"/>
        <w:spacing w:after="0" w:line="22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48"/>
        </w:trPr>
        <w:tc>
          <w:tcPr>
            <w:tcW w:w="1980" w:type="dxa"/>
            <w:vAlign w:val="bottom"/>
          </w:tcPr>
          <w:p>
            <w:pPr>
              <w:spacing w:after="0" w:line="148" w:lineRule="exact"/>
              <w:rPr>
                <w:sz w:val="20"/>
                <w:szCs w:val="20"/>
                <w:color w:val="auto"/>
              </w:rPr>
            </w:pPr>
            <w:r>
              <w:rPr>
                <w:rFonts w:ascii="Arial" w:cs="Arial" w:eastAsia="Arial" w:hAnsi="Arial"/>
                <w:sz w:val="14"/>
                <w:szCs w:val="14"/>
                <w:color w:val="auto"/>
              </w:rPr>
              <w:t>Large accelerated filer</w:t>
            </w:r>
          </w:p>
        </w:tc>
        <w:tc>
          <w:tcPr>
            <w:tcW w:w="35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ind w:left="2760"/>
              <w:spacing w:after="0" w:line="148" w:lineRule="exact"/>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2"/>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ind w:left="276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6"/>
        </w:trPr>
        <w:tc>
          <w:tcPr>
            <w:tcW w:w="19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860" w:type="dxa"/>
            <w:vAlign w:val="bottom"/>
          </w:tcPr>
          <w:p>
            <w:pPr>
              <w:ind w:left="276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180" w:firstLine="374"/>
        <w:spacing w:after="0" w:line="16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374"/>
        <w:spacing w:after="0" w:line="16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3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374"/>
        <w:spacing w:after="0" w:line="255" w:lineRule="auto"/>
        <w:rPr>
          <w:sz w:val="20"/>
          <w:szCs w:val="20"/>
          <w:color w:val="auto"/>
        </w:rPr>
      </w:pPr>
      <w:r>
        <w:rPr>
          <w:rFonts w:ascii="Arial" w:cs="Arial" w:eastAsia="Arial" w:hAnsi="Arial"/>
          <w:sz w:val="12"/>
          <w:szCs w:val="12"/>
          <w:color w:val="auto"/>
        </w:rPr>
        <w:t>The aggregate market value of the common stock held by non-affiliates of the registrant, based on the closing price of a share of the registrant’s common stock on June 30, 2021 as reported by the Nasdaq Global Market on such date, was approximately $3.1 billion.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ind w:left="380"/>
        <w:spacing w:after="0"/>
        <w:rPr>
          <w:sz w:val="20"/>
          <w:szCs w:val="20"/>
          <w:color w:val="auto"/>
        </w:rPr>
      </w:pPr>
      <w:r>
        <w:rPr>
          <w:rFonts w:ascii="Arial" w:cs="Arial" w:eastAsia="Arial" w:hAnsi="Arial"/>
          <w:sz w:val="14"/>
          <w:szCs w:val="14"/>
          <w:color w:val="auto"/>
        </w:rPr>
        <w:t>As of February 18, 2022, the registrant had 51,934,500 shares of common stock, $0.0001 par value per share, outstanding.</w:t>
      </w:r>
    </w:p>
    <w:p>
      <w:pPr>
        <w:spacing w:after="0" w:line="15"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6" w:lineRule="exact"/>
        <w:rPr>
          <w:sz w:val="24"/>
          <w:szCs w:val="24"/>
          <w:color w:val="auto"/>
        </w:rPr>
      </w:pPr>
    </w:p>
    <w:p>
      <w:pPr>
        <w:ind w:right="140" w:firstLine="374"/>
        <w:spacing w:after="0" w:line="250" w:lineRule="auto"/>
        <w:rPr>
          <w:sz w:val="20"/>
          <w:szCs w:val="20"/>
          <w:color w:val="auto"/>
        </w:rPr>
      </w:pPr>
      <w:r>
        <w:rPr>
          <w:rFonts w:ascii="Arial" w:cs="Arial" w:eastAsia="Arial" w:hAnsi="Arial"/>
          <w:sz w:val="13"/>
          <w:szCs w:val="13"/>
          <w:color w:val="auto"/>
        </w:rPr>
        <w:t>Portions of the registrant’s definitive Proxy Statement relating to the 2022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 for the Fiscal Year Ended December 31, 2021</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0" w:type="dxa"/>
            <w:vAlign w:val="bottom"/>
          </w:tcPr>
          <w:p>
            <w:pPr>
              <w:spacing w:after="0"/>
              <w:rPr>
                <w:sz w:val="16"/>
                <w:szCs w:val="16"/>
                <w:color w:val="auto"/>
              </w:rPr>
            </w:pPr>
          </w:p>
        </w:tc>
        <w:tc>
          <w:tcPr>
            <w:tcW w:w="9100" w:type="dxa"/>
            <w:vAlign w:val="bottom"/>
            <w:gridSpan w:val="28"/>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Special Note Regarding Forward-Looking Statements</w:t>
              </w:r>
            </w:hyperlink>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100" w:type="dxa"/>
            <w:vAlign w:val="bottom"/>
            <w:gridSpan w:val="28"/>
            <w:vMerge w:val="continue"/>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83"/>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388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Risk Factor Summary</w:t>
              </w:r>
            </w:hyperlink>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195"/>
        </w:trPr>
        <w:tc>
          <w:tcPr>
            <w:tcW w:w="1200" w:type="dxa"/>
            <w:vAlign w:val="bottom"/>
            <w:vMerge w:val="continue"/>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9100" w:type="dxa"/>
            <w:vAlign w:val="bottom"/>
            <w:gridSpan w:val="28"/>
          </w:tcPr>
          <w:p>
            <w:pPr>
              <w:spacing w:after="0" w:line="190" w:lineRule="exact"/>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9100" w:type="dxa"/>
            <w:vAlign w:val="bottom"/>
            <w:gridSpan w:val="28"/>
          </w:tcPr>
          <w:p>
            <w:pPr>
              <w:spacing w:after="0" w:line="182" w:lineRule="exact"/>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900" w:type="dxa"/>
            <w:vAlign w:val="bottom"/>
            <w:tcBorders>
              <w:top w:val="single" w:sz="8" w:color="0000FF"/>
            </w:tcBorders>
            <w:gridSpan w:val="4"/>
          </w:tcPr>
          <w:p>
            <w:pPr>
              <w:spacing w:after="0" w:line="182" w:lineRule="exact"/>
              <w:rPr>
                <w:rFonts w:ascii="Arial" w:cs="Arial" w:eastAsia="Arial" w:hAnsi="Arial"/>
                <w:sz w:val="18"/>
                <w:szCs w:val="18"/>
                <w:color w:val="0000FF"/>
                <w:w w:val="96"/>
              </w:rPr>
            </w:pPr>
            <w:hyperlink w:anchor="page76">
              <w:r>
                <w:rPr>
                  <w:rFonts w:ascii="Arial" w:cs="Arial" w:eastAsia="Arial" w:hAnsi="Arial"/>
                  <w:sz w:val="18"/>
                  <w:szCs w:val="18"/>
                  <w:color w:val="0000FF"/>
                  <w:w w:val="96"/>
                </w:rPr>
                <w:t>Unresolved</w:t>
              </w:r>
            </w:hyperlink>
          </w:p>
        </w:tc>
        <w:tc>
          <w:tcPr>
            <w:tcW w:w="20" w:type="dxa"/>
            <w:vAlign w:val="bottom"/>
            <w:tcBorders>
              <w:top w:val="single" w:sz="8" w:color="0000EE"/>
            </w:tcBorders>
          </w:tcPr>
          <w:p>
            <w:pPr>
              <w:spacing w:after="0"/>
              <w:rPr>
                <w:sz w:val="15"/>
                <w:szCs w:val="15"/>
                <w:color w:val="auto"/>
              </w:rPr>
            </w:pPr>
          </w:p>
        </w:tc>
        <w:tc>
          <w:tcPr>
            <w:tcW w:w="8180" w:type="dxa"/>
            <w:vAlign w:val="bottom"/>
            <w:gridSpan w:val="23"/>
          </w:tcPr>
          <w:p>
            <w:pPr>
              <w:spacing w:after="0" w:line="182" w:lineRule="exact"/>
              <w:rPr>
                <w:rFonts w:ascii="Arial" w:cs="Arial" w:eastAsia="Arial" w:hAnsi="Arial"/>
                <w:sz w:val="18"/>
                <w:szCs w:val="18"/>
                <w:color w:val="0000FF"/>
              </w:rPr>
            </w:pPr>
            <w:hyperlink w:anchor="page76">
              <w:r>
                <w:rPr>
                  <w:rFonts w:ascii="Arial" w:cs="Arial" w:eastAsia="Arial" w:hAnsi="Arial"/>
                  <w:sz w:val="18"/>
                  <w:szCs w:val="18"/>
                  <w:color w:val="0000FF"/>
                </w:rPr>
                <w:t>Staff Comments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7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7"/>
              </w:rPr>
            </w:pPr>
            <w:hyperlink w:anchor="page76">
              <w:r>
                <w:rPr>
                  <w:rFonts w:ascii="Arial" w:cs="Arial" w:eastAsia="Arial" w:hAnsi="Arial"/>
                  <w:sz w:val="18"/>
                  <w:szCs w:val="18"/>
                  <w:color w:val="0000FF"/>
                  <w:w w:val="87"/>
                </w:rPr>
                <w:t>Properties</w:t>
              </w:r>
            </w:hyperlink>
          </w:p>
        </w:tc>
        <w:tc>
          <w:tcPr>
            <w:tcW w:w="1280" w:type="dxa"/>
            <w:vAlign w:val="bottom"/>
            <w:tcBorders>
              <w:top w:val="single" w:sz="8" w:color="0000FF"/>
            </w:tcBorders>
            <w:gridSpan w:val="11"/>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7"/>
          </w:tcPr>
          <w:p>
            <w:pPr>
              <w:spacing w:after="0" w:line="182" w:lineRule="exact"/>
              <w:rPr>
                <w:rFonts w:ascii="Arial" w:cs="Arial" w:eastAsia="Arial" w:hAnsi="Arial"/>
                <w:sz w:val="18"/>
                <w:szCs w:val="18"/>
                <w:color w:val="0000FF"/>
                <w:w w:val="88"/>
              </w:rPr>
            </w:pPr>
            <w:hyperlink w:anchor="page76">
              <w:r>
                <w:rPr>
                  <w:rFonts w:ascii="Arial" w:cs="Arial" w:eastAsia="Arial" w:hAnsi="Arial"/>
                  <w:sz w:val="18"/>
                  <w:szCs w:val="18"/>
                  <w:color w:val="0000FF"/>
                  <w:w w:val="88"/>
                </w:rPr>
                <w:t>Legal Proceedings</w:t>
              </w:r>
            </w:hyperlink>
          </w:p>
        </w:tc>
        <w:tc>
          <w:tcPr>
            <w:tcW w:w="20" w:type="dxa"/>
            <w:vAlign w:val="bottom"/>
            <w:tcBorders>
              <w:bottom w:val="single" w:sz="8" w:color="0000EE"/>
            </w:tcBorders>
          </w:tcPr>
          <w:p>
            <w:pPr>
              <w:spacing w:after="0"/>
              <w:rPr>
                <w:sz w:val="15"/>
                <w:szCs w:val="15"/>
                <w:color w:val="auto"/>
              </w:rPr>
            </w:pPr>
          </w:p>
        </w:tc>
        <w:tc>
          <w:tcPr>
            <w:tcW w:w="7740" w:type="dxa"/>
            <w:vAlign w:val="bottom"/>
            <w:gridSpan w:val="20"/>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9100" w:type="dxa"/>
            <w:vAlign w:val="bottom"/>
            <w:gridSpan w:val="28"/>
          </w:tcPr>
          <w:p>
            <w:pPr>
              <w:spacing w:after="0" w:line="182" w:lineRule="exact"/>
              <w:rPr>
                <w:rFonts w:ascii="Arial" w:cs="Arial" w:eastAsia="Arial" w:hAnsi="Arial"/>
                <w:sz w:val="18"/>
                <w:szCs w:val="18"/>
                <w:color w:val="0000FF"/>
              </w:rPr>
            </w:pPr>
            <w:hyperlink w:anchor="page76">
              <w:r>
                <w:rPr>
                  <w:rFonts w:ascii="Arial" w:cs="Arial" w:eastAsia="Arial" w:hAnsi="Arial"/>
                  <w:sz w:val="18"/>
                  <w:szCs w:val="18"/>
                  <w:color w:val="0000FF"/>
                </w:rPr>
                <w:t>Mine Safety Disclosures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5"/>
        </w:trPr>
        <w:tc>
          <w:tcPr>
            <w:tcW w:w="1200" w:type="dxa"/>
            <w:vAlign w:val="bottom"/>
          </w:tcPr>
          <w:p>
            <w:pPr>
              <w:spacing w:after="0" w:line="195" w:lineRule="exact"/>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9100" w:type="dxa"/>
            <w:vAlign w:val="bottom"/>
            <w:gridSpan w:val="28"/>
          </w:tcPr>
          <w:p>
            <w:pPr>
              <w:spacing w:after="0" w:line="190" w:lineRule="exact"/>
              <w:rPr>
                <w:rFonts w:ascii="Arial" w:cs="Arial" w:eastAsia="Arial" w:hAnsi="Arial"/>
                <w:sz w:val="18"/>
                <w:szCs w:val="18"/>
                <w:color w:val="0000FF"/>
              </w:rPr>
            </w:pPr>
            <w:hyperlink w:anchor="page77">
              <w:r>
                <w:rPr>
                  <w:rFonts w:ascii="Arial" w:cs="Arial" w:eastAsia="Arial" w:hAnsi="Arial"/>
                  <w:sz w:val="18"/>
                  <w:szCs w:val="18"/>
                  <w:color w:val="0000FF"/>
                </w:rPr>
                <w:t>Market for Registrant’s Common Equity, Related Stockholders Matters and Issuer Purchases of Equity Securities</w:t>
              </w:r>
            </w:hyperlink>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6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5"/>
              </w:rPr>
            </w:pPr>
            <w:hyperlink w:anchor="page77">
              <w:r>
                <w:rPr>
                  <w:rFonts w:ascii="Arial" w:cs="Arial" w:eastAsia="Arial" w:hAnsi="Arial"/>
                  <w:sz w:val="18"/>
                  <w:szCs w:val="18"/>
                  <w:color w:val="0000FF"/>
                  <w:w w:val="85"/>
                </w:rPr>
                <w:t>Reserved</w:t>
              </w:r>
            </w:hyperlink>
          </w:p>
        </w:tc>
        <w:tc>
          <w:tcPr>
            <w:tcW w:w="80" w:type="dxa"/>
            <w:vAlign w:val="bottom"/>
            <w:tcBorders>
              <w:top w:val="single" w:sz="8" w:color="0000FF"/>
              <w:bottom w:val="single" w:sz="8" w:color="0000EE"/>
            </w:tcBorders>
          </w:tcPr>
          <w:p>
            <w:pPr>
              <w:spacing w:after="0"/>
              <w:rPr>
                <w:sz w:val="15"/>
                <w:szCs w:val="15"/>
                <w:color w:val="auto"/>
              </w:rPr>
            </w:pPr>
          </w:p>
        </w:tc>
        <w:tc>
          <w:tcPr>
            <w:tcW w:w="7380" w:type="dxa"/>
            <w:vAlign w:val="bottom"/>
            <w:tcBorders>
              <w:top w:val="single" w:sz="8" w:color="0000FF"/>
            </w:tcBorders>
            <w:gridSpan w:val="24"/>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7.</w:t>
            </w:r>
          </w:p>
        </w:tc>
        <w:tc>
          <w:tcPr>
            <w:tcW w:w="9100" w:type="dxa"/>
            <w:vAlign w:val="bottom"/>
            <w:gridSpan w:val="28"/>
          </w:tcPr>
          <w:p>
            <w:pPr>
              <w:spacing w:after="0" w:line="182" w:lineRule="exact"/>
              <w:rPr>
                <w:rFonts w:ascii="Arial" w:cs="Arial" w:eastAsia="Arial" w:hAnsi="Arial"/>
                <w:sz w:val="18"/>
                <w:szCs w:val="18"/>
                <w:color w:val="0000FF"/>
              </w:rPr>
            </w:pPr>
            <w:hyperlink w:anchor="page78">
              <w:r>
                <w:rPr>
                  <w:rFonts w:ascii="Arial" w:cs="Arial" w:eastAsia="Arial" w:hAnsi="Arial"/>
                  <w:sz w:val="18"/>
                  <w:szCs w:val="18"/>
                  <w:color w:val="0000FF"/>
                </w:rPr>
                <w:t>Management’s Discussion and Analysis of Financial Condition and Results of Operations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w:anchor="page87">
              <w:r>
                <w:rPr>
                  <w:rFonts w:ascii="Arial" w:cs="Arial" w:eastAsia="Arial" w:hAnsi="Arial"/>
                  <w:sz w:val="18"/>
                  <w:szCs w:val="18"/>
                  <w:color w:val="0000FF"/>
                </w:rPr>
                <w:t>Quantitative and Qualitative Disclosures About Market Risk</w:t>
              </w:r>
            </w:hyperlink>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4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Financial Statements and Supplementary Data</w:t>
              </w:r>
            </w:hyperlink>
          </w:p>
        </w:tc>
        <w:tc>
          <w:tcPr>
            <w:tcW w:w="20" w:type="dxa"/>
            <w:vAlign w:val="bottom"/>
            <w:tcBorders>
              <w:top w:val="single" w:sz="8" w:color="0000FF"/>
              <w:bottom w:val="single" w:sz="8" w:color="0000EE"/>
            </w:tcBorders>
          </w:tcPr>
          <w:p>
            <w:pPr>
              <w:spacing w:after="0"/>
              <w:rPr>
                <w:sz w:val="15"/>
                <w:szCs w:val="15"/>
                <w:color w:val="auto"/>
              </w:rPr>
            </w:pPr>
          </w:p>
        </w:tc>
        <w:tc>
          <w:tcPr>
            <w:tcW w:w="1000" w:type="dxa"/>
            <w:vAlign w:val="bottom"/>
            <w:tcBorders>
              <w:top w:val="single" w:sz="8" w:color="0000FF"/>
            </w:tcBorders>
            <w:gridSpan w:val="3"/>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74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9.</w:t>
            </w:r>
          </w:p>
        </w:tc>
        <w:tc>
          <w:tcPr>
            <w:tcW w:w="9100" w:type="dxa"/>
            <w:vAlign w:val="bottom"/>
            <w:gridSpan w:val="28"/>
          </w:tcPr>
          <w:p>
            <w:pPr>
              <w:spacing w:after="0" w:line="182" w:lineRule="exact"/>
              <w:rPr>
                <w:rFonts w:ascii="Arial" w:cs="Arial" w:eastAsia="Arial" w:hAnsi="Arial"/>
                <w:sz w:val="18"/>
                <w:szCs w:val="18"/>
                <w:color w:val="0000FF"/>
              </w:rPr>
            </w:pPr>
            <w:hyperlink w:anchor="page115">
              <w:r>
                <w:rPr>
                  <w:rFonts w:ascii="Arial" w:cs="Arial" w:eastAsia="Arial" w:hAnsi="Arial"/>
                  <w:sz w:val="18"/>
                  <w:szCs w:val="18"/>
                  <w:color w:val="0000FF"/>
                </w:rPr>
                <w:t>Changes in and Disagreements With Accountants on Accounting and Financial Disclosures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9A.</w:t>
            </w:r>
          </w:p>
        </w:tc>
        <w:tc>
          <w:tcPr>
            <w:tcW w:w="65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w:anchor="page115">
              <w:r>
                <w:rPr>
                  <w:rFonts w:ascii="Arial" w:cs="Arial" w:eastAsia="Arial" w:hAnsi="Arial"/>
                  <w:sz w:val="18"/>
                  <w:szCs w:val="18"/>
                  <w:color w:val="0000FF"/>
                </w:rPr>
                <w:t>Controls and Procedures</w:t>
              </w:r>
            </w:hyperlink>
          </w:p>
        </w:tc>
        <w:tc>
          <w:tcPr>
            <w:tcW w:w="780" w:type="dxa"/>
            <w:vAlign w:val="bottom"/>
          </w:tcPr>
          <w:p>
            <w:pPr>
              <w:spacing w:after="0"/>
              <w:rPr>
                <w:sz w:val="15"/>
                <w:szCs w:val="15"/>
                <w:color w:val="auto"/>
              </w:rPr>
            </w:pPr>
          </w:p>
        </w:tc>
        <w:tc>
          <w:tcPr>
            <w:tcW w:w="174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2"/>
              </w:rPr>
            </w:pPr>
            <w:hyperlink w:anchor="page115">
              <w:r>
                <w:rPr>
                  <w:rFonts w:ascii="Arial" w:cs="Arial" w:eastAsia="Arial" w:hAnsi="Arial"/>
                  <w:sz w:val="18"/>
                  <w:szCs w:val="18"/>
                  <w:color w:val="0000FF"/>
                  <w:w w:val="92"/>
                </w:rPr>
                <w:t>Other Information</w:t>
              </w:r>
            </w:hyperlink>
          </w:p>
        </w:tc>
        <w:tc>
          <w:tcPr>
            <w:tcW w:w="20" w:type="dxa"/>
            <w:vAlign w:val="bottom"/>
            <w:tcBorders>
              <w:top w:val="single" w:sz="8" w:color="0000FF"/>
              <w:bottom w:val="single" w:sz="8" w:color="0000EE"/>
            </w:tcBorders>
          </w:tcPr>
          <w:p>
            <w:pPr>
              <w:spacing w:after="0"/>
              <w:rPr>
                <w:sz w:val="15"/>
                <w:szCs w:val="15"/>
                <w:color w:val="auto"/>
              </w:rPr>
            </w:pPr>
          </w:p>
        </w:tc>
        <w:tc>
          <w:tcPr>
            <w:tcW w:w="44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4"/>
          </w:tcPr>
          <w:p>
            <w:pPr>
              <w:spacing w:after="0"/>
              <w:rPr>
                <w:sz w:val="15"/>
                <w:szCs w:val="15"/>
                <w:color w:val="auto"/>
              </w:rPr>
            </w:pPr>
          </w:p>
        </w:tc>
        <w:tc>
          <w:tcPr>
            <w:tcW w:w="8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900" w:type="dxa"/>
            <w:vAlign w:val="bottom"/>
            <w:gridSpan w:val="3"/>
          </w:tcPr>
          <w:p>
            <w:pPr>
              <w:spacing w:after="0"/>
              <w:rPr>
                <w:sz w:val="15"/>
                <w:szCs w:val="15"/>
                <w:color w:val="auto"/>
              </w:rPr>
            </w:pPr>
          </w:p>
        </w:tc>
        <w:tc>
          <w:tcPr>
            <w:tcW w:w="174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9C.</w:t>
            </w:r>
          </w:p>
        </w:tc>
        <w:tc>
          <w:tcPr>
            <w:tcW w:w="9100" w:type="dxa"/>
            <w:vAlign w:val="bottom"/>
            <w:gridSpan w:val="28"/>
          </w:tcPr>
          <w:p>
            <w:pPr>
              <w:spacing w:after="0" w:line="182" w:lineRule="exact"/>
              <w:rPr>
                <w:rFonts w:ascii="Arial" w:cs="Arial" w:eastAsia="Arial" w:hAnsi="Arial"/>
                <w:sz w:val="18"/>
                <w:szCs w:val="18"/>
                <w:color w:val="0000FF"/>
              </w:rPr>
            </w:pPr>
            <w:hyperlink w:anchor="page115">
              <w:r>
                <w:rPr>
                  <w:rFonts w:ascii="Arial" w:cs="Arial" w:eastAsia="Arial" w:hAnsi="Arial"/>
                  <w:sz w:val="18"/>
                  <w:szCs w:val="18"/>
                  <w:color w:val="0000FF"/>
                </w:rPr>
                <w:t>Disclosure Regarding Foreign Jurisdictions that Prevent Inspections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5"/>
        </w:trPr>
        <w:tc>
          <w:tcPr>
            <w:tcW w:w="1200" w:type="dxa"/>
            <w:vAlign w:val="bottom"/>
          </w:tcPr>
          <w:p>
            <w:pPr>
              <w:spacing w:after="0" w:line="195" w:lineRule="exact"/>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9100" w:type="dxa"/>
            <w:vAlign w:val="bottom"/>
            <w:gridSpan w:val="28"/>
          </w:tcPr>
          <w:p>
            <w:pPr>
              <w:spacing w:after="0" w:line="190" w:lineRule="exact"/>
              <w:rPr>
                <w:rFonts w:ascii="Arial" w:cs="Arial" w:eastAsia="Arial" w:hAnsi="Arial"/>
                <w:sz w:val="18"/>
                <w:szCs w:val="18"/>
                <w:color w:val="0000FF"/>
              </w:rPr>
            </w:pPr>
            <w:hyperlink w:anchor="page116">
              <w:r>
                <w:rPr>
                  <w:rFonts w:ascii="Arial" w:cs="Arial" w:eastAsia="Arial" w:hAnsi="Arial"/>
                  <w:sz w:val="18"/>
                  <w:szCs w:val="18"/>
                  <w:color w:val="0000FF"/>
                </w:rPr>
                <w:t>Directors, Executive Officers and Corporate Governance</w:t>
              </w:r>
            </w:hyperlink>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w:anchor="page116">
              <w:r>
                <w:rPr>
                  <w:rFonts w:ascii="Arial" w:cs="Arial" w:eastAsia="Arial" w:hAnsi="Arial"/>
                  <w:sz w:val="18"/>
                  <w:szCs w:val="18"/>
                  <w:color w:val="0000FF"/>
                </w:rPr>
                <w:t>Executive Compensation</w:t>
              </w:r>
            </w:hyperlink>
          </w:p>
        </w:tc>
        <w:tc>
          <w:tcPr>
            <w:tcW w:w="1360" w:type="dxa"/>
            <w:vAlign w:val="bottom"/>
            <w:gridSpan w:val="3"/>
          </w:tcPr>
          <w:p>
            <w:pPr>
              <w:spacing w:after="0"/>
              <w:rPr>
                <w:sz w:val="15"/>
                <w:szCs w:val="15"/>
                <w:color w:val="auto"/>
              </w:rPr>
            </w:pPr>
          </w:p>
        </w:tc>
        <w:tc>
          <w:tcPr>
            <w:tcW w:w="1900" w:type="dxa"/>
            <w:vAlign w:val="bottom"/>
            <w:gridSpan w:val="3"/>
          </w:tcPr>
          <w:p>
            <w:pPr>
              <w:spacing w:after="0"/>
              <w:rPr>
                <w:sz w:val="15"/>
                <w:szCs w:val="15"/>
                <w:color w:val="auto"/>
              </w:rPr>
            </w:pPr>
          </w:p>
        </w:tc>
        <w:tc>
          <w:tcPr>
            <w:tcW w:w="174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12.</w:t>
            </w:r>
          </w:p>
        </w:tc>
        <w:tc>
          <w:tcPr>
            <w:tcW w:w="18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116">
              <w:r>
                <w:rPr>
                  <w:rFonts w:ascii="Arial" w:cs="Arial" w:eastAsia="Arial" w:hAnsi="Arial"/>
                  <w:sz w:val="18"/>
                  <w:szCs w:val="18"/>
                  <w:color w:val="0000FF"/>
                </w:rPr>
                <w:t>Security Ownership of</w:t>
              </w:r>
            </w:hyperlink>
          </w:p>
        </w:tc>
        <w:tc>
          <w:tcPr>
            <w:tcW w:w="20" w:type="dxa"/>
            <w:vAlign w:val="bottom"/>
            <w:tcBorders>
              <w:top w:val="single" w:sz="8" w:color="0000EE"/>
            </w:tcBorders>
          </w:tcPr>
          <w:p>
            <w:pPr>
              <w:spacing w:after="0"/>
              <w:rPr>
                <w:sz w:val="15"/>
                <w:szCs w:val="15"/>
                <w:color w:val="auto"/>
              </w:rPr>
            </w:pPr>
          </w:p>
        </w:tc>
        <w:tc>
          <w:tcPr>
            <w:tcW w:w="7280" w:type="dxa"/>
            <w:vAlign w:val="bottom"/>
            <w:gridSpan w:val="15"/>
          </w:tcPr>
          <w:p>
            <w:pPr>
              <w:spacing w:after="0" w:line="182" w:lineRule="exact"/>
              <w:rPr>
                <w:rFonts w:ascii="Arial" w:cs="Arial" w:eastAsia="Arial" w:hAnsi="Arial"/>
                <w:sz w:val="18"/>
                <w:szCs w:val="18"/>
                <w:color w:val="0000FF"/>
              </w:rPr>
            </w:pPr>
            <w:hyperlink w:anchor="page116">
              <w:r>
                <w:rPr>
                  <w:rFonts w:ascii="Arial" w:cs="Arial" w:eastAsia="Arial" w:hAnsi="Arial"/>
                  <w:sz w:val="18"/>
                  <w:szCs w:val="18"/>
                  <w:color w:val="0000FF"/>
                </w:rPr>
                <w:t>Certain Beneficial Owners and Management and Related Stockholders Matters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2"/>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736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w:anchor="page116">
              <w:r>
                <w:rPr>
                  <w:rFonts w:ascii="Arial" w:cs="Arial" w:eastAsia="Arial" w:hAnsi="Arial"/>
                  <w:sz w:val="18"/>
                  <w:szCs w:val="18"/>
                  <w:color w:val="0000FF"/>
                </w:rPr>
                <w:t>Certain Relationships and Related Transactions, and Director Independence</w:t>
              </w:r>
            </w:hyperlink>
          </w:p>
        </w:tc>
        <w:tc>
          <w:tcPr>
            <w:tcW w:w="174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w:anchor="page116">
              <w:r>
                <w:rPr>
                  <w:rFonts w:ascii="Arial" w:cs="Arial" w:eastAsia="Arial" w:hAnsi="Arial"/>
                  <w:sz w:val="18"/>
                  <w:szCs w:val="18"/>
                  <w:color w:val="0000FF"/>
                </w:rPr>
                <w:t>Principal Accountant Fees and Services</w:t>
              </w:r>
            </w:hyperlink>
          </w:p>
        </w:tc>
        <w:tc>
          <w:tcPr>
            <w:tcW w:w="3640" w:type="dxa"/>
            <w:vAlign w:val="bottom"/>
            <w:gridSpan w:val="5"/>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5"/>
        </w:trPr>
        <w:tc>
          <w:tcPr>
            <w:tcW w:w="1200" w:type="dxa"/>
            <w:vAlign w:val="bottom"/>
          </w:tcPr>
          <w:p>
            <w:pPr>
              <w:spacing w:after="0" w:line="195" w:lineRule="exact"/>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9100" w:type="dxa"/>
            <w:vAlign w:val="bottom"/>
            <w:gridSpan w:val="28"/>
          </w:tcPr>
          <w:p>
            <w:pPr>
              <w:spacing w:after="0" w:line="190" w:lineRule="exact"/>
              <w:rPr>
                <w:rFonts w:ascii="Arial" w:cs="Arial" w:eastAsia="Arial" w:hAnsi="Arial"/>
                <w:sz w:val="18"/>
                <w:szCs w:val="18"/>
                <w:color w:val="0000FF"/>
              </w:rPr>
            </w:pPr>
            <w:hyperlink w:anchor="page117">
              <w:r>
                <w:rPr>
                  <w:rFonts w:ascii="Arial" w:cs="Arial" w:eastAsia="Arial" w:hAnsi="Arial"/>
                  <w:sz w:val="18"/>
                  <w:szCs w:val="18"/>
                  <w:color w:val="0000FF"/>
                </w:rPr>
                <w:t>Exhibits and Financial Statement Schedules</w:t>
              </w:r>
            </w:hyperlink>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3"/>
        </w:trPr>
        <w:tc>
          <w:tcPr>
            <w:tcW w:w="120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31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w:anchor="page119">
              <w:r>
                <w:rPr>
                  <w:rFonts w:ascii="Arial" w:cs="Arial" w:eastAsia="Arial" w:hAnsi="Arial"/>
                  <w:sz w:val="18"/>
                  <w:szCs w:val="18"/>
                  <w:color w:val="0000FF"/>
                </w:rPr>
                <w:t>Form 10-K Summary</w:t>
              </w:r>
            </w:hyperlink>
          </w:p>
        </w:tc>
        <w:tc>
          <w:tcPr>
            <w:tcW w:w="5940" w:type="dxa"/>
            <w:vAlign w:val="bottom"/>
            <w:gridSpan w:val="1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56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120">
              <w:r>
                <w:rPr>
                  <w:rFonts w:ascii="Arial" w:cs="Arial" w:eastAsia="Arial" w:hAnsi="Arial"/>
                  <w:sz w:val="18"/>
                  <w:szCs w:val="18"/>
                  <w:color w:val="0000FF"/>
                </w:rPr>
                <w:t>Signatures</w:t>
              </w:r>
            </w:hyperlink>
          </w:p>
        </w:tc>
        <w:tc>
          <w:tcPr>
            <w:tcW w:w="7540" w:type="dxa"/>
            <w:vAlign w:val="bottom"/>
            <w:gridSpan w:val="19"/>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94"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This Annual Report on Form 10-K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73" w:lineRule="exact"/>
        <w:rPr>
          <w:sz w:val="20"/>
          <w:szCs w:val="20"/>
          <w:color w:val="auto"/>
        </w:rPr>
      </w:pPr>
    </w:p>
    <w:p>
      <w:pPr>
        <w:ind w:right="80" w:firstLine="509"/>
        <w:spacing w:after="0" w:line="227" w:lineRule="auto"/>
        <w:rPr>
          <w:sz w:val="20"/>
          <w:szCs w:val="20"/>
          <w:color w:val="auto"/>
        </w:rPr>
      </w:pPr>
      <w:r>
        <w:rPr>
          <w:rFonts w:ascii="Arial" w:cs="Arial" w:eastAsia="Arial" w:hAnsi="Arial"/>
          <w:sz w:val="18"/>
          <w:szCs w:val="18"/>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titled “Risk Factors” and elsewhere in this Annual Report on Form 10-K. Forward-looking statements include, but are not limited to, statements about:</w:t>
      </w:r>
    </w:p>
    <w:p>
      <w:pPr>
        <w:spacing w:after="0" w:line="81"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03"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durability, efficacy and safety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portfolio of clinical trials planned for submission in our Biologics License Application, or BLA, of KSI-301;</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present clinical data across our pivotal trials for the remainder of 2022;</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Lonza’s ability to successfully execute on our manufacturing development plan;</w:t>
      </w:r>
    </w:p>
    <w:p>
      <w:pPr>
        <w:spacing w:after="0" w:line="103" w:lineRule="exact"/>
        <w:rPr>
          <w:rFonts w:ascii="Arial" w:cs="Arial" w:eastAsia="Arial" w:hAnsi="Arial"/>
          <w:sz w:val="18"/>
          <w:szCs w:val="18"/>
          <w:color w:val="auto"/>
        </w:rPr>
      </w:pPr>
    </w:p>
    <w:p>
      <w:pPr>
        <w:ind w:left="760" w:hanging="378"/>
        <w:spacing w:after="0" w:line="24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clinical trials that regulatory authorities may require to obtain marketing approval, including the order and number of clinical studies required to support a BLA in wet age-related macular degeneration, or wet AMD, diabetic macular edema, or DME, retinal vein occlusion, or RVO, and diabetic retinopathy, or DR;</w:t>
      </w:r>
    </w:p>
    <w:p>
      <w:pPr>
        <w:spacing w:after="0" w:line="73"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chemistry manufacturing and controls, or CMC, requirements of the United States Food and Drug Administration, or FDA, and other regulatory bodies to support our BLA submission and potential commercial launch;</w:t>
      </w:r>
    </w:p>
    <w:p>
      <w:pPr>
        <w:spacing w:after="0" w:line="62" w:lineRule="exact"/>
        <w:rPr>
          <w:rFonts w:ascii="Arial" w:cs="Arial" w:eastAsia="Arial" w:hAnsi="Arial"/>
          <w:sz w:val="18"/>
          <w:szCs w:val="18"/>
          <w:color w:val="auto"/>
        </w:rPr>
      </w:pPr>
    </w:p>
    <w:p>
      <w:pPr>
        <w:ind w:left="760" w:right="30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to achieve FDA approval of KSI-301 in wet AMD, DME, RVO and DR;</w:t>
      </w:r>
    </w:p>
    <w:p>
      <w:pPr>
        <w:spacing w:after="0" w:line="62"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03" w:lineRule="exact"/>
        <w:rPr>
          <w:rFonts w:ascii="Arial" w:cs="Arial" w:eastAsia="Arial" w:hAnsi="Arial"/>
          <w:sz w:val="18"/>
          <w:szCs w:val="18"/>
          <w:color w:val="auto"/>
        </w:rPr>
      </w:pPr>
    </w:p>
    <w:p>
      <w:pPr>
        <w:ind w:left="760" w:right="24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as to the concentration of retinal specialists in the United States and its impact on our sales and marketing plans;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enter into manufacturing-related commitments, and the timing thereof;</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if approved for commercial use, and our ability to serve those markets;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3" w:name="page4"/>
    <w:bookmarkEnd w:id="3"/>
    <w:p>
      <w:pPr>
        <w:ind w:left="760" w:right="34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03" w:lineRule="exact"/>
        <w:rPr>
          <w:rFonts w:ascii="Arial" w:cs="Arial" w:eastAsia="Arial" w:hAnsi="Arial"/>
          <w:sz w:val="18"/>
          <w:szCs w:val="18"/>
          <w:color w:val="auto"/>
        </w:rPr>
      </w:pPr>
    </w:p>
    <w:p>
      <w:pPr>
        <w:ind w:left="760" w:right="76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impact of the novel coronavirus, or COVID-19, pandemic on our business and operations, the business and operations of our collaborators, and on the global economy;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aspirational goals and objectives related to our human capital resources and workforce objectives;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03" w:lineRule="exact"/>
        <w:rPr>
          <w:rFonts w:ascii="Arial" w:cs="Arial" w:eastAsia="Arial" w:hAnsi="Arial"/>
          <w:sz w:val="18"/>
          <w:szCs w:val="18"/>
          <w:color w:val="auto"/>
        </w:rPr>
      </w:pPr>
    </w:p>
    <w:p>
      <w:pPr>
        <w:ind w:left="760" w:right="52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the sufficiency of our cash resources, expenses, future revenue, capital requirements and needs for additional financing;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All forward-looking statements are based on information available to us on the date of this Annual Report on Form 10-K and we will not update any of the forward-looking statements after the date of this Annual Report on Form 10-K, except as required by law.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Part I, Item 1A “Risk Factors” of this Annual Report on Form 10-K.</w:t>
      </w:r>
    </w:p>
    <w:p>
      <w:pPr>
        <w:spacing w:after="0" w:line="5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8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i w:val="1"/>
          <w:iCs w:val="1"/>
          <w:color w:val="auto"/>
        </w:rPr>
        <w:t>All brand names or trademarks appearing in this Annual Report on Form 10-K are the property of their respective holders. Unless the context requires otherwise, references in this Annual Report on Form 10-K to “Kodiak” the “Company,” “we,” “us,” and “our” refer to Kodiak Sciences Inc. and its subsidiaries.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 w:name="page5"/>
    <w:bookmarkEnd w:id="4"/>
    <w:p>
      <w:pPr>
        <w:ind w:left="476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firstLine="515"/>
        <w:spacing w:after="0" w:line="240" w:lineRule="exact"/>
        <w:rPr>
          <w:sz w:val="20"/>
          <w:szCs w:val="20"/>
          <w:color w:val="auto"/>
        </w:rPr>
      </w:pPr>
      <w:r>
        <w:rPr>
          <w:rFonts w:ascii="Arial" w:cs="Arial" w:eastAsia="Arial" w:hAnsi="Arial"/>
          <w:sz w:val="18"/>
          <w:szCs w:val="18"/>
          <w:color w:val="auto"/>
        </w:rPr>
        <w:t>Investing in our securities involves a high degree of risk. Below is a summary of material factors that make an investment in our securities speculative or risky. Importantly, this summary does not address all of the risks that we face. The below summary is qualified in its entirety by that more complete discussion of such risks and uncertainties. You should consider carefully the risks and uncertainties described under “Risk Factors” in Part I, Item 1A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07" w:lineRule="exact"/>
        <w:rPr>
          <w:sz w:val="20"/>
          <w:szCs w:val="20"/>
          <w:color w:val="auto"/>
        </w:rPr>
      </w:pPr>
    </w:p>
    <w:p>
      <w:pPr>
        <w:ind w:left="760" w:right="4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rFonts w:ascii="Arial" w:cs="Arial" w:eastAsia="Arial" w:hAnsi="Arial"/>
          <w:sz w:val="18"/>
          <w:szCs w:val="18"/>
          <w:color w:val="auto"/>
        </w:rPr>
      </w:pPr>
    </w:p>
    <w:p>
      <w:pPr>
        <w:ind w:left="760" w:right="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net losses in each period since our inception and anticipate that we will continue to incur significant and increasing net losses for the foreseeable future.</w:t>
      </w:r>
    </w:p>
    <w:p>
      <w:pPr>
        <w:spacing w:after="0" w:line="62" w:lineRule="exact"/>
        <w:rPr>
          <w:rFonts w:ascii="Arial" w:cs="Arial" w:eastAsia="Arial" w:hAnsi="Arial"/>
          <w:sz w:val="18"/>
          <w:szCs w:val="18"/>
          <w:color w:val="auto"/>
        </w:rPr>
      </w:pPr>
    </w:p>
    <w:p>
      <w:pPr>
        <w:ind w:left="760" w:right="54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prospects are heavily dependent on our KSI-301 product candidate, which is currently in clinical development for multiple indications.</w:t>
      </w:r>
    </w:p>
    <w:p>
      <w:pPr>
        <w:spacing w:after="0" w:line="115" w:lineRule="exact"/>
        <w:rPr>
          <w:rFonts w:ascii="Arial" w:cs="Arial" w:eastAsia="Arial" w:hAnsi="Arial"/>
          <w:sz w:val="17"/>
          <w:szCs w:val="17"/>
          <w:color w:val="auto"/>
        </w:rPr>
      </w:pPr>
    </w:p>
    <w:p>
      <w:pPr>
        <w:ind w:left="760" w:right="6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failure of KSI-301 in clinical development may require us to discontinue development of other product candidates based on our ABC Platform.</w:t>
      </w:r>
    </w:p>
    <w:p>
      <w:pPr>
        <w:spacing w:after="0" w:line="62"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62" w:lineRule="exact"/>
        <w:rPr>
          <w:rFonts w:ascii="Arial" w:cs="Arial" w:eastAsia="Arial" w:hAnsi="Arial"/>
          <w:sz w:val="18"/>
          <w:szCs w:val="18"/>
          <w:color w:val="auto"/>
        </w:rPr>
      </w:pPr>
    </w:p>
    <w:p>
      <w:pPr>
        <w:ind w:left="760" w:right="4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may not be able to conduct or complete our clinical trials on the timelines we expect, if at all.</w:t>
      </w:r>
    </w:p>
    <w:p>
      <w:pPr>
        <w:spacing w:after="0" w:line="62" w:lineRule="exact"/>
        <w:rPr>
          <w:rFonts w:ascii="Arial" w:cs="Arial" w:eastAsia="Arial" w:hAnsi="Arial"/>
          <w:sz w:val="18"/>
          <w:szCs w:val="18"/>
          <w:color w:val="auto"/>
        </w:rPr>
      </w:pPr>
    </w:p>
    <w:p>
      <w:pPr>
        <w:ind w:left="760" w:right="60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difficulties enrolling patients in our clinical trials, and our clinical development activities could thereby be delayed or otherwise adversely affected.</w:t>
      </w:r>
    </w:p>
    <w:p>
      <w:pPr>
        <w:spacing w:after="0" w:line="62" w:lineRule="exact"/>
        <w:rPr>
          <w:rFonts w:ascii="Arial" w:cs="Arial" w:eastAsia="Arial" w:hAnsi="Arial"/>
          <w:sz w:val="18"/>
          <w:szCs w:val="18"/>
          <w:color w:val="auto"/>
        </w:rPr>
      </w:pPr>
    </w:p>
    <w:p>
      <w:pPr>
        <w:ind w:left="760" w:right="40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62" w:lineRule="exact"/>
        <w:rPr>
          <w:rFonts w:ascii="Arial" w:cs="Arial" w:eastAsia="Arial" w:hAnsi="Arial"/>
          <w:sz w:val="18"/>
          <w:szCs w:val="18"/>
          <w:color w:val="auto"/>
        </w:rPr>
      </w:pPr>
    </w:p>
    <w:p>
      <w:pPr>
        <w:ind w:left="760" w:right="100" w:hanging="378"/>
        <w:spacing w:after="0" w:line="24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manufacture of our product candidates is highly complex and requires substantial lead time to produce.</w:t>
      </w:r>
    </w:p>
    <w:p>
      <w:pPr>
        <w:spacing w:after="0" w:line="103" w:lineRule="exact"/>
        <w:rPr>
          <w:rFonts w:ascii="Arial" w:cs="Arial" w:eastAsia="Arial" w:hAnsi="Arial"/>
          <w:sz w:val="18"/>
          <w:szCs w:val="18"/>
          <w:color w:val="auto"/>
        </w:rPr>
      </w:pPr>
    </w:p>
    <w:p>
      <w:pPr>
        <w:ind w:left="760" w:right="100" w:hanging="378"/>
        <w:spacing w:after="0" w:line="24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provide the information needed in the regulatory dossiers for our planned BLA filing, or our ability to supply our products for patients, if approved, could be delayed or stopped, or we may be unable to establish a commercially viable cost structure.</w:t>
      </w:r>
    </w:p>
    <w:p>
      <w:pPr>
        <w:spacing w:after="0" w:line="81" w:lineRule="exact"/>
        <w:rPr>
          <w:rFonts w:ascii="Arial" w:cs="Arial" w:eastAsia="Arial" w:hAnsi="Arial"/>
          <w:sz w:val="18"/>
          <w:szCs w:val="18"/>
          <w:color w:val="auto"/>
        </w:rPr>
      </w:pPr>
    </w:p>
    <w:p>
      <w:pPr>
        <w:ind w:left="760" w:right="24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3" w:lineRule="exact"/>
        <w:rPr>
          <w:rFonts w:ascii="Arial" w:cs="Arial" w:eastAsia="Arial" w:hAnsi="Arial"/>
          <w:sz w:val="18"/>
          <w:szCs w:val="18"/>
          <w:color w:val="auto"/>
        </w:rPr>
      </w:pPr>
    </w:p>
    <w:p>
      <w:pPr>
        <w:ind w:left="760" w:right="54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plan to conduct clinical trials for our product candidates outside the United States, and the FDA, EMA, NMPA and applicable foreign regulatory authorities may not accept data from such trials.</w:t>
      </w:r>
    </w:p>
    <w:p>
      <w:pPr>
        <w:spacing w:after="0" w:line="62" w:lineRule="exact"/>
        <w:rPr>
          <w:rFonts w:ascii="Arial" w:cs="Arial" w:eastAsia="Arial" w:hAnsi="Arial"/>
          <w:sz w:val="18"/>
          <w:szCs w:val="18"/>
          <w:color w:val="auto"/>
        </w:rPr>
      </w:pPr>
    </w:p>
    <w:p>
      <w:pPr>
        <w:ind w:left="760" w:right="22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 w:name="page6"/>
    <w:bookmarkEnd w:id="5"/>
    <w:p>
      <w:pPr>
        <w:ind w:left="380" w:right="360" w:hanging="378"/>
        <w:spacing w:after="0" w:line="324"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rFonts w:ascii="Arial" w:cs="Arial" w:eastAsia="Arial" w:hAnsi="Arial"/>
          <w:sz w:val="16"/>
          <w:szCs w:val="16"/>
          <w:color w:val="auto"/>
        </w:rPr>
      </w:pPr>
    </w:p>
    <w:p>
      <w:pPr>
        <w:ind w:left="380" w:right="360" w:hanging="378"/>
        <w:spacing w:after="0" w:line="324"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16" w:lineRule="exact"/>
        <w:rPr>
          <w:rFonts w:ascii="Arial" w:cs="Arial" w:eastAsia="Arial" w:hAnsi="Arial"/>
          <w:sz w:val="16"/>
          <w:szCs w:val="16"/>
          <w:color w:val="auto"/>
        </w:rPr>
      </w:pPr>
    </w:p>
    <w:p>
      <w:pPr>
        <w:ind w:left="380" w:right="20" w:hanging="378"/>
        <w:spacing w:after="0" w:line="248"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3" w:lineRule="exact"/>
        <w:rPr>
          <w:rFonts w:ascii="Arial" w:cs="Arial" w:eastAsia="Arial" w:hAnsi="Arial"/>
          <w:sz w:val="18"/>
          <w:szCs w:val="18"/>
          <w:color w:val="auto"/>
        </w:rPr>
      </w:pPr>
    </w:p>
    <w:p>
      <w:pPr>
        <w:ind w:left="380" w:right="400" w:hanging="378"/>
        <w:spacing w:after="0" w:line="291"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rFonts w:ascii="Arial" w:cs="Arial" w:eastAsia="Arial" w:hAnsi="Arial"/>
          <w:sz w:val="17"/>
          <w:szCs w:val="17"/>
          <w:color w:val="auto"/>
        </w:rPr>
      </w:pPr>
    </w:p>
    <w:p>
      <w:pPr>
        <w:ind w:left="38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rFonts w:ascii="Arial" w:cs="Arial" w:eastAsia="Arial" w:hAnsi="Arial"/>
          <w:sz w:val="18"/>
          <w:szCs w:val="18"/>
          <w:color w:val="auto"/>
        </w:rPr>
      </w:pPr>
    </w:p>
    <w:p>
      <w:pPr>
        <w:ind w:left="380" w:right="34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and other intellectual property rights, which could be expensive, time consuming and unsuccessful.</w:t>
      </w:r>
    </w:p>
    <w:p>
      <w:pPr>
        <w:spacing w:after="0" w:line="62" w:lineRule="exact"/>
        <w:rPr>
          <w:rFonts w:ascii="Arial" w:cs="Arial" w:eastAsia="Arial" w:hAnsi="Arial"/>
          <w:sz w:val="18"/>
          <w:szCs w:val="18"/>
          <w:color w:val="auto"/>
        </w:rPr>
      </w:pPr>
    </w:p>
    <w:p>
      <w:pPr>
        <w:ind w:left="38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380" w:right="40" w:hanging="378"/>
        <w:spacing w:after="0" w:line="257"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contract research organizations (“CROs”) or other third parties with whom we conduct business. Our manufacturers are also engaged in the manufacturing of COVID-19 vaccines and therapeutic treatments, and the success of and demand for these vaccines and therapeutic treatments means we and our programs are competing for scarce manufacturing resources.</w:t>
      </w:r>
    </w:p>
    <w:p>
      <w:pPr>
        <w:spacing w:after="0" w:line="17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436"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Since its founding in 2009, Kodiak Sciences Inc. (“Kodiak,” the “Company,” “we” or “our”) has developed a new technology platform for retinal medicines. Our goal is to prevent and treat the major causes of blindness by developing and commercializing next-generation therapeutics for chronic, high-prevalence retinal diseases.</w:t>
      </w:r>
    </w:p>
    <w:p>
      <w:pPr>
        <w:spacing w:after="0" w:line="7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Kodiak has progressed its lead investigational therapy, KSI-301, into six registrational clinical trials. The comprehensive clinical program targets high prevalence anti-vascular endothelial growth factor (“anti-VEGF”) dependent retinal diseases with clinical trials designed as a package to support a broad product label, which we hope will include the key diseases and the longest dosing intervals. KSI-301 is being developed to become a differentiated, long-interval therapy for use in many patients who may benefit from anti-VEGF therapy. At the same time, Kodiak is investing in commercial scale manufacturing. We aim to provide a pre-filled syringe early in commercialization, and are working actively towards this goal. We believe combining these ambitious clinical and manufacturing efforts sets the stage for potential market share capture when and if KSI-301 is approved.</w:t>
      </w:r>
    </w:p>
    <w:p>
      <w:pPr>
        <w:spacing w:after="0" w:line="54" w:lineRule="exact"/>
        <w:rPr>
          <w:sz w:val="20"/>
          <w:szCs w:val="20"/>
          <w:color w:val="auto"/>
        </w:rPr>
      </w:pPr>
    </w:p>
    <w:p>
      <w:pPr>
        <w:ind w:right="160" w:firstLine="509"/>
        <w:spacing w:after="0" w:line="236" w:lineRule="auto"/>
        <w:rPr>
          <w:sz w:val="20"/>
          <w:szCs w:val="20"/>
          <w:color w:val="auto"/>
        </w:rPr>
      </w:pPr>
      <w:r>
        <w:rPr>
          <w:rFonts w:ascii="Arial" w:cs="Arial" w:eastAsia="Arial" w:hAnsi="Arial"/>
          <w:sz w:val="17"/>
          <w:szCs w:val="17"/>
          <w:color w:val="auto"/>
        </w:rPr>
        <w:t>In addition, Kodiak is investing in its pipeline. The Company is progressing its Antibody Biopolymer Conjugate (“ABC”) Platform</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towards suboptimal anti-VEGF responder patients, a group estimated to be as large as 30% of treated patients, with its bispecific conjugate KSI-501. Beyond today’s anti-VEGF market, Kodiak’s new triplet medicines are being designed on its ABC Platform in an effort to bring new capabilities to treat the even higher prevalence retinal diseases of dry age-related macular degeneration (“AMD”) and glaucoma.</w:t>
      </w:r>
    </w:p>
    <w:p>
      <w:pPr>
        <w:spacing w:after="0" w:line="8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Notably, up to this point, Kodiak has retained all global rights to make, use and sell its product candidates, which we believe preserves future value and allows for agile decision-making.</w:t>
      </w:r>
    </w:p>
    <w:p>
      <w:pPr>
        <w:spacing w:after="0" w:line="63"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While engaged in these research and development efforts, we believe we have demonstrated a disciplined and creative approach to building and financing the company. As of December 31, 2021, we had $731.5 million in cash and cash equivalents.</w:t>
      </w:r>
    </w:p>
    <w:p>
      <w:pPr>
        <w:spacing w:after="0" w:line="6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objective is to develop our retina-focused product candidates, seek FDA and worldwide health authority marketing authorization approvals, and ultimately commercialize our product candidates.</w:t>
      </w:r>
    </w:p>
    <w:p>
      <w:pPr>
        <w:spacing w:after="0" w:line="63"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Following from these efforts, we believe Kodiak has the potential to achieve our ambition of becoming a significant incumbent retinal development and commercialization franchise on a global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Phase 2b/3 Pivotal Study in Wet AMD Top-line Readout</w:t>
      </w:r>
    </w:p>
    <w:p>
      <w:pPr>
        <w:spacing w:after="0" w:line="104"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auto"/>
        </w:rPr>
        <w:t>We recently announced top-line results from our randomized, double-masked, active comparator-controlled Phase 2b/3 clinical trial evaluating the efficacy, durability and safety of KSI-301, a novel antibody biopolymer conjugate, in treatment-naïve subjects with neovascular wet AMD.</w:t>
      </w:r>
    </w:p>
    <w:p>
      <w:pPr>
        <w:spacing w:after="0" w:line="1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trial randomized 559 participants, approximately 80% of whom were enrolled in the United States. The study had two treatment arms: KSI-301 5mg on a flexible long-interval regimen and aflibercept 2mg on a fixed short-interval regimen. In the study, three monthly loading doses were administered to all subjects at 0-, 4- and 8-weeks. Subjects on aflibercept were then treated at fixed two month intervals. Subjects on KSI-301 were assessed starting three months after the completion of the loading phase (i.e., beginning at 20 weeks) and, based on predefined disease activity criteria, were treated every three-, four-, or five-months. As a result, patients in the KSI-301 group did not receive dosing more frequently than every three months at any point in the study after the loading phase. The primary endpoint of the study was the average change in best-corrected visual acuity (“BCVA”) score (a measure of the best vision a person can achieve when reading letters on an eye chart, including with correction such as glasses) from baseline at year one. For the assessment of the primary efficacy endpoint, KSI-301 patients in all three groups (dosed every three, four or five months) were pooled together and their BCVA was compared as a group to the aflibercept group (dosed every two months).</w:t>
      </w:r>
    </w:p>
    <w:p>
      <w:pPr>
        <w:spacing w:after="0" w:line="76"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The results show that KSI-301 did not meet the primary efficacy endpoint of showing non-inferior visual acuity gains for subjects dosed on extended regimens compared to aflibercept given every eight weeks.</w:t>
      </w:r>
    </w:p>
    <w:p>
      <w:pPr>
        <w:spacing w:after="0" w:line="63"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A pre-specified secondary analysis at year 1 assessing durability showed 59% of patients in the KSI-301 arm achieved five-month dosing with visual acuity gains and anatomic improvements comparable to the overall aflibercept group.</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KSI-301 was well-tolerated in the study, with no new safety signals identified.</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 w:name="page8"/>
    <w:bookmarkEnd w:id="7"/>
    <w:p>
      <w:pPr>
        <w:ind w:firstLine="509"/>
        <w:spacing w:after="0" w:line="243" w:lineRule="auto"/>
        <w:rPr>
          <w:sz w:val="20"/>
          <w:szCs w:val="20"/>
          <w:color w:val="auto"/>
        </w:rPr>
      </w:pPr>
      <w:r>
        <w:rPr>
          <w:rFonts w:ascii="Arial" w:cs="Arial" w:eastAsia="Arial" w:hAnsi="Arial"/>
          <w:sz w:val="18"/>
          <w:szCs w:val="18"/>
          <w:color w:val="auto"/>
        </w:rPr>
        <w:t>Intraocular inflammation occurred in 3.2% of KSI-301 treated patients as compared to 0.0% of patients treated with aflibercept. In all cases reported in the Phase 2b/3 study, the clinical finding of inflammation resolved, and no cases of intraocular inflammation with vascular occlusions were observed. We believe that these safety data coupled with the safety observations across the ongoing Phase 3 studies continue to suggest a safety profile for KSI-301 comparable to today’s existing standard of care agents.</w:t>
      </w:r>
    </w:p>
    <w:p>
      <w:pPr>
        <w:spacing w:after="0" w:line="80"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We believe allowing treatment with KSI-301 no more often than every twelve weeks after the loading phase for every patient was insufficient. Nonetheless, we believe the results demonstrate a clear anti-VEGF effect, strong durability and a reassuring safety profile. We believe these data continue to support the potential of KSI-301 and our ABC Platform to significantly extend treatment intervals in retinal disorders in a safe and convenient manner.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Clinical Program Outlook</w:t>
      </w:r>
    </w:p>
    <w:p>
      <w:pPr>
        <w:spacing w:after="0" w:line="104"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We intend to continue advancing our ongoing pivotal studies of KSI-301 in all of the major retinal vascular disorders for which intravitreal anti-VEGF therapies are currently used, namely our Phase 3 pivotal study BEACON in retinal vein occlusion (“RVO”), our paired Phase 3 studies GLEAM/GLIMMER in diabetic macular edema (“DME”), our Phase 3 short-interval study DAYLIGHT in wet AMD, and our Phase 3 pivotal study GLOW in non-proliferative diabetic retinopathy without DME (“NPDR” without DME). Our BEACON study is expected to have the primary endpoint visit completed in all patients this coming June, with top-line data anticipated to follow shortly thereafter. For our GLEAM and GLIMMER studies in, as well as the DAYLIGHT study, we expect top-line data in the first half of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BEACON – Phase 3 Study in Patients with Treatment-Naïve Retinal Vein Occlusion (RVO)</w:t>
      </w:r>
    </w:p>
    <w:p>
      <w:pPr>
        <w:spacing w:after="0" w:line="104" w:lineRule="exact"/>
        <w:rPr>
          <w:sz w:val="20"/>
          <w:szCs w:val="20"/>
          <w:color w:val="auto"/>
        </w:rPr>
      </w:pPr>
    </w:p>
    <w:p>
      <w:pPr>
        <w:ind w:right="100" w:firstLine="509"/>
        <w:spacing w:after="0" w:line="272" w:lineRule="auto"/>
        <w:rPr>
          <w:sz w:val="20"/>
          <w:szCs w:val="20"/>
          <w:color w:val="auto"/>
        </w:rPr>
      </w:pPr>
      <w:r>
        <w:rPr>
          <w:rFonts w:ascii="Arial" w:cs="Arial" w:eastAsia="Arial" w:hAnsi="Arial"/>
          <w:sz w:val="16"/>
          <w:szCs w:val="16"/>
          <w:color w:val="auto"/>
        </w:rPr>
        <w:t>The Phase 3 BEACON study is a global, multi-center, randomized study designed to evaluate the durability, efficacy and safety of KSI-301 in patients with treatment-naïve macular edema due to retinal vein occlusion, including both branch and central subtypes. Patients are randomized 1:1 to a KSI-301 arm or an aflibercept arm. In the first six months, the KSI-301 arm is treated with a proactive, fixed regimen which includes two monthly loading doses and then every 8-week treatment (including treatment 4-weeks prior to the 24-week primary endpoint). In the first six months, the aflibercept arm is treated with a fixed monthly regimen, per its label. In the second six months, patients in both groups will receive treatment on an individualized basis per protocol-specified criteria. Following this, patients can continue to receive KSI-301 for an additional six months on an individualized basis. The study completed enrollment of over 550 patients worldwide in 2021. The primary endpoint is at six months, and patients will be treated and followed for 18 months. The last patient visit for the 24-week primary endpoint is expected in mid-June 2022 and we expect to announce top-line data in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GLEAM / GLIMMER – Paired Phase 3 Studies in Patients with Treatment-Naïve Diabetic Macular Edema (DME)</w:t>
      </w:r>
    </w:p>
    <w:p>
      <w:pPr>
        <w:spacing w:after="0" w:line="10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Phase 3 GLEAM and GLIMMER studies are global, multi-center, randomized pivotal studies designed to evaluate the durability, efficacy and safety of KSI-301 in patients with treatment-naïve diabetic macular edema. In each study, patients are randomized 1:1 to receive either KSI-301 or aflibercept. The KSI-301 arm is treated with a proactive, individualized dosing regimen of every 8-, 12-, 16-, 20- or 24 weeks (utilizing tight dynamic retreatment criteria) after three loading doses. The aflibercept arm is treated with a fixed regimen of 8-week dosing after five monthly loading doses, per its label. Both studies have completed enrollment of approximately 450 patients each worldwide. The primary endpoint for both studies is at one year, and patients will be treated and followed for a total of two years. We expect to announce top-line data in 2023.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DAYLIGHT – Phase 3 Study in Patients with Treatment-Naïve Wet AMD</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Phase 3 DAYLIGHT study is a global, multi-center, randomized pivotal study designed to evaluate the efficacy and safety of high-frequency KSI-301 in patients with treatment-naïve wet AMD. Patients are randomized to receive either KSI-301 on a monthly dosing regimen or to receive standard-of-care aflibercept on a fixed regimen of 8-week dosing after three monthly loading doses, per its label. The study is expected to enroll approximately 500 patients worldwide. The primary endpoint is at 40 weeks.</w:t>
      </w:r>
    </w:p>
    <w:p>
      <w:pPr>
        <w:spacing w:after="0" w:line="80"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June 2021, we randomized the first patients into DAYLIGHT. Study enrollment continues, with recruitment now underway both in the United States and the European Union. Additional global study sites were activated through the fourth quarter of 2021, and we believe DAYLIGHT may complete enrollment in the first half of 2022 and announce top-line data in 2023.</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GLOW – Phase 3 Study in Patients with Non-Proliferative Diabetic Retinopathy without DME</w:t>
      </w:r>
    </w:p>
    <w:p>
      <w:pPr>
        <w:spacing w:after="0" w:line="104" w:lineRule="exact"/>
        <w:rPr>
          <w:sz w:val="20"/>
          <w:szCs w:val="20"/>
          <w:color w:val="auto"/>
        </w:rPr>
      </w:pPr>
    </w:p>
    <w:p>
      <w:pPr>
        <w:ind w:right="40" w:firstLine="554"/>
        <w:spacing w:after="0" w:line="239" w:lineRule="auto"/>
        <w:rPr>
          <w:sz w:val="20"/>
          <w:szCs w:val="20"/>
          <w:color w:val="auto"/>
        </w:rPr>
      </w:pPr>
      <w:r>
        <w:rPr>
          <w:rFonts w:ascii="Arial" w:cs="Arial" w:eastAsia="Arial" w:hAnsi="Arial"/>
          <w:sz w:val="18"/>
          <w:szCs w:val="18"/>
          <w:color w:val="auto"/>
        </w:rPr>
        <w:t>The Phase 3 GLOW study is a global, multi-center, randomized pivotal study designed to evaluate the efficacy and safety of KSI-301 in patients with treatment-naïve, moderately severe to severe non-proliferative diabetic retinopathy (“NPDR”). Patients are randomized to receive either KSI-301 on a once every six-month dosing regimen after three initiating doses or to receive sham injections. The study is expected to enroll approximately 240 patients worldwide. The primary endpoint is at one year and patients will be treated and followed for two years. Outcomes include changes in diabetic retinopathy severity, measured on a standardized photographic grading scale, and the rate of development of sight-threatening complications due to diabetic retinopathy. We randomized the first patients into GLOW in September 2021. We believe KSI-301 has the potential to be a longest-interval therapeutic option for patients with diabetic retinopathy.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Regulatory Plan and Outlook</w:t>
      </w:r>
    </w:p>
    <w:p>
      <w:pPr>
        <w:spacing w:after="0" w:line="10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progressing four ongoing Phase 3 studies which we expect to announce topline data in 2022 and 2023. If successful, we intend to include data from the BEACON, GLEAM/GLIMMER and DAYLIGHT studies in a single initial BLA and would seek labeling at launch that is supportive of a range of indications and dosing intervals. If successful, we continue to expect that data from our GLEAM and GLIMMER studies in DME will serve as the primary basis for approval of KSI-301 in our anticipated BLA submission. GLEAM and GLIMMER explore long-interval dosing while also allowing for every 8-week dosing for patients in need of more intensive anti-VEGF therapy. Data from our BEACON study are intended to serve as the basis for approval in RVO. In wet AMD, we believe that the DAYLIGHT study may clarify the ability of KSI-301 when dosed more frequently to effectively treat a broader population of patients with wet AMD. If successful, we believe that data from our DAYLIGHT study could form the basis of approval in wet AMD, with monthly dosing. We believe that, over time, we may be able to generate additional data to support longer-interval dosing in wet AMD in certain patient populations. We are not planning for results of the GLOW study to be included in our initial BLA filing, given our expectations for a longer recruitment timeframe. We may include the results of the GLOW study in NPDR without DME in a supplemental BLA following our planned initial BLA submission.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Kodiak Stockholder Approval of the Kodiak 2021 Long-term Performance Incentive Plan (LTPIP)</w:t>
      </w:r>
    </w:p>
    <w:p>
      <w:pPr>
        <w:spacing w:after="0" w:line="104"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On August 12, 2021, the Board of Directors of Kodiak Sciences Inc. approved the Kodiak 2021 Long-Term Performance Incentive Plan (“LTPIP”), subject to approval by Kodiak stockholders. The LTPIP was approved by Kodiak’s stockholders on October 13, 2021, with 75% of all votes cast voting in favor of approving the LTPIP, excluding votes cast by any participant in the LTPIP.</w:t>
      </w:r>
    </w:p>
    <w:p>
      <w:pPr>
        <w:spacing w:after="0" w:line="7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believe the LTPIP aligns management incentives to significant value creation. The plan covers a seven-year performance period and was open to a significant number of our existing employees – not just senior management. Employees had a one-time opportunity to “opt-in” to the plan by agreeing to forego up to 75% of their annual equity incentive compensation for seven years via a one-time election. Shares would be earned based on significant stock price appreciation over the seven-year performance period, with the possibility to earn up to 35% of the award based on achieving substantive operational goals. Earned awards begin vesting once earned and vest through the remainder of the seven-year period in equal monthly increments, ensuring what we believe is a true long-term incentive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Clinical Development Activities</w:t>
      </w:r>
    </w:p>
    <w:p>
      <w:pPr>
        <w:spacing w:after="0" w:line="104" w:lineRule="exact"/>
        <w:rPr>
          <w:sz w:val="20"/>
          <w:szCs w:val="20"/>
          <w:color w:val="auto"/>
        </w:rPr>
      </w:pPr>
    </w:p>
    <w:p>
      <w:pPr>
        <w:ind w:right="360" w:firstLine="509"/>
        <w:spacing w:after="0" w:line="294" w:lineRule="auto"/>
        <w:rPr>
          <w:sz w:val="20"/>
          <w:szCs w:val="20"/>
          <w:color w:val="auto"/>
        </w:rPr>
      </w:pPr>
      <w:r>
        <w:rPr>
          <w:rFonts w:ascii="Arial" w:cs="Arial" w:eastAsia="Arial" w:hAnsi="Arial"/>
          <w:sz w:val="16"/>
          <w:szCs w:val="16"/>
          <w:color w:val="auto"/>
        </w:rPr>
        <w:t>In March 2021, our investigational new drug (“IND”) application for KSI-301 in RVO and DME were approved by China’s National Medicinal Products Administration (“NMPA”). These approvals allow Kodiak to enroll patients from China into the BEACON and GLIMMER Phase 3 pivotal studies; we believe that inclusion of patients from China in these studies could be beneficial for the potential future approval of KSI-301 in China.</w:t>
      </w:r>
    </w:p>
    <w:p>
      <w:pPr>
        <w:spacing w:after="0" w:line="39"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first Chinese patients were enrolled in the BEACON pivotal study in early 2022. We believe there is substantial clinical unmet need in China for the type of long-interval dosing which KSI-301 and our ABC Platform may provide.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KSI-301 Phase 1b Study</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February 2021, we presented Year 1 durability, efficacy and safety data from our ongoing Phase 1b study of KSI-301 in patients with treatment naïve wet AMD, DME or RVO at the Angiogenesis, Exudation, and Degeneration 2021 – Virtual Edition meeting. The data showed two in every three patients were on a six-month or longer treatment-free interval at Year 1 in each of the three major retinal vascular diseases after only three loading doses. Robust vision gains (particularly notable in the context of very good baseline vision) and robust retinal drying (when baseline anatomical characteristics are considered) were seen across all three diseases being studied. Strong anti-VEGF efficacy (achieving at Year 1 approximately 20/40 eye chart vision on average in wet AMD and approximately 20/32 vision on average in DME and RVO) and an encouraging safety profile was observed across all three diseases.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0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We are continuing to monitor the global ongoing COVID-19 pandemic. We and our key clinical and manufacturing partners have been able to continue to advance our operations. Through this pandemic, we continue to work closely with our clinical sites to ensure patient safety and minimize the number of missed visits and study discontinuations. The overall rate of missed study visits remains less than 5% across all of our ongoing studies combined.</w:t>
      </w:r>
    </w:p>
    <w:p>
      <w:pPr>
        <w:spacing w:after="0" w:line="80"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response to the COVID-19 pandemic with regards to business operations, clinical trials, and manufacturing activities, we have taken steps in line with guidance from the U.S. Centers for Disease Control and Prevention (“CDC”) and the State of California to protect the health and safety of our employees and our community.</w:t>
      </w:r>
    </w:p>
    <w:p>
      <w:pPr>
        <w:spacing w:after="0" w:line="7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will continue to monitor the COVID-19 situation closely. The ultimate impact of the ongoing COVID-19 pandemic on our business operations remains uncertain and subject to change. We do not yet know the full extent of potential delays or impacts on our business, our clinical trials, healthcare systems or the global economy as a whole. See also the section titled “Risk Factors” for additional information on risks and uncertainties related to the evolving COVID-19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Manufacturing</w:t>
      </w:r>
    </w:p>
    <w:p>
      <w:pPr>
        <w:spacing w:after="0" w:line="104" w:lineRule="exact"/>
        <w:rPr>
          <w:sz w:val="20"/>
          <w:szCs w:val="20"/>
          <w:color w:val="auto"/>
        </w:rPr>
      </w:pPr>
    </w:p>
    <w:p>
      <w:pPr>
        <w:jc w:val="both"/>
        <w:ind w:right="100" w:firstLine="509"/>
        <w:spacing w:after="0" w:line="241" w:lineRule="auto"/>
        <w:rPr>
          <w:sz w:val="20"/>
          <w:szCs w:val="20"/>
          <w:color w:val="auto"/>
        </w:rPr>
      </w:pPr>
      <w:r>
        <w:rPr>
          <w:rFonts w:ascii="Arial" w:cs="Arial" w:eastAsia="Arial" w:hAnsi="Arial"/>
          <w:sz w:val="18"/>
          <w:szCs w:val="18"/>
          <w:color w:val="auto"/>
        </w:rPr>
        <w:t>In August 2020, we and our wholly-owned subsidiary Kodiak Sciences GmbH entered into a manufacturing agreement with Lonza Ltd (“Lonza”) for the clinical and commercial supply of drug substance for KSI-301. A custom-built manufacturing facility is planned for mechanical completion in the first half of 2022 and dedicated to the manufacture of the Company’s drug substance. The manufacturing agreement has an initial term of eight years, and the Company has the right to extend the term up to a total of 16 years. The Company and Lonza each have the ability to terminate this agreement upon the occurrence of certain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ABC Platform Update</w:t>
      </w:r>
    </w:p>
    <w:p>
      <w:pPr>
        <w:spacing w:after="0" w:line="104"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Our ABC Platform has been designed to enhance durability, with the key elements intended to demonstrate a clear biological effect and a strong duration of this effect and doing these safely. There remains an opportunity to meaningfully improve on the durability of currently approved agents. If we can demonstrate these elements, we believe the potential for our ABC Medicines and our ABC Platform to treat and prevent retinal diseases is promising.</w:t>
      </w:r>
    </w:p>
    <w:p>
      <w:pPr>
        <w:spacing w:after="0" w:line="39"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We believe the top-line results from the initial Phase 2b/3 study in wet AMD provided valuable insights into the potential of KSI-301 and the value of the ABC Platform more broadly in the treatment of retinal disorders. We think that these data continue to support the potential of our ABC Platform to meaningfully extend treatment intervals in retinal disorders in a safe and convenient manner.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Progression</w:t>
      </w:r>
    </w:p>
    <w:p>
      <w:pPr>
        <w:spacing w:after="0" w:line="90" w:lineRule="exact"/>
        <w:rPr>
          <w:sz w:val="20"/>
          <w:szCs w:val="20"/>
          <w:color w:val="auto"/>
        </w:rPr>
      </w:pPr>
    </w:p>
    <w:p>
      <w:pPr>
        <w:ind w:right="80" w:firstLine="509"/>
        <w:spacing w:after="0" w:line="246" w:lineRule="auto"/>
        <w:rPr>
          <w:sz w:val="20"/>
          <w:szCs w:val="20"/>
          <w:color w:val="auto"/>
        </w:rPr>
      </w:pPr>
      <w:r>
        <w:rPr>
          <w:rFonts w:ascii="Arial" w:cs="Arial" w:eastAsia="Arial" w:hAnsi="Arial"/>
          <w:sz w:val="17"/>
          <w:szCs w:val="17"/>
          <w:color w:val="auto"/>
        </w:rPr>
        <w:t>In addition to KSI-301, we have leveraged our ABC Platform to build a pipeline of potential product candidates, including KSI-501 and KSI-601. KSI-501 is a recombinant, mammalian cell expressed dual inhibitor antibody biopolymer conjugate, targeting both VEGF and IL-6 for the treatment of retinal diseases with an inflammatory component. The cGMP manufacturing of the dual inhibitor antibody has been completed, and KSI-501 bioconjugate manufacturing and other supporting activities are in progress towards the expected submission of an IND in 2022.</w:t>
      </w:r>
    </w:p>
    <w:p>
      <w:pPr>
        <w:spacing w:after="0" w:line="63" w:lineRule="exact"/>
        <w:rPr>
          <w:sz w:val="20"/>
          <w:szCs w:val="20"/>
          <w:color w:val="auto"/>
        </w:rPr>
      </w:pPr>
    </w:p>
    <w:p>
      <w:pPr>
        <w:ind w:right="20" w:firstLine="509"/>
        <w:spacing w:after="0" w:line="231" w:lineRule="auto"/>
        <w:rPr>
          <w:sz w:val="20"/>
          <w:szCs w:val="20"/>
          <w:color w:val="auto"/>
        </w:rPr>
      </w:pPr>
      <w:r>
        <w:rPr>
          <w:rFonts w:ascii="Arial" w:cs="Arial" w:eastAsia="Arial" w:hAnsi="Arial"/>
          <w:sz w:val="18"/>
          <w:szCs w:val="18"/>
          <w:color w:val="auto"/>
        </w:rPr>
        <w:t>KSI-601 is a triplet inhibitor for dry AMD. In this approach, a bispecific or dual inhibitor antibody is conjugated to a phosphorylcholine biopolymer variant that is embedded with hundreds of copies of a small-molecule drug. As a result, multiple disease-related biologies - both intracellular and extracellular - can potentially be targeted with a single medicine. We believe this approach may be of particular relevance for common vision-threatening diseases with multifactorial pathophysiology, such as dry AMD and glaucoma.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04"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The current standard of care for wet AMD, advanced stages of DR (including DME), and RVO is monotherapy administration of anti-VEGF drugs, principally Avastin, Lucentis and Eylea, which are well-established therapies and are widely accepted by physicians, patients and third-party payors.</w:t>
      </w:r>
    </w:p>
    <w:p>
      <w:pPr>
        <w:spacing w:after="0" w:line="16"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addition, newer competitors have recently received FDA approval, such as Beovu (brolucizumab) from Novartis and Vabysmo (faricimab) from Roche. Beovu received FDA approval for the treatment of wet AMD in October 2019 and is being investigated as a potential treatment for patients with DME and RVO.</w:t>
      </w:r>
    </w:p>
    <w:p>
      <w:pPr>
        <w:spacing w:after="0" w:line="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Vabysmo from Roche is a bispecific antibody targeting VEGF and angiopoietin-2 (Ang-2) and received FDA approval for the treatment of wet AMD and DME in January 2022. Vabysmo demonstrated non-inferiority in visual acuity gains to Eylea in wet AMD and DME, with extended dosing of up to once every 16 weeks for slightly less than half of patients in Phase 3 trials. We believe Vabysmo may be perceived to offer incremental benefit in durability over currently established therapies such as Lucentis and Eylea.</w:t>
      </w:r>
    </w:p>
    <w:p>
      <w:pPr>
        <w:spacing w:after="0" w:line="80"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There are also other companies and research organizations developing treatments targeting other molecular targets, potential gene therapy treatments, stem cell transplant treatments and medical devices for the treatment of wet AMD, DME, DR, and RVO. We believe the therapeutic space of retinal diseases will become increasingly competitive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Agreement</w:t>
      </w:r>
    </w:p>
    <w:p>
      <w:pPr>
        <w:spacing w:after="0" w:line="10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On December 1, 2019, we, and our subsidiary, Kodiak Sciences GmbH, entered into a funding agreement to sell a capped royalty right on global net sales of KSI-301 to BBA for $225,000,000. Under the funding agreement, BBA purchased the right to receive a capped 4.5% royalty on net sales following marketing approval of KSI-301 in exchange for $225,000,000 in committed development funding payable to us. Unless earlier terminated or re-purchased by us, the royalty “caps” or terminates upon the date that BBA has received an aggregate amount equal to 4.5 times the funding amount paid to us. Under the terms of the funding agreement, BBA was required to pay the first $100,000,000 of the funding amount at the closing of the funding transaction and the remaining $125,000,000 of the funding amount, subject to delivery of notice by the Company, payable upon enrollment of 50% of the patients in the RVO clinical program. In July 2021, the funding agreement was amended, at the Company’s request, that the remaining funding amount of $125.0 million would not be paid.</w:t>
      </w:r>
    </w:p>
    <w:p>
      <w:pPr>
        <w:spacing w:after="0" w:line="8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have the option, exercisable at any point during the term of the funding agreement, to repurchase from BBA 100% of the royalties due to BBA under the funding agreement for a purchase price equal to the funding amount paid to us as of such time times 4.5, less amounts paid by us to BBA. Under the funding agreement, BBA also received a right to a royalty interest on future net sales following marketing approval of other of our products that employ an anti-VEGF A, or VEGF-A, biology as a sole molecular or chemical biology. In the event we commercialize related products that contain both an anti-VEGF-A biology together with at least one additional molecular or chemical biology(ies), BBA would have the right to receive a fractional royalty of up to 2.25% for one additional molecular or chemical biology or 1.5% for two additional molecular or chemical biologies provided that such other products are being progressed in indications for, or patient populations with, retinal vein occlusion, wet AMD or diabetic macular edema, or indications or patient populations in which KSI-301 or a VEGF-A product has received marketing approval. Total royalty payments under the funding agreement are not to exceed the cap of 4.5 times the funding amount paid to us. The funding agreement was the result of a competitive process overseen by independent and disinterested directors of Kodiak with the assistance of outside counsel.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04"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and biologics under the FDCA, the Public Health Service Act, or PHSA, and their implementing regulations. Both drugs and biologics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future product candidates must be approved by the FDA through either a new drug application, or NDA, or a biologics license application,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BLA, process before they may be legally marketed in the United States. The process generally involves the following:</w:t>
      </w:r>
    </w:p>
    <w:p>
      <w:pPr>
        <w:spacing w:after="0" w:line="88" w:lineRule="exact"/>
        <w:rPr>
          <w:sz w:val="20"/>
          <w:szCs w:val="20"/>
          <w:color w:val="auto"/>
        </w:rPr>
      </w:pPr>
    </w:p>
    <w:p>
      <w:pPr>
        <w:ind w:left="760" w:right="44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or ethics committee at each clinical trial site before each trial may be initiated;</w:t>
      </w:r>
    </w:p>
    <w:p>
      <w:pPr>
        <w:spacing w:after="0" w:line="126" w:lineRule="exact"/>
        <w:rPr>
          <w:rFonts w:ascii="Arial" w:cs="Arial" w:eastAsia="Arial" w:hAnsi="Arial"/>
          <w:sz w:val="16"/>
          <w:szCs w:val="16"/>
          <w:color w:val="auto"/>
        </w:rPr>
      </w:pPr>
    </w:p>
    <w:p>
      <w:pPr>
        <w:ind w:left="760" w:right="20" w:hanging="378"/>
        <w:spacing w:after="0" w:line="248"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7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NDA or BLA;</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accept the filing for review;</w:t>
      </w:r>
    </w:p>
    <w:p>
      <w:pPr>
        <w:spacing w:after="0" w:line="103" w:lineRule="exact"/>
        <w:rPr>
          <w:rFonts w:ascii="Arial" w:cs="Arial" w:eastAsia="Arial" w:hAnsi="Arial"/>
          <w:sz w:val="18"/>
          <w:szCs w:val="18"/>
          <w:color w:val="auto"/>
        </w:rPr>
      </w:pPr>
    </w:p>
    <w:p>
      <w:pPr>
        <w:ind w:left="760" w:right="140" w:hanging="378"/>
        <w:spacing w:after="0" w:line="248"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 FDA pre-approval inspection of the manufacturing facility or facilities where the drug or biologic will be produced to assess compliance with current good manufacturing practices, or cGMP, requirements to assure that the facilities, methods and controls are adequate to preserve the drug or biologic’s identity, strength, quality and purity;</w:t>
      </w:r>
    </w:p>
    <w:p>
      <w:pPr>
        <w:spacing w:after="0" w:line="7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the NDA or BLA;</w:t>
      </w:r>
    </w:p>
    <w:p>
      <w:pPr>
        <w:spacing w:after="0" w:line="103"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the NDA or BLA, including consideration of the views of any FDA advisory committee, prior to any commercial marketing or sale of the drug or biologic in the United States; and</w:t>
      </w:r>
    </w:p>
    <w:p>
      <w:pPr>
        <w:spacing w:after="0" w:line="62"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63"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IND</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 w:name="page13"/>
    <w:bookmarkEnd w:id="12"/>
    <w:p>
      <w:pPr>
        <w:ind w:firstLine="509"/>
        <w:spacing w:after="0" w:line="272" w:lineRule="auto"/>
        <w:rPr>
          <w:sz w:val="20"/>
          <w:szCs w:val="20"/>
          <w:color w:val="auto"/>
        </w:rPr>
      </w:pPr>
      <w:r>
        <w:rPr>
          <w:rFonts w:ascii="Arial" w:cs="Arial" w:eastAsia="Arial" w:hAnsi="Arial"/>
          <w:sz w:val="16"/>
          <w:szCs w:val="16"/>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61"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Clinical trials in the United States generally are conducted in three sequential phases, known as Phase 1, Phase 2 and Phase 3, and may overlap.</w:t>
      </w:r>
    </w:p>
    <w:p>
      <w:pPr>
        <w:spacing w:after="0" w:line="127" w:lineRule="exact"/>
        <w:rPr>
          <w:sz w:val="20"/>
          <w:szCs w:val="20"/>
          <w:color w:val="auto"/>
        </w:rPr>
      </w:pPr>
    </w:p>
    <w:p>
      <w:pPr>
        <w:jc w:val="both"/>
        <w:ind w:left="760" w:right="240" w:hanging="378"/>
        <w:spacing w:after="0" w:line="24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w:t>
      </w:r>
    </w:p>
    <w:p>
      <w:pPr>
        <w:spacing w:after="0" w:line="73" w:lineRule="exact"/>
        <w:rPr>
          <w:rFonts w:ascii="Arial" w:cs="Arial" w:eastAsia="Arial" w:hAnsi="Arial"/>
          <w:sz w:val="18"/>
          <w:szCs w:val="18"/>
          <w:color w:val="auto"/>
        </w:rPr>
      </w:pPr>
    </w:p>
    <w:p>
      <w:pPr>
        <w:ind w:left="760" w:right="120" w:hanging="378"/>
        <w:spacing w:after="0" w:line="24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73" w:lineRule="exact"/>
        <w:rPr>
          <w:rFonts w:ascii="Arial" w:cs="Arial" w:eastAsia="Arial" w:hAnsi="Arial"/>
          <w:sz w:val="18"/>
          <w:szCs w:val="18"/>
          <w:color w:val="auto"/>
        </w:rPr>
      </w:pPr>
    </w:p>
    <w:p>
      <w:pPr>
        <w:ind w:left="760" w:hanging="378"/>
        <w:spacing w:after="0" w:line="262"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64"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74"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3" w:name="page14"/>
    <w:bookmarkEnd w:id="13"/>
    <w:p>
      <w:pPr>
        <w:ind w:right="60" w:firstLine="509"/>
        <w:spacing w:after="0" w:line="252" w:lineRule="auto"/>
        <w:rPr>
          <w:sz w:val="20"/>
          <w:szCs w:val="20"/>
          <w:color w:val="auto"/>
        </w:rPr>
      </w:pPr>
      <w:r>
        <w:rPr>
          <w:rFonts w:ascii="Arial" w:cs="Arial" w:eastAsia="Arial" w:hAnsi="Arial"/>
          <w:sz w:val="17"/>
          <w:szCs w:val="17"/>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NDA/BLA Review Process</w:t>
      </w:r>
    </w:p>
    <w:p>
      <w:pPr>
        <w:spacing w:after="0" w:line="10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83"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Under the Prescription Drug User Fee Act, or PDUFA, as amended, each NDA or BLA must be accompanied by a user fee. The FDA adjusts the PDUFA user fees on an annual basis. PDUFA also imposes an annual program fee for approved human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47"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w:t>
      </w:r>
    </w:p>
    <w:p>
      <w:pPr>
        <w:spacing w:after="0" w:line="5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right="40"/>
        <w:spacing w:after="0" w:line="248" w:lineRule="auto"/>
        <w:rPr>
          <w:sz w:val="20"/>
          <w:szCs w:val="20"/>
          <w:color w:val="auto"/>
        </w:rPr>
      </w:pPr>
      <w:r>
        <w:rPr>
          <w:rFonts w:ascii="Arial" w:cs="Arial" w:eastAsia="Arial" w:hAnsi="Arial"/>
          <w:sz w:val="18"/>
          <w:szCs w:val="18"/>
          <w:color w:val="auto"/>
        </w:rPr>
        <w:t>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drugs and biologics that meet certain criteria. Specifically, new drugs and biologics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w:t>
      </w:r>
    </w:p>
    <w:p>
      <w:pPr>
        <w:spacing w:after="0" w:line="66"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39"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w:t>
      </w:r>
    </w:p>
    <w:p>
      <w:pPr>
        <w:spacing w:after="0" w:line="5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Licensure Pathway of Biological Products as Biosimilar or Interchangeable</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shown to be highly similar to an FDA-licensed reference biological product. An application for licensure of a biosimilar product must include information demonstrating biosimilarity based upon the following, unless the FDA determines otherwise:</w:t>
      </w:r>
    </w:p>
    <w:p>
      <w:pPr>
        <w:spacing w:after="0" w:line="74" w:lineRule="exact"/>
        <w:rPr>
          <w:sz w:val="20"/>
          <w:szCs w:val="20"/>
          <w:color w:val="auto"/>
        </w:rPr>
      </w:pPr>
    </w:p>
    <w:p>
      <w:pPr>
        <w:ind w:left="760" w:right="2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analytical studies demonstrating that the proposed biosimilar product is highly similar to the approved product notwithstanding minor differences in clinically inactive components;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animal studies (including the assessment of toxicity); and</w:t>
      </w:r>
    </w:p>
    <w:p>
      <w:pPr>
        <w:spacing w:after="0" w:line="103" w:lineRule="exact"/>
        <w:rPr>
          <w:rFonts w:ascii="Arial" w:cs="Arial" w:eastAsia="Arial" w:hAnsi="Arial"/>
          <w:sz w:val="18"/>
          <w:szCs w:val="18"/>
          <w:color w:val="auto"/>
        </w:rPr>
      </w:pPr>
    </w:p>
    <w:p>
      <w:pPr>
        <w:ind w:left="760" w:right="200" w:hanging="378"/>
        <w:spacing w:after="0" w:line="291"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clinical study or studies (including the assessment of immunogenicity and pharmacokinetics or pharmacodynamics) sufficient to demonstrate safety, purity and potency in one or more conditions for which the reference product is licensed and intended to be used.</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an application must include information demonstrating that:</w:t>
      </w:r>
    </w:p>
    <w:p>
      <w:pPr>
        <w:spacing w:after="0" w:line="104" w:lineRule="exact"/>
        <w:rPr>
          <w:sz w:val="20"/>
          <w:szCs w:val="20"/>
          <w:color w:val="auto"/>
        </w:rPr>
      </w:pPr>
    </w:p>
    <w:p>
      <w:pPr>
        <w:ind w:left="760" w:right="400" w:hanging="378"/>
        <w:spacing w:after="0" w:line="324"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16" w:lineRule="exact"/>
        <w:rPr>
          <w:rFonts w:ascii="Arial" w:cs="Arial" w:eastAsia="Arial" w:hAnsi="Arial"/>
          <w:sz w:val="16"/>
          <w:szCs w:val="16"/>
          <w:color w:val="auto"/>
        </w:rPr>
      </w:pPr>
    </w:p>
    <w:p>
      <w:pPr>
        <w:ind w:left="760" w:right="740" w:hanging="378"/>
        <w:spacing w:after="0" w:line="26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condition or conditions of use prescribed, recommended, or suggested in the labeling for the proposed biosimilar product have been previously approved for the reference product;</w:t>
      </w:r>
    </w:p>
    <w:p>
      <w:pPr>
        <w:spacing w:after="0" w:line="62" w:lineRule="exact"/>
        <w:rPr>
          <w:rFonts w:ascii="Arial" w:cs="Arial" w:eastAsia="Arial" w:hAnsi="Arial"/>
          <w:sz w:val="18"/>
          <w:szCs w:val="18"/>
          <w:color w:val="auto"/>
        </w:rPr>
      </w:pPr>
    </w:p>
    <w:p>
      <w:pPr>
        <w:ind w:left="760" w:right="100" w:hanging="378"/>
        <w:spacing w:after="0" w:line="26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route of administration, the dosage form, and the strength of the proposed biosimilar product are the same as those for the reference product;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ind w:left="760" w:right="360" w:hanging="378"/>
        <w:spacing w:after="0" w:line="26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facility in which the biological product is manufactured, processed, packed or held meets standards designed to assure that the biological product continues to be safe, pure, and potent.</w:t>
      </w:r>
    </w:p>
    <w:p>
      <w:pPr>
        <w:spacing w:after="0" w:line="4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7"/>
          <w:szCs w:val="17"/>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 care provider who prescribed the reference product. The higher standard of interchangeability must be demonstrated by information sufficient to show that:</w:t>
      </w:r>
    </w:p>
    <w:p>
      <w:pPr>
        <w:spacing w:after="0" w:line="81"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proposed product is biosimilar to the reference product;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proposed product is expected to produce the same clinical result as the reference product in any given patient; and</w:t>
      </w:r>
    </w:p>
    <w:p>
      <w:pPr>
        <w:spacing w:after="0" w:line="103" w:lineRule="exact"/>
        <w:rPr>
          <w:rFonts w:ascii="Arial" w:cs="Arial" w:eastAsia="Arial" w:hAnsi="Arial"/>
          <w:sz w:val="18"/>
          <w:szCs w:val="18"/>
          <w:color w:val="auto"/>
        </w:rPr>
      </w:pPr>
    </w:p>
    <w:p>
      <w:pPr>
        <w:jc w:val="both"/>
        <w:ind w:left="760" w:right="160" w:hanging="378"/>
        <w:spacing w:after="0" w:line="248"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60" w:lineRule="exact"/>
        <w:rPr>
          <w:sz w:val="20"/>
          <w:szCs w:val="20"/>
          <w:color w:val="auto"/>
        </w:rPr>
      </w:pPr>
    </w:p>
    <w:p>
      <w:pPr>
        <w:ind w:right="100" w:firstLine="509"/>
        <w:spacing w:after="0" w:line="307" w:lineRule="auto"/>
        <w:rPr>
          <w:sz w:val="20"/>
          <w:szCs w:val="20"/>
          <w:color w:val="auto"/>
        </w:rPr>
      </w:pPr>
      <w:r>
        <w:rPr>
          <w:rFonts w:ascii="Arial" w:cs="Arial" w:eastAsia="Arial" w:hAnsi="Arial"/>
          <w:sz w:val="16"/>
          <w:szCs w:val="16"/>
          <w:color w:val="auto"/>
        </w:rPr>
        <w:t>FDA approval is required before a biosimilar may be marketed in the United States. In addition, as with BLAs, biosimilar product applications will not be approved unless the product is manufactured in facilities designed to assure and preserve the biological product’s safety, purity and potency.</w:t>
      </w:r>
    </w:p>
    <w:p>
      <w:pPr>
        <w:spacing w:after="0" w:line="15" w:lineRule="exact"/>
        <w:rPr>
          <w:sz w:val="20"/>
          <w:szCs w:val="20"/>
          <w:color w:val="auto"/>
        </w:rPr>
      </w:pPr>
    </w:p>
    <w:p>
      <w:pPr>
        <w:ind w:firstLine="509"/>
        <w:spacing w:after="0" w:line="236" w:lineRule="auto"/>
        <w:rPr>
          <w:sz w:val="20"/>
          <w:szCs w:val="20"/>
          <w:color w:val="auto"/>
        </w:rPr>
      </w:pPr>
      <w:r>
        <w:rPr>
          <w:rFonts w:ascii="Arial" w:cs="Arial" w:eastAsia="Arial" w:hAnsi="Arial"/>
          <w:sz w:val="17"/>
          <w:szCs w:val="17"/>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8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FDA may also place other conditions on approvals including the requirement for a Risk Evaluation and Mitigation Strategy, 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81"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6"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restrictions on the marketing or manufacturing of the product, complete withdrawal of the product from the market or product recalls;</w:t>
      </w:r>
    </w:p>
    <w:p>
      <w:pPr>
        <w:spacing w:after="0" w:line="223"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6" w:name="page17"/>
    <w:bookmarkEnd w:id="16"/>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applications, or suspension or revocation of product license approvals;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90"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Regulatory Laws</w:t>
      </w:r>
    </w:p>
    <w:p>
      <w:pPr>
        <w:spacing w:after="0" w:line="90" w:lineRule="exact"/>
        <w:rPr>
          <w:sz w:val="20"/>
          <w:szCs w:val="20"/>
          <w:color w:val="auto"/>
        </w:rPr>
      </w:pPr>
    </w:p>
    <w:p>
      <w:pPr>
        <w:ind w:right="80" w:firstLine="509"/>
        <w:spacing w:after="0" w:line="266"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the United States in addition to the FDA, including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48" w:lineRule="exact"/>
        <w:rPr>
          <w:sz w:val="20"/>
          <w:szCs w:val="20"/>
          <w:color w:val="auto"/>
        </w:rPr>
      </w:pPr>
    </w:p>
    <w:p>
      <w:pPr>
        <w:ind w:firstLine="509"/>
        <w:spacing w:after="0" w:line="236" w:lineRule="auto"/>
        <w:rPr>
          <w:sz w:val="20"/>
          <w:szCs w:val="20"/>
          <w:color w:val="auto"/>
        </w:rPr>
      </w:pPr>
      <w:r>
        <w:rPr>
          <w:rFonts w:ascii="Arial" w:cs="Arial" w:eastAsia="Arial" w:hAnsi="Arial"/>
          <w:sz w:val="17"/>
          <w:szCs w:val="17"/>
          <w:color w:val="auto"/>
        </w:rPr>
        <w:t>For example, in the United States, our business operations, including any sales, marketing and scientific and educational programs, also must comply with state and federal fraud and abuse laws, including the federal Anti-Kickback Statue and false claims laws; federal data privacy and security laws; and federal transparency laws related to payments and/or other transfers of value made to physicians and other healthcare professionals and teaching hospitals. The federal Anti-Kickback Statute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False Claims Act. Federal false claims laws, including the False Claims Act,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73" w:lineRule="exact"/>
        <w:rPr>
          <w:sz w:val="20"/>
          <w:szCs w:val="20"/>
          <w:color w:val="auto"/>
        </w:rPr>
      </w:pPr>
    </w:p>
    <w:p>
      <w:pPr>
        <w:ind w:right="160" w:firstLine="509"/>
        <w:spacing w:after="0" w:line="225" w:lineRule="auto"/>
        <w:rPr>
          <w:sz w:val="20"/>
          <w:szCs w:val="20"/>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3" w:lineRule="exact"/>
        <w:rPr>
          <w:sz w:val="20"/>
          <w:szCs w:val="20"/>
          <w:color w:val="auto"/>
        </w:rPr>
      </w:pPr>
    </w:p>
    <w:p>
      <w:pPr>
        <w:ind w:right="20" w:firstLine="509"/>
        <w:spacing w:after="0" w:line="254" w:lineRule="auto"/>
        <w:rPr>
          <w:sz w:val="20"/>
          <w:szCs w:val="20"/>
          <w:color w:val="auto"/>
        </w:rPr>
      </w:pPr>
      <w:r>
        <w:rPr>
          <w:rFonts w:ascii="Arial" w:cs="Arial" w:eastAsia="Arial" w:hAnsi="Arial"/>
          <w:sz w:val="16"/>
          <w:szCs w:val="16"/>
          <w:color w:val="auto"/>
        </w:rPr>
        <w:t>Many states have similar laws and regulations that may differ from federal law in significant ways, thus complicating compliance efforts. For example, states have anti-kickback and false claims laws that may be broader in scope than analogous federal laws and may apply regardless of payer. In addition, the federal physician payment transparency requirements, sometimes referred to as the “Physician Payments Sunshine Act,” created under the ACA and its implementing regulations, require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such information related to payments or other transfers of value to physician assistants, nurse practitioners, clinical nurse specialists, anesthesiologist assistants, certified registered nurse anesthetists and certified nurse midwives during the previous year.</w:t>
      </w:r>
    </w:p>
    <w:p>
      <w:pPr>
        <w:spacing w:after="0" w:line="57" w:lineRule="exact"/>
        <w:rPr>
          <w:sz w:val="20"/>
          <w:szCs w:val="20"/>
          <w:color w:val="auto"/>
        </w:rPr>
      </w:pPr>
    </w:p>
    <w:p>
      <w:pPr>
        <w:ind w:right="40" w:firstLine="509"/>
        <w:spacing w:after="0" w:line="228" w:lineRule="auto"/>
        <w:rPr>
          <w:sz w:val="20"/>
          <w:szCs w:val="20"/>
          <w:color w:val="auto"/>
        </w:rPr>
      </w:pPr>
      <w:r>
        <w:rPr>
          <w:rFonts w:ascii="Arial" w:cs="Arial" w:eastAsia="Arial" w:hAnsi="Arial"/>
          <w:sz w:val="17"/>
          <w:szCs w:val="17"/>
          <w:color w:val="auto"/>
        </w:rPr>
        <w:t>HIPAA, as amended by the Health Information Technology for Economic and Clinical Health Act of 2009 (HITECH) and their respective implementing regulations,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such individually identifiable health information. In addition, state data privacy laws that protect the security of health information may differ from each other and may not be preempted by federal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right="120" w:firstLine="509"/>
        <w:spacing w:after="0" w:line="237" w:lineRule="auto"/>
        <w:rPr>
          <w:sz w:val="20"/>
          <w:szCs w:val="20"/>
          <w:color w:val="auto"/>
        </w:rPr>
      </w:pPr>
      <w:r>
        <w:rPr>
          <w:rFonts w:ascii="Arial" w:cs="Arial" w:eastAsia="Arial" w:hAnsi="Arial"/>
          <w:sz w:val="17"/>
          <w:szCs w:val="17"/>
          <w:color w:val="auto"/>
        </w:rPr>
        <w:t>Moreover, several states and local jurisdictions have enacted legislation requiring pharmaceutical manufacturers to, among other things, establish marketing compliance programs, file periodic reports with the state, make periodic public disclosures on sales and marketing activities, report information related to drug pricing, require the registration of sales representatives, and prohibit certain other sales and marketing practices.</w:t>
      </w:r>
    </w:p>
    <w:p>
      <w:pPr>
        <w:spacing w:after="0" w:line="55" w:lineRule="exact"/>
        <w:rPr>
          <w:sz w:val="20"/>
          <w:szCs w:val="20"/>
          <w:color w:val="auto"/>
        </w:rPr>
      </w:pPr>
    </w:p>
    <w:p>
      <w:pPr>
        <w:jc w:val="both"/>
        <w:ind w:right="40" w:firstLine="509"/>
        <w:spacing w:after="0" w:line="249" w:lineRule="auto"/>
        <w:rPr>
          <w:sz w:val="20"/>
          <w:szCs w:val="20"/>
          <w:color w:val="auto"/>
        </w:rPr>
      </w:pPr>
      <w:r>
        <w:rPr>
          <w:rFonts w:ascii="Arial" w:cs="Arial" w:eastAsia="Arial" w:hAnsi="Arial"/>
          <w:sz w:val="16"/>
          <w:szCs w:val="16"/>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46" w:lineRule="exact"/>
        <w:rPr>
          <w:sz w:val="20"/>
          <w:szCs w:val="20"/>
          <w:color w:val="auto"/>
        </w:rPr>
      </w:pPr>
    </w:p>
    <w:p>
      <w:pPr>
        <w:ind w:right="160" w:firstLine="509"/>
        <w:spacing w:after="0" w:line="235" w:lineRule="auto"/>
        <w:rPr>
          <w:sz w:val="20"/>
          <w:szCs w:val="20"/>
          <w:color w:val="auto"/>
        </w:rPr>
      </w:pPr>
      <w:r>
        <w:rPr>
          <w:rFonts w:ascii="Arial" w:cs="Arial" w:eastAsia="Arial" w:hAnsi="Arial"/>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w:t>
      </w:r>
    </w:p>
    <w:p>
      <w:pPr>
        <w:spacing w:after="0" w:line="77" w:lineRule="exact"/>
        <w:rPr>
          <w:sz w:val="20"/>
          <w:szCs w:val="20"/>
          <w:color w:val="auto"/>
        </w:rPr>
      </w:pPr>
    </w:p>
    <w:p>
      <w:pPr>
        <w:ind w:right="180" w:firstLine="509"/>
        <w:spacing w:after="0" w:line="234" w:lineRule="auto"/>
        <w:rPr>
          <w:sz w:val="20"/>
          <w:szCs w:val="20"/>
          <w:color w:val="auto"/>
        </w:rPr>
      </w:pPr>
      <w:r>
        <w:rPr>
          <w:rFonts w:ascii="Arial" w:cs="Arial" w:eastAsia="Arial" w:hAnsi="Arial"/>
          <w:sz w:val="16"/>
          <w:szCs w:val="16"/>
          <w:color w:val="auto"/>
        </w:rPr>
        <w:t>Privacy laws in the U.S. are also increasingly complex and changing rapidly.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information. The CCPA provides for civil penalties for violations. Since the enactment of the CCPA, new privacy and data security laws have been proposed in more than half of the states and in the U.S.</w:t>
      </w:r>
    </w:p>
    <w:p>
      <w:pPr>
        <w:spacing w:after="0" w:line="218" w:lineRule="auto"/>
        <w:rPr>
          <w:sz w:val="20"/>
          <w:szCs w:val="20"/>
          <w:color w:val="auto"/>
        </w:rPr>
      </w:pPr>
      <w:r>
        <w:rPr>
          <w:rFonts w:ascii="Arial" w:cs="Arial" w:eastAsia="Arial" w:hAnsi="Arial"/>
          <w:sz w:val="18"/>
          <w:szCs w:val="18"/>
          <w:color w:val="auto"/>
        </w:rPr>
        <w:t>Congress, reflecting a trend toward more stringent privacy legislation in the U.S. The CCPA itself will expand substantially as a result of California voters approving a November 2020 ballot measure that adopted the California Privacy Rights Act of 2020, or CPRA, which will, among other things, create a new administrative agency to implement and enforce California’s privacy laws effective January 1, 2023.</w:t>
      </w:r>
    </w:p>
    <w:p>
      <w:pPr>
        <w:spacing w:after="0" w:line="54" w:lineRule="exact"/>
        <w:rPr>
          <w:sz w:val="20"/>
          <w:szCs w:val="20"/>
          <w:color w:val="auto"/>
        </w:rPr>
      </w:pPr>
    </w:p>
    <w:p>
      <w:pPr>
        <w:ind w:right="80" w:firstLine="509"/>
        <w:spacing w:after="0" w:line="223" w:lineRule="auto"/>
        <w:rPr>
          <w:sz w:val="20"/>
          <w:szCs w:val="20"/>
          <w:color w:val="auto"/>
        </w:rPr>
      </w:pPr>
      <w:r>
        <w:rPr>
          <w:rFonts w:ascii="Arial" w:cs="Arial" w:eastAsia="Arial" w:hAnsi="Arial"/>
          <w:sz w:val="17"/>
          <w:szCs w:val="17"/>
          <w:color w:val="auto"/>
        </w:rPr>
        <w:t>In addition, the processing of personal data in connection with clinical trials in the EU must comply with comprehensive data protection requirements imposed by EU’s General Data Protection Regulation, or GDPR. GDPR, which took effect on May 25, 2018, imposes stringent data protection requirements and provides for penalties for noncompliance that can include bans on processing personal data and fines of up to the greater of 20 million euros or four percent of worldwide annual revenues. The GDPR requires organizations to give detailed disclosures about how they collect, use and share personal information; in most cases, obtain explicit consent to process sensitive personal information, such as health or genetic information; contractually require vendors to meet data protection requirements;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w:t>
      </w:r>
    </w:p>
    <w:p>
      <w:pPr>
        <w:spacing w:after="0" w:line="59" w:lineRule="exact"/>
        <w:rPr>
          <w:sz w:val="20"/>
          <w:szCs w:val="20"/>
          <w:color w:val="auto"/>
        </w:rPr>
      </w:pPr>
    </w:p>
    <w:p>
      <w:pPr>
        <w:ind w:right="160" w:firstLine="509"/>
        <w:spacing w:after="0" w:line="237" w:lineRule="auto"/>
        <w:rPr>
          <w:sz w:val="20"/>
          <w:szCs w:val="20"/>
          <w:color w:val="auto"/>
        </w:rPr>
      </w:pPr>
      <w:r>
        <w:rPr>
          <w:rFonts w:ascii="Arial" w:cs="Arial" w:eastAsia="Arial" w:hAnsi="Arial"/>
          <w:sz w:val="16"/>
          <w:szCs w:val="16"/>
          <w:color w:val="auto"/>
        </w:rPr>
        <w:t>European data protection laws, including the GDPR, also restrict the transfer of personal information from Europe, including the European Economic Area, the United Kingdom and Switzerland, to the U.S.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the Court of Justice of the European Union adopted a decision in July 2020 invalidating the EU-U.S. Privacy Shield. The same decision also raised questions about whether one of the primary alternatives to the EU-U.S. Privacy Shield, namely, the European Commission’s Standard Contractual Clauses, can lawfully be used for personal information transfers from Europe to the U.S. or most other countries. Authorities in Switzerland also have issued guidance raising similar questions about the Swiss-U.S. Privacy Shield and the Standard Contractual Clauses.</w:t>
      </w:r>
    </w:p>
    <w:p>
      <w:pPr>
        <w:spacing w:after="0" w:line="59" w:lineRule="exact"/>
        <w:rPr>
          <w:sz w:val="20"/>
          <w:szCs w:val="20"/>
          <w:color w:val="auto"/>
        </w:rPr>
      </w:pPr>
    </w:p>
    <w:p>
      <w:pPr>
        <w:ind w:right="120" w:firstLine="509"/>
        <w:spacing w:after="0" w:line="239" w:lineRule="auto"/>
        <w:rPr>
          <w:sz w:val="20"/>
          <w:szCs w:val="20"/>
          <w:color w:val="auto"/>
        </w:rPr>
      </w:pPr>
      <w:r>
        <w:rPr>
          <w:rFonts w:ascii="Arial" w:cs="Arial" w:eastAsia="Arial" w:hAnsi="Arial"/>
          <w:sz w:val="16"/>
          <w:szCs w:val="16"/>
          <w:color w:val="auto"/>
        </w:rPr>
        <w:t>The failure to comply with any of these laws or regulatory requirements may result in possible legal or regulatory action. Depending on the circumstances, failure to meet applicable regulatory requirements can result in significant penalties, including administrative, civil, and criminal penalties, fines, imprisonment, disgorgement, injunctions, exclusion from participation in federal healthcare programs, integrity oversight and reporting obligations,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 Care Reform</w:t>
      </w:r>
    </w:p>
    <w:p>
      <w:pPr>
        <w:spacing w:after="0" w:line="77" w:lineRule="exact"/>
        <w:rPr>
          <w:sz w:val="20"/>
          <w:szCs w:val="20"/>
          <w:color w:val="auto"/>
        </w:rPr>
      </w:pPr>
    </w:p>
    <w:p>
      <w:pPr>
        <w:ind w:right="280" w:firstLine="509"/>
        <w:spacing w:after="0" w:line="244"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Further, the United States, there have been and continue to be a number of healthcare-related legislative initiatives that have significantly affected the healthcare industry. For example, there remain judicial challenges to certain aspects of the ACA. On December 14, 2018, a U.S. District Court Judge in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Northern District of Texas, ruled that the individual mandate is a critical and inseverable feature of the ACA, and therefore, because it was Tax Cuts and Jobs Act of 2017 (the Tax Act), the remaining provisions of the ACA are invalid as well. Additionally, on December 18, 2019, the U.S. Court of Appeals for the 5th Circuit upheld the District Court ruling that that the individual mandate was unconstitutional and remanded the case back to the District Court to determine whether the remaining provisions of the ACA are invalid as well. The United States Supreme Court is currently reviewing this case, but it is unknown when a decision will be reached. Although the United States Supreme Court has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United States Supreme Court ruling, other such litigation, and the healthcare form measures of the Biden administration will impact the ACA and our business.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Further,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Further, it is possible that additional governmental action is taken in response to the COVID-19 pandemic.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77" w:lineRule="exact"/>
        <w:rPr>
          <w:sz w:val="20"/>
          <w:szCs w:val="20"/>
          <w:color w:val="auto"/>
        </w:rPr>
      </w:pPr>
    </w:p>
    <w:p>
      <w:pPr>
        <w:ind w:firstLine="509"/>
        <w:spacing w:after="0" w:line="221"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Drug Price Competition and Patent Term Restoration Act of 1984, commonly referred to as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59" w:lineRule="exact"/>
        <w:rPr>
          <w:sz w:val="20"/>
          <w:szCs w:val="20"/>
          <w:color w:val="auto"/>
        </w:rPr>
      </w:pPr>
    </w:p>
    <w:p>
      <w:pPr>
        <w:ind w:right="20" w:firstLine="509"/>
        <w:spacing w:after="0" w:line="220"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9" w:name="page20"/>
    <w:bookmarkEnd w:id="19"/>
    <w:p>
      <w:pPr>
        <w:ind w:firstLine="509"/>
        <w:spacing w:after="0" w:line="221" w:lineRule="auto"/>
        <w:rPr>
          <w:sz w:val="20"/>
          <w:szCs w:val="20"/>
          <w:color w:val="auto"/>
        </w:rPr>
      </w:pPr>
      <w:r>
        <w:rPr>
          <w:rFonts w:ascii="Arial" w:cs="Arial" w:eastAsia="Arial" w:hAnsi="Arial"/>
          <w:sz w:val="17"/>
          <w:szCs w:val="17"/>
          <w:color w:val="auto"/>
        </w:rPr>
        <w:t>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77" w:lineRule="exact"/>
        <w:rPr>
          <w:sz w:val="20"/>
          <w:szCs w:val="20"/>
          <w:color w:val="auto"/>
        </w:rPr>
      </w:pPr>
    </w:p>
    <w:p>
      <w:pPr>
        <w:ind w:right="400" w:firstLine="509"/>
        <w:spacing w:after="0" w:line="235" w:lineRule="auto"/>
        <w:rPr>
          <w:sz w:val="20"/>
          <w:szCs w:val="20"/>
          <w:color w:val="auto"/>
        </w:rPr>
      </w:pPr>
      <w:r>
        <w:rPr>
          <w:rFonts w:ascii="Arial" w:cs="Arial" w:eastAsia="Arial" w:hAnsi="Arial"/>
          <w:sz w:val="18"/>
          <w:szCs w:val="18"/>
          <w:color w:val="auto"/>
        </w:rPr>
        <w:t>As in the United States, medicinal products can be marketed only if a marketing authorization from the competent regulatory agencies has been obtained.</w:t>
      </w:r>
    </w:p>
    <w:p>
      <w:pPr>
        <w:spacing w:after="0" w:line="54" w:lineRule="exact"/>
        <w:rPr>
          <w:sz w:val="20"/>
          <w:szCs w:val="20"/>
          <w:color w:val="auto"/>
        </w:rPr>
      </w:pPr>
    </w:p>
    <w:p>
      <w:pPr>
        <w:ind w:right="20" w:firstLine="509"/>
        <w:spacing w:after="0" w:line="225" w:lineRule="auto"/>
        <w:rPr>
          <w:sz w:val="20"/>
          <w:szCs w:val="20"/>
          <w:color w:val="auto"/>
        </w:rPr>
      </w:pPr>
      <w:r>
        <w:rPr>
          <w:rFonts w:ascii="Arial" w:cs="Arial" w:eastAsia="Arial" w:hAnsi="Arial"/>
          <w:sz w:val="17"/>
          <w:szCs w:val="17"/>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54" w:lineRule="exact"/>
        <w:rPr>
          <w:sz w:val="20"/>
          <w:szCs w:val="20"/>
          <w:color w:val="auto"/>
        </w:rPr>
      </w:pPr>
    </w:p>
    <w:p>
      <w:pPr>
        <w:ind w:firstLine="509"/>
        <w:spacing w:after="0" w:line="219" w:lineRule="auto"/>
        <w:rPr>
          <w:sz w:val="20"/>
          <w:szCs w:val="20"/>
          <w:color w:val="auto"/>
        </w:rPr>
      </w:pPr>
      <w:r>
        <w:rPr>
          <w:rFonts w:ascii="Arial" w:cs="Arial" w:eastAsia="Arial" w:hAnsi="Arial"/>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77"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In the European Economic Area, or EEA, which is comprised of the 27 Member States of the European Union (including Norway and excluding Croatia), Iceland and Liechtenstein, medicinal products can only be commercialized after obtaining a Marketing Authorization, or MA. There are two types of marketing authorizations.</w:t>
      </w:r>
    </w:p>
    <w:p>
      <w:pPr>
        <w:spacing w:after="0" w:line="80" w:lineRule="exact"/>
        <w:rPr>
          <w:sz w:val="20"/>
          <w:szCs w:val="20"/>
          <w:color w:val="auto"/>
        </w:rPr>
      </w:pPr>
    </w:p>
    <w:p>
      <w:pPr>
        <w:ind w:left="760" w:right="280" w:hanging="378"/>
        <w:spacing w:after="0" w:line="254"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Community MA is issued by the European Commission through the Centralized Procedure,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72" w:lineRule="exact"/>
        <w:rPr>
          <w:rFonts w:ascii="Arial" w:cs="Arial" w:eastAsia="Arial" w:hAnsi="Arial"/>
          <w:sz w:val="17"/>
          <w:szCs w:val="17"/>
          <w:color w:val="auto"/>
        </w:rPr>
      </w:pPr>
    </w:p>
    <w:p>
      <w:pPr>
        <w:ind w:left="760" w:right="40" w:hanging="378"/>
        <w:spacing w:after="0" w:line="252"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w:t>
      </w:r>
      <w:r>
        <w:rPr>
          <w:rFonts w:ascii="Arial" w:cs="Arial" w:eastAsia="Arial" w:hAnsi="Arial"/>
          <w:sz w:val="17"/>
          <w:szCs w:val="17"/>
          <w:i w:val="1"/>
          <w:iCs w:val="1"/>
          <w:color w:val="auto"/>
        </w:rPr>
        <w:t>i.e.,</w:t>
      </w:r>
      <w:r>
        <w:rPr>
          <w:rFonts w:ascii="Arial" w:cs="Arial" w:eastAsia="Arial" w:hAnsi="Arial"/>
          <w:sz w:val="17"/>
          <w:szCs w:val="17"/>
          <w:color w:val="auto"/>
        </w:rPr>
        <w:t xml:space="preserve"> in the RMS and the Member States Concerned).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20" w:name="page21"/>
    <w:bookmarkEnd w:id="20"/>
    <w:p>
      <w:pPr>
        <w:ind w:right="240" w:firstLine="509"/>
        <w:spacing w:after="0" w:line="291"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People’s Republic of China Drug Regulation</w:t>
      </w:r>
    </w:p>
    <w:p>
      <w:pPr>
        <w:spacing w:after="0" w:line="104"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China heavily regulates the development, approval, manufacturing and distribution of drugs, including biologics. The legal framework for the administration of pharmaceutical products in China was established by the Drug Administration Law of the PRC (DAL). The DAL applies to entities and individuals engaged in the development, production, trade, clinical use, as well as supervision and administration of pharmaceutical products by regulatory agencies and provides a framework for regulating pharmaceutical manufacturers, pharmaceutical trading companies, medical institutions, and the research, development, manufacturing, distribution, packaging, pricing, and advertisement activities related to pharmaceutical products. The DAL was revised in 2019 (rDAL) and reflects the regulatory trend of strengthening the lifecycle management of drugs, balancing the development of innovative drugs and generic drugs, and enhancing drug review and enforcement. It also represents legislative efforts to address prominent problems of the pharmaceutical industry, such as high drug prices and counterfeit and substandard drugs.</w:t>
      </w:r>
    </w:p>
    <w:p>
      <w:pPr>
        <w:spacing w:after="0" w:line="73"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The rDAL contains a dedicated chapter on the Marketing Authorization Holder (MAH) system. Subject to approval by the NMPA, MAHs will be allowed to transfer their marketing authorizations, although it is uncertain whether the transferability of MAH will offer more flexibility in structuring cross-border transactions. In addition, the implementation of the MAH system was accompanied by a range of new requirements for the MAHs, such as establishing a quality assurance system and being responsible for the whole process including all aspects of preclinical research, clinical trials, manufacturing and distribution, post-marketing research, adverse drug reaction monitoring and reporting.</w:t>
      </w:r>
    </w:p>
    <w:p>
      <w:pPr>
        <w:spacing w:after="0" w:line="66" w:lineRule="exact"/>
        <w:rPr>
          <w:sz w:val="20"/>
          <w:szCs w:val="20"/>
          <w:color w:val="auto"/>
        </w:rPr>
      </w:pPr>
    </w:p>
    <w:p>
      <w:pPr>
        <w:jc w:val="both"/>
        <w:ind w:right="280" w:firstLine="509"/>
        <w:spacing w:after="0" w:line="248" w:lineRule="auto"/>
        <w:rPr>
          <w:sz w:val="20"/>
          <w:szCs w:val="20"/>
          <w:color w:val="auto"/>
        </w:rPr>
      </w:pPr>
      <w:r>
        <w:rPr>
          <w:rFonts w:ascii="Arial" w:cs="Arial" w:eastAsia="Arial" w:hAnsi="Arial"/>
          <w:sz w:val="18"/>
          <w:szCs w:val="18"/>
          <w:color w:val="auto"/>
        </w:rPr>
        <w:t>The rDAL also requires MAHs, manufacturers, distributors, and medical institutions to establish and implement drug track and trace systems. A drug pharmacovigilance system will also be established to monitor, identify, evaluate and control adverse drug reactions and other possible drug-related problems. The NMPA will issue related standards and regulations regarding drug track and trace system.</w:t>
      </w:r>
    </w:p>
    <w:p>
      <w:pPr>
        <w:spacing w:after="0" w:line="7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rDAL no longer requires the certification for good clinical practice (GCP), good supply practice (GSP), and GMP. Drug manufacturers and drug distributors must still comply with current requirements and the NMPA and its local counterparts are directed to strengthen their surveillance, including through regular and continuous site inspections, to ensure their compliance.</w:t>
      </w:r>
    </w:p>
    <w:p>
      <w:pPr>
        <w:spacing w:after="0" w:line="7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rDAL creates an expanded access pathway for investigational drugs under which a company sponsor of a clinical trial in China can apply to establish an expanded access treatment program for patients with life-threatening disease who otherwise do not satisfy the inclusion criteria of a clinical trial. To qualify for expanded access: (1) the drug must be used for life-threatening diseases that lack effective treatment; (2) the drug must have demonstrated its potential efficacy based on medical observations; (3) such use is in line with ethical principles; (4) such expanded use has been reviewed and approved (although the approval pathway not clear), and has obtained patients’ informed consent; and (5) the drug must be used within the clinical trial institution and used on patients with similar conditions.</w:t>
      </w:r>
    </w:p>
    <w:p>
      <w:pPr>
        <w:spacing w:after="0" w:line="81"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The rDAL also significantly increases and expands penalties for violations. Depending on various types of violations, the DAL imposes different penalties, including warnings, confiscation of illegal gains, fines of up to 5 million RMB (about $725,000) or up to 30 times of illegal gains, revocation of required business and operating licenses, certificates or approval documents for drugs, suspension of business, temporary (10 years) or permanent debarment of companies, institutions and responsible persons, and criminal liabilities in the case of serious violations.</w:t>
      </w:r>
    </w:p>
    <w:p>
      <w:pPr>
        <w:spacing w:after="0" w:line="6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There are still uncertainties with respect to the interpretation and implementation of the rDAL. We plan to monitor the implementation of the rDAL in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Authorities and Recent Government Reorganization</w:t>
      </w:r>
    </w:p>
    <w:p>
      <w:pPr>
        <w:spacing w:after="0" w:line="104" w:lineRule="exact"/>
        <w:rPr>
          <w:sz w:val="20"/>
          <w:szCs w:val="20"/>
          <w:color w:val="auto"/>
        </w:rPr>
      </w:pPr>
    </w:p>
    <w:p>
      <w:pPr>
        <w:ind w:right="240" w:firstLine="509"/>
        <w:spacing w:after="0" w:line="262" w:lineRule="auto"/>
        <w:rPr>
          <w:sz w:val="20"/>
          <w:szCs w:val="20"/>
          <w:color w:val="auto"/>
        </w:rPr>
      </w:pPr>
      <w:r>
        <w:rPr>
          <w:rFonts w:ascii="Arial" w:cs="Arial" w:eastAsia="Arial" w:hAnsi="Arial"/>
          <w:sz w:val="17"/>
          <w:szCs w:val="17"/>
          <w:color w:val="auto"/>
        </w:rPr>
        <w:t>In China, the NMPA is the primary regulator for pharmaceutical products and businesses. The agency was formed from the prior China Food and Drug Administration (CFDA) in 2018 as part of a complete government reorganization. The NMPA is no longer an independent agency and its parent agency is now the newly formed State Administration of Market Regulation (SAMR), into which agencies responsible for, among other areas, consumer protection, advertising, anticorruption, antitrust, fair competition and intellectual property have been merged.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1" w:name="page22"/>
    <w:bookmarkEnd w:id="21"/>
    <w:p>
      <w:pPr>
        <w:ind w:right="140" w:firstLine="509"/>
        <w:spacing w:after="0" w:line="241" w:lineRule="auto"/>
        <w:rPr>
          <w:sz w:val="20"/>
          <w:szCs w:val="20"/>
          <w:color w:val="auto"/>
        </w:rPr>
      </w:pPr>
      <w:r>
        <w:rPr>
          <w:rFonts w:ascii="Arial" w:cs="Arial" w:eastAsia="Arial" w:hAnsi="Arial"/>
          <w:sz w:val="18"/>
          <w:szCs w:val="18"/>
          <w:color w:val="auto"/>
        </w:rPr>
        <w:t>Like the CFDA, the NMPA is still the chief drug regulatory agency and implements the same laws, regulations, rules, and guidelines as the CFDA. The agency regulates almost all of the key stages of the lifecycle of pharmaceutical products, including nonclinical studies, clinical trials, marketing approvals, manufacturing, advertising and promotion, distribution, and pharmacovigilance (i.e., post-marketing safety reporting obligations). The Center for Drug Evaluation (CDE), which remains under the NMPA, conducts the technical evaluation of each drug and biologic application for safety and efficacy.</w:t>
      </w:r>
    </w:p>
    <w:p>
      <w:pPr>
        <w:spacing w:after="0" w:line="81"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The National Health Commission (NHC), formerly known as Ministry of Health (MOH) and National Health and Family Planning Commission (NHFPC), is China’s chief healthcare regulator. It is primarily responsible for overseeing the operation of medical institutions, which also serve as clinical trial sites, and regulating the licensure of hospitals and other medical personnel. Furthermore, the NHC and its local counterparts also oversee and organize public medical institutions’ centralized bidding and procurement process for pharmaceutical products. This is the primary way that public hospitals and their internal pharmacies procure drugs and the NHC plays a significant role in drug reimbursement.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and Clinical Development</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NMPA requires preclinical data to support registration applications for new drugs, which includes safety assessment studies that meet the GLP standards, issued in 2003 and amended in 2017. The rDAL requires the NMPA to accredit GLP labs, and that nonclinical studies of chemical drug substances and preparations and biologics that are not yet marketed in China be conducted in GLP-certified labs. There are no approvals required from the NMPA to conduct preclinical studies.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Categories</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An applicant will need to determine the registration category for its drug candidate, prior to engaging with the NMPA on research and development and approval, which will determine the requirements for its clinical trial and marketing application. There are five categories for small molecule drugs: Category 1 (innovative drugs) refers to drugs that have a new chemical entity that has not been marketed anywhere in the world, Category 2 (improved new drugs) refers to drugs with a new indication, dosage form, route of administration, combination, or certain formulation changes not approved in the world, Categories 3 and 4 are for generics that reference an innovator drug (or certain well-known generic drugs) marketed either abroad or in China, respectively, and Category 5 refers to innovative or generic drugs that have already been marketed abroad but are not yet approved in China (i.e., imported drugs).</w:t>
      </w:r>
    </w:p>
    <w:p>
      <w:pPr>
        <w:spacing w:after="0" w:line="54" w:lineRule="exact"/>
        <w:rPr>
          <w:sz w:val="20"/>
          <w:szCs w:val="20"/>
          <w:color w:val="auto"/>
        </w:rPr>
      </w:pPr>
    </w:p>
    <w:p>
      <w:pPr>
        <w:ind w:right="80" w:firstLine="509"/>
        <w:spacing w:after="0" w:line="291" w:lineRule="auto"/>
        <w:rPr>
          <w:sz w:val="20"/>
          <w:szCs w:val="20"/>
          <w:color w:val="auto"/>
        </w:rPr>
      </w:pPr>
      <w:r>
        <w:rPr>
          <w:rFonts w:ascii="Arial" w:cs="Arial" w:eastAsia="Arial" w:hAnsi="Arial"/>
          <w:sz w:val="17"/>
          <w:szCs w:val="17"/>
          <w:color w:val="auto"/>
        </w:rPr>
        <w:t>The categories are similar for therapeutic biologics, with Category 1 for new and innovative biologics that have not been approved inside or outside of China. Biosimilars are under Category 3. KSI-301 is classified as Category 1 based on the defined registration category by the NMPA.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Programs – Priority Evaluation and Approval Programs to Encourage Innovation</w:t>
      </w:r>
    </w:p>
    <w:p>
      <w:pPr>
        <w:spacing w:after="0" w:line="90" w:lineRule="exact"/>
        <w:rPr>
          <w:sz w:val="20"/>
          <w:szCs w:val="20"/>
          <w:color w:val="auto"/>
        </w:rPr>
      </w:pPr>
    </w:p>
    <w:p>
      <w:pPr>
        <w:ind w:right="240" w:firstLine="509"/>
        <w:spacing w:after="0" w:line="242" w:lineRule="auto"/>
        <w:rPr>
          <w:sz w:val="20"/>
          <w:szCs w:val="20"/>
          <w:color w:val="auto"/>
        </w:rPr>
      </w:pPr>
      <w:r>
        <w:rPr>
          <w:rFonts w:ascii="Arial" w:cs="Arial" w:eastAsia="Arial" w:hAnsi="Arial"/>
          <w:sz w:val="17"/>
          <w:szCs w:val="17"/>
          <w:color w:val="auto"/>
        </w:rPr>
        <w:t>The NMPA has adopted several expedited review and approval mechanisms since 2009 and created additional expedited programs in recent years that are intended to encourage innovation. Applications for these expedited programs can be submitted after the CTA is admitted for review by the CDE. The NMPA’s Drug Registration Rules effective from July 1, 2020 (DRR) provides certain categories of drugs that may be eligible for priority status. If admitted to one of these expedited programs, an applicant will be entitled to more frequent and timely communication with reviewers at the CDE, expedited review and approval, and more agency resources throughout the approval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and Marketing Approval</w:t>
      </w:r>
    </w:p>
    <w:p>
      <w:pPr>
        <w:spacing w:after="0" w:line="90" w:lineRule="exact"/>
        <w:rPr>
          <w:sz w:val="20"/>
          <w:szCs w:val="20"/>
          <w:color w:val="auto"/>
        </w:rPr>
      </w:pPr>
    </w:p>
    <w:p>
      <w:pPr>
        <w:ind w:right="360" w:firstLine="509"/>
        <w:spacing w:after="0" w:line="276" w:lineRule="auto"/>
        <w:rPr>
          <w:sz w:val="20"/>
          <w:szCs w:val="20"/>
          <w:color w:val="auto"/>
        </w:rPr>
      </w:pPr>
      <w:r>
        <w:rPr>
          <w:rFonts w:ascii="Arial" w:cs="Arial" w:eastAsia="Arial" w:hAnsi="Arial"/>
          <w:sz w:val="16"/>
          <w:szCs w:val="16"/>
          <w:color w:val="auto"/>
        </w:rPr>
        <w:t>Upon completion of pre-clinical studies, a sponsor typically needs to conduct clinical trials in China for registering a new drug in China. The materials required for this application and the data requirements are determined by the registration category. The NMPA has taken a number of steps to increase efficiency for approving CTAs, and it has also significantly increased monitoring and enforcement of GCP to ensure data integrity.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Approval</w:t>
      </w:r>
    </w:p>
    <w:p>
      <w:pPr>
        <w:spacing w:after="0" w:line="90" w:lineRule="exact"/>
        <w:rPr>
          <w:sz w:val="20"/>
          <w:szCs w:val="20"/>
          <w:color w:val="auto"/>
        </w:rPr>
      </w:pPr>
    </w:p>
    <w:p>
      <w:pPr>
        <w:ind w:right="20" w:firstLine="509"/>
        <w:spacing w:after="0" w:line="246" w:lineRule="auto"/>
        <w:rPr>
          <w:sz w:val="20"/>
          <w:szCs w:val="20"/>
          <w:color w:val="auto"/>
        </w:rPr>
      </w:pPr>
      <w:r>
        <w:rPr>
          <w:rFonts w:ascii="Arial" w:cs="Arial" w:eastAsia="Arial" w:hAnsi="Arial"/>
          <w:sz w:val="17"/>
          <w:szCs w:val="17"/>
          <w:color w:val="auto"/>
        </w:rPr>
        <w:t>All clinical trials conducted in China for the purpose of seeking marketing approvals must be approved by the NMPA and conducted at hospitals satisfying GCP requirements. In addition to a standalone China trial to support development, imported drug applicants may establish a site in China that is part of an international multicenter trial (IMCT). Domestically manufactured drugs are not subject to foreign approval requirements, and in contrast to prior practice, the NMPA has decided to permit those drugs to conduct development via an IMCT as well.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ind w:right="60" w:firstLine="509"/>
        <w:spacing w:after="0" w:line="231" w:lineRule="auto"/>
        <w:rPr>
          <w:sz w:val="20"/>
          <w:szCs w:val="20"/>
          <w:color w:val="auto"/>
        </w:rPr>
      </w:pPr>
      <w:r>
        <w:rPr>
          <w:rFonts w:ascii="Arial" w:cs="Arial" w:eastAsia="Arial" w:hAnsi="Arial"/>
          <w:sz w:val="18"/>
          <w:szCs w:val="18"/>
          <w:color w:val="auto"/>
        </w:rPr>
        <w:t>The rDAL has now also adopted an implied approval system for clinical trials of new drugs. Trials can proceed if after 60 business days, the applicant has not received any objections from the CDE, as opposed to the lengthier previous clinical trial pre-approval process in which the applicant had to wait for affirmative approval. In addition, by abolishing the GCP accreditation system, the rDAL also expanded the number of trial sites and simplified the notification procedure followed by trial sites.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Register</w:t>
      </w:r>
    </w:p>
    <w:p>
      <w:pPr>
        <w:spacing w:after="0" w:line="90" w:lineRule="exact"/>
        <w:rPr>
          <w:sz w:val="20"/>
          <w:szCs w:val="20"/>
          <w:color w:val="auto"/>
        </w:rPr>
      </w:pPr>
    </w:p>
    <w:p>
      <w:pPr>
        <w:ind w:right="120" w:firstLine="509"/>
        <w:spacing w:after="0" w:line="228" w:lineRule="auto"/>
        <w:rPr>
          <w:sz w:val="20"/>
          <w:szCs w:val="20"/>
          <w:color w:val="auto"/>
        </w:rPr>
      </w:pPr>
      <w:r>
        <w:rPr>
          <w:rFonts w:ascii="Arial" w:cs="Arial" w:eastAsia="Arial" w:hAnsi="Arial"/>
          <w:sz w:val="18"/>
          <w:szCs w:val="18"/>
          <w:color w:val="auto"/>
        </w:rPr>
        <w:t>Clinical trials conducted in China must be registered and published through the Drug Clinical Trial Information Platform (http://www.chinadrugtrials.org.cn). Applicants are required to pre-register the trial information within one month after trial approval to obtain the unique trial registration number and to complete registration of certain information before the first subject is enrolled. If the foregoing pre-registration and registration is not obtained within one year after obtaining the clinical trial approval, the applicant shall submit an explanation, and if the procedure is not completed within three years, the clinical trial approval automatically expires.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Genetic Resources Regulation</w:t>
      </w:r>
    </w:p>
    <w:p>
      <w:pPr>
        <w:spacing w:after="0" w:line="90" w:lineRule="exact"/>
        <w:rPr>
          <w:sz w:val="20"/>
          <w:szCs w:val="20"/>
          <w:color w:val="auto"/>
        </w:rPr>
      </w:pPr>
    </w:p>
    <w:p>
      <w:pPr>
        <w:ind w:right="140" w:firstLine="509"/>
        <w:spacing w:after="0" w:line="235" w:lineRule="auto"/>
        <w:rPr>
          <w:sz w:val="20"/>
          <w:szCs w:val="20"/>
          <w:color w:val="auto"/>
        </w:rPr>
      </w:pPr>
      <w:r>
        <w:rPr>
          <w:rFonts w:ascii="Arial" w:cs="Arial" w:eastAsia="Arial" w:hAnsi="Arial"/>
          <w:sz w:val="18"/>
          <w:szCs w:val="18"/>
          <w:color w:val="auto"/>
        </w:rPr>
        <w:t>The Regulation on the Administration of Human Genetic Resources (HGR Regulation) became effective on July 1, 2019. The HGR Regulation applies to all human genetic resources (HGR)-related activities for R&amp;D purposes, including sampling, biobanking, use of HGR materials and associated data in China, and the provision or sharing of such materials or data with foreign parties.</w:t>
      </w:r>
    </w:p>
    <w:p>
      <w:pPr>
        <w:spacing w:after="0" w:line="67" w:lineRule="exact"/>
        <w:rPr>
          <w:sz w:val="20"/>
          <w:szCs w:val="20"/>
          <w:color w:val="auto"/>
        </w:rPr>
      </w:pPr>
    </w:p>
    <w:p>
      <w:pPr>
        <w:ind w:right="160" w:firstLine="509"/>
        <w:spacing w:after="0" w:line="258" w:lineRule="auto"/>
        <w:rPr>
          <w:sz w:val="20"/>
          <w:szCs w:val="20"/>
          <w:color w:val="auto"/>
        </w:rPr>
      </w:pPr>
      <w:r>
        <w:rPr>
          <w:rFonts w:ascii="Arial" w:cs="Arial" w:eastAsia="Arial" w:hAnsi="Arial"/>
          <w:sz w:val="16"/>
          <w:szCs w:val="16"/>
          <w:color w:val="auto"/>
        </w:rPr>
        <w:t>The HGR Regulation applies to foreign parties, including foreign entities and entities established or controlled by foreign entities and individuals. Such foreign parties seeking access to China’s HGRs for scientific research, including clinical trials intended to support marketing approval of drugs and medical devices in China, must engage in collaborations with Chinese parties, such as Chinese hospitals. The HGR Regulation prohibits foreign parties from independently sampling or biobanking any China HGR in China and requires approval for the sampling of certain HGR and biobanking of all HGR by Chinese parties. Any cross-border transfer of the HGR materials, either under an international collaboration or as a direct export, must be on an as-needed basis and requires approval. In addition, providing HGR data to foreign parties requires a record filing.</w:t>
      </w:r>
    </w:p>
    <w:p>
      <w:pPr>
        <w:spacing w:after="0" w:line="55" w:lineRule="exact"/>
        <w:rPr>
          <w:sz w:val="20"/>
          <w:szCs w:val="20"/>
          <w:color w:val="auto"/>
        </w:rPr>
      </w:pPr>
    </w:p>
    <w:p>
      <w:pPr>
        <w:ind w:right="20" w:firstLine="509"/>
        <w:spacing w:after="0" w:line="266" w:lineRule="auto"/>
        <w:rPr>
          <w:sz w:val="20"/>
          <w:szCs w:val="20"/>
          <w:color w:val="auto"/>
        </w:rPr>
      </w:pPr>
      <w:r>
        <w:rPr>
          <w:rFonts w:ascii="Arial" w:cs="Arial" w:eastAsia="Arial" w:hAnsi="Arial"/>
          <w:sz w:val="16"/>
          <w:szCs w:val="16"/>
          <w:color w:val="auto"/>
        </w:rPr>
        <w:t>The HGR Regulation retains the provision in the Interim Measures for the Administration of Human Genetic Resources issued in 1998 (the Interim Measures) that parties should jointly apply for and own the patent rights arising from the results generated from international collaborations that utilize China HGR. Subject to approval, the parties may contractually agree on how to dispose of their patent rights and non-patent proprietary rights arising from the collaboration. As the joint ownership requirement is rather broad, it is unclear how this requirement will be implemented in practice.</w:t>
      </w:r>
    </w:p>
    <w:p>
      <w:pPr>
        <w:spacing w:after="0" w:line="48" w:lineRule="exact"/>
        <w:rPr>
          <w:sz w:val="20"/>
          <w:szCs w:val="20"/>
          <w:color w:val="auto"/>
        </w:rPr>
      </w:pPr>
    </w:p>
    <w:p>
      <w:pPr>
        <w:jc w:val="both"/>
        <w:ind w:right="100" w:firstLine="509"/>
        <w:spacing w:after="0" w:line="231" w:lineRule="auto"/>
        <w:rPr>
          <w:sz w:val="20"/>
          <w:szCs w:val="20"/>
          <w:color w:val="auto"/>
        </w:rPr>
      </w:pPr>
      <w:r>
        <w:rPr>
          <w:rFonts w:ascii="Arial" w:cs="Arial" w:eastAsia="Arial" w:hAnsi="Arial"/>
          <w:sz w:val="18"/>
          <w:szCs w:val="18"/>
          <w:color w:val="auto"/>
        </w:rPr>
        <w:t>The HGR Regulation also significantly increases and expands penalties for various violations, including warnings, disgorgement of illegal gains, confiscation of illegal HGR, fines up to 10 million RMB($1,450,000) or 5-10 times of illegal gains in the event such illegal gains exceed 1 million RMB ($145,000), and temporary (1-5 years) or permanent debarment of companies, institutions and responsible persons from future HGR projects regulated by the HGR 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Process and Good Clinical Practices</w:t>
      </w:r>
    </w:p>
    <w:p>
      <w:pPr>
        <w:spacing w:after="0" w:line="90" w:lineRule="exact"/>
        <w:rPr>
          <w:sz w:val="20"/>
          <w:szCs w:val="20"/>
          <w:color w:val="auto"/>
        </w:rPr>
      </w:pPr>
    </w:p>
    <w:p>
      <w:pPr>
        <w:ind w:firstLine="509"/>
        <w:spacing w:after="0" w:line="225" w:lineRule="auto"/>
        <w:rPr>
          <w:sz w:val="20"/>
          <w:szCs w:val="20"/>
          <w:color w:val="auto"/>
        </w:rPr>
      </w:pPr>
      <w:r>
        <w:rPr>
          <w:rFonts w:ascii="Arial" w:cs="Arial" w:eastAsia="Arial" w:hAnsi="Arial"/>
          <w:sz w:val="18"/>
          <w:szCs w:val="18"/>
          <w:color w:val="auto"/>
        </w:rPr>
        <w:t>As in other parts of the world, clinical trials in China typically have three phases. Phase 1 refers to the initial clinical pharmacology and human safety evaluation studies. Phase 2 refers to the preliminary evaluation of a drug candidate’s therapeutic efficacy and safety for target indication(s) in patients. Phase 3 (often the pivotal study) refers to clinical trials to further verify the drug candidate’s therapeutic efficacy and safety on patients with target indication(s) and ultimately provide sufficient evidence for the review of a drug registration application. The NMPA requires that the different phases of clinical trials in China receive ethics committee approval and comply with GCP. The NMPA conducts inspections on clinical trials conducted in China to assess GCP compliance and may refuse to approve the drug if it finds substantial issues in the trials. In addition, upon granting the drug registration certificate, NMPA may, at its sole discretion, require a Phase 4 trial to be conducted by MAH within a specified period of time so as to further monitor and obtain safety and efficacy data of the drug.</w:t>
      </w:r>
    </w:p>
    <w:p>
      <w:pPr>
        <w:spacing w:after="0" w:line="68" w:lineRule="exact"/>
        <w:rPr>
          <w:sz w:val="20"/>
          <w:szCs w:val="20"/>
          <w:color w:val="auto"/>
        </w:rPr>
      </w:pPr>
    </w:p>
    <w:p>
      <w:pPr>
        <w:ind w:right="40" w:firstLine="509"/>
        <w:spacing w:after="0" w:line="227" w:lineRule="auto"/>
        <w:rPr>
          <w:sz w:val="20"/>
          <w:szCs w:val="20"/>
          <w:color w:val="auto"/>
        </w:rPr>
      </w:pPr>
      <w:r>
        <w:rPr>
          <w:rFonts w:ascii="Arial" w:cs="Arial" w:eastAsia="Arial" w:hAnsi="Arial"/>
          <w:sz w:val="18"/>
          <w:szCs w:val="18"/>
          <w:color w:val="auto"/>
        </w:rPr>
        <w:t>Pursuant to GCP, sponsors of clinical trials are responsible for proper packaging and labeling of drugs used for clinical trials, including that investigational drugs shall be consistent with the control drug or placebo in appearance, odor, packaging, labeling, and certain other features in double-blinded clinical trials. Pharmaceutical packaging must comply with national and professional standards or obtain approval from the provincial administration for medical products or bureau of standards if these standards are not available and need to be developed and implemented by the sponsors. Changes in such approved packaging standards need to be re-approved. Drugs of which the packaging standards are not approved shall not be released or marketed in China, except for those specifically supplied to the military.</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22"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Acceptance of Foreign Clinical Trial Studies</w:t>
      </w:r>
    </w:p>
    <w:p>
      <w:pPr>
        <w:spacing w:after="0" w:line="90" w:lineRule="exact"/>
        <w:rPr>
          <w:sz w:val="20"/>
          <w:szCs w:val="20"/>
          <w:color w:val="auto"/>
        </w:rPr>
      </w:pPr>
    </w:p>
    <w:p>
      <w:pPr>
        <w:ind w:right="160" w:firstLine="509"/>
        <w:spacing w:after="0" w:line="255" w:lineRule="auto"/>
        <w:rPr>
          <w:sz w:val="20"/>
          <w:szCs w:val="20"/>
          <w:color w:val="auto"/>
        </w:rPr>
      </w:pPr>
      <w:r>
        <w:rPr>
          <w:rFonts w:ascii="Arial" w:cs="Arial" w:eastAsia="Arial" w:hAnsi="Arial"/>
          <w:sz w:val="16"/>
          <w:szCs w:val="16"/>
          <w:color w:val="auto"/>
        </w:rPr>
        <w:t>The NMPA may be flexible on the requirements of trials and data generated in China, dependent on the drug and the existing data. The NMPA has granted waivers for all or part of trials and has stated that it will accept data generated abroad (even if not part of a global study), including early phase data, that meets its requirements. In 2018, the NMPA issued the Technical Guidance Principles on Accepting Foreign Drug Clinical Trial Data (the Guidance Principles), as one of the implementing rules for the Opinions on Deepening the Reform of the Evaluation and Approval Systems and Encouraging Innovation on Drugs and Medical Devices (the Innovation Opinion). According to the Guidance Principles, data from foreign clinical trials must meet authenticity, completeness and accuracy requirements and such data must be obtained in compliance with the relevant requirements under the GCP of the International Conference on Harmonization of Technical Requirements for Registration of Pharmaceuticals for Human Use (ICH). Sponsors must be attentive to ethnic differences in the subject population that could be potentially meaningful.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Drug Application (NDA) and Approval</w:t>
      </w:r>
    </w:p>
    <w:p>
      <w:pPr>
        <w:spacing w:after="0" w:line="90" w:lineRule="exact"/>
        <w:rPr>
          <w:sz w:val="20"/>
          <w:szCs w:val="20"/>
          <w:color w:val="auto"/>
        </w:rPr>
      </w:pPr>
    </w:p>
    <w:p>
      <w:pPr>
        <w:ind w:right="20" w:firstLine="509"/>
        <w:spacing w:after="0" w:line="231" w:lineRule="auto"/>
        <w:rPr>
          <w:sz w:val="20"/>
          <w:szCs w:val="20"/>
          <w:color w:val="auto"/>
        </w:rPr>
      </w:pPr>
      <w:r>
        <w:rPr>
          <w:rFonts w:ascii="Arial" w:cs="Arial" w:eastAsia="Arial" w:hAnsi="Arial"/>
          <w:sz w:val="18"/>
          <w:szCs w:val="18"/>
          <w:color w:val="auto"/>
        </w:rPr>
        <w:t>Upon completion of clinical trials, a sponsor may submit clinical trial data to support marketing approval for the drug. For domestically manufactured drugs, NDA sponsors must submit data derived from the submitted drugs in support of their approval. Under the rDAL, upon approval of the registration application, the NMPA will issue a drug registration certificate to the applicant which is in fact the marketing approval of the drug, and the applicant is no longer required to be equipped with relevant manufacturing capability.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Distribution</w:t>
      </w:r>
    </w:p>
    <w:p>
      <w:pPr>
        <w:spacing w:after="0" w:line="90" w:lineRule="exact"/>
        <w:rPr>
          <w:sz w:val="20"/>
          <w:szCs w:val="20"/>
          <w:color w:val="auto"/>
        </w:rPr>
      </w:pPr>
    </w:p>
    <w:p>
      <w:pPr>
        <w:jc w:val="both"/>
        <w:ind w:right="340" w:firstLine="509"/>
        <w:spacing w:after="0" w:line="235" w:lineRule="auto"/>
        <w:rPr>
          <w:sz w:val="20"/>
          <w:szCs w:val="20"/>
          <w:color w:val="auto"/>
        </w:rPr>
      </w:pPr>
      <w:r>
        <w:rPr>
          <w:rFonts w:ascii="Arial" w:cs="Arial" w:eastAsia="Arial" w:hAnsi="Arial"/>
          <w:sz w:val="18"/>
          <w:szCs w:val="18"/>
          <w:color w:val="auto"/>
        </w:rPr>
        <w:t>All facilities that manufacture drugs in China must receive a drug manufacturing license with an appropriate “scope of manufacturing” from the local drug regulatory authority. This license must be renewed every five years, and the manufacturing facility is also required to be in compliance with GMP.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Drug Monitoring Period</w:t>
      </w:r>
    </w:p>
    <w:p>
      <w:pPr>
        <w:spacing w:after="0" w:line="90" w:lineRule="exact"/>
        <w:rPr>
          <w:sz w:val="20"/>
          <w:szCs w:val="20"/>
          <w:color w:val="auto"/>
        </w:rPr>
      </w:pPr>
    </w:p>
    <w:p>
      <w:pPr>
        <w:ind w:right="120" w:firstLine="509"/>
        <w:spacing w:after="0" w:line="227" w:lineRule="auto"/>
        <w:rPr>
          <w:sz w:val="20"/>
          <w:szCs w:val="20"/>
          <w:color w:val="auto"/>
        </w:rPr>
      </w:pPr>
      <w:r>
        <w:rPr>
          <w:rFonts w:ascii="Arial" w:cs="Arial" w:eastAsia="Arial" w:hAnsi="Arial"/>
          <w:sz w:val="18"/>
          <w:szCs w:val="18"/>
          <w:color w:val="auto"/>
        </w:rPr>
        <w:t>Previously, new varieties of domestically produced drugs approved under Categories 1 or 2 in China could be placed under a monitoring period for three to five years. Category 1 innovative drugs were monitored for five years. During the monitoring period, the NMPA would not approve another CTA from another applicant for the same type of drug, except if another sponsor had an approved CTA at the time that the monitoring period was initiated, it could proceed with its trial and once approved become another drug that was part of the monitoring period. The DRR has abolished these new drug monitoring period programs; however, drugs that had been placed under a monitoring period before the DRR took effect are still entitled to exclusivity before the monitoring periods end.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Post-Marketing Surveillance</w:t>
      </w:r>
    </w:p>
    <w:p>
      <w:pPr>
        <w:spacing w:after="0" w:line="90" w:lineRule="exact"/>
        <w:rPr>
          <w:sz w:val="20"/>
          <w:szCs w:val="20"/>
          <w:color w:val="auto"/>
        </w:rPr>
      </w:pPr>
    </w:p>
    <w:p>
      <w:pPr>
        <w:ind w:right="160" w:firstLine="509"/>
        <w:spacing w:after="0" w:line="231" w:lineRule="auto"/>
        <w:rPr>
          <w:sz w:val="20"/>
          <w:szCs w:val="20"/>
          <w:color w:val="auto"/>
        </w:rPr>
      </w:pPr>
      <w:r>
        <w:rPr>
          <w:rFonts w:ascii="Arial" w:cs="Arial" w:eastAsia="Arial" w:hAnsi="Arial"/>
          <w:sz w:val="18"/>
          <w:szCs w:val="18"/>
          <w:color w:val="auto"/>
        </w:rPr>
        <w:t>Under the rDAL, the MAH of a drug is ultimately responsible for pharmacovigilance, including quality assurance, adverse reaction reporting and monitoring, and product recalls. Distributors and user entities (e.g., hospitals) are also required to report, in their respective roles, adverse reactions of the products they sell or use, and assist the MAH with any product recalls. An MAH for a drug that is currently under the new drug monitoring period must report all adverse drug reactions (as opposed to just serious adverse reactions) for that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Promotion of Pharmaceutical Products</w:t>
      </w:r>
    </w:p>
    <w:p>
      <w:pPr>
        <w:spacing w:after="0" w:line="90"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China has a strict regime for the advertising of approved medicines. No unapproved medicines may be advertised. The definition of an advertisement is very broad and does not expressly exclude scientific exchange. It can be any media that directly or indirectly introduces the product to end users. There is no clear line between advertising and any other type of promotion.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Intellectual Property Protections</w:t>
      </w:r>
    </w:p>
    <w:p>
      <w:pPr>
        <w:spacing w:after="0" w:line="90" w:lineRule="exact"/>
        <w:rPr>
          <w:sz w:val="20"/>
          <w:szCs w:val="20"/>
          <w:color w:val="auto"/>
        </w:rPr>
      </w:pPr>
    </w:p>
    <w:p>
      <w:pPr>
        <w:ind w:firstLine="509"/>
        <w:spacing w:after="0" w:line="256" w:lineRule="auto"/>
        <w:rPr>
          <w:sz w:val="20"/>
          <w:szCs w:val="20"/>
          <w:color w:val="auto"/>
        </w:rPr>
      </w:pPr>
      <w:r>
        <w:rPr>
          <w:rFonts w:ascii="Arial" w:cs="Arial" w:eastAsia="Arial" w:hAnsi="Arial"/>
          <w:sz w:val="16"/>
          <w:szCs w:val="16"/>
          <w:color w:val="auto"/>
        </w:rPr>
        <w:t>In January 2020, the United States and China signed the Economic and Trade Agreement Between the United States of America and the PRC (the Trade Agreement), in which, among other things, China agreed to provide effective protection and enforcement of pharmaceutical-related intellectual property rights, such as patents and undisclosed test or other data submitted as a condition of marketing approval. These provisions of the Trade Agreement will need to be implemented in China. In October 2020, amendments to the PRC Patent Law (the Amended PRC Patent Law) were adopted, effective June 1, 2021, which contains both patent term extension and a mechanism for early resolution of patent disputes, that may be comparable to patent linkage in the United States. There is uncertainty around the scope and implementation of the patent term extension and the early resolution mechanism as the provisions are unclear and/or remain subject to the approval of implementing regulations that are still in draft form or have not yet been proposed.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Regulatory Data Protection</w:t>
      </w:r>
    </w:p>
    <w:p>
      <w:pPr>
        <w:spacing w:after="0" w:line="90" w:lineRule="exact"/>
        <w:rPr>
          <w:sz w:val="20"/>
          <w:szCs w:val="20"/>
          <w:color w:val="auto"/>
        </w:rPr>
      </w:pPr>
    </w:p>
    <w:p>
      <w:pPr>
        <w:ind w:firstLine="509"/>
        <w:spacing w:after="0" w:line="246" w:lineRule="auto"/>
        <w:rPr>
          <w:sz w:val="20"/>
          <w:szCs w:val="20"/>
          <w:color w:val="auto"/>
        </w:rPr>
      </w:pPr>
      <w:r>
        <w:rPr>
          <w:rFonts w:ascii="Arial" w:cs="Arial" w:eastAsia="Arial" w:hAnsi="Arial"/>
          <w:sz w:val="17"/>
          <w:szCs w:val="17"/>
          <w:color w:val="auto"/>
        </w:rPr>
        <w:t>The Innovation Opinion provided a foundation for regulatory data protection to protect innovative drugs and will be available for undisclosed clinical trial data of drugs within the following categories: innovative drugs, innovative therapeutic biologics, drugs that treat orphan diseases, pediatric drugs, and drugs for which there has been a successful patent challenge. According to the Trade Agreement, China has committed to providing for effective protection of undisclosed clinical trial or other data submitted as a condition of marketing approval.</w:t>
      </w:r>
    </w:p>
    <w:p>
      <w:pPr>
        <w:spacing w:after="0" w:line="63" w:lineRule="exact"/>
        <w:rPr>
          <w:sz w:val="20"/>
          <w:szCs w:val="20"/>
          <w:color w:val="auto"/>
        </w:rPr>
      </w:pPr>
    </w:p>
    <w:p>
      <w:pPr>
        <w:ind w:right="20" w:firstLine="509"/>
        <w:spacing w:after="0" w:line="228" w:lineRule="auto"/>
        <w:rPr>
          <w:sz w:val="20"/>
          <w:szCs w:val="20"/>
          <w:color w:val="auto"/>
        </w:rPr>
      </w:pPr>
      <w:r>
        <w:rPr>
          <w:rFonts w:ascii="Arial" w:cs="Arial" w:eastAsia="Arial" w:hAnsi="Arial"/>
          <w:sz w:val="18"/>
          <w:szCs w:val="18"/>
          <w:color w:val="auto"/>
        </w:rPr>
        <w:t>The NMPA has published draft regulations for public comment that would set regulatory data protection for innovative small molecule drugs at six years and for innovative therapeutic biologics at 12 years; pediatric and orphan drugs would receive six years to run concurrently from their approval dates. Full terms of protection would require reliance on local trials or sites of multi-center trials in China and simultaneous submissions of marketing applications in China and other countries. Submissions in China that are up to six years later than those abroad would result in the term being reduced to 1-5 years and submissions over six years later in China may not receive protection.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Linkage</w:t>
      </w:r>
    </w:p>
    <w:p>
      <w:pPr>
        <w:spacing w:after="0" w:line="90"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The Innovation Opinion also established the basic elements of a patent linkage system to protect innovators. A follow-on applicant would be required to identify patents that are relevant to its application and notify those relevant patent right holders (including, innovators) within a specified period after filing an application, permitting the patent holders the ability to protect their rights. The system will require that the NMPA continue to review the potentially infringing follow-on application during any lawsuit by the innovator and that the NMPA may not approve the follow-on application pending resolution of the patent litigation in favor of the follow-on application or for a specified period of time, whichever is shorter. Similarly, the Trade Agreement also adopted certain elements of a patent linkage system (notice to the patent right holder of the follow-on application, time and opportunity for that right holder to sue or to seek expeditious remedies, obtain a timely resolution of the patent dispute) but did not explicitly mention a stay of marketing approval of the follow-on application.</w:t>
      </w:r>
    </w:p>
    <w:p>
      <w:pPr>
        <w:spacing w:after="0" w:line="68" w:lineRule="exact"/>
        <w:rPr>
          <w:sz w:val="20"/>
          <w:szCs w:val="20"/>
          <w:color w:val="auto"/>
        </w:rPr>
      </w:pPr>
    </w:p>
    <w:p>
      <w:pPr>
        <w:ind w:right="320" w:firstLine="509"/>
        <w:spacing w:after="0" w:line="246" w:lineRule="auto"/>
        <w:rPr>
          <w:sz w:val="20"/>
          <w:szCs w:val="20"/>
          <w:color w:val="auto"/>
        </w:rPr>
      </w:pPr>
      <w:r>
        <w:rPr>
          <w:rFonts w:ascii="Arial" w:cs="Arial" w:eastAsia="Arial" w:hAnsi="Arial"/>
          <w:sz w:val="17"/>
          <w:szCs w:val="17"/>
          <w:color w:val="auto"/>
        </w:rPr>
        <w:t>The Amended PRC Patent Law provides a cause of action to allow a patent holder to initiate a declarative action during the regulatory review process of a drug to determine whether the drug falls within the patent scope, that may be comparable to the patent linkage system in the United States. There is uncertainty around the scope and implementation of the early resolution mechanism as the provisions are unclear and/or remain subject to the approval of implementing regulations that are still in draft form or have not yet been proposed.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Extension</w:t>
      </w:r>
    </w:p>
    <w:p>
      <w:pPr>
        <w:spacing w:after="0" w:line="90" w:lineRule="exact"/>
        <w:rPr>
          <w:sz w:val="20"/>
          <w:szCs w:val="20"/>
          <w:color w:val="auto"/>
        </w:rPr>
      </w:pPr>
    </w:p>
    <w:p>
      <w:pPr>
        <w:ind w:right="40" w:firstLine="509"/>
        <w:spacing w:after="0" w:line="239" w:lineRule="auto"/>
        <w:rPr>
          <w:sz w:val="20"/>
          <w:szCs w:val="20"/>
          <w:color w:val="auto"/>
        </w:rPr>
      </w:pPr>
      <w:r>
        <w:rPr>
          <w:rFonts w:ascii="Arial" w:cs="Arial" w:eastAsia="Arial" w:hAnsi="Arial"/>
          <w:sz w:val="17"/>
          <w:szCs w:val="17"/>
          <w:color w:val="auto"/>
        </w:rPr>
        <w:t>In early 2019, pursuant to the Innovation Opinion, the National People’s Congress issued a proposal for patent term extension as part of a proposed amendment to the Patent Law. The Amended PRC Patent Law provides that the China National Intellectual Property Administration shall provide patent term extension, similar to the United States, for the patent term lost during the regulatory review process of a new drug upon the patent holder’s request. The extended term shall not exceed five years, and the total patent term after market entry of the new drug shall not exceed 14 years. The Trade Agreement also provides for patent term extension to compensate for unreasonable delay that occurs during pharmaceutical product marketing approvals. There is uncertainty around the scope and implementation of the patent term extension as the provisions are unclear and/or remain subject to the approval of implementing regulations that are still in draft form or have not yet been proposed.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PRC national- and provincial-level laws and regulations</w:t>
      </w:r>
    </w:p>
    <w:p>
      <w:pPr>
        <w:spacing w:after="0" w:line="90" w:lineRule="exact"/>
        <w:rPr>
          <w:sz w:val="20"/>
          <w:szCs w:val="20"/>
          <w:color w:val="auto"/>
        </w:rPr>
      </w:pPr>
    </w:p>
    <w:p>
      <w:pPr>
        <w:ind w:right="40" w:firstLine="509"/>
        <w:spacing w:after="0" w:line="239" w:lineRule="auto"/>
        <w:rPr>
          <w:sz w:val="20"/>
          <w:szCs w:val="20"/>
          <w:color w:val="auto"/>
        </w:rPr>
      </w:pPr>
      <w:r>
        <w:rPr>
          <w:rFonts w:ascii="Arial" w:cs="Arial" w:eastAsia="Arial" w:hAnsi="Arial"/>
          <w:sz w:val="17"/>
          <w:szCs w:val="17"/>
          <w:color w:val="auto"/>
        </w:rPr>
        <w:t>Pharmaceutical companies operating in China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 medical information and the circumstances under which patient medical information may be released for inclusion in our information systems or released by us to third parties. These laws and regulations governing both the disclosure and the use of confidential patient medical information may become more restrictive in the future, including restrictions on transfer of healthcare data. The Cybersecurity Law that took effect in 2017 designates healthcare as a priority area that is part of critical information infrastructure, and China’s cyberspace administration is working to finalize a draft rule on cross-border transfer of personal information.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8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83"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or AMP, to 23.1% of AMP and adding a new rebate calculation for “line extensions” (</w:t>
      </w:r>
      <w:r>
        <w:rPr>
          <w:rFonts w:ascii="Arial" w:cs="Arial" w:eastAsia="Arial" w:hAnsi="Arial"/>
          <w:sz w:val="18"/>
          <w:szCs w:val="18"/>
          <w:i w:val="1"/>
          <w:iCs w:val="1"/>
          <w:color w:val="auto"/>
        </w:rPr>
        <w:t>i.e.,</w:t>
      </w:r>
      <w:r>
        <w:rPr>
          <w:rFonts w:ascii="Arial" w:cs="Arial" w:eastAsia="Arial" w:hAnsi="Arial"/>
          <w:sz w:val="18"/>
          <w:szCs w:val="18"/>
          <w:color w:val="auto"/>
        </w:rPr>
        <w:t xml:space="preserv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CMS has proposed to expand Medicaid rebate liability to the territories of the United States as well.</w:t>
      </w:r>
    </w:p>
    <w:p>
      <w:pPr>
        <w:spacing w:after="0" w:line="8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75"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In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prices are determined based on AMP and Medicaid rebate data, the revisions to the Medicaid rebate formula and AMP definition described above could cause the required 340B discount to increase.</w:t>
      </w:r>
    </w:p>
    <w:p>
      <w:pPr>
        <w:spacing w:after="0" w:line="53"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ind w:right="20" w:firstLine="509"/>
        <w:spacing w:after="0" w:line="238"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seeking, maintaining, and defending patent rights. We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Although we are not party to any material in-license agreements as of the date of this Annual Report on Form 10-K, we may in the future pursue in-licensing opportunities to strengthen our proprietary position in the field. We additionally rely on data exclusivity, market exclusivity, and patent term extensions when available, and may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defend and enforce our proprietary rights, including our patents; and to operate without infringing the valid and enforceable patents and other proprietary rights of third parties.</w:t>
      </w:r>
    </w:p>
    <w:p>
      <w:pPr>
        <w:spacing w:after="0" w:line="7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have prosecuted numerous patents and patent applications and possess know-how and trade secrets relating to the development and commercialization of our ABC Platform and product candidates, including related manufacturing processes and technology. As of December 31, 2021, we were the assignee of record for approximately eight U.S. issued patents, and approximately 12 U.S. pending patent applications directed to certain of our proprietary technology, inventions, and improvements and our most advanced product candidates, as well as 34 patents issued in jurisdictions outside of the United States and 62 patent applications pending in jurisdictions outside of the United States that, in many cases, are counterparts to the foregoing U.S. patents and patent applications. We also have two pending PCT application. For example, these patents and patent applications include claims directed to:</w:t>
      </w:r>
    </w:p>
    <w:p>
      <w:pPr>
        <w:spacing w:after="0" w:line="54"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therapeutic proteins and biologically active agents conjugated to a biopolymer, which comprise our ABC Platform;</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specific therapeutics, including KSI-301;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components of our therapeutics.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7" w:name="page28"/>
    <w:bookmarkEnd w:id="27"/>
    <w:p>
      <w:pPr>
        <w:ind w:right="140" w:firstLine="509"/>
        <w:spacing w:after="0" w:line="261" w:lineRule="auto"/>
        <w:rPr>
          <w:sz w:val="20"/>
          <w:szCs w:val="20"/>
          <w:color w:val="auto"/>
        </w:rPr>
      </w:pPr>
      <w:r>
        <w:rPr>
          <w:rFonts w:ascii="Arial" w:cs="Arial" w:eastAsia="Arial" w:hAnsi="Arial"/>
          <w:sz w:val="18"/>
          <w:szCs w:val="18"/>
          <w:color w:val="auto"/>
        </w:rPr>
        <w:t>The following patents and patent applications (including anticipated 20-year expiration dates, which could be altered by, for example, a disclaimer, patent term adjustment or patent term extension) relate to KSI-301 and/or ABC Platform: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Patent and Patent Application Numbers</w:t>
            </w:r>
          </w:p>
        </w:tc>
        <w:tc>
          <w:tcPr>
            <w:tcW w:w="140" w:type="dxa"/>
            <w:vAlign w:val="bottom"/>
          </w:tcPr>
          <w:p>
            <w:pPr>
              <w:spacing w:after="0"/>
              <w:rPr>
                <w:sz w:val="17"/>
                <w:szCs w:val="17"/>
                <w:color w:val="auto"/>
              </w:rPr>
            </w:pPr>
          </w:p>
        </w:tc>
        <w:tc>
          <w:tcPr>
            <w:tcW w:w="2980" w:type="dxa"/>
            <w:vAlign w:val="bottom"/>
          </w:tcPr>
          <w:p>
            <w:pPr>
              <w:ind w:left="860"/>
              <w:spacing w:after="0"/>
              <w:rPr>
                <w:sz w:val="20"/>
                <w:szCs w:val="20"/>
                <w:color w:val="auto"/>
              </w:rPr>
            </w:pPr>
            <w:r>
              <w:rPr>
                <w:rFonts w:ascii="Arial" w:cs="Arial" w:eastAsia="Arial" w:hAnsi="Arial"/>
                <w:sz w:val="18"/>
                <w:szCs w:val="18"/>
                <w:b w:val="1"/>
                <w:bCs w:val="1"/>
                <w:color w:val="auto"/>
              </w:rPr>
              <w:t>Anticipated U.S.</w:t>
            </w:r>
          </w:p>
        </w:tc>
        <w:tc>
          <w:tcPr>
            <w:tcW w:w="120" w:type="dxa"/>
            <w:vAlign w:val="bottom"/>
          </w:tcPr>
          <w:p>
            <w:pPr>
              <w:spacing w:after="0"/>
              <w:rPr>
                <w:sz w:val="17"/>
                <w:szCs w:val="17"/>
                <w:color w:val="auto"/>
              </w:rPr>
            </w:pPr>
          </w:p>
        </w:tc>
        <w:tc>
          <w:tcPr>
            <w:tcW w:w="40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Description of Representative U.S. Claims</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Expiration Date</w:t>
            </w:r>
          </w:p>
        </w:tc>
        <w:tc>
          <w:tcPr>
            <w:tcW w:w="120" w:type="dxa"/>
            <w:vAlign w:val="bottom"/>
          </w:tcPr>
          <w:p>
            <w:pPr>
              <w:spacing w:after="0"/>
              <w:rPr>
                <w:sz w:val="18"/>
                <w:szCs w:val="18"/>
                <w:color w:val="auto"/>
              </w:rPr>
            </w:pPr>
          </w:p>
        </w:tc>
        <w:tc>
          <w:tcPr>
            <w:tcW w:w="4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940" w:type="dxa"/>
            <w:vAlign w:val="bottom"/>
          </w:tcPr>
          <w:p>
            <w:pPr>
              <w:ind w:left="20"/>
              <w:spacing w:after="0"/>
              <w:rPr>
                <w:sz w:val="20"/>
                <w:szCs w:val="20"/>
                <w:color w:val="auto"/>
              </w:rPr>
            </w:pPr>
            <w:r>
              <w:rPr>
                <w:rFonts w:ascii="Arial" w:cs="Arial" w:eastAsia="Arial" w:hAnsi="Arial"/>
                <w:sz w:val="18"/>
                <w:szCs w:val="18"/>
                <w:color w:val="auto"/>
                <w:w w:val="95"/>
              </w:rPr>
              <w:t>US 8,846,021, US Appl. No. 17/553,605, EP Patent</w:t>
            </w:r>
          </w:p>
        </w:tc>
        <w:tc>
          <w:tcPr>
            <w:tcW w:w="31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2/28/2027</w:t>
            </w:r>
          </w:p>
        </w:tc>
        <w:tc>
          <w:tcPr>
            <w:tcW w:w="1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Representative claims include conjugates</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2"/>
              </w:rPr>
              <w:t>No. 1988910, JP Patent No. 5528710, JP Patent No.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5745009, and foreign applications in certain</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jurisdictions claiming priority to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PCT/US2007/005372</w:t>
            </w:r>
          </w:p>
        </w:tc>
        <w:tc>
          <w:tcPr>
            <w:tcW w:w="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940" w:type="dxa"/>
            <w:vAlign w:val="bottom"/>
          </w:tcPr>
          <w:p>
            <w:pPr>
              <w:ind w:left="20"/>
              <w:spacing w:after="0"/>
              <w:rPr>
                <w:sz w:val="20"/>
                <w:szCs w:val="20"/>
                <w:color w:val="auto"/>
              </w:rPr>
            </w:pPr>
            <w:r>
              <w:rPr>
                <w:rFonts w:ascii="Arial" w:cs="Arial" w:eastAsia="Arial" w:hAnsi="Arial"/>
                <w:sz w:val="18"/>
                <w:szCs w:val="18"/>
                <w:color w:val="auto"/>
              </w:rPr>
              <w:t>US Appl. No. 17/409,578, AU Patent No.</w:t>
            </w:r>
          </w:p>
        </w:tc>
        <w:tc>
          <w:tcPr>
            <w:tcW w:w="31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4/15/2031</w:t>
            </w:r>
          </w:p>
        </w:tc>
        <w:tc>
          <w:tcPr>
            <w:tcW w:w="1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Representative claims include conjugates</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2"/>
              </w:rPr>
              <w:t>2011239434, AU Patent No. 2017201930, CA Patent</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2"/>
              </w:rPr>
              <w:t>No. 2795667, EP Patent No. 2558538, JP Patent No.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9"/>
              </w:rPr>
              <w:t>6568748, JP Patent No. 6754749, MX Patent No.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365521, and foreign applications in certain</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jurisdictions claiming priority to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PCT/US2011/032768</w:t>
            </w:r>
          </w:p>
        </w:tc>
        <w:tc>
          <w:tcPr>
            <w:tcW w:w="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940" w:type="dxa"/>
            <w:vAlign w:val="bottom"/>
          </w:tcPr>
          <w:p>
            <w:pPr>
              <w:ind w:left="20"/>
              <w:spacing w:after="0"/>
              <w:rPr>
                <w:sz w:val="20"/>
                <w:szCs w:val="20"/>
                <w:color w:val="auto"/>
              </w:rPr>
            </w:pPr>
            <w:r>
              <w:rPr>
                <w:rFonts w:ascii="Arial" w:cs="Arial" w:eastAsia="Arial" w:hAnsi="Arial"/>
                <w:sz w:val="18"/>
                <w:szCs w:val="18"/>
                <w:color w:val="auto"/>
                <w:w w:val="94"/>
              </w:rPr>
              <w:t>US 8,765,432, US Appl. No. 15/099,234, AU Patent</w:t>
            </w:r>
          </w:p>
        </w:tc>
        <w:tc>
          <w:tcPr>
            <w:tcW w:w="31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5/10/2030</w:t>
            </w:r>
          </w:p>
        </w:tc>
        <w:tc>
          <w:tcPr>
            <w:tcW w:w="1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w w:val="90"/>
              </w:rPr>
              <w:t>Representative claims include copolymers and methods</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1"/>
              </w:rPr>
              <w:t>No. 2010330727, CA Patent No. 2783615, EP Patent</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ind w:left="20"/>
              <w:spacing w:after="0" w:line="176" w:lineRule="exact"/>
              <w:rPr>
                <w:sz w:val="20"/>
                <w:szCs w:val="20"/>
                <w:color w:val="auto"/>
              </w:rPr>
            </w:pPr>
            <w:r>
              <w:rPr>
                <w:rFonts w:ascii="Arial" w:cs="Arial" w:eastAsia="Arial" w:hAnsi="Arial"/>
                <w:sz w:val="18"/>
                <w:szCs w:val="18"/>
                <w:color w:val="auto"/>
              </w:rPr>
              <w:t>of making copolymers (ABC Platform specifically)</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1"/>
              </w:rPr>
              <w:t>No. 2512462, EP Patent No. 3254678, CN Patent No.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ZL201080062252.7, HK Patent No. 1247828, IN</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89"/>
              </w:rPr>
              <w:t>Patent No. 319269, JP Patent No. 5760007, JP Patent</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2"/>
              </w:rPr>
              <w:t>No. 5990629, JP Patent No. 6416832, JP Patent No.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6777706, MX Patent No. 346423, MX Patent No.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3"/>
              </w:rPr>
              <w:t>374020, KR Patent No. 10-1852044, MO Patent No.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J/002943, and foreign applications in certain</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jurisdictions claiming priority to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PCT/US2010/061358</w:t>
            </w:r>
          </w:p>
        </w:tc>
        <w:tc>
          <w:tcPr>
            <w:tcW w:w="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940" w:type="dxa"/>
            <w:vAlign w:val="bottom"/>
          </w:tcPr>
          <w:p>
            <w:pPr>
              <w:ind w:left="20"/>
              <w:spacing w:after="0"/>
              <w:rPr>
                <w:sz w:val="20"/>
                <w:szCs w:val="20"/>
                <w:color w:val="auto"/>
              </w:rPr>
            </w:pPr>
            <w:r>
              <w:rPr>
                <w:rFonts w:ascii="Arial" w:cs="Arial" w:eastAsia="Arial" w:hAnsi="Arial"/>
                <w:sz w:val="18"/>
                <w:szCs w:val="18"/>
                <w:color w:val="auto"/>
                <w:w w:val="93"/>
              </w:rPr>
              <w:t>US 10,702,608, US Appl. No. 16/781869, EP Patent</w:t>
            </w:r>
          </w:p>
        </w:tc>
        <w:tc>
          <w:tcPr>
            <w:tcW w:w="31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12/21/2034</w:t>
            </w:r>
          </w:p>
        </w:tc>
        <w:tc>
          <w:tcPr>
            <w:tcW w:w="1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w w:val="91"/>
              </w:rPr>
              <w:t>Representative claims include polymers and method of</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2"/>
              </w:rPr>
              <w:t>No. 3041513, JP Patent No. 6463361, JP Patent No.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ind w:left="20"/>
              <w:spacing w:after="0" w:line="176" w:lineRule="exact"/>
              <w:rPr>
                <w:sz w:val="20"/>
                <w:szCs w:val="20"/>
                <w:color w:val="auto"/>
              </w:rPr>
            </w:pPr>
            <w:r>
              <w:rPr>
                <w:rFonts w:ascii="Arial" w:cs="Arial" w:eastAsia="Arial" w:hAnsi="Arial"/>
                <w:sz w:val="18"/>
                <w:szCs w:val="18"/>
                <w:color w:val="auto"/>
              </w:rPr>
              <w:t>making polymers</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6732056, and foreign applications in certain</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jurisdictions claiming priority to</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PCT/US2014/054622</w:t>
            </w:r>
          </w:p>
        </w:tc>
        <w:tc>
          <w:tcPr>
            <w:tcW w:w="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940" w:type="dxa"/>
            <w:vAlign w:val="bottom"/>
          </w:tcPr>
          <w:p>
            <w:pPr>
              <w:ind w:left="20"/>
              <w:spacing w:after="0"/>
              <w:rPr>
                <w:sz w:val="20"/>
                <w:szCs w:val="20"/>
                <w:color w:val="auto"/>
              </w:rPr>
            </w:pPr>
            <w:r>
              <w:rPr>
                <w:rFonts w:ascii="Arial" w:cs="Arial" w:eastAsia="Arial" w:hAnsi="Arial"/>
                <w:sz w:val="18"/>
                <w:szCs w:val="18"/>
                <w:color w:val="auto"/>
                <w:w w:val="93"/>
              </w:rPr>
              <w:t>US 11,066,465, US Appl. No. 17/301599 and foreign</w:t>
            </w:r>
          </w:p>
        </w:tc>
        <w:tc>
          <w:tcPr>
            <w:tcW w:w="31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12/29/2036</w:t>
            </w:r>
          </w:p>
        </w:tc>
        <w:tc>
          <w:tcPr>
            <w:tcW w:w="1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w w:val="95"/>
              </w:rPr>
              <w:t>Representative claims include antibody and antibody</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6"/>
              </w:rPr>
              <w:t>applications in certain jurisdictions claiming priority</w:t>
            </w:r>
          </w:p>
        </w:tc>
        <w:tc>
          <w:tcPr>
            <w:tcW w:w="1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ind w:left="20"/>
              <w:spacing w:after="0" w:line="176" w:lineRule="exact"/>
              <w:rPr>
                <w:sz w:val="20"/>
                <w:szCs w:val="20"/>
                <w:color w:val="auto"/>
              </w:rPr>
            </w:pPr>
            <w:r>
              <w:rPr>
                <w:rFonts w:ascii="Arial" w:cs="Arial" w:eastAsia="Arial" w:hAnsi="Arial"/>
                <w:sz w:val="18"/>
                <w:szCs w:val="18"/>
                <w:color w:val="auto"/>
                <w:w w:val="96"/>
              </w:rPr>
              <w:t>conjugate claims, as well as methods of making and</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to PCT/US2016/069336</w:t>
            </w:r>
          </w:p>
        </w:tc>
        <w:tc>
          <w:tcPr>
            <w:tcW w:w="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using the conjugates</w:t>
            </w:r>
          </w:p>
        </w:tc>
        <w:tc>
          <w:tcPr>
            <w:tcW w:w="0" w:type="dxa"/>
            <w:vAlign w:val="bottom"/>
          </w:tcPr>
          <w:p>
            <w:pPr>
              <w:spacing w:after="0"/>
              <w:rPr>
                <w:sz w:val="1"/>
                <w:szCs w:val="1"/>
                <w:color w:val="auto"/>
              </w:rPr>
            </w:pPr>
          </w:p>
        </w:tc>
      </w:tr>
      <w:tr>
        <w:trPr>
          <w:trHeight w:val="458"/>
        </w:trPr>
        <w:tc>
          <w:tcPr>
            <w:tcW w:w="3940" w:type="dxa"/>
            <w:vAlign w:val="bottom"/>
          </w:tcPr>
          <w:p>
            <w:pPr>
              <w:ind w:left="20"/>
              <w:spacing w:after="0"/>
              <w:rPr>
                <w:sz w:val="20"/>
                <w:szCs w:val="20"/>
                <w:color w:val="auto"/>
              </w:rPr>
            </w:pPr>
            <w:r>
              <w:rPr>
                <w:rFonts w:ascii="Arial" w:cs="Arial" w:eastAsia="Arial" w:hAnsi="Arial"/>
                <w:sz w:val="18"/>
                <w:szCs w:val="18"/>
                <w:color w:val="auto"/>
                <w:w w:val="98"/>
              </w:rPr>
              <w:t>US Appl. No. 17/066856 and PCT Application No.</w:t>
            </w:r>
          </w:p>
        </w:tc>
        <w:tc>
          <w:tcPr>
            <w:tcW w:w="31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10/9/2040</w:t>
            </w:r>
          </w:p>
        </w:tc>
        <w:tc>
          <w:tcPr>
            <w:tcW w:w="1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w w:val="97"/>
              </w:rPr>
              <w:t>Representative claims include method of treating an</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PCT/US2020/055074</w:t>
            </w:r>
          </w:p>
        </w:tc>
        <w:tc>
          <w:tcPr>
            <w:tcW w:w="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eye disorder using the antibody conjugates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the normal course of business, we intend to pursue, when possible, composition, method of use, dosing and formulation patent protection, as well as manufacturing and drug development processes and technology. The patents and patent applications we have filed outside of the United States are in Europe, Japan, and various other jurisdictions.</w:t>
      </w:r>
    </w:p>
    <w:p>
      <w:pPr>
        <w:spacing w:after="0" w:line="7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right="40" w:firstLine="509"/>
        <w:spacing w:after="0" w:line="262" w:lineRule="auto"/>
        <w:rPr>
          <w:sz w:val="20"/>
          <w:szCs w:val="20"/>
          <w:color w:val="auto"/>
        </w:rPr>
      </w:pPr>
      <w:r>
        <w:rPr>
          <w:rFonts w:ascii="Arial" w:cs="Arial" w:eastAsia="Arial" w:hAnsi="Arial"/>
          <w:sz w:val="17"/>
          <w:szCs w:val="17"/>
          <w:color w:val="auto"/>
        </w:rPr>
        <w:t>Our issued U.S. patents will expire on dates ranging from 2027 to 2036. If patents are issued on our pending patent applications, the resulting patents are projected to expire on dates ranging from 2027 to 2041.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64"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As of December 31, 2021, we have a total of 26 pending trademark applications and issued trademark registrations. These include two trademark registrations and two pending trademark applications in the United States, and 18 trademark registrations and four pending trademark applications in jurisdictions outside of the United States. Of the trademark registrations in jurisdictions outside of the United States, 12 are in China and one is in each of Canada, the European Union, Japan, Singapore, Switzerland and the United Kingdom. Of the pending trademark applications in jurisdictions outside of the United States, three are in China and one is in India. We also may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on “Risk Factors—Risks Related to Intellectual Property.”</w:t>
      </w:r>
    </w:p>
    <w:p>
      <w:pPr>
        <w:spacing w:after="0" w:line="67" w:lineRule="exact"/>
        <w:rPr>
          <w:sz w:val="20"/>
          <w:szCs w:val="20"/>
          <w:color w:val="auto"/>
        </w:rPr>
      </w:pPr>
    </w:p>
    <w:p>
      <w:pPr>
        <w:ind w:right="100" w:firstLine="509"/>
        <w:spacing w:after="0" w:line="227" w:lineRule="auto"/>
        <w:rPr>
          <w:sz w:val="20"/>
          <w:szCs w:val="20"/>
          <w:color w:val="auto"/>
        </w:rPr>
      </w:pPr>
      <w:r>
        <w:rPr>
          <w:rFonts w:ascii="Arial" w:cs="Arial" w:eastAsia="Arial" w:hAnsi="Arial"/>
          <w:sz w:val="18"/>
          <w:szCs w:val="18"/>
          <w:color w:val="auto"/>
        </w:rPr>
        <w:t>We are also a party to an assignment and license agreement with a former collaborator, whereby we were assigned and non-exclusively licensed certain intellectual property relating to KSI-201 and related technology. Under this agreement, we agreed to use commercially reasonable efforts to develop, obtain regulatory approval for and commercialize KSI-201, and will owe milestone payments to our former collaborator upon the achievement of certain milestones related to KSI-201, as well as a low single digit percentage royalty on net sales of KSI-201. The assignment and license agreement includes customary termination provisions, including the right of the company to terminate for convenience and the right of either party to terminate for cause.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94" w:lineRule="exact"/>
        <w:rPr>
          <w:sz w:val="20"/>
          <w:szCs w:val="20"/>
          <w:color w:val="auto"/>
        </w:rPr>
      </w:pPr>
    </w:p>
    <w:p>
      <w:pPr>
        <w:ind w:right="60" w:firstLine="509"/>
        <w:spacing w:after="0" w:line="238" w:lineRule="auto"/>
        <w:rPr>
          <w:sz w:val="20"/>
          <w:szCs w:val="20"/>
          <w:color w:val="auto"/>
        </w:rPr>
      </w:pPr>
      <w:r>
        <w:rPr>
          <w:rFonts w:ascii="Arial" w:cs="Arial" w:eastAsia="Arial" w:hAnsi="Arial"/>
          <w:sz w:val="17"/>
          <w:szCs w:val="17"/>
          <w:color w:val="auto"/>
        </w:rPr>
        <w:t>As of December 31, 2021, we had 93 employees worldwide, of whom 11 were based outside of the United States. Of these employees, 72 employees were engaged in or support research, development and clinical activities, 26 of whom hold a Ph.D. degree or M.D. (or equivalent) degree. None of our employees are subject to a collective bargaining agreement. Given our expanding operations and need to further grow our headcount to support our business, we continually assess employee turnover, recruitment initiatives, compensation and benefits programs, safety in performing critical laboratory work, diversity and other matters relevant to human capital management, and we review results with our Board of Directors on a periodic basis. We aim to offer competitive compensation (including salary, incentive bonus, and equity) and benefits packages in each of our locations and in each of employee groups at each level around the globe as assessed with internal and external benchmarking data. We aim to build a pipeline for talent to create more opportunities for workplace diversity and to support greater representation within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jc w:val="both"/>
        <w:ind w:right="100" w:firstLine="509"/>
        <w:spacing w:after="0" w:line="235" w:lineRule="auto"/>
        <w:rPr>
          <w:sz w:val="20"/>
          <w:szCs w:val="20"/>
          <w:color w:val="auto"/>
        </w:rPr>
      </w:pPr>
      <w:r>
        <w:rPr>
          <w:rFonts w:ascii="Arial" w:cs="Arial" w:eastAsia="Arial" w:hAnsi="Arial"/>
          <w:sz w:val="18"/>
          <w:szCs w:val="18"/>
          <w:color w:val="auto"/>
        </w:rPr>
        <w:t>As of the date of this Annual Report on Form 10-K, we are not a party to any material legal proceedings. In the normal course of business, we may be named as a party to various legal claims, actions and complaints. We cannot predict whether any resulting liability would have a material adverse effect on our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maintain an internet website at the following address: https://kodiak.com. The information on our website is not incorporated by reference in this Annual Report on Form 10-K or in any other filings we make with the Securities and Exchange Commission, or SEC.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firstLine="509"/>
        <w:spacing w:after="0"/>
        <w:rPr>
          <w:sz w:val="20"/>
          <w:szCs w:val="20"/>
          <w:color w:val="auto"/>
        </w:rPr>
      </w:pPr>
      <w:r>
        <w:rPr>
          <w:rFonts w:ascii="Arial" w:cs="Arial" w:eastAsia="Arial" w:hAnsi="Arial"/>
          <w:sz w:val="17"/>
          <w:szCs w:val="17"/>
          <w:color w:val="auto"/>
        </w:rPr>
        <w:t>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In addition, the SEC maintains a website at www.sec.gov that contains reports, proxy and information statements, and other information regarding issuers that file electronically with the SEC.</w:t>
      </w: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22"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You should consider carefully the following risk factors, together with all the other information in this Annual Report on Form 10-K, including the “Management’s Discussion and Analysis of Financial Condition and Results of Operations” section and our consolidated financial statements and notes thereto. The occurrence of any events described in the following risk factors and the risks described elsewhere in this Annual Report on Form 10-K could harm our business, operating results, financial condition, and/or growth prospects or cause our actual results to differ materially from those contained in forward-looking statements that we have made in this Annual Report on Form 10-K and those may make from time to time. You should consider all of the risk factors described when evaluating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prospects are heavily dependent on our KSI-301 product candidate, which is currently in clinical development for multiple indications.</w:t>
      </w:r>
    </w:p>
    <w:p>
      <w:pPr>
        <w:spacing w:after="0" w:line="115"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KSI-301 is our only product candidate currently in clinical trials. It may be years before a registrational-type trial is completed, if at all. Further, we cannot be certain that either KSI-301 or any of our product candidates will be successful in clinical trials.</w:t>
      </w:r>
    </w:p>
    <w:p>
      <w:pPr>
        <w:spacing w:after="0" w:line="63"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Our early preclinical and Phase 1/1b clinical trial results for KSI-301 in the respective indications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with KSI-301 and followed for longer periods of time.</w:t>
      </w:r>
    </w:p>
    <w:p>
      <w:pPr>
        <w:spacing w:after="0" w:line="55"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For example, we recently announced top-line results from our randomized, double-masked, active comparator-controlled Phase 2b/3 clinical trial evaluating the efficacy, durability and safety of KSI-301 in treatment-naïve subjects with neovascular wet AMD. The results show that KSI-301 did not meet the primary efficacy endpoint of showing non-inferior visual acuity gains for subjects dosed on extended regimens compared to aflibercept given every eight weeks.</w:t>
      </w:r>
    </w:p>
    <w:p>
      <w:pPr>
        <w:spacing w:after="0" w:line="66" w:lineRule="exact"/>
        <w:rPr>
          <w:sz w:val="20"/>
          <w:szCs w:val="20"/>
          <w:color w:val="auto"/>
        </w:rPr>
      </w:pPr>
    </w:p>
    <w:p>
      <w:pPr>
        <w:ind w:firstLine="509"/>
        <w:spacing w:after="0" w:line="258" w:lineRule="auto"/>
        <w:rPr>
          <w:sz w:val="20"/>
          <w:szCs w:val="20"/>
          <w:color w:val="auto"/>
        </w:rPr>
      </w:pPr>
      <w:r>
        <w:rPr>
          <w:rFonts w:ascii="Arial" w:cs="Arial" w:eastAsia="Arial" w:hAnsi="Arial"/>
          <w:sz w:val="16"/>
          <w:szCs w:val="16"/>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KSI-301 clinical study designs and data are not necessarily predictive of KSI-301’s final marketed product label. FDA may not approve a label for a particular dosing frequency, even if we believe the data demonstrate support for that dosing.</w:t>
      </w:r>
    </w:p>
    <w:p>
      <w:pPr>
        <w:spacing w:after="0" w:line="55" w:lineRule="exact"/>
        <w:rPr>
          <w:sz w:val="20"/>
          <w:szCs w:val="20"/>
          <w:color w:val="auto"/>
        </w:rPr>
      </w:pPr>
    </w:p>
    <w:p>
      <w:pPr>
        <w:ind w:right="200" w:firstLine="509"/>
        <w:spacing w:after="0" w:line="235"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such as KSI-501 and KSI-601 in development and intend to develop other product candidates, it will take additional investment and time for such programs to reach the same stage of development as KSI-301.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13" w:lineRule="exact"/>
        <w:rPr>
          <w:sz w:val="20"/>
          <w:szCs w:val="20"/>
          <w:color w:val="auto"/>
        </w:rPr>
      </w:pPr>
    </w:p>
    <w:p>
      <w:pPr>
        <w:ind w:firstLine="509"/>
        <w:spacing w:after="0" w:line="231" w:lineRule="auto"/>
        <w:rPr>
          <w:sz w:val="20"/>
          <w:szCs w:val="20"/>
          <w:color w:val="auto"/>
        </w:rPr>
      </w:pPr>
      <w:r>
        <w:rPr>
          <w:rFonts w:ascii="Arial" w:cs="Arial" w:eastAsia="Arial" w:hAnsi="Arial"/>
          <w:sz w:val="18"/>
          <w:szCs w:val="18"/>
          <w:color w:val="auto"/>
        </w:rPr>
        <w:t>If KSI-301 fails in development as a result of any underlying problem with our platform, then we may discontinue development of some or all of our product candidates that are based on our ABC Platform. If we discontinue development of KSI-301, or if KSI-301 were to fail to receive regulatory approval or were to fail to receive regulatory approval in one or more of our four planned key clinical indications or were to fail to achieve sufficient market acceptance, we could be prevented from or significantly delayed in achieving profitability.</w:t>
      </w:r>
    </w:p>
    <w:p>
      <w:pPr>
        <w:spacing w:after="0" w:line="175"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40" w:lineRule="exact"/>
        <w:rPr>
          <w:sz w:val="20"/>
          <w:szCs w:val="20"/>
          <w:color w:val="auto"/>
        </w:rPr>
      </w:pPr>
    </w:p>
    <w:p>
      <w:pPr>
        <w:ind w:right="180" w:firstLine="509"/>
        <w:spacing w:after="0" w:line="307"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5" w:lineRule="exact"/>
        <w:rPr>
          <w:sz w:val="20"/>
          <w:szCs w:val="20"/>
          <w:color w:val="auto"/>
        </w:rPr>
      </w:pPr>
    </w:p>
    <w:p>
      <w:pPr>
        <w:ind w:left="5540" w:right="4120" w:hanging="5023"/>
        <w:spacing w:after="0" w:line="512" w:lineRule="auto"/>
        <w:tabs>
          <w:tab w:leader="none" w:pos="6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ind w:left="640" w:right="160" w:hanging="123"/>
        <w:spacing w:after="0" w:line="246"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approval may be for indications, dosage and administration or patient populations that are not as broad as intended or desired;</w:t>
      </w:r>
    </w:p>
    <w:p>
      <w:pPr>
        <w:spacing w:after="0" w:line="61" w:lineRule="exact"/>
        <w:rPr>
          <w:rFonts w:ascii="Arial" w:cs="Arial" w:eastAsia="Arial" w:hAnsi="Arial"/>
          <w:sz w:val="18"/>
          <w:szCs w:val="18"/>
          <w:color w:val="auto"/>
        </w:rPr>
      </w:pPr>
    </w:p>
    <w:p>
      <w:pPr>
        <w:ind w:left="640" w:right="160" w:hanging="123"/>
        <w:spacing w:after="0" w:line="246"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 for example a positive benefit-risk profile;</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90" w:lineRule="exact"/>
        <w:rPr>
          <w:rFonts w:ascii="Arial" w:cs="Arial" w:eastAsia="Arial" w:hAnsi="Arial"/>
          <w:sz w:val="18"/>
          <w:szCs w:val="18"/>
          <w:color w:val="auto"/>
        </w:rPr>
      </w:pPr>
    </w:p>
    <w:p>
      <w:pPr>
        <w:ind w:left="640" w:right="260" w:hanging="123"/>
        <w:spacing w:after="0" w:line="246"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1" w:lineRule="exact"/>
        <w:rPr>
          <w:rFonts w:ascii="Arial" w:cs="Arial" w:eastAsia="Arial" w:hAnsi="Arial"/>
          <w:sz w:val="18"/>
          <w:szCs w:val="18"/>
          <w:color w:val="auto"/>
        </w:rPr>
      </w:pPr>
    </w:p>
    <w:p>
      <w:pPr>
        <w:ind w:left="640" w:right="940" w:hanging="123"/>
        <w:spacing w:after="0" w:line="246"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90" w:lineRule="exact"/>
        <w:rPr>
          <w:rFonts w:ascii="Arial" w:cs="Arial" w:eastAsia="Arial" w:hAnsi="Arial"/>
          <w:sz w:val="18"/>
          <w:szCs w:val="18"/>
          <w:color w:val="auto"/>
        </w:rPr>
      </w:pPr>
    </w:p>
    <w:p>
      <w:pPr>
        <w:ind w:left="640" w:right="320" w:hanging="123"/>
        <w:spacing w:after="0" w:line="246"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102" w:lineRule="exact"/>
        <w:rPr>
          <w:sz w:val="20"/>
          <w:szCs w:val="20"/>
          <w:color w:val="auto"/>
        </w:rPr>
      </w:pPr>
    </w:p>
    <w:p>
      <w:pPr>
        <w:ind w:right="420" w:firstLine="509"/>
        <w:spacing w:after="0" w:line="246" w:lineRule="auto"/>
        <w:rPr>
          <w:sz w:val="20"/>
          <w:szCs w:val="20"/>
          <w:color w:val="auto"/>
        </w:rPr>
      </w:pPr>
      <w:r>
        <w:rPr>
          <w:rFonts w:ascii="Arial" w:cs="Arial" w:eastAsia="Arial" w:hAnsi="Arial"/>
          <w:sz w:val="17"/>
          <w:szCs w:val="17"/>
          <w:color w:val="auto"/>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63" w:lineRule="exact"/>
        <w:rPr>
          <w:sz w:val="20"/>
          <w:szCs w:val="20"/>
          <w:color w:val="auto"/>
        </w:rPr>
      </w:pPr>
    </w:p>
    <w:p>
      <w:pPr>
        <w:ind w:firstLine="509"/>
        <w:spacing w:after="0" w:line="254" w:lineRule="auto"/>
        <w:rPr>
          <w:sz w:val="20"/>
          <w:szCs w:val="20"/>
          <w:color w:val="auto"/>
        </w:rPr>
      </w:pPr>
      <w:r>
        <w:rPr>
          <w:rFonts w:ascii="Arial" w:cs="Arial" w:eastAsia="Arial" w:hAnsi="Arial"/>
          <w:sz w:val="16"/>
          <w:szCs w:val="16"/>
          <w:color w:val="auto"/>
        </w:rPr>
        <w:t>We may not be successful in our efforts to further develop our ABC Platform and current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32" w:name="page33"/>
    <w:bookmarkEnd w:id="32"/>
    <w:p>
      <w:pPr>
        <w:ind w:right="80" w:firstLine="509"/>
        <w:spacing w:after="0" w:line="254" w:lineRule="auto"/>
        <w:rPr>
          <w:sz w:val="20"/>
          <w:szCs w:val="20"/>
          <w:color w:val="auto"/>
        </w:rPr>
      </w:pPr>
      <w:r>
        <w:rPr>
          <w:rFonts w:ascii="Arial" w:cs="Arial" w:eastAsia="Arial" w:hAnsi="Arial"/>
          <w:sz w:val="17"/>
          <w:szCs w:val="17"/>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7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49" w:lineRule="exact"/>
        <w:rPr>
          <w:sz w:val="20"/>
          <w:szCs w:val="20"/>
          <w:color w:val="auto"/>
        </w:rPr>
      </w:pPr>
    </w:p>
    <w:p>
      <w:pPr>
        <w:ind w:firstLine="509"/>
        <w:spacing w:after="0" w:line="227"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China National Medical Products Administration, or NMPA,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67" w:lineRule="exact"/>
        <w:rPr>
          <w:sz w:val="20"/>
          <w:szCs w:val="20"/>
          <w:color w:val="auto"/>
        </w:rPr>
      </w:pPr>
    </w:p>
    <w:p>
      <w:pPr>
        <w:ind w:left="640" w:hanging="123"/>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01" w:lineRule="exact"/>
        <w:rPr>
          <w:rFonts w:ascii="Arial" w:cs="Arial" w:eastAsia="Arial" w:hAnsi="Arial"/>
          <w:sz w:val="17"/>
          <w:szCs w:val="17"/>
          <w:color w:val="auto"/>
        </w:rPr>
      </w:pPr>
    </w:p>
    <w:p>
      <w:pPr>
        <w:ind w:left="640" w:right="40" w:hanging="123"/>
        <w:spacing w:after="0" w:line="246"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90" w:lineRule="exact"/>
        <w:rPr>
          <w:rFonts w:ascii="Arial" w:cs="Arial" w:eastAsia="Arial" w:hAnsi="Arial"/>
          <w:sz w:val="18"/>
          <w:szCs w:val="18"/>
          <w:color w:val="auto"/>
        </w:rPr>
      </w:pPr>
    </w:p>
    <w:p>
      <w:pPr>
        <w:ind w:left="640" w:right="260" w:hanging="123"/>
        <w:spacing w:after="0" w:line="246"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90" w:lineRule="exact"/>
        <w:rPr>
          <w:rFonts w:ascii="Arial" w:cs="Arial" w:eastAsia="Arial" w:hAnsi="Arial"/>
          <w:sz w:val="18"/>
          <w:szCs w:val="18"/>
          <w:color w:val="auto"/>
        </w:rPr>
      </w:pPr>
    </w:p>
    <w:p>
      <w:pPr>
        <w:ind w:left="640" w:right="140" w:hanging="123"/>
        <w:spacing w:after="0" w:line="22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NMPA or any other regulatory authority concerns about risk to patients of the technology broadly; or if the FDA, EMA, NMPA or any other regulatory authority finds that the investigational protocol or plan is clearly deficient to meet its stated objectives;</w:t>
      </w:r>
    </w:p>
    <w:p>
      <w:pPr>
        <w:spacing w:after="0" w:line="67" w:lineRule="exact"/>
        <w:rPr>
          <w:rFonts w:ascii="Arial" w:cs="Arial" w:eastAsia="Arial" w:hAnsi="Arial"/>
          <w:sz w:val="18"/>
          <w:szCs w:val="18"/>
          <w:color w:val="auto"/>
        </w:rPr>
      </w:pPr>
    </w:p>
    <w:p>
      <w:pPr>
        <w:ind w:left="640" w:right="120" w:hanging="123"/>
        <w:spacing w:after="0" w:line="246"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90" w:lineRule="exact"/>
        <w:rPr>
          <w:rFonts w:ascii="Arial" w:cs="Arial" w:eastAsia="Arial" w:hAnsi="Arial"/>
          <w:sz w:val="18"/>
          <w:szCs w:val="18"/>
          <w:color w:val="auto"/>
        </w:rPr>
      </w:pPr>
    </w:p>
    <w:p>
      <w:pPr>
        <w:ind w:left="640" w:right="360" w:hanging="123"/>
        <w:spacing w:after="0" w:line="246"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NMPA or other regulatory guidelines in other countries;</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left="640" w:hanging="12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90" w:lineRule="exact"/>
        <w:rPr>
          <w:rFonts w:ascii="Arial" w:cs="Arial" w:eastAsia="Arial" w:hAnsi="Arial"/>
          <w:sz w:val="18"/>
          <w:szCs w:val="18"/>
          <w:color w:val="auto"/>
        </w:rPr>
      </w:pPr>
    </w:p>
    <w:p>
      <w:pPr>
        <w:ind w:left="640" w:right="80" w:hanging="123"/>
        <w:spacing w:after="0" w:line="246"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1" w:lineRule="exact"/>
        <w:rPr>
          <w:rFonts w:ascii="Arial" w:cs="Arial" w:eastAsia="Arial" w:hAnsi="Arial"/>
          <w:sz w:val="18"/>
          <w:szCs w:val="18"/>
          <w:color w:val="auto"/>
        </w:rPr>
      </w:pPr>
    </w:p>
    <w:p>
      <w:pPr>
        <w:ind w:left="640" w:right="340" w:hanging="123"/>
        <w:spacing w:after="0" w:line="246"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1" w:lineRule="exact"/>
        <w:rPr>
          <w:rFonts w:ascii="Arial" w:cs="Arial" w:eastAsia="Arial" w:hAnsi="Arial"/>
          <w:sz w:val="18"/>
          <w:szCs w:val="18"/>
          <w:color w:val="auto"/>
        </w:rPr>
      </w:pPr>
    </w:p>
    <w:p>
      <w:pPr>
        <w:ind w:left="640" w:right="480" w:hanging="123"/>
        <w:spacing w:after="0" w:line="246"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and for use in regulatory filings or the inability to do any of the foregoing.</w:t>
      </w:r>
    </w:p>
    <w:p>
      <w:pPr>
        <w:spacing w:after="0" w:line="62" w:lineRule="exact"/>
        <w:rPr>
          <w:sz w:val="20"/>
          <w:szCs w:val="20"/>
          <w:color w:val="auto"/>
        </w:rPr>
      </w:pPr>
    </w:p>
    <w:p>
      <w:pPr>
        <w:ind w:right="80" w:firstLine="509"/>
        <w:spacing w:after="0" w:line="228"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7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6"/>
          <w:szCs w:val="16"/>
          <w:color w:val="auto"/>
        </w:rPr>
        <w:t>We could also encounter delays if a clinical trial is suspended or terminated by us, by the data safety monitoring board for such trial or by the FDA, EMA, NMPA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NMPA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NMPA or other regulatory authorities regarding CMC matters, including methodologies for, and assessment of, comparability of manufacturing procedures and lots.</w:t>
      </w:r>
    </w:p>
    <w:p>
      <w:pPr>
        <w:spacing w:after="0" w:line="56" w:lineRule="exact"/>
        <w:rPr>
          <w:sz w:val="20"/>
          <w:szCs w:val="20"/>
          <w:color w:val="auto"/>
        </w:rPr>
      </w:pPr>
    </w:p>
    <w:p>
      <w:pPr>
        <w:ind w:right="20" w:firstLine="509"/>
        <w:spacing w:after="0" w:line="231"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7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ind w:right="120" w:firstLine="509"/>
        <w:spacing w:after="0" w:line="235"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NMPA or other comparable foreign regulatory authorities.</w:t>
      </w:r>
    </w:p>
    <w:p>
      <w:pPr>
        <w:spacing w:after="0" w:line="67" w:lineRule="exact"/>
        <w:rPr>
          <w:sz w:val="20"/>
          <w:szCs w:val="20"/>
          <w:color w:val="auto"/>
        </w:rPr>
      </w:pPr>
    </w:p>
    <w:p>
      <w:pPr>
        <w:ind w:firstLine="509"/>
        <w:spacing w:after="0" w:line="235"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the safety profile we have observed in the Phase 1a/1b study of KSI-301 and in the recently completed Phase 2b/3 clinical trial evaluating the efficacy, durability and safety of KSI-301 in treatment-naïve subjects with neovascular wet AMD may not be representative of the safety profile in additional studies. We may still observe significant safety events that may negatively impact the KSI-301 program and the ABC platform. A safety profile for KSI-301 in line with today’s standard of care agents may not be sustained when administered to 100,000s of patients at varying dose intervals after commercialization.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4" w:name="page35"/>
    <w:bookmarkEnd w:id="34"/>
    <w:p>
      <w:pPr>
        <w:ind w:right="20" w:firstLine="509"/>
        <w:spacing w:after="0" w:line="231" w:lineRule="auto"/>
        <w:rPr>
          <w:sz w:val="20"/>
          <w:szCs w:val="20"/>
          <w:color w:val="auto"/>
        </w:rPr>
      </w:pPr>
      <w:r>
        <w:rPr>
          <w:rFonts w:ascii="Arial" w:cs="Arial" w:eastAsia="Arial" w:hAnsi="Arial"/>
          <w:sz w:val="18"/>
          <w:szCs w:val="18"/>
          <w:color w:val="auto"/>
        </w:rPr>
        <w:t>Our most advanced product candidate, KSI-301, is an anti-VEGF biologic that we are studying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w:t>
      </w:r>
    </w:p>
    <w:p>
      <w:pPr>
        <w:spacing w:after="0" w:line="67" w:lineRule="exact"/>
        <w:rPr>
          <w:sz w:val="20"/>
          <w:szCs w:val="20"/>
          <w:color w:val="auto"/>
        </w:rPr>
      </w:pPr>
    </w:p>
    <w:p>
      <w:pPr>
        <w:ind w:right="20" w:firstLine="509"/>
        <w:spacing w:after="0" w:line="238" w:lineRule="auto"/>
        <w:rPr>
          <w:sz w:val="20"/>
          <w:szCs w:val="20"/>
          <w:color w:val="auto"/>
        </w:rPr>
      </w:pPr>
      <w:r>
        <w:rPr>
          <w:rFonts w:ascii="Arial" w:cs="Arial" w:eastAsia="Arial" w:hAnsi="Arial"/>
          <w:sz w:val="17"/>
          <w:szCs w:val="17"/>
          <w:color w:val="auto"/>
        </w:rPr>
        <w:t>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 KSI-301 is also being explored clinically with higher frequency dosing, which may increase the risk of potential adverse events. Any additional toxicology signal observed, be it real or perceived, may negatively impact perceptions of utilization of KSI-301 in broader populations and impact clinical trial enrollment, regulatory approval and commercial success.</w:t>
      </w:r>
    </w:p>
    <w:p>
      <w:pPr>
        <w:spacing w:after="0" w:line="69" w:lineRule="exact"/>
        <w:rPr>
          <w:sz w:val="20"/>
          <w:szCs w:val="20"/>
          <w:color w:val="auto"/>
        </w:rPr>
      </w:pPr>
    </w:p>
    <w:p>
      <w:pPr>
        <w:ind w:firstLine="509"/>
        <w:spacing w:after="0" w:line="239"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82" w:lineRule="exact"/>
        <w:rPr>
          <w:sz w:val="20"/>
          <w:szCs w:val="20"/>
          <w:color w:val="auto"/>
        </w:rPr>
      </w:pPr>
    </w:p>
    <w:p>
      <w:pPr>
        <w:ind w:right="580" w:firstLine="509"/>
        <w:spacing w:after="0" w:line="324"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 w:lineRule="exact"/>
        <w:rPr>
          <w:sz w:val="20"/>
          <w:szCs w:val="20"/>
          <w:color w:val="auto"/>
        </w:rPr>
      </w:pPr>
    </w:p>
    <w:p>
      <w:pPr>
        <w:ind w:left="640" w:hanging="12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03" w:lineRule="exact"/>
        <w:rPr>
          <w:rFonts w:ascii="Arial" w:cs="Arial" w:eastAsia="Arial" w:hAnsi="Arial"/>
          <w:sz w:val="18"/>
          <w:szCs w:val="18"/>
          <w:color w:val="auto"/>
        </w:rPr>
      </w:pPr>
    </w:p>
    <w:p>
      <w:pPr>
        <w:ind w:left="640" w:right="460" w:hanging="123"/>
        <w:spacing w:after="0" w:line="261"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3"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4" w:lineRule="exact"/>
        <w:rPr>
          <w:sz w:val="20"/>
          <w:szCs w:val="20"/>
          <w:color w:val="auto"/>
        </w:rPr>
      </w:pPr>
    </w:p>
    <w:p>
      <w:pPr>
        <w:ind w:left="640" w:hanging="123"/>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03" w:lineRule="exact"/>
        <w:rPr>
          <w:rFonts w:ascii="Arial" w:cs="Arial" w:eastAsia="Arial" w:hAnsi="Arial"/>
          <w:sz w:val="18"/>
          <w:szCs w:val="18"/>
          <w:color w:val="auto"/>
        </w:rPr>
      </w:pPr>
    </w:p>
    <w:p>
      <w:pPr>
        <w:ind w:left="640" w:right="100" w:hanging="123"/>
        <w:spacing w:after="0" w:line="248"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3" w:lineRule="exact"/>
        <w:rPr>
          <w:rFonts w:ascii="Arial" w:cs="Arial" w:eastAsia="Arial" w:hAnsi="Arial"/>
          <w:sz w:val="18"/>
          <w:szCs w:val="18"/>
          <w:color w:val="auto"/>
        </w:rPr>
      </w:pPr>
    </w:p>
    <w:p>
      <w:pPr>
        <w:ind w:left="640" w:hanging="123"/>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5" w:name="page36"/>
    <w:bookmarkEnd w:id="35"/>
    <w:p>
      <w:pPr>
        <w:ind w:left="640" w:hanging="12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effects of health epidemics, including the ongoing COVID-19 pandemic and the resulting shelter-in-place, travel or similar restrictions;</w:t>
      </w:r>
    </w:p>
    <w:p>
      <w:pPr>
        <w:spacing w:after="0" w:line="115" w:lineRule="exact"/>
        <w:rPr>
          <w:rFonts w:ascii="Arial" w:cs="Arial" w:eastAsia="Arial" w:hAnsi="Arial"/>
          <w:sz w:val="17"/>
          <w:szCs w:val="17"/>
          <w:color w:val="auto"/>
        </w:rPr>
      </w:pPr>
    </w:p>
    <w:p>
      <w:pPr>
        <w:ind w:left="640" w:hanging="12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safety events may cause physicians to decrease patient enrollment in our current or planned studies;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03" w:lineRule="exact"/>
        <w:rPr>
          <w:rFonts w:ascii="Arial" w:cs="Arial" w:eastAsia="Arial" w:hAnsi="Arial"/>
          <w:sz w:val="18"/>
          <w:szCs w:val="18"/>
          <w:color w:val="auto"/>
        </w:rPr>
      </w:pPr>
    </w:p>
    <w:p>
      <w:pPr>
        <w:ind w:left="640" w:right="500" w:hanging="123"/>
        <w:spacing w:after="0" w:line="261"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6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09"/>
        <w:spacing w:after="0" w:line="261"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Eylea and Avastin are established products with accepted safety profiles.</w:t>
      </w:r>
    </w:p>
    <w:p>
      <w:pPr>
        <w:spacing w:after="0" w:line="53" w:lineRule="exact"/>
        <w:rPr>
          <w:sz w:val="20"/>
          <w:szCs w:val="20"/>
          <w:color w:val="auto"/>
        </w:rPr>
      </w:pPr>
    </w:p>
    <w:p>
      <w:pPr>
        <w:ind w:firstLine="509"/>
        <w:spacing w:after="0" w:line="235"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For example, in our recently completed Phase 2b/3 clinical trial evaluating the efficacy, durability and safety of KSI-301 in treatment-naïve subjects with neovascular wet AMD, KSI-301 did not meet the primary efficacy endpoint of showing non-inferior visual acuity gains for subjects dosed on extended regimens compared to aflibercept given every eight weeks.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7" w:lineRule="exact"/>
        <w:rPr>
          <w:sz w:val="20"/>
          <w:szCs w:val="20"/>
          <w:color w:val="auto"/>
        </w:rPr>
      </w:pPr>
    </w:p>
    <w:p>
      <w:pPr>
        <w:ind w:right="180" w:firstLine="509"/>
        <w:spacing w:after="0" w:line="231"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firstLine="509"/>
        <w:spacing w:after="0" w:line="254" w:lineRule="auto"/>
        <w:rPr>
          <w:sz w:val="20"/>
          <w:szCs w:val="20"/>
          <w:color w:val="auto"/>
        </w:rPr>
      </w:pPr>
      <w:r>
        <w:rPr>
          <w:rFonts w:ascii="Arial" w:cs="Arial" w:eastAsia="Arial" w:hAnsi="Arial"/>
          <w:sz w:val="16"/>
          <w:szCs w:val="16"/>
          <w:color w:val="auto"/>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Our KSI-301 pivotal study program relies on a single active arm in each study at a single dose (5mg), such that if a safety observation is observed there is no fallback position at a lower dose to rely 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spacing w:after="0" w:line="165"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b w:val="1"/>
          <w:bCs w:val="1"/>
          <w:i w:val="1"/>
          <w:iCs w:val="1"/>
          <w:color w:val="auto"/>
        </w:rPr>
        <w:t>The top-line results from our Phase 2b/3 pivotal study of KSI-301 in wet AMD may lead to study design modifications in our other ongoing pivotal studies and may impact the timeline of completion and likelihood of success of these pivotal studies.</w:t>
      </w:r>
    </w:p>
    <w:p>
      <w:pPr>
        <w:spacing w:after="0" w:line="62" w:lineRule="exact"/>
        <w:rPr>
          <w:sz w:val="20"/>
          <w:szCs w:val="20"/>
          <w:color w:val="auto"/>
        </w:rPr>
      </w:pPr>
    </w:p>
    <w:p>
      <w:pPr>
        <w:ind w:right="100" w:firstLine="509"/>
        <w:spacing w:after="0" w:line="228" w:lineRule="auto"/>
        <w:rPr>
          <w:sz w:val="20"/>
          <w:szCs w:val="20"/>
          <w:color w:val="auto"/>
        </w:rPr>
      </w:pPr>
      <w:r>
        <w:rPr>
          <w:rFonts w:ascii="Arial" w:cs="Arial" w:eastAsia="Arial" w:hAnsi="Arial"/>
          <w:sz w:val="18"/>
          <w:szCs w:val="18"/>
          <w:color w:val="auto"/>
        </w:rPr>
        <w:t>We recently announced that our Phase 2b/3 pivotal study of KSI-301 in wet AMD did not meet the primary efficacy endpoint of non-inferiority in visual acuity gains for KSI-301 treated patients on extended regimens of every 12-, 16-, or 20- weeks compared to patients treated with aflibercept every eight weeks. In light of these results, we may decide to modify the design of our other ongoing pivotal studies in order to reduce the risk of similar undertreatment of patients, which may lead to potential delays in trial readouts and may impact the likelihood of trial success, which may in turn harm our business and operations and adversely affect our stock price.</w:t>
      </w:r>
    </w:p>
    <w:p>
      <w:pPr>
        <w:spacing w:after="0" w:line="17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40" w:lineRule="exact"/>
        <w:rPr>
          <w:sz w:val="20"/>
          <w:szCs w:val="20"/>
          <w:color w:val="auto"/>
        </w:rPr>
      </w:pPr>
    </w:p>
    <w:p>
      <w:pPr>
        <w:ind w:right="60" w:firstLine="509"/>
        <w:spacing w:after="0" w:line="239"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6" w:lineRule="exact"/>
        <w:rPr>
          <w:sz w:val="20"/>
          <w:szCs w:val="20"/>
          <w:color w:val="auto"/>
        </w:rPr>
      </w:pPr>
    </w:p>
    <w:p>
      <w:pPr>
        <w:ind w:right="380"/>
        <w:spacing w:after="0" w:line="231"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67" w:lineRule="exact"/>
        <w:rPr>
          <w:sz w:val="20"/>
          <w:szCs w:val="20"/>
          <w:color w:val="auto"/>
        </w:rPr>
      </w:pPr>
    </w:p>
    <w:p>
      <w:pPr>
        <w:ind w:right="80" w:firstLine="509"/>
        <w:spacing w:after="0" w:line="228"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3"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There are a number of large pharmaceutical and biotechnology companies that are currently pursuing the development of products for the treatment of the retinal disease indications for which we have product candidates, including wet AMD, DME/DR, and RVO. Certain of our competitors have commercially approved products for the treatment of retinal diseases that we are pursuing or may pursue in the future, including Roche, Regeneron and Novartis for the treatment of wet AMD, DME/DR, and RVO. These drugs are well established therapies and are widely accepted by physicians, patients and third-party payors, which may make it difficult to educate these parties on the benefits of switching to KSI-301. Companies that we are aware are developing therapeutics in the retinal disease area include large companies with significant financial resources, such as Roche, Novartis, Bayer and Regeneron, AbbVie/Allergan,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37" w:name="page38"/>
    <w:bookmarkEnd w:id="37"/>
    <w:p>
      <w:pPr>
        <w:ind w:right="40" w:firstLine="509"/>
        <w:spacing w:after="0"/>
        <w:rPr>
          <w:sz w:val="20"/>
          <w:szCs w:val="20"/>
          <w:color w:val="auto"/>
        </w:rPr>
      </w:pPr>
      <w:r>
        <w:rPr>
          <w:rFonts w:ascii="Arial" w:cs="Arial" w:eastAsia="Arial" w:hAnsi="Arial"/>
          <w:sz w:val="18"/>
          <w:szCs w:val="18"/>
          <w:color w:val="auto"/>
        </w:rPr>
        <w:t>The first Lucentis biosimilar was approved this year in the United States and its approval may impact market dynamics and payor policies negatively for KSI-301. Roche’s product candidate, Vabysmo (faricimab) received FDA approval for the treatment of wet AMD and DME in January 2022 and is currently enrolling pivotal studies in RVO. We believe faricimab’s clinical profile together with physician enthusiasm for a new branded anti-VEGF will make it an important product in the marketplace. Even if KSI-301 presents a compelling clinical profile, we may not be able to market our product candidates as effectively as our competitors. For example, entrenched franchises may seek to impede adoption of KSI-301 through significant discounts or rebates.</w:t>
      </w:r>
    </w:p>
    <w:p>
      <w:pPr>
        <w:spacing w:after="0" w:line="8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NMPA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2"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Annual Report on Form 10-K titled “Risks Related to Our Intellectual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COVID-19 or other reasons.</w:t>
      </w:r>
    </w:p>
    <w:p>
      <w:pPr>
        <w:spacing w:after="0" w:line="72"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ind w:right="40" w:firstLine="509"/>
        <w:spacing w:after="0" w:line="262"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rely on third parties for raw materials needed for manufacturing KSI-301. We may not be able to obtain adequate amounts in the future. These challenges are magnified by the international nature of our supply chain, which, for KSI-301, requires drug substance and drug product sourced from single source suppliers from China, Japan, the United Kingdom, the United States and Switzerland. For example, the effects of health epidemics, including the ongoing COVID-19 pandemic and the resulting shelter-in-place, travel or similar restrictions may impact the timing of clinical resupply facing and BLA facing manufacturing activities.</w:t>
      </w:r>
    </w:p>
    <w:p>
      <w:pPr>
        <w:spacing w:after="0" w:line="18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and regulatory applications or our products for patients, if approved, could be delayed or stopped, or we may be unable to establish a commercially viable cost structure.</w:t>
      </w:r>
    </w:p>
    <w:p>
      <w:pPr>
        <w:spacing w:after="0" w:line="8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2"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 addition, the manufacturing process for any products that we may develop is subject to FDA, EMA, NMPA and foreign regulatory authority approval processes and continuous oversight. We will need to contract with manufacturers who can meet all applicable FDA, EMA, NMPA and foreign regulatory authority requirements, including complying with current good manufacturing practices, or cGMPs, on an ongoing basis. If we or our third-party manufacturers are unable to reliably produce products to specifications acceptable to the FDA,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Our manufacturers are also engaged in the manufacturing of COVID-19 vaccines and therapeutic treatments, and the success of and demand for these vaccines and therapeutic treatments means we and our programs are competing for scarce manufacturing resources. We aim to distribute KSI-301 in a prefilled syringe early in our commercial rollout. We may not be able to complete our prefilled syringe activities in a timely manner, or we may fail technically to design and develop a prefilled syringe for KSI-301. If we require large volumes of glass vials, we may not be able to secure a sufficient supply due to COVID-19-related shortages of glass and vials.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75"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360" w:firstLine="509"/>
        <w:spacing w:after="0" w:line="284"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9" w:name="page40"/>
    <w:bookmarkEnd w:id="39"/>
    <w:p>
      <w:pPr>
        <w:ind w:right="20" w:firstLine="509"/>
        <w:spacing w:after="0" w:line="259"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90" w:lineRule="exact"/>
        <w:rPr>
          <w:sz w:val="20"/>
          <w:szCs w:val="20"/>
          <w:color w:val="auto"/>
        </w:rPr>
      </w:pPr>
    </w:p>
    <w:p>
      <w:pPr>
        <w:ind w:left="640" w:right="460" w:hanging="123"/>
        <w:spacing w:after="0" w:line="24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1" w:lineRule="exact"/>
        <w:rPr>
          <w:rFonts w:ascii="Arial" w:cs="Arial" w:eastAsia="Arial" w:hAnsi="Arial"/>
          <w:sz w:val="18"/>
          <w:szCs w:val="18"/>
          <w:color w:val="auto"/>
        </w:rPr>
      </w:pPr>
    </w:p>
    <w:p>
      <w:pPr>
        <w:ind w:left="640" w:right="140" w:hanging="123"/>
        <w:spacing w:after="0" w:line="24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13" w:lineRule="exact"/>
        <w:rPr>
          <w:rFonts w:ascii="Arial" w:cs="Arial" w:eastAsia="Arial" w:hAnsi="Arial"/>
          <w:sz w:val="16"/>
          <w:szCs w:val="16"/>
          <w:color w:val="auto"/>
        </w:rPr>
      </w:pPr>
    </w:p>
    <w:p>
      <w:pPr>
        <w:ind w:left="640" w:hanging="12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90" w:lineRule="exact"/>
        <w:rPr>
          <w:rFonts w:ascii="Arial" w:cs="Arial" w:eastAsia="Arial" w:hAnsi="Arial"/>
          <w:sz w:val="18"/>
          <w:szCs w:val="18"/>
          <w:color w:val="auto"/>
        </w:rPr>
      </w:pPr>
    </w:p>
    <w:p>
      <w:pPr>
        <w:ind w:left="640" w:right="180" w:hanging="123"/>
        <w:spacing w:after="0" w:line="24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90" w:lineRule="exact"/>
        <w:rPr>
          <w:sz w:val="20"/>
          <w:szCs w:val="20"/>
          <w:color w:val="auto"/>
        </w:rPr>
      </w:pPr>
    </w:p>
    <w:p>
      <w:pPr>
        <w:ind w:firstLine="509"/>
        <w:spacing w:after="0"/>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77" w:lineRule="exact"/>
        <w:rPr>
          <w:sz w:val="20"/>
          <w:szCs w:val="20"/>
          <w:color w:val="auto"/>
        </w:rPr>
      </w:pPr>
    </w:p>
    <w:p>
      <w:pPr>
        <w:ind w:right="640"/>
        <w:spacing w:after="0" w:line="274"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40" w:lineRule="exact"/>
        <w:rPr>
          <w:sz w:val="20"/>
          <w:szCs w:val="20"/>
          <w:color w:val="auto"/>
        </w:rPr>
      </w:pPr>
    </w:p>
    <w:p>
      <w:pPr>
        <w:ind w:firstLine="509"/>
        <w:spacing w:after="0" w:line="246"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640" w:hanging="12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label as compared to alternative treatments;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NMPA or other regulatory agencies;</w:t>
      </w:r>
    </w:p>
    <w:p>
      <w:pPr>
        <w:spacing w:after="0" w:line="90" w:lineRule="exact"/>
        <w:rPr>
          <w:rFonts w:ascii="Arial" w:cs="Arial" w:eastAsia="Arial" w:hAnsi="Arial"/>
          <w:sz w:val="18"/>
          <w:szCs w:val="18"/>
          <w:color w:val="auto"/>
        </w:rPr>
      </w:pPr>
    </w:p>
    <w:p>
      <w:pPr>
        <w:ind w:left="640" w:right="520" w:hanging="123"/>
        <w:spacing w:after="0" w:line="246"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NMPA or other comparable foreign regulatory authorities, including any limitations, contraindications or warnings contained in a product’s approved labeling;</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0" w:name="page41"/>
    <w:bookmarkEnd w:id="40"/>
    <w:p>
      <w:pPr>
        <w:ind w:left="640" w:hanging="123"/>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90"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20" w:firstLine="509"/>
        <w:spacing w:after="0" w:line="236" w:lineRule="auto"/>
        <w:rPr>
          <w:sz w:val="20"/>
          <w:szCs w:val="20"/>
          <w:color w:val="auto"/>
        </w:rPr>
      </w:pPr>
      <w:r>
        <w:rPr>
          <w:rFonts w:ascii="Arial" w:cs="Arial" w:eastAsia="Arial" w:hAnsi="Arial"/>
          <w:sz w:val="17"/>
          <w:szCs w:val="17"/>
          <w:color w:val="auto"/>
        </w:rPr>
        <w:t>Drug pricing and access policies in the United States and internationally may change and negatively impact KSI-301’s commercial viability. Proposed policy changes, including the potential for Medicare to negotiate with drug manufacturers, may limit our ability to competitively price KSI-301, if approved. Further, commercial insurers may limit patient access to KSI-301,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3" w:lineRule="exact"/>
        <w:rPr>
          <w:sz w:val="20"/>
          <w:szCs w:val="20"/>
          <w:color w:val="auto"/>
        </w:rPr>
      </w:pPr>
    </w:p>
    <w:p>
      <w:pPr>
        <w:ind w:firstLine="509"/>
        <w:spacing w:after="0" w:line="237"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68"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41" w:name="page42"/>
    <w:bookmarkEnd w:id="41"/>
    <w:p>
      <w:pPr>
        <w:ind w:firstLine="509"/>
        <w:spacing w:after="0" w:line="235"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NMPA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Our product candidates may face competition from biological products that are biosimilar to or interchangeable with our product candidates sooner than anticipated.</w:t>
      </w:r>
    </w:p>
    <w:p>
      <w:pPr>
        <w:spacing w:after="0" w:line="62"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68" w:lineRule="exact"/>
        <w:rPr>
          <w:sz w:val="20"/>
          <w:szCs w:val="20"/>
          <w:color w:val="auto"/>
        </w:rPr>
      </w:pPr>
    </w:p>
    <w:p>
      <w:pPr>
        <w:ind w:right="40" w:firstLine="509"/>
        <w:spacing w:after="0" w:line="258"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40" w:firstLine="509"/>
        <w:spacing w:after="0" w:line="239"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8" w:lineRule="exact"/>
        <w:rPr>
          <w:sz w:val="20"/>
          <w:szCs w:val="20"/>
          <w:color w:val="auto"/>
        </w:rPr>
      </w:pPr>
    </w:p>
    <w:p>
      <w:pPr>
        <w:ind w:left="640" w:hanging="12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2" w:name="page43"/>
    <w:bookmarkEnd w:id="42"/>
    <w:p>
      <w:pPr>
        <w:ind w:left="640" w:hanging="12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90" w:lineRule="exact"/>
        <w:rPr>
          <w:sz w:val="20"/>
          <w:szCs w:val="20"/>
          <w:color w:val="auto"/>
        </w:rPr>
      </w:pPr>
    </w:p>
    <w:p>
      <w:pPr>
        <w:ind w:right="20" w:firstLine="509"/>
        <w:spacing w:after="0" w:line="227"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81"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b w:val="1"/>
          <w:bCs w:val="1"/>
          <w:i w:val="1"/>
          <w:iCs w:val="1"/>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55" w:lineRule="exact"/>
        <w:rPr>
          <w:sz w:val="20"/>
          <w:szCs w:val="20"/>
          <w:color w:val="auto"/>
        </w:rPr>
      </w:pPr>
    </w:p>
    <w:p>
      <w:pPr>
        <w:ind w:right="80" w:firstLine="509"/>
        <w:spacing w:after="0" w:line="211" w:lineRule="auto"/>
        <w:rPr>
          <w:sz w:val="20"/>
          <w:szCs w:val="20"/>
          <w:color w:val="auto"/>
        </w:rPr>
      </w:pPr>
      <w:r>
        <w:rPr>
          <w:rFonts w:ascii="Arial" w:cs="Arial" w:eastAsia="Arial" w:hAnsi="Arial"/>
          <w:sz w:val="18"/>
          <w:szCs w:val="18"/>
          <w:color w:val="auto"/>
        </w:rPr>
        <w:t>The time required to obtain approval by the FDA, EMA, NMPA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77" w:lineRule="exact"/>
        <w:rPr>
          <w:sz w:val="20"/>
          <w:szCs w:val="20"/>
          <w:color w:val="auto"/>
        </w:rPr>
      </w:pPr>
    </w:p>
    <w:p>
      <w:pPr>
        <w:ind w:left="640" w:right="100" w:hanging="123"/>
        <w:spacing w:after="0" w:line="23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disagree with the design, implementation or results of our clinical trials or the portfolio of clinical trials planned for submission in our BLA;</w:t>
      </w:r>
    </w:p>
    <w:p>
      <w:pPr>
        <w:spacing w:after="0" w:line="53" w:lineRule="exact"/>
        <w:rPr>
          <w:rFonts w:ascii="Arial" w:cs="Arial" w:eastAsia="Arial" w:hAnsi="Arial"/>
          <w:sz w:val="18"/>
          <w:szCs w:val="18"/>
          <w:color w:val="auto"/>
        </w:rPr>
      </w:pPr>
    </w:p>
    <w:p>
      <w:pPr>
        <w:ind w:left="640" w:right="260" w:hanging="123"/>
        <w:spacing w:after="0" w:line="22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54" w:lineRule="exact"/>
        <w:rPr>
          <w:rFonts w:ascii="Arial" w:cs="Arial" w:eastAsia="Arial" w:hAnsi="Arial"/>
          <w:sz w:val="18"/>
          <w:szCs w:val="18"/>
          <w:color w:val="auto"/>
        </w:rPr>
      </w:pPr>
    </w:p>
    <w:p>
      <w:pPr>
        <w:ind w:left="640" w:hanging="123"/>
        <w:spacing w:after="0" w:line="23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53" w:lineRule="exact"/>
        <w:rPr>
          <w:rFonts w:ascii="Arial" w:cs="Arial" w:eastAsia="Arial" w:hAnsi="Arial"/>
          <w:sz w:val="18"/>
          <w:szCs w:val="18"/>
          <w:color w:val="auto"/>
        </w:rPr>
      </w:pPr>
    </w:p>
    <w:p>
      <w:pPr>
        <w:ind w:left="640" w:right="220" w:hanging="123"/>
        <w:spacing w:after="0" w:line="23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FDA, EMA, NMPA or comparable foreign regulatory authorities that a product candidate’s risk-benefit ratio for its proposed indication(s), when compared to the standard of care, is acceptable;</w:t>
      </w:r>
    </w:p>
    <w:p>
      <w:pPr>
        <w:spacing w:after="0" w:line="53" w:lineRule="exact"/>
        <w:rPr>
          <w:rFonts w:ascii="Arial" w:cs="Arial" w:eastAsia="Arial" w:hAnsi="Arial"/>
          <w:sz w:val="18"/>
          <w:szCs w:val="18"/>
          <w:color w:val="auto"/>
        </w:rPr>
      </w:pPr>
    </w:p>
    <w:p>
      <w:pPr>
        <w:ind w:left="640" w:right="500" w:hanging="123"/>
        <w:spacing w:after="0" w:line="23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disagree with our interpretation of data from preclinical studies or clinical trials;</w:t>
      </w:r>
    </w:p>
    <w:p>
      <w:pPr>
        <w:spacing w:after="0" w:line="53" w:lineRule="exact"/>
        <w:rPr>
          <w:rFonts w:ascii="Arial" w:cs="Arial" w:eastAsia="Arial" w:hAnsi="Arial"/>
          <w:sz w:val="18"/>
          <w:szCs w:val="18"/>
          <w:color w:val="auto"/>
        </w:rPr>
      </w:pPr>
    </w:p>
    <w:p>
      <w:pPr>
        <w:ind w:left="640" w:right="40" w:hanging="123"/>
        <w:spacing w:after="0" w:line="23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53" w:lineRule="exact"/>
        <w:rPr>
          <w:rFonts w:ascii="Arial" w:cs="Arial" w:eastAsia="Arial" w:hAnsi="Arial"/>
          <w:sz w:val="18"/>
          <w:szCs w:val="18"/>
          <w:color w:val="auto"/>
        </w:rPr>
      </w:pPr>
    </w:p>
    <w:p>
      <w:pPr>
        <w:ind w:left="640" w:hanging="123"/>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study data may not be positive in all clinical trials demonstrating a mix of positive and negative clinical trial results;</w:t>
      </w:r>
    </w:p>
    <w:p>
      <w:pPr>
        <w:spacing w:after="0" w:line="76" w:lineRule="exact"/>
        <w:rPr>
          <w:rFonts w:ascii="Arial" w:cs="Arial" w:eastAsia="Arial" w:hAnsi="Arial"/>
          <w:sz w:val="18"/>
          <w:szCs w:val="18"/>
          <w:color w:val="auto"/>
        </w:rPr>
      </w:pPr>
    </w:p>
    <w:p>
      <w:pPr>
        <w:ind w:left="640" w:right="40" w:hanging="123"/>
        <w:spacing w:after="0" w:line="289"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FDA, EMA, NMPA or comparable foreign regulatory authorities may fail to approve the chemistry, manufacturing and controls processes, test procedures and specifications, or facilities or third-party manufacturers with which we contract for clinical and commercial supplies; and</w:t>
      </w:r>
    </w:p>
    <w:p>
      <w:pPr>
        <w:spacing w:after="0" w:line="15" w:lineRule="exact"/>
        <w:rPr>
          <w:rFonts w:ascii="Arial" w:cs="Arial" w:eastAsia="Arial" w:hAnsi="Arial"/>
          <w:sz w:val="16"/>
          <w:szCs w:val="16"/>
          <w:color w:val="auto"/>
        </w:rPr>
      </w:pPr>
    </w:p>
    <w:p>
      <w:pPr>
        <w:ind w:left="640" w:right="100" w:hanging="123"/>
        <w:spacing w:after="0" w:line="23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NMPA or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3" w:name="page44"/>
    <w:bookmarkEnd w:id="43"/>
    <w:p>
      <w:pPr>
        <w:ind w:right="200"/>
        <w:spacing w:after="0" w:line="258" w:lineRule="auto"/>
        <w:rPr>
          <w:sz w:val="20"/>
          <w:szCs w:val="20"/>
          <w:color w:val="auto"/>
        </w:rPr>
      </w:pPr>
      <w:r>
        <w:rPr>
          <w:rFonts w:ascii="Arial" w:cs="Arial" w:eastAsia="Arial" w:hAnsi="Arial"/>
          <w:sz w:val="17"/>
          <w:szCs w:val="17"/>
          <w:b w:val="1"/>
          <w:bCs w:val="1"/>
          <w:i w:val="1"/>
          <w:iCs w:val="1"/>
          <w:color w:val="auto"/>
        </w:rPr>
        <w:t>We plan to conduct clinical trials for our product candidates outside the United States (or the respective jurisdictions of other regulatory authorities), and the FDA, (or EMA, NMPA and applicable foreign regulatory authorities may not accept data from such trials.</w:t>
      </w:r>
    </w:p>
    <w:p>
      <w:pPr>
        <w:spacing w:after="0" w:line="39" w:lineRule="exact"/>
        <w:rPr>
          <w:sz w:val="20"/>
          <w:szCs w:val="20"/>
          <w:color w:val="auto"/>
        </w:rPr>
      </w:pPr>
    </w:p>
    <w:p>
      <w:pPr>
        <w:ind w:firstLine="509"/>
        <w:spacing w:after="0" w:line="221"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global clinical trials by the FDA, EMA, NMPA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NMPA or any applicable foreign regulatory authority will accept data from trials conducted outside of their respective jurisdiction. If the FDA, EMA, NMPA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8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NMPA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5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04" w:lineRule="exact"/>
        <w:rPr>
          <w:sz w:val="20"/>
          <w:szCs w:val="20"/>
          <w:color w:val="auto"/>
        </w:rPr>
      </w:pPr>
    </w:p>
    <w:p>
      <w:pPr>
        <w:jc w:val="both"/>
        <w:ind w:right="400" w:firstLine="509"/>
        <w:spacing w:after="0" w:line="294"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39"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NMPA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44" w:name="page45"/>
    <w:bookmarkEnd w:id="44"/>
    <w:p>
      <w:pPr>
        <w:ind w:firstLine="509"/>
        <w:spacing w:after="0" w:line="268"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NMPA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6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80" w:lineRule="exact"/>
        <w:rPr>
          <w:sz w:val="20"/>
          <w:szCs w:val="20"/>
          <w:color w:val="auto"/>
        </w:rPr>
      </w:pPr>
    </w:p>
    <w:p>
      <w:pPr>
        <w:ind w:left="640" w:hanging="12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2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5" w:name="page46"/>
    <w:bookmarkEnd w:id="45"/>
    <w:p>
      <w:pPr>
        <w:ind w:right="20" w:firstLine="509"/>
        <w:spacing w:after="0" w:line="269" w:lineRule="auto"/>
        <w:rPr>
          <w:sz w:val="20"/>
          <w:szCs w:val="20"/>
          <w:color w:val="auto"/>
        </w:rPr>
      </w:pPr>
      <w:r>
        <w:rPr>
          <w:rFonts w:ascii="Arial" w:cs="Arial" w:eastAsia="Arial" w:hAnsi="Arial"/>
          <w:sz w:val="16"/>
          <w:szCs w:val="16"/>
          <w:color w:val="auto"/>
        </w:rPr>
        <w:t>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spacing w:after="0" w:line="63"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including the Infrastructure Investment and Jobs Act, will remain in effect through 2031 unless additional Congressional action is taken. However, COVID-19 relief support legislation suspended the 2% Medicare sequester from May 1, 2020 through March 31, 2022. Under current legislation the actual reduction in Medicare payments will vary from 1% in 2022 to up to 3% in the final fiscal year of this sequester.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beginning January 1, 2024. In addition, Congress is considering additional health reform measures, such as capping the costs for prescription drugs covered by Medicare Part D and by setting the annual out-of-pocket limit at $2,000 beginning in 2024, as part of other health reform initiatives.</w:t>
      </w:r>
    </w:p>
    <w:p>
      <w:pPr>
        <w:spacing w:after="0" w:line="46" w:lineRule="exact"/>
        <w:rPr>
          <w:sz w:val="20"/>
          <w:szCs w:val="20"/>
          <w:color w:val="auto"/>
        </w:rPr>
      </w:pPr>
    </w:p>
    <w:p>
      <w:pPr>
        <w:ind w:right="120" w:firstLine="509"/>
        <w:spacing w:after="0" w:line="231"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7" w:lineRule="exact"/>
        <w:rPr>
          <w:sz w:val="20"/>
          <w:szCs w:val="20"/>
          <w:color w:val="auto"/>
        </w:rPr>
      </w:pPr>
    </w:p>
    <w:p>
      <w:pPr>
        <w:ind w:left="640" w:hanging="12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6" w:name="page47"/>
    <w:bookmarkEnd w:id="46"/>
    <w:p>
      <w:pPr>
        <w:ind w:firstLine="509"/>
        <w:spacing w:after="0" w:line="249" w:lineRule="auto"/>
        <w:rPr>
          <w:sz w:val="20"/>
          <w:szCs w:val="20"/>
          <w:color w:val="auto"/>
        </w:rPr>
      </w:pPr>
      <w:r>
        <w:rPr>
          <w:rFonts w:ascii="Arial" w:cs="Arial" w:eastAsia="Arial" w:hAnsi="Arial"/>
          <w:sz w:val="16"/>
          <w:szCs w:val="16"/>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the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the Centers for Medicare &amp; Medicaid Services, or CMS, issued an interim final rule implementing President Trump’s Most Favored Nation, or MFN, executive order, which would tie Medicare Part B payments for certain physician-administered drugs to the lowest price paid in other economically advanced countries, effective January 1, 2021. As a result of litigation challenging the MFN Model, on December 27, 2021, CMS published a final rule that rescinded the MFN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54" w:lineRule="exact"/>
        <w:rPr>
          <w:sz w:val="20"/>
          <w:szCs w:val="20"/>
          <w:color w:val="auto"/>
        </w:rPr>
      </w:pPr>
    </w:p>
    <w:p>
      <w:pPr>
        <w:ind w:right="20" w:firstLine="509"/>
        <w:spacing w:after="0" w:line="22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 it is possible that additional governmental action is taken in response to the COVID-19 pandemic.</w:t>
      </w:r>
    </w:p>
    <w:p>
      <w:pPr>
        <w:spacing w:after="0" w:line="175" w:lineRule="exact"/>
        <w:rPr>
          <w:sz w:val="20"/>
          <w:szCs w:val="20"/>
          <w:color w:val="auto"/>
        </w:rPr>
      </w:pPr>
    </w:p>
    <w:p>
      <w:pPr>
        <w:ind w:right="500"/>
        <w:spacing w:after="0" w:line="338"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ind w:right="20" w:firstLine="509"/>
        <w:spacing w:after="0" w:line="251"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NMPA and other comparable foreign regulatory authorities; provide true, complete and accurate information to the FDA, EMA, NMPA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7" w:name="page48"/>
    <w:bookmarkEnd w:id="47"/>
    <w:p>
      <w:pPr>
        <w:ind w:right="40" w:firstLine="509"/>
        <w:spacing w:after="0" w:line="261" w:lineRule="auto"/>
        <w:rPr>
          <w:sz w:val="20"/>
          <w:szCs w:val="20"/>
          <w:color w:val="auto"/>
        </w:rPr>
      </w:pPr>
      <w:r>
        <w:rPr>
          <w:rFonts w:ascii="Arial" w:cs="Arial" w:eastAsia="Arial" w:hAnsi="Arial"/>
          <w:sz w:val="16"/>
          <w:szCs w:val="16"/>
          <w:color w:val="auto"/>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40" w:lineRule="exact"/>
        <w:rPr>
          <w:sz w:val="20"/>
          <w:szCs w:val="20"/>
          <w:color w:val="auto"/>
        </w:rPr>
      </w:pPr>
    </w:p>
    <w:p>
      <w:pPr>
        <w:ind w:left="640" w:right="100" w:hanging="123"/>
        <w:spacing w:after="0" w:line="239"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68" w:lineRule="exact"/>
        <w:rPr>
          <w:rFonts w:ascii="Arial" w:cs="Arial" w:eastAsia="Arial" w:hAnsi="Arial"/>
          <w:sz w:val="17"/>
          <w:szCs w:val="17"/>
          <w:color w:val="auto"/>
        </w:rPr>
      </w:pPr>
    </w:p>
    <w:p>
      <w:pPr>
        <w:ind w:left="640" w:right="20" w:hanging="123"/>
        <w:spacing w:after="0" w:line="228"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w:t>
      </w:r>
    </w:p>
    <w:p>
      <w:pPr>
        <w:spacing w:after="0" w:line="69" w:lineRule="exact"/>
        <w:rPr>
          <w:rFonts w:ascii="Arial" w:cs="Arial" w:eastAsia="Arial" w:hAnsi="Arial"/>
          <w:sz w:val="18"/>
          <w:szCs w:val="18"/>
          <w:color w:val="auto"/>
        </w:rPr>
      </w:pPr>
    </w:p>
    <w:p>
      <w:pPr>
        <w:ind w:left="640" w:right="120" w:hanging="123"/>
        <w:spacing w:after="0" w:line="239"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w:t>
      </w:r>
    </w:p>
    <w:p>
      <w:pPr>
        <w:spacing w:after="0" w:line="68" w:lineRule="exact"/>
        <w:rPr>
          <w:rFonts w:ascii="Arial" w:cs="Arial" w:eastAsia="Arial" w:hAnsi="Arial"/>
          <w:sz w:val="17"/>
          <w:szCs w:val="17"/>
          <w:color w:val="auto"/>
        </w:rPr>
      </w:pPr>
    </w:p>
    <w:p>
      <w:pPr>
        <w:ind w:left="640" w:right="320" w:hanging="123"/>
        <w:spacing w:after="0" w:line="228"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83" w:lineRule="exact"/>
        <w:rPr>
          <w:rFonts w:ascii="Arial" w:cs="Arial" w:eastAsia="Arial" w:hAnsi="Arial"/>
          <w:sz w:val="18"/>
          <w:szCs w:val="18"/>
          <w:color w:val="auto"/>
        </w:rPr>
      </w:pPr>
    </w:p>
    <w:p>
      <w:pPr>
        <w:ind w:left="640" w:hanging="123"/>
        <w:spacing w:after="0" w:line="279"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51" w:lineRule="exact"/>
        <w:rPr>
          <w:rFonts w:ascii="Arial" w:cs="Arial" w:eastAsia="Arial" w:hAnsi="Arial"/>
          <w:sz w:val="16"/>
          <w:szCs w:val="16"/>
          <w:color w:val="auto"/>
        </w:rPr>
      </w:pPr>
    </w:p>
    <w:p>
      <w:pPr>
        <w:ind w:left="640" w:right="600" w:hanging="123"/>
        <w:spacing w:after="0" w:line="261"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8" w:name="page49"/>
    <w:bookmarkEnd w:id="48"/>
    <w:p>
      <w:pPr>
        <w:ind w:left="640" w:hanging="123"/>
        <w:spacing w:after="0" w:line="253"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2"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71"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4"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A wide variety of provincial, state, national, and foreign laws and regulations, as well as policies, contracts and other obligations apply to the collection, use, retention, protection, disclosure and transfer of personal data. These data protection and privacy-related laws and regulations are evolving and may result in ever-increasing regulatory and public scrutiny and escalating levels of enforcement and sanctions.</w:t>
      </w:r>
    </w:p>
    <w:p>
      <w:pPr>
        <w:spacing w:after="0" w:line="5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For example, the European Union’s General Data Protection Regulation, or GDPR, which took effect on May 25, 2018, imposes stringent data protection requirements and provides for material penalties for noncompliance. The GDPR applies to processing operations carried out in the context of the activities of an establishment in the European Economic Area, or EEA, and any processing relating to the offering of goods or services to individuals in the EEA and/or the monitoring of their behavior in the EEA. Also, notwithstanding the United Kingdom’s withdrawal from the EU, by operation of the so-called UK GDPR, the GDPR continues to apply in substantially equivalent form to processing operations carried out in the context of the activities of an establishment in the United Kingdom and any processing relating to the offering of goods or services to individuals in the United Kingdom and/or monitoring of their behavior in the United Kingdom—so, when we refer to the GDPR in this section, we are also making reference to the UK GDPR in the context of the United Kingdom, unless the context requires otherwise. These laws may apply in the context of our processing of personal data related to the conduct of clinical trials in the EEA and/or UK.</w:t>
      </w:r>
    </w:p>
    <w:p>
      <w:pPr>
        <w:spacing w:after="0" w:line="76"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GDPR requires organizations to give detailed disclosures about how they collect, use and share personal information; in certain cases, obtain explicit consent to process special categories of personal data, such as the health or genetic information referred to above; contractually require vendors to meet data protection requirements;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9" w:name="page50"/>
    <w:bookmarkEnd w:id="49"/>
    <w:p>
      <w:pPr>
        <w:ind w:firstLine="509"/>
        <w:spacing w:after="0" w:line="267" w:lineRule="auto"/>
        <w:rPr>
          <w:sz w:val="20"/>
          <w:szCs w:val="20"/>
          <w:color w:val="auto"/>
        </w:rPr>
      </w:pPr>
      <w:r>
        <w:rPr>
          <w:rFonts w:ascii="Arial" w:cs="Arial" w:eastAsia="Arial" w:hAnsi="Arial"/>
          <w:sz w:val="16"/>
          <w:szCs w:val="16"/>
          <w:color w:val="auto"/>
        </w:rPr>
        <w:t>European data protection laws, including the GDPR, also restrict transfers of personal data from Europe, including the EEA, the United Kingdom and Switzerland, to the United States and most other countries unless the parties to the transfer have implemented specific safeguards to protect the transferred personal data. One of the primary safeguards that allowed U.S. companies to import personal data from Europe had been certification to the EU-U.S. Privacy Shield and Swiss-U.S. Privacy Shield frameworks administered by the U.S. Department of Commerce. However, the Court of Justice of the European Union, or CJEU, adopted a decision in July 2020 that invalidated the EU U.S. Privacy Shield. Following this decision, the United Kingdom government has similarly invalidated use of the EU U.S. Privacy Shield as a mechanism for lawful personal data transfers from the United Kingdom to the United States under the UK GDPR; and the Swiss Federal Data Protection and Information Commissioner announced that the Swiss-U.S. Privacy Shield does not provide adequate safeguards for the purposes of personal data transfers from Switzerland to the United States. The CJEU’s decision in this case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it made clear that reliance on the Standard Contractual Clauses alone may not necessarily be sufficient in all circumstances. Despite updated forms of the Standard Contractual Clauses having been issued by the European Commission following this case, use of the Standard Contractual Clauses must be assessed on a case-by-case basis. In the context of any given transfer, where the legal regime applicable in the destination country may or does conflict with the intended operation of the Standard Contractual Clauses and/or applicable European data protection laws, the CJEU’s decision in this case, subsequent guidance from the European Data Protection Board, or EDPB, and those updated Standard Contractual Clauses, would require the parties to that transfer to implement supplementary technical, organizational and/or contractual measures in order to rely on the Standard Contractual Clauses as a compliant ‘transfer mechanism.’ However, the EDPB draft guidance appears to conclude that no combination of supplementary measures could be sufficient to allow effective reliance on the Standard Contractual Clauses in the context of transfers of personal data ‘in the clear’ to recipients in countries where the power granted to public authorities to access the transferred personal data goes beyond that which is ‘necessary and proportionate in a democratic society’ – which may, following the CJEU’s conclusions in this case on relevant powers of United States public authorities and commentary in that EDPB guidance, include the United States in certain circumstances. At present, there are few, if any, viable alternatives to the Standard Contractual Clauses.</w:t>
      </w:r>
    </w:p>
    <w:p>
      <w:pPr>
        <w:spacing w:after="0" w:line="46" w:lineRule="exact"/>
        <w:rPr>
          <w:sz w:val="20"/>
          <w:szCs w:val="20"/>
          <w:color w:val="auto"/>
        </w:rPr>
      </w:pPr>
    </w:p>
    <w:p>
      <w:pPr>
        <w:ind w:right="60" w:firstLine="509"/>
        <w:spacing w:after="0" w:line="238" w:lineRule="auto"/>
        <w:rPr>
          <w:sz w:val="20"/>
          <w:szCs w:val="20"/>
          <w:color w:val="auto"/>
        </w:rPr>
      </w:pPr>
      <w:r>
        <w:rPr>
          <w:rFonts w:ascii="Arial" w:cs="Arial" w:eastAsia="Arial" w:hAnsi="Arial"/>
          <w:sz w:val="17"/>
          <w:szCs w:val="17"/>
          <w:color w:val="auto"/>
        </w:rPr>
        <w:t>On June 28, 2021, the European Commission issued an adequacy decision under the GDPR which allows transfers (other than those carried out for the purposes of United Kingdom immigration control) of personal data from the EEA to the United Kingdom to continue without restriction for a period of four years ending June 27, 2025. After that period, the adequacy decision may be renewed only if the United Kingdom continues to ensure an adequate level of data protection. During these four years, the European Commission will continue to monitor the legal situation in the United Kingdom and could intervene at any point if the United Kingdom deviates from the level of data protection in place at the time of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from the EEA to the United Kingdom to continue, which could disrupt our operations.</w:t>
      </w:r>
    </w:p>
    <w:p>
      <w:pPr>
        <w:spacing w:after="0" w:line="69" w:lineRule="exact"/>
        <w:rPr>
          <w:sz w:val="20"/>
          <w:szCs w:val="20"/>
          <w:color w:val="auto"/>
        </w:rPr>
      </w:pPr>
    </w:p>
    <w:p>
      <w:pPr>
        <w:ind w:firstLine="509"/>
        <w:spacing w:after="0" w:line="225" w:lineRule="auto"/>
        <w:rPr>
          <w:sz w:val="20"/>
          <w:szCs w:val="20"/>
          <w:color w:val="auto"/>
        </w:rPr>
      </w:pPr>
      <w:r>
        <w:rPr>
          <w:rFonts w:ascii="Arial" w:cs="Arial" w:eastAsia="Arial" w:hAnsi="Arial"/>
          <w:sz w:val="18"/>
          <w:szCs w:val="18"/>
          <w:color w:val="auto"/>
        </w:rPr>
        <w:t>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Europe, including the EEA, United Kingdom or Switzerland, may also (i) restrict our activities in Europe; (ii) limit our ability to collaborate with partners as well as other service providers, contractors and other companies subject to European data protection laws; or (iii) require us to increase our data processing capabilities in Europe at significant expense or otherwise cause us to change the geographical location or segregation of our relevant systems and operations—any or all of which could adversely affect our financial results.</w:t>
      </w:r>
    </w:p>
    <w:p>
      <w:pPr>
        <w:spacing w:after="0" w:line="73"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Additionally, other countries outside of Europe have enacted or are considering enacting similar cross-border data transfer restrictions and laws requiring local data residency, which could increase the cost and complexity of operating our business. The type of challenges we face in Europe will likely also arise in other jurisdictions that adopt laws similar in construction to the GDPR or regulatory frameworks of equivalent complexity.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ind w:firstLine="509"/>
        <w:spacing w:after="0" w:line="237" w:lineRule="auto"/>
        <w:rPr>
          <w:sz w:val="20"/>
          <w:szCs w:val="20"/>
          <w:color w:val="auto"/>
        </w:rPr>
      </w:pPr>
      <w:r>
        <w:rPr>
          <w:rFonts w:ascii="Arial" w:cs="Arial" w:eastAsia="Arial" w:hAnsi="Arial"/>
          <w:sz w:val="17"/>
          <w:szCs w:val="17"/>
          <w:color w:val="auto"/>
        </w:rPr>
        <w:t>As noted above, the GDPR also provides for more robust regulatory enforcement and greater penalties for noncompliance than previously applicable data protection laws, including fines of up to €20 million or 4% of an undertaking’s total worldwide annual turnover for the preceding financial year, whichever is higher. In addition to administrative fines, supervisory authorities have extensive audit and inspection rights, and powers to order temporary or permanent bans on all or some processing of personal data carried out by noncompliant actors. The GDPR also confers a private right of action on data subjects and consumer associations to lodge complaints with supervisory authorities, seek judicial remedies and obtain compensation for damages resulting from violations of the GDPR. Additionally, as noted above, the United Kingdom has transposed the GDPR into the laws of the United Kingdom, which could expose us to two parallel regimes, each of which potentially authorizes similar fines, with the UK GDPR permitting fines of up to the higher of £17.5 million or 4% of global annual revenue of any noncompliant organizations for the preceding financial year, as well as other potentially divergent enforcement actions for certain violations.</w:t>
      </w:r>
    </w:p>
    <w:p>
      <w:pPr>
        <w:spacing w:after="0" w:line="72" w:lineRule="exact"/>
        <w:rPr>
          <w:sz w:val="20"/>
          <w:szCs w:val="20"/>
          <w:color w:val="auto"/>
        </w:rPr>
      </w:pPr>
    </w:p>
    <w:p>
      <w:pPr>
        <w:ind w:right="180" w:firstLine="509"/>
        <w:spacing w:after="0" w:line="251" w:lineRule="auto"/>
        <w:rPr>
          <w:sz w:val="20"/>
          <w:szCs w:val="20"/>
          <w:color w:val="auto"/>
        </w:rPr>
      </w:pPr>
      <w:r>
        <w:rPr>
          <w:rFonts w:ascii="Arial" w:cs="Arial" w:eastAsia="Arial" w:hAnsi="Arial"/>
          <w:sz w:val="16"/>
          <w:szCs w:val="16"/>
          <w:color w:val="auto"/>
        </w:rPr>
        <w:t>Privacy laws in the U.S. are also increasingly complex and changing rapidly.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information. The CCPA provides for civil penalties for violations. Since the enactment of the CCPA, new privacy and data security laws have been proposed in more than half of the states and in the U.S.</w:t>
      </w:r>
    </w:p>
    <w:p>
      <w:pPr>
        <w:spacing w:after="0" w:line="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Congress, reflecting a trend toward more stringent privacy legislation in the U.S. The CCPA itself will expand substantially as a result of California voters approving a November 2020 ballot measure that adopted the California Privacy Rights Act of 2020, or CPRA, which will, among other things, create a new administrative agency to implement and enforce California’s privacy laws effective January 1, 2023. While certain clinical trial activities are exempt from the CCPA’s requirements, other personal information that we handle may be subject to the CCPA, which may increase our compliance costs, exposure to regulatory enforcement action and other liabilities.</w:t>
      </w:r>
    </w:p>
    <w:p>
      <w:pPr>
        <w:spacing w:after="0" w:line="67" w:lineRule="exact"/>
        <w:rPr>
          <w:sz w:val="20"/>
          <w:szCs w:val="20"/>
          <w:color w:val="auto"/>
        </w:rPr>
      </w:pPr>
    </w:p>
    <w:p>
      <w:pPr>
        <w:ind w:right="40" w:firstLine="509"/>
        <w:spacing w:after="0" w:line="228" w:lineRule="auto"/>
        <w:rPr>
          <w:sz w:val="20"/>
          <w:szCs w:val="20"/>
          <w:color w:val="auto"/>
        </w:rPr>
      </w:pPr>
      <w:r>
        <w:rPr>
          <w:rFonts w:ascii="Arial" w:cs="Arial" w:eastAsia="Arial" w:hAnsi="Arial"/>
          <w:sz w:val="18"/>
          <w:szCs w:val="18"/>
          <w:color w:val="auto"/>
        </w:rPr>
        <w:t>The GDPR, CCPA and many other laws and regulations relating to privacy and data protection are still being tested in courts, and they are subject to new and differing interpretations by courts and regulatory officials. We are working to comply with the privacy and data protection laws and regulations that apply to us, and we anticipate needing to devote significant additional resources to complying with these laws and regulations. It is possible that the GDPR, CCPA or other laws and regulations relating to privacy and data protection may be interpreted and applied in a manner that is inconsistent from jurisdiction to jurisdiction or inconsistent with our current policies and practices.</w:t>
      </w:r>
    </w:p>
    <w:p>
      <w:pPr>
        <w:spacing w:after="0" w:line="70" w:lineRule="exact"/>
        <w:rPr>
          <w:sz w:val="20"/>
          <w:szCs w:val="20"/>
          <w:color w:val="auto"/>
        </w:rPr>
      </w:pPr>
    </w:p>
    <w:p>
      <w:pPr>
        <w:ind w:right="120" w:firstLine="509"/>
        <w:spacing w:after="0" w:line="228" w:lineRule="auto"/>
        <w:rPr>
          <w:sz w:val="20"/>
          <w:szCs w:val="20"/>
          <w:color w:val="auto"/>
        </w:rPr>
      </w:pPr>
      <w:r>
        <w:rPr>
          <w:rFonts w:ascii="Arial" w:cs="Arial" w:eastAsia="Arial" w:hAnsi="Arial"/>
          <w:sz w:val="18"/>
          <w:szCs w:val="18"/>
          <w:color w:val="auto"/>
        </w:rPr>
        <w:t>Our actual or perceived failure to adequately comply with applicable laws, regulations, policies, contracts and other obligations relating to privacy and data protection, or to protect personal data and other data we process or maintain, could result in regulatory fines and bans on processing personal information, investigations and enforcement actions, penalties and other liabilities, interruptions to our development process, claims for damages by affected individuals, and damage to our reputation, any of which could materially affect our business, financial condition, results of operations and growth prospects.</w:t>
      </w:r>
    </w:p>
    <w:p>
      <w:pPr>
        <w:spacing w:after="0" w:line="178" w:lineRule="exact"/>
        <w:rPr>
          <w:sz w:val="20"/>
          <w:szCs w:val="20"/>
          <w:color w:val="auto"/>
        </w:rPr>
      </w:pPr>
    </w:p>
    <w:p>
      <w:pPr>
        <w:ind w:right="400"/>
        <w:spacing w:after="0" w:line="307"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5" w:lineRule="exact"/>
        <w:rPr>
          <w:sz w:val="20"/>
          <w:szCs w:val="20"/>
          <w:color w:val="auto"/>
        </w:rPr>
      </w:pPr>
    </w:p>
    <w:p>
      <w:pPr>
        <w:ind w:right="40" w:firstLine="509"/>
        <w:spacing w:after="0" w:line="224"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70" w:lineRule="exact"/>
        <w:rPr>
          <w:sz w:val="20"/>
          <w:szCs w:val="20"/>
          <w:color w:val="auto"/>
        </w:rPr>
      </w:pPr>
    </w:p>
    <w:p>
      <w:pPr>
        <w:ind w:firstLine="509"/>
        <w:spacing w:after="0" w:line="255"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15"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9"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8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67"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6" w:lineRule="exact"/>
        <w:rPr>
          <w:sz w:val="20"/>
          <w:szCs w:val="20"/>
          <w:color w:val="auto"/>
        </w:rPr>
      </w:pPr>
    </w:p>
    <w:p>
      <w:pPr>
        <w:jc w:val="both"/>
        <w:ind w:right="280" w:firstLine="509"/>
        <w:spacing w:after="0" w:line="248"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7" w:lineRule="exact"/>
        <w:rPr>
          <w:sz w:val="20"/>
          <w:szCs w:val="20"/>
          <w:color w:val="auto"/>
        </w:rPr>
      </w:pPr>
    </w:p>
    <w:p>
      <w:pPr>
        <w:jc w:val="both"/>
        <w:ind w:right="300" w:firstLine="509"/>
        <w:spacing w:after="0" w:line="248"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ind w:right="600" w:firstLine="509"/>
        <w:spacing w:after="0" w:line="274" w:lineRule="auto"/>
        <w:rPr>
          <w:sz w:val="20"/>
          <w:szCs w:val="20"/>
          <w:color w:val="auto"/>
        </w:rPr>
      </w:pPr>
      <w:r>
        <w:rPr>
          <w:rFonts w:ascii="Arial" w:cs="Arial" w:eastAsia="Arial" w:hAnsi="Arial"/>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40" w:lineRule="exact"/>
        <w:rPr>
          <w:sz w:val="20"/>
          <w:szCs w:val="20"/>
          <w:color w:val="auto"/>
        </w:rPr>
      </w:pPr>
    </w:p>
    <w:p>
      <w:pPr>
        <w:ind w:left="640" w:hanging="123"/>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90" w:lineRule="exact"/>
        <w:rPr>
          <w:sz w:val="20"/>
          <w:szCs w:val="20"/>
          <w:color w:val="auto"/>
        </w:rPr>
      </w:pPr>
    </w:p>
    <w:p>
      <w:pPr>
        <w:ind w:right="280" w:firstLine="509"/>
        <w:spacing w:after="0" w:line="242"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67" w:lineRule="exact"/>
        <w:rPr>
          <w:sz w:val="20"/>
          <w:szCs w:val="20"/>
          <w:color w:val="auto"/>
        </w:rPr>
      </w:pPr>
    </w:p>
    <w:p>
      <w:pPr>
        <w:ind w:right="300" w:firstLine="509"/>
        <w:spacing w:after="0" w:line="274"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40" w:lineRule="exact"/>
        <w:rPr>
          <w:sz w:val="20"/>
          <w:szCs w:val="20"/>
          <w:color w:val="auto"/>
        </w:rPr>
      </w:pPr>
    </w:p>
    <w:p>
      <w:pPr>
        <w:ind w:right="360" w:firstLine="509"/>
        <w:spacing w:after="0" w:line="266"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48" w:lineRule="exact"/>
        <w:rPr>
          <w:sz w:val="20"/>
          <w:szCs w:val="20"/>
          <w:color w:val="auto"/>
        </w:rPr>
      </w:pPr>
    </w:p>
    <w:p>
      <w:pPr>
        <w:ind w:right="80" w:firstLine="509"/>
        <w:spacing w:after="0" w:line="307"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509"/>
        <w:spacing w:after="0" w:line="237"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40" w:firstLine="509"/>
        <w:spacing w:after="0" w:line="237"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53" w:name="page54"/>
    <w:bookmarkEnd w:id="53"/>
    <w:p>
      <w:pPr>
        <w:ind w:right="120"/>
        <w:spacing w:after="0" w:line="324"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04" w:lineRule="exact"/>
        <w:rPr>
          <w:sz w:val="20"/>
          <w:szCs w:val="20"/>
          <w:color w:val="auto"/>
        </w:rPr>
      </w:pPr>
    </w:p>
    <w:p>
      <w:pPr>
        <w:ind w:left="640" w:hanging="123"/>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15" w:lineRule="exact"/>
        <w:rPr>
          <w:rFonts w:ascii="Arial" w:cs="Arial" w:eastAsia="Arial" w:hAnsi="Arial"/>
          <w:sz w:val="17"/>
          <w:szCs w:val="17"/>
          <w:color w:val="auto"/>
        </w:rPr>
      </w:pPr>
    </w:p>
    <w:p>
      <w:pPr>
        <w:ind w:left="640" w:right="100" w:hanging="123"/>
        <w:spacing w:after="0" w:line="248"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3" w:lineRule="exact"/>
        <w:rPr>
          <w:rFonts w:ascii="Arial" w:cs="Arial" w:eastAsia="Arial" w:hAnsi="Arial"/>
          <w:sz w:val="18"/>
          <w:szCs w:val="18"/>
          <w:color w:val="auto"/>
        </w:rPr>
      </w:pPr>
    </w:p>
    <w:p>
      <w:pPr>
        <w:ind w:left="640" w:right="160" w:hanging="123"/>
        <w:spacing w:after="0" w:line="26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03" w:lineRule="exact"/>
        <w:rPr>
          <w:rFonts w:ascii="Arial" w:cs="Arial" w:eastAsia="Arial" w:hAnsi="Arial"/>
          <w:sz w:val="18"/>
          <w:szCs w:val="18"/>
          <w:color w:val="auto"/>
        </w:rPr>
      </w:pPr>
    </w:p>
    <w:p>
      <w:pPr>
        <w:ind w:left="640" w:right="740" w:hanging="123"/>
        <w:spacing w:after="0" w:line="26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90" w:lineRule="exact"/>
        <w:rPr>
          <w:rFonts w:ascii="Arial" w:cs="Arial" w:eastAsia="Arial" w:hAnsi="Arial"/>
          <w:sz w:val="18"/>
          <w:szCs w:val="18"/>
          <w:color w:val="auto"/>
        </w:rPr>
      </w:pPr>
    </w:p>
    <w:p>
      <w:pPr>
        <w:ind w:left="640" w:right="160" w:hanging="123"/>
        <w:spacing w:after="0" w:line="307"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640" w:hanging="123"/>
        <w:spacing w:after="0" w:line="235"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6" w:lineRule="exact"/>
        <w:rPr>
          <w:rFonts w:ascii="Arial" w:cs="Arial" w:eastAsia="Arial" w:hAnsi="Arial"/>
          <w:sz w:val="18"/>
          <w:szCs w:val="18"/>
          <w:color w:val="auto"/>
        </w:rPr>
      </w:pPr>
    </w:p>
    <w:p>
      <w:pPr>
        <w:ind w:left="640" w:hanging="123"/>
        <w:spacing w:after="0" w:line="246"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1" w:lineRule="exact"/>
        <w:rPr>
          <w:rFonts w:ascii="Arial" w:cs="Arial" w:eastAsia="Arial" w:hAnsi="Arial"/>
          <w:sz w:val="18"/>
          <w:szCs w:val="18"/>
          <w:color w:val="auto"/>
        </w:rPr>
      </w:pPr>
    </w:p>
    <w:p>
      <w:pPr>
        <w:jc w:val="both"/>
        <w:ind w:left="640" w:right="120" w:hanging="123"/>
        <w:spacing w:after="0" w:line="235"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6" w:lineRule="exact"/>
        <w:rPr>
          <w:rFonts w:ascii="Arial" w:cs="Arial" w:eastAsia="Arial" w:hAnsi="Arial"/>
          <w:sz w:val="18"/>
          <w:szCs w:val="18"/>
          <w:color w:val="auto"/>
        </w:rPr>
      </w:pPr>
    </w:p>
    <w:p>
      <w:pPr>
        <w:ind w:left="640" w:right="140" w:hanging="123"/>
        <w:spacing w:after="0" w:line="246"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90" w:lineRule="exact"/>
        <w:rPr>
          <w:rFonts w:ascii="Arial" w:cs="Arial" w:eastAsia="Arial" w:hAnsi="Arial"/>
          <w:sz w:val="18"/>
          <w:szCs w:val="18"/>
          <w:color w:val="auto"/>
        </w:rPr>
      </w:pPr>
    </w:p>
    <w:p>
      <w:pPr>
        <w:ind w:left="640" w:right="340" w:hanging="123"/>
        <w:spacing w:after="0" w:line="246"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4" w:name="page55"/>
    <w:bookmarkEnd w:id="54"/>
    <w:p>
      <w:pPr>
        <w:ind w:left="640" w:right="940" w:hanging="123"/>
        <w:spacing w:after="0" w:line="307"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5" w:lineRule="exact"/>
        <w:rPr>
          <w:rFonts w:ascii="Arial" w:cs="Arial" w:eastAsia="Arial" w:hAnsi="Arial"/>
          <w:sz w:val="16"/>
          <w:szCs w:val="16"/>
          <w:color w:val="auto"/>
        </w:rPr>
      </w:pPr>
    </w:p>
    <w:p>
      <w:pPr>
        <w:ind w:left="640" w:right="440" w:hanging="123"/>
        <w:spacing w:after="0" w:line="274"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39" w:lineRule="exact"/>
        <w:rPr>
          <w:rFonts w:ascii="Arial" w:cs="Arial" w:eastAsia="Arial" w:hAnsi="Arial"/>
          <w:sz w:val="17"/>
          <w:szCs w:val="17"/>
          <w:color w:val="auto"/>
        </w:rPr>
      </w:pPr>
    </w:p>
    <w:p>
      <w:pPr>
        <w:ind w:left="640" w:hanging="123"/>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90" w:lineRule="exact"/>
        <w:rPr>
          <w:rFonts w:ascii="Arial" w:cs="Arial" w:eastAsia="Arial" w:hAnsi="Arial"/>
          <w:sz w:val="18"/>
          <w:szCs w:val="18"/>
          <w:color w:val="auto"/>
        </w:rPr>
      </w:pPr>
    </w:p>
    <w:p>
      <w:pPr>
        <w:ind w:left="640" w:right="180" w:hanging="123"/>
        <w:spacing w:after="0" w:line="24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1" w:lineRule="exact"/>
        <w:rPr>
          <w:rFonts w:ascii="Arial" w:cs="Arial" w:eastAsia="Arial" w:hAnsi="Arial"/>
          <w:sz w:val="18"/>
          <w:szCs w:val="18"/>
          <w:color w:val="auto"/>
        </w:rPr>
      </w:pPr>
    </w:p>
    <w:p>
      <w:pPr>
        <w:ind w:left="640" w:right="1340" w:hanging="123"/>
        <w:spacing w:after="0" w:line="24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1" w:lineRule="exact"/>
        <w:rPr>
          <w:rFonts w:ascii="Arial" w:cs="Arial" w:eastAsia="Arial" w:hAnsi="Arial"/>
          <w:sz w:val="18"/>
          <w:szCs w:val="18"/>
          <w:color w:val="auto"/>
        </w:rPr>
      </w:pPr>
    </w:p>
    <w:p>
      <w:pPr>
        <w:ind w:left="640" w:hanging="123"/>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102" w:lineRule="exact"/>
        <w:rPr>
          <w:sz w:val="20"/>
          <w:szCs w:val="20"/>
          <w:color w:val="auto"/>
        </w:rPr>
      </w:pPr>
    </w:p>
    <w:p>
      <w:pPr>
        <w:ind w:firstLine="509"/>
        <w:spacing w:after="0" w:line="238"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69" w:lineRule="exact"/>
        <w:rPr>
          <w:sz w:val="20"/>
          <w:szCs w:val="20"/>
          <w:color w:val="auto"/>
        </w:rPr>
      </w:pPr>
    </w:p>
    <w:p>
      <w:pPr>
        <w:ind w:right="80" w:firstLine="509"/>
        <w:spacing w:after="0" w:line="237"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67" w:lineRule="exact"/>
        <w:rPr>
          <w:sz w:val="20"/>
          <w:szCs w:val="20"/>
          <w:color w:val="auto"/>
        </w:rPr>
      </w:pPr>
    </w:p>
    <w:p>
      <w:pPr>
        <w:ind w:right="60" w:firstLine="509"/>
        <w:spacing w:after="0" w:line="250"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90" w:lineRule="exact"/>
        <w:rPr>
          <w:sz w:val="20"/>
          <w:szCs w:val="20"/>
          <w:color w:val="auto"/>
        </w:rPr>
      </w:pPr>
    </w:p>
    <w:p>
      <w:pPr>
        <w:ind w:right="80" w:firstLine="509"/>
        <w:spacing w:after="0" w:line="266"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48" w:lineRule="exact"/>
        <w:rPr>
          <w:sz w:val="20"/>
          <w:szCs w:val="20"/>
          <w:color w:val="auto"/>
        </w:rPr>
      </w:pPr>
    </w:p>
    <w:p>
      <w:pPr>
        <w:ind w:right="60" w:firstLine="509"/>
        <w:spacing w:after="0" w:line="252"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40"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6" w:name="page57"/>
    <w:bookmarkEnd w:id="56"/>
    <w:p>
      <w:pPr>
        <w:ind w:right="40" w:firstLine="509"/>
        <w:spacing w:after="0" w:line="256"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57" w:lineRule="exact"/>
        <w:rPr>
          <w:sz w:val="20"/>
          <w:szCs w:val="20"/>
          <w:color w:val="auto"/>
        </w:rPr>
      </w:pPr>
    </w:p>
    <w:p>
      <w:pPr>
        <w:ind w:right="80" w:firstLine="509"/>
        <w:spacing w:after="0" w:line="235"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90"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90" w:lineRule="exact"/>
        <w:rPr>
          <w:sz w:val="20"/>
          <w:szCs w:val="20"/>
          <w:color w:val="auto"/>
        </w:rPr>
      </w:pPr>
    </w:p>
    <w:p>
      <w:pPr>
        <w:ind w:firstLine="509"/>
        <w:spacing w:after="0" w:line="239"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68" w:lineRule="exact"/>
        <w:rPr>
          <w:sz w:val="20"/>
          <w:szCs w:val="20"/>
          <w:color w:val="auto"/>
        </w:rPr>
      </w:pPr>
    </w:p>
    <w:p>
      <w:pPr>
        <w:ind w:right="60" w:firstLine="509"/>
        <w:spacing w:after="0" w:line="254"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57" w:lineRule="exact"/>
        <w:rPr>
          <w:sz w:val="20"/>
          <w:szCs w:val="20"/>
          <w:color w:val="auto"/>
        </w:rPr>
      </w:pPr>
    </w:p>
    <w:p>
      <w:pPr>
        <w:ind w:right="40" w:firstLine="509"/>
        <w:spacing w:after="0" w:line="22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7" w:name="page58"/>
    <w:bookmarkEnd w:id="57"/>
    <w:p>
      <w:pPr>
        <w:jc w:val="both"/>
        <w:ind w:right="560"/>
        <w:spacing w:after="0" w:line="23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37"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76" w:lineRule="exact"/>
        <w:rPr>
          <w:sz w:val="20"/>
          <w:szCs w:val="20"/>
          <w:color w:val="auto"/>
        </w:rPr>
      </w:pPr>
    </w:p>
    <w:p>
      <w:pPr>
        <w:ind w:right="80"/>
        <w:spacing w:after="0" w:line="338"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ind w:firstLine="509"/>
        <w:spacing w:after="0" w:line="225"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73" w:lineRule="exact"/>
        <w:rPr>
          <w:sz w:val="20"/>
          <w:szCs w:val="20"/>
          <w:color w:val="auto"/>
        </w:rPr>
      </w:pPr>
    </w:p>
    <w:p>
      <w:pPr>
        <w:ind w:right="80" w:firstLine="509"/>
        <w:spacing w:after="0" w:line="237"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2" w:lineRule="exact"/>
        <w:rPr>
          <w:sz w:val="20"/>
          <w:szCs w:val="20"/>
          <w:color w:val="auto"/>
        </w:rPr>
      </w:pPr>
    </w:p>
    <w:p>
      <w:pPr>
        <w:ind w:right="20" w:firstLine="509"/>
        <w:spacing w:after="0" w:line="254"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7" w:lineRule="exact"/>
        <w:rPr>
          <w:sz w:val="20"/>
          <w:szCs w:val="20"/>
          <w:color w:val="auto"/>
        </w:rPr>
      </w:pPr>
    </w:p>
    <w:p>
      <w:pPr>
        <w:ind w:right="60" w:firstLine="509"/>
        <w:spacing w:after="0" w:line="227"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8" w:name="page59"/>
    <w:bookmarkEnd w:id="58"/>
    <w:p>
      <w:pPr>
        <w:ind w:firstLine="509"/>
        <w:spacing w:after="0"/>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1"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2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9" w:name="page60"/>
    <w:bookmarkEnd w:id="59"/>
    <w:p>
      <w:pPr>
        <w:ind w:firstLine="509"/>
        <w:spacing w:after="0" w:line="252"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3"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8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8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0" w:name="page61"/>
    <w:bookmarkEnd w:id="60"/>
    <w:p>
      <w:pPr>
        <w:ind w:right="20" w:firstLine="509"/>
        <w:spacing w:after="0" w:line="236"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69" w:lineRule="exact"/>
        <w:rPr>
          <w:sz w:val="20"/>
          <w:szCs w:val="20"/>
          <w:color w:val="auto"/>
        </w:rPr>
      </w:pPr>
    </w:p>
    <w:p>
      <w:pPr>
        <w:ind w:firstLine="509"/>
        <w:spacing w:after="0" w:line="253"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58" w:lineRule="exact"/>
        <w:rPr>
          <w:sz w:val="20"/>
          <w:szCs w:val="20"/>
          <w:color w:val="auto"/>
        </w:rPr>
      </w:pPr>
    </w:p>
    <w:p>
      <w:pPr>
        <w:ind w:right="40" w:firstLine="509"/>
        <w:spacing w:after="0" w:line="261"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3" w:lineRule="exact"/>
        <w:rPr>
          <w:sz w:val="20"/>
          <w:szCs w:val="20"/>
          <w:color w:val="auto"/>
        </w:rPr>
      </w:pPr>
    </w:p>
    <w:p>
      <w:pPr>
        <w:ind w:right="160" w:firstLine="509"/>
        <w:spacing w:after="0" w:line="235"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67" w:lineRule="exact"/>
        <w:rPr>
          <w:sz w:val="20"/>
          <w:szCs w:val="20"/>
          <w:color w:val="auto"/>
        </w:rPr>
      </w:pPr>
    </w:p>
    <w:p>
      <w:pPr>
        <w:ind w:right="20" w:firstLine="509"/>
        <w:spacing w:after="0" w:line="253" w:lineRule="auto"/>
        <w:rPr>
          <w:sz w:val="20"/>
          <w:szCs w:val="20"/>
          <w:color w:val="auto"/>
        </w:rPr>
      </w:pPr>
      <w:r>
        <w:rPr>
          <w:rFonts w:ascii="Arial" w:cs="Arial" w:eastAsia="Arial" w:hAnsi="Arial"/>
          <w:sz w:val="16"/>
          <w:szCs w:val="16"/>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58" w:lineRule="exact"/>
        <w:rPr>
          <w:sz w:val="20"/>
          <w:szCs w:val="20"/>
          <w:color w:val="auto"/>
        </w:rPr>
      </w:pPr>
    </w:p>
    <w:p>
      <w:pPr>
        <w:ind w:right="100" w:firstLine="509"/>
        <w:spacing w:after="0" w:line="227"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1" w:name="page62"/>
    <w:bookmarkEnd w:id="61"/>
    <w:p>
      <w:pPr>
        <w:ind w:right="80"/>
        <w:spacing w:after="0" w:line="246"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right="20" w:firstLine="509"/>
        <w:spacing w:after="0" w:line="237"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85"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cease and desist letters to two companies and filed a trademark opposition proceeding against one company.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640" w:right="140" w:hanging="123"/>
        <w:spacing w:after="0" w:line="261"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rFonts w:ascii="Arial" w:cs="Arial" w:eastAsia="Arial" w:hAnsi="Arial"/>
          <w:sz w:val="18"/>
          <w:szCs w:val="18"/>
          <w:color w:val="auto"/>
        </w:rPr>
      </w:pPr>
    </w:p>
    <w:p>
      <w:pPr>
        <w:ind w:left="640" w:right="40" w:hanging="123"/>
        <w:spacing w:after="0" w:line="261"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2" w:name="page63"/>
    <w:bookmarkEnd w:id="62"/>
    <w:p>
      <w:pPr>
        <w:ind w:left="640" w:right="480" w:hanging="123"/>
        <w:spacing w:after="0" w:line="26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640" w:right="600" w:hanging="123"/>
        <w:spacing w:after="0" w:line="26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03" w:lineRule="exact"/>
        <w:rPr>
          <w:rFonts w:ascii="Arial" w:cs="Arial" w:eastAsia="Arial" w:hAnsi="Arial"/>
          <w:sz w:val="18"/>
          <w:szCs w:val="18"/>
          <w:color w:val="auto"/>
        </w:rPr>
      </w:pPr>
    </w:p>
    <w:p>
      <w:pPr>
        <w:ind w:left="640" w:right="320" w:hanging="123"/>
        <w:spacing w:after="0" w:line="26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640" w:right="120" w:hanging="123"/>
        <w:spacing w:after="0" w:line="291"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640" w:hanging="123"/>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0" w:lineRule="exact"/>
        <w:rPr>
          <w:rFonts w:ascii="Arial" w:cs="Arial" w:eastAsia="Arial" w:hAnsi="Arial"/>
          <w:sz w:val="18"/>
          <w:szCs w:val="18"/>
          <w:color w:val="auto"/>
        </w:rPr>
      </w:pPr>
    </w:p>
    <w:p>
      <w:pPr>
        <w:ind w:left="640" w:hanging="123"/>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90" w:lineRule="exact"/>
        <w:rPr>
          <w:rFonts w:ascii="Arial" w:cs="Arial" w:eastAsia="Arial" w:hAnsi="Arial"/>
          <w:sz w:val="18"/>
          <w:szCs w:val="18"/>
          <w:color w:val="auto"/>
        </w:rPr>
      </w:pPr>
    </w:p>
    <w:p>
      <w:pPr>
        <w:ind w:left="640" w:hanging="123"/>
        <w:spacing w:after="0" w:line="246"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9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40" w:firstLine="509"/>
        <w:spacing w:after="0" w:line="307" w:lineRule="auto"/>
        <w:rPr>
          <w:sz w:val="20"/>
          <w:szCs w:val="20"/>
          <w:color w:val="auto"/>
        </w:rPr>
      </w:pPr>
      <w:r>
        <w:rPr>
          <w:rFonts w:ascii="Arial" w:cs="Arial" w:eastAsia="Arial" w:hAnsi="Arial"/>
          <w:sz w:val="16"/>
          <w:szCs w:val="16"/>
          <w:color w:val="auto"/>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p>
    <w:p>
      <w:pPr>
        <w:spacing w:after="0" w:line="15" w:lineRule="exact"/>
        <w:rPr>
          <w:sz w:val="20"/>
          <w:szCs w:val="20"/>
          <w:color w:val="auto"/>
        </w:rPr>
      </w:pPr>
    </w:p>
    <w:p>
      <w:pPr>
        <w:ind w:firstLine="509"/>
        <w:spacing w:after="0" w:line="228"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70" w:lineRule="exact"/>
        <w:rPr>
          <w:sz w:val="20"/>
          <w:szCs w:val="20"/>
          <w:color w:val="auto"/>
        </w:rPr>
      </w:pPr>
    </w:p>
    <w:p>
      <w:pPr>
        <w:ind w:right="20" w:firstLine="509"/>
        <w:spacing w:after="0" w:line="231" w:lineRule="auto"/>
        <w:rPr>
          <w:sz w:val="20"/>
          <w:szCs w:val="20"/>
          <w:color w:val="auto"/>
        </w:rPr>
      </w:pPr>
      <w:r>
        <w:rPr>
          <w:rFonts w:ascii="Arial" w:cs="Arial" w:eastAsia="Arial" w:hAnsi="Arial"/>
          <w:sz w:val="18"/>
          <w:szCs w:val="18"/>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67" w:lineRule="exact"/>
        <w:rPr>
          <w:sz w:val="20"/>
          <w:szCs w:val="20"/>
          <w:color w:val="auto"/>
        </w:rPr>
      </w:pPr>
    </w:p>
    <w:p>
      <w:pPr>
        <w:ind w:right="80" w:firstLine="509"/>
        <w:spacing w:after="0" w:line="256"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90" w:lineRule="exact"/>
        <w:rPr>
          <w:sz w:val="20"/>
          <w:szCs w:val="20"/>
          <w:color w:val="auto"/>
        </w:rPr>
      </w:pPr>
    </w:p>
    <w:p>
      <w:pPr>
        <w:jc w:val="both"/>
        <w:ind w:right="100" w:firstLine="509"/>
        <w:spacing w:after="0" w:line="235" w:lineRule="auto"/>
        <w:rPr>
          <w:sz w:val="20"/>
          <w:szCs w:val="20"/>
          <w:color w:val="auto"/>
        </w:rPr>
      </w:pPr>
      <w:r>
        <w:rPr>
          <w:rFonts w:ascii="Arial" w:cs="Arial" w:eastAsia="Arial" w:hAnsi="Arial"/>
          <w:sz w:val="18"/>
          <w:szCs w:val="18"/>
          <w:color w:val="auto"/>
        </w:rPr>
        <w:t>As of December 31, 2021, we had 93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67" w:lineRule="exact"/>
        <w:rPr>
          <w:sz w:val="20"/>
          <w:szCs w:val="20"/>
          <w:color w:val="auto"/>
        </w:rPr>
      </w:pPr>
    </w:p>
    <w:p>
      <w:pPr>
        <w:ind w:left="5540" w:right="4640" w:hanging="5023"/>
        <w:spacing w:after="0" w:line="423" w:lineRule="auto"/>
        <w:tabs>
          <w:tab w:leader="none" w:pos="6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identifying, recruiting, integrating, retaining and motivating additional employees;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left="640" w:right="820" w:hanging="123"/>
        <w:spacing w:after="0" w:line="246"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75" w:lineRule="exact"/>
        <w:rPr>
          <w:rFonts w:ascii="Arial" w:cs="Arial" w:eastAsia="Arial" w:hAnsi="Arial"/>
          <w:sz w:val="18"/>
          <w:szCs w:val="18"/>
          <w:color w:val="auto"/>
        </w:rPr>
      </w:pPr>
    </w:p>
    <w:p>
      <w:pPr>
        <w:ind w:left="640" w:hanging="123"/>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04"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3"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3"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9" w:lineRule="exact"/>
        <w:rPr>
          <w:sz w:val="20"/>
          <w:szCs w:val="20"/>
          <w:color w:val="auto"/>
        </w:rPr>
      </w:pPr>
    </w:p>
    <w:p>
      <w:pPr>
        <w:ind w:left="640" w:hanging="123"/>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03" w:lineRule="exact"/>
        <w:rPr>
          <w:rFonts w:ascii="Arial" w:cs="Arial" w:eastAsia="Arial" w:hAnsi="Arial"/>
          <w:sz w:val="18"/>
          <w:szCs w:val="18"/>
          <w:color w:val="auto"/>
        </w:rPr>
      </w:pPr>
    </w:p>
    <w:p>
      <w:pPr>
        <w:ind w:left="640" w:right="280" w:hanging="123"/>
        <w:spacing w:after="0" w:line="261"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rFonts w:ascii="Arial" w:cs="Arial" w:eastAsia="Arial" w:hAnsi="Arial"/>
          <w:sz w:val="18"/>
          <w:szCs w:val="18"/>
          <w:color w:val="auto"/>
        </w:rPr>
      </w:pPr>
    </w:p>
    <w:p>
      <w:pPr>
        <w:ind w:left="640" w:right="540" w:hanging="123"/>
        <w:spacing w:after="0" w:line="261"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03" w:lineRule="exact"/>
        <w:rPr>
          <w:rFonts w:ascii="Arial" w:cs="Arial" w:eastAsia="Arial" w:hAnsi="Arial"/>
          <w:sz w:val="18"/>
          <w:szCs w:val="18"/>
          <w:color w:val="auto"/>
        </w:rPr>
      </w:pPr>
    </w:p>
    <w:p>
      <w:pPr>
        <w:ind w:left="640" w:right="380" w:hanging="123"/>
        <w:spacing w:after="0" w:line="261"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640" w:right="80" w:hanging="123"/>
        <w:spacing w:after="0" w:line="261"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3"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4" w:name="page65"/>
    <w:bookmarkEnd w:id="64"/>
    <w:p>
      <w:pPr>
        <w:ind w:right="180"/>
        <w:spacing w:after="0" w:line="243" w:lineRule="auto"/>
        <w:rPr>
          <w:sz w:val="20"/>
          <w:szCs w:val="20"/>
          <w:color w:val="auto"/>
        </w:rPr>
      </w:pPr>
      <w:r>
        <w:rPr>
          <w:rFonts w:ascii="Arial" w:cs="Arial" w:eastAsia="Arial" w:hAnsi="Arial"/>
          <w:sz w:val="18"/>
          <w:szCs w:val="18"/>
          <w:b w:val="1"/>
          <w:bCs w:val="1"/>
          <w:i w:val="1"/>
          <w:iCs w:val="1"/>
          <w:color w:val="auto"/>
        </w:rPr>
        <w:t>If our security measures, or those maintained on our behalf by CROs, service providers or other third parties, are compromised now, or in the future, or the security, confidentiality, integrity or availability of our information technology, software, services, networks, communications or data is compromised, limited or fails, this could result in significant fines or other liability, interrupt our development programs, harm our reputation, or otherwise adversely affect our business.</w:t>
      </w:r>
    </w:p>
    <w:p>
      <w:pPr>
        <w:spacing w:after="0" w:line="80"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In the course of our business, we collect, store and transmit proprietary, confidential and sensitive information, including personal information. The information and data processed and stored in our technology systems, and those of our research collaborators, CROs, contractors, consultants, and other third parties on which we depend to operate our business, may be vulnerable to security breaches, loss, damage, corruption, unauthorized access, use or disclosure, or misappropriation. Such incidents may also result from errors or malfeasance by our personnel or the personnel of the third parties with which we work,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67"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While we have developed systems and processes designed to protect the integrity, confidentiality and security of the confidential and personal information under our control, we cannot assure you that our security measures or those of the third parties we depend on will be effective in preventing cybersecurity incidents. There are many different and rapidly evolving cybercrime and hacking techniques, and we may be unable to anticipate attempted security breaches, identify them before our information is exploited, or react in a timely manner.</w:t>
      </w:r>
    </w:p>
    <w:p>
      <w:pPr>
        <w:spacing w:after="0" w:line="64" w:lineRule="exact"/>
        <w:rPr>
          <w:sz w:val="20"/>
          <w:szCs w:val="20"/>
          <w:color w:val="auto"/>
        </w:rPr>
      </w:pPr>
    </w:p>
    <w:p>
      <w:pPr>
        <w:jc w:val="both"/>
        <w:ind w:right="40" w:firstLine="509"/>
        <w:spacing w:after="0" w:line="243" w:lineRule="auto"/>
        <w:rPr>
          <w:sz w:val="20"/>
          <w:szCs w:val="20"/>
          <w:color w:val="auto"/>
        </w:rPr>
      </w:pPr>
      <w:r>
        <w:rPr>
          <w:rFonts w:ascii="Arial" w:cs="Arial" w:eastAsia="Arial" w:hAnsi="Arial"/>
          <w:sz w:val="18"/>
          <w:szCs w:val="18"/>
          <w:color w:val="auto"/>
        </w:rPr>
        <w:t>Additionally, as a result of the ongoing COVID-19 pandemic, certain employees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8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or potential vulnerabilities. Although to our knowledge, we have not experienced a material system failure or cybersecurity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83"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Cybersecurity incidents and any unauthorized access or disclosure of our information or intellectual property could also compromise our intellectual property, expose sensitive business information, expose the personal information of our employees, require us to incur significant remediation costs, disrupt key business operations and divert attention of management and key information technology resources. Such incidents could also subject us to significant liability, harm our competitive position and delay the further development and commercialization of our product candidates.</w:t>
      </w:r>
    </w:p>
    <w:p>
      <w:pPr>
        <w:spacing w:after="0" w:line="47"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Additionally, applicable data protection requirements, including, without limitation, laws, regulations, guidance as well as our internal and external policies and our contractual obligations, may require us to notify relevant stakeholders of security breaches,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Any limitations or exclusions of liability in our contracts may not be enforceable or adequate or protect us from liability or damages.</w:t>
      </w:r>
    </w:p>
    <w:p>
      <w:pPr>
        <w:spacing w:after="0" w:line="66"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0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the ongoing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the ongoing COVID-19 pandemic impacts our results will depend on future developments, which are highly uncertain and cannot be accurately predicted, including new information which may emerge concerning the severity of the COVID-19 pandemic and the actions to contain the coronavirus or treat its impact, among others.</w:t>
      </w:r>
    </w:p>
    <w:p>
      <w:pPr>
        <w:spacing w:after="0" w:line="7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1"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3" w:lineRule="exact"/>
        <w:rPr>
          <w:sz w:val="20"/>
          <w:szCs w:val="20"/>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pricing and reimbursement regimes in non-U.S. countries;</w:t>
      </w:r>
    </w:p>
    <w:p>
      <w:pPr>
        <w:spacing w:after="0" w:line="103" w:lineRule="exact"/>
        <w:rPr>
          <w:rFonts w:ascii="Arial" w:cs="Arial" w:eastAsia="Arial" w:hAnsi="Arial"/>
          <w:sz w:val="18"/>
          <w:szCs w:val="18"/>
          <w:color w:val="auto"/>
        </w:rPr>
      </w:pPr>
    </w:p>
    <w:p>
      <w:pPr>
        <w:ind w:left="640" w:right="780" w:hanging="123"/>
        <w:spacing w:after="0" w:line="261"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6" w:name="page67"/>
    <w:bookmarkEnd w:id="66"/>
    <w:p>
      <w:pPr>
        <w:ind w:firstLine="509"/>
        <w:spacing w:after="0" w:line="241" w:lineRule="auto"/>
        <w:rPr>
          <w:sz w:val="20"/>
          <w:szCs w:val="20"/>
          <w:color w:val="auto"/>
        </w:rPr>
      </w:pPr>
      <w:r>
        <w:rPr>
          <w:rFonts w:ascii="Arial" w:cs="Arial" w:eastAsia="Arial" w:hAnsi="Arial"/>
          <w:sz w:val="18"/>
          <w:szCs w:val="18"/>
          <w:color w:val="auto"/>
        </w:rPr>
        <w:t>Following the result of a referendum in 2016, the United Kingdom, or UK, left the European Union, or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8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Since a significant proportion of the regulatory framework in the UK, is derived from EU directives and regulations, Brexit may have a material impact upon the regulatory regime applicable to our operations, including with respect to our ability to obtain regulatory approvals of our product candidates in the EU. For example, Great Britain is no longer covered by the centralized procedures for obtaining EU-wide marketing authorization from the European Medicines Agency, or EMA, and a separate marketing authorization will be required to market our product candidates in Great Britain. Any delay in obtaining, or an inability to obtain, any marketing approvals, would restrict our ability to generate revenue and achieve and sustain profitability.</w:t>
      </w:r>
    </w:p>
    <w:p>
      <w:pPr>
        <w:spacing w:after="0" w:line="51"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are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23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80"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 For example, in March 2020, the World Health Organization declared the COVID-19 outbreak a pandemic. In response, we delayed initiation of the next set of KSI-301 pivotal studies by one quarter from June to September 2020 in order to assess how best to minimize the impact of COVID-19 on clinical trial conduct. We implemented and continue to implement various enhancements into our ongoing study execution to help ensure the safety of patients, physicians, study site staff and Kodiak operations team members during the ongoing COVID-19 pandemic, including the use of remote study monitoring.</w:t>
      </w:r>
    </w:p>
    <w:p>
      <w:pPr>
        <w:spacing w:after="0" w:line="5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COVID-19 pandemic continues to unfold and we will continue to monitor our operations in response. We continue to observe government recommendations.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 As we work towards commercial scale-up and manufacturing activities to support BLA submission, there is increasing competition with COVID-19 vaccine and therapeutic programs for manufacturing related (i) materials such as resins, filters, sterile tubesets, pipette tips; (ii) personnel such as facility engineering and construction as well as plant engineers and workers; and (iii) production slots in cGMP facilities.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7" w:name="page68"/>
    <w:bookmarkEnd w:id="67"/>
    <w:p>
      <w:pPr>
        <w:ind w:firstLine="509"/>
        <w:spacing w:after="0" w:line="252" w:lineRule="auto"/>
        <w:rPr>
          <w:sz w:val="20"/>
          <w:szCs w:val="20"/>
          <w:color w:val="auto"/>
        </w:rPr>
      </w:pPr>
      <w:r>
        <w:rPr>
          <w:rFonts w:ascii="Arial" w:cs="Arial" w:eastAsia="Arial" w:hAnsi="Arial"/>
          <w:sz w:val="17"/>
          <w:szCs w:val="17"/>
          <w:color w:val="auto"/>
        </w:rPr>
        <w:t>In addition, our current and future clinical trials may be materially and adversely affected by the COVID-19 outbreak in the future. Site initiation and patient enrollment may be further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the COVID-19 outbreak. To date, we continue to see low levels of patient missed visits. Additionally, the pandemic could result in delayed recruitment in some or all of our clinical studies that are currently recruiting patients, for example if as a consequence of the pandemic patients are not willing to be seen by their physician as frequently as our study protocols require.</w:t>
      </w:r>
    </w:p>
    <w:p>
      <w:pPr>
        <w:spacing w:after="0" w:line="78"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global outbreak of COVID-19 continues to rapidly evolve. The ultimate impact of the COVID-19 outbreak or a similar health epidemic is highly uncertain and subject to change.</w:t>
      </w:r>
    </w:p>
    <w:p>
      <w:pPr>
        <w:spacing w:after="0" w:line="6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extent to which the risks and evolving effects of the COVID-19 pandemic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The COVID-19 pandemic may also have the effect of heightening many of the other risks described in this “Risk Factors” section.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As of December 31, 2021, the Company had $57.5 million of federal and $395.4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7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For example, California imposed temporary limits on the usability of California state net operating losses and certain tax credits to offset California taxable income and taxes. The new limitations on use of NOLs may significantly impact our ability to utilize our NOLs to offset taxable income in the future.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8" w:name="page69"/>
    <w:bookmarkEnd w:id="68"/>
    <w:p>
      <w:pPr>
        <w:ind w:right="36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proposals have recently been made in Congress (which have not yet been enacted) to make tax law changes that could have a material adverse impact on us.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Except for KSI-301,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3"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We have incurred net losses in each reporting period since our inception, including net losses of $267.0 million, $133.1 million and $47.4 million for the years ended December 31, 2021, 2020 and 2019, respectively. As of December 31, 2021, we had an accumulated deficit of $558.2 million.</w:t>
      </w:r>
    </w:p>
    <w:p>
      <w:pPr>
        <w:spacing w:after="0" w:line="16"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3" w:lineRule="exact"/>
        <w:rPr>
          <w:sz w:val="20"/>
          <w:szCs w:val="20"/>
          <w:color w:val="auto"/>
        </w:rPr>
      </w:pPr>
    </w:p>
    <w:p>
      <w:pPr>
        <w:ind w:left="640" w:hanging="123"/>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03" w:lineRule="exact"/>
        <w:rPr>
          <w:rFonts w:ascii="Arial" w:cs="Arial" w:eastAsia="Arial" w:hAnsi="Arial"/>
          <w:sz w:val="18"/>
          <w:szCs w:val="18"/>
          <w:color w:val="auto"/>
        </w:rPr>
      </w:pPr>
    </w:p>
    <w:p>
      <w:pPr>
        <w:ind w:left="640" w:right="160" w:hanging="123"/>
        <w:spacing w:after="0" w:line="261"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current and any future product candidates;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 including KSI-301;</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9" w:name="page70"/>
    <w:bookmarkEnd w:id="69"/>
    <w:p>
      <w:pPr>
        <w:ind w:left="640" w:hanging="123"/>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8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3"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04" w:lineRule="exact"/>
        <w:rPr>
          <w:sz w:val="20"/>
          <w:szCs w:val="20"/>
          <w:color w:val="auto"/>
        </w:rPr>
      </w:pPr>
    </w:p>
    <w:p>
      <w:pPr>
        <w:ind w:left="640" w:hanging="123"/>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03" w:lineRule="exact"/>
        <w:rPr>
          <w:rFonts w:ascii="Arial" w:cs="Arial" w:eastAsia="Arial" w:hAnsi="Arial"/>
          <w:sz w:val="18"/>
          <w:szCs w:val="18"/>
          <w:color w:val="auto"/>
        </w:rPr>
      </w:pPr>
    </w:p>
    <w:p>
      <w:pPr>
        <w:ind w:left="640" w:right="40" w:hanging="123"/>
        <w:spacing w:after="0" w:line="261"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rFonts w:ascii="Arial" w:cs="Arial" w:eastAsia="Arial" w:hAnsi="Arial"/>
          <w:sz w:val="18"/>
          <w:szCs w:val="18"/>
          <w:color w:val="auto"/>
        </w:rPr>
      </w:pPr>
    </w:p>
    <w:p>
      <w:pPr>
        <w:jc w:val="both"/>
        <w:ind w:left="640" w:right="260" w:hanging="123"/>
        <w:spacing w:after="0" w:line="248"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3" w:lineRule="exact"/>
        <w:rPr>
          <w:rFonts w:ascii="Arial" w:cs="Arial" w:eastAsia="Arial" w:hAnsi="Arial"/>
          <w:sz w:val="18"/>
          <w:szCs w:val="18"/>
          <w:color w:val="auto"/>
        </w:rPr>
      </w:pPr>
    </w:p>
    <w:p>
      <w:pPr>
        <w:ind w:left="640" w:hanging="123"/>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03" w:lineRule="exact"/>
        <w:rPr>
          <w:rFonts w:ascii="Arial" w:cs="Arial" w:eastAsia="Arial" w:hAnsi="Arial"/>
          <w:sz w:val="18"/>
          <w:szCs w:val="18"/>
          <w:color w:val="auto"/>
        </w:rPr>
      </w:pPr>
    </w:p>
    <w:p>
      <w:pPr>
        <w:ind w:left="640" w:right="180" w:hanging="123"/>
        <w:spacing w:after="0" w:line="261"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rFonts w:ascii="Arial" w:cs="Arial" w:eastAsia="Arial" w:hAnsi="Arial"/>
          <w:sz w:val="18"/>
          <w:szCs w:val="18"/>
          <w:color w:val="auto"/>
        </w:rPr>
      </w:pPr>
    </w:p>
    <w:p>
      <w:pPr>
        <w:ind w:left="640" w:right="60" w:hanging="123"/>
        <w:spacing w:after="0" w:line="261"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 and</w:t>
      </w:r>
    </w:p>
    <w:p>
      <w:pPr>
        <w:spacing w:after="0" w:line="126" w:lineRule="exact"/>
        <w:rPr>
          <w:rFonts w:ascii="Arial" w:cs="Arial" w:eastAsia="Arial" w:hAnsi="Arial"/>
          <w:sz w:val="16"/>
          <w:szCs w:val="16"/>
          <w:color w:val="auto"/>
        </w:rPr>
      </w:pPr>
    </w:p>
    <w:p>
      <w:pPr>
        <w:ind w:left="640" w:hanging="123"/>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70" w:name="page71"/>
    <w:bookmarkEnd w:id="70"/>
    <w:p>
      <w:pPr>
        <w:ind w:firstLine="509"/>
        <w:spacing w:after="0" w:line="225"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68" w:lineRule="exact"/>
        <w:rPr>
          <w:sz w:val="20"/>
          <w:szCs w:val="20"/>
          <w:color w:val="auto"/>
        </w:rPr>
      </w:pPr>
    </w:p>
    <w:p>
      <w:pPr>
        <w:ind w:right="120" w:firstLine="509"/>
        <w:spacing w:after="0" w:line="235"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25"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Our operations have required substantial amounts of cash since inception. To date, we have funded our operations primarily through the sale of equity securities. Developing our product candidates is expensive, and we expect to continue to increase our spending as we conduct the Phase 3 clinical trials for our KSI-301 product candidate. Even if we are successful in developing our product candidates, obtaining regulatory approvals and launching and commercializing any product candidate will require substantial additional funding.</w:t>
      </w:r>
    </w:p>
    <w:p>
      <w:pPr>
        <w:spacing w:after="0" w:line="67" w:lineRule="exact"/>
        <w:rPr>
          <w:sz w:val="20"/>
          <w:szCs w:val="20"/>
          <w:color w:val="auto"/>
        </w:rPr>
      </w:pPr>
    </w:p>
    <w:p>
      <w:pPr>
        <w:ind w:right="160" w:firstLine="509"/>
        <w:spacing w:after="0" w:line="228"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70"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We will require additional capital for the further development and, if approved, commercialization of our product candidates. Additional capital may not be available when we need it, on terms acceptable to us or at all. For example, the ongoing COVID-19 pandemic has significantly disrupted world financial markets, negatively impacted US market conditions, increased the volatility of trading prices for biopharmaceutical companies, and may reduce opportunities for us to seek out additional funding when needed.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76"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67" w:lineRule="exact"/>
        <w:rPr>
          <w:sz w:val="20"/>
          <w:szCs w:val="20"/>
          <w:color w:val="auto"/>
        </w:rPr>
      </w:pPr>
    </w:p>
    <w:p>
      <w:pPr>
        <w:ind w:right="20" w:firstLine="509"/>
        <w:spacing w:after="0" w:line="252" w:lineRule="auto"/>
        <w:rPr>
          <w:sz w:val="20"/>
          <w:szCs w:val="20"/>
          <w:color w:val="auto"/>
        </w:rPr>
      </w:pPr>
      <w:r>
        <w:rPr>
          <w:rFonts w:ascii="Arial" w:cs="Arial" w:eastAsia="Arial" w:hAnsi="Arial"/>
          <w:sz w:val="16"/>
          <w:szCs w:val="16"/>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market price of our common stock may be volatile. For example, the closing price of our common stock from December 31, 2020 to December 31, 2021 ranged from a low of $77.20 to a high of $164.47 and from January 1, 2022 to February 28, 2022 ranged from a low of $8.82 to a high of $89.45. As a result, you may not be able to sell your common stock at or above the price that you paid for such shares. Some of the factors that may cause the market price of our common stock to fluctuate include:</w:t>
      </w:r>
    </w:p>
    <w:p>
      <w:pPr>
        <w:spacing w:after="0" w:line="80" w:lineRule="exact"/>
        <w:rPr>
          <w:sz w:val="20"/>
          <w:szCs w:val="20"/>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103" w:lineRule="exact"/>
        <w:rPr>
          <w:rFonts w:ascii="Arial" w:cs="Arial" w:eastAsia="Arial" w:hAnsi="Arial"/>
          <w:sz w:val="18"/>
          <w:szCs w:val="18"/>
          <w:color w:val="auto"/>
        </w:rPr>
      </w:pPr>
    </w:p>
    <w:p>
      <w:pPr>
        <w:ind w:left="640" w:hanging="123"/>
        <w:spacing w:after="0" w:line="261"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640" w:right="1000" w:hanging="123"/>
        <w:spacing w:after="0" w:line="261"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fluctuations attributable to the ongoing COVID-19 pandemic and other unforeseeable circumstances; and</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04"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72" w:name="page73"/>
    <w:bookmarkEnd w:id="72"/>
    <w:p>
      <w:pPr>
        <w:ind w:right="100"/>
        <w:spacing w:after="0" w:line="246"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ind w:right="80" w:firstLine="509"/>
        <w:spacing w:after="0" w:line="246" w:lineRule="auto"/>
        <w:rPr>
          <w:sz w:val="20"/>
          <w:szCs w:val="20"/>
          <w:color w:val="auto"/>
        </w:rPr>
      </w:pPr>
      <w:r>
        <w:rPr>
          <w:rFonts w:ascii="Arial" w:cs="Arial" w:eastAsia="Arial" w:hAnsi="Arial"/>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80" w:lineRule="exact"/>
        <w:rPr>
          <w:sz w:val="20"/>
          <w:szCs w:val="20"/>
          <w:color w:val="auto"/>
        </w:rPr>
      </w:pPr>
    </w:p>
    <w:p>
      <w:pPr>
        <w:ind w:left="640" w:hanging="123"/>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15" w:lineRule="exact"/>
        <w:rPr>
          <w:rFonts w:ascii="Arial" w:cs="Arial" w:eastAsia="Arial" w:hAnsi="Arial"/>
          <w:sz w:val="17"/>
          <w:szCs w:val="17"/>
          <w:color w:val="auto"/>
        </w:rPr>
      </w:pPr>
    </w:p>
    <w:p>
      <w:pPr>
        <w:ind w:left="640" w:hanging="12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03" w:lineRule="exact"/>
        <w:rPr>
          <w:rFonts w:ascii="Arial" w:cs="Arial" w:eastAsia="Arial" w:hAnsi="Arial"/>
          <w:sz w:val="18"/>
          <w:szCs w:val="18"/>
          <w:color w:val="auto"/>
        </w:rPr>
      </w:pPr>
    </w:p>
    <w:p>
      <w:pPr>
        <w:ind w:left="640" w:right="220" w:hanging="123"/>
        <w:spacing w:after="0" w:line="261"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640" w:hanging="12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03" w:lineRule="exact"/>
        <w:rPr>
          <w:rFonts w:ascii="Arial" w:cs="Arial" w:eastAsia="Arial" w:hAnsi="Arial"/>
          <w:sz w:val="18"/>
          <w:szCs w:val="18"/>
          <w:color w:val="auto"/>
        </w:rPr>
      </w:pPr>
    </w:p>
    <w:p>
      <w:pPr>
        <w:ind w:left="640" w:right="320" w:hanging="123"/>
        <w:spacing w:after="0" w:line="261"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0"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73" w:name="page74"/>
    <w:bookmarkEnd w:id="73"/>
    <w:p>
      <w:pPr>
        <w:jc w:val="both"/>
        <w:ind w:right="500"/>
        <w:spacing w:after="0" w:line="248"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04" w:lineRule="exact"/>
        <w:rPr>
          <w:sz w:val="20"/>
          <w:szCs w:val="20"/>
          <w:color w:val="auto"/>
        </w:rPr>
      </w:pPr>
    </w:p>
    <w:p>
      <w:pPr>
        <w:ind w:left="640" w:hanging="12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03" w:lineRule="exact"/>
        <w:rPr>
          <w:rFonts w:ascii="Arial" w:cs="Arial" w:eastAsia="Arial" w:hAnsi="Arial"/>
          <w:sz w:val="18"/>
          <w:szCs w:val="18"/>
          <w:color w:val="auto"/>
        </w:rPr>
      </w:pPr>
    </w:p>
    <w:p>
      <w:pPr>
        <w:ind w:left="640" w:hanging="12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0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3"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 even if our business is doing well.</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4" w:name="page75"/>
    <w:bookmarkEnd w:id="74"/>
    <w:p>
      <w:pPr>
        <w:jc w:val="both"/>
        <w:ind w:right="80"/>
        <w:spacing w:after="0" w:line="270" w:lineRule="auto"/>
        <w:rPr>
          <w:sz w:val="20"/>
          <w:szCs w:val="20"/>
          <w:color w:val="auto"/>
        </w:rPr>
      </w:pPr>
      <w:r>
        <w:rPr>
          <w:rFonts w:ascii="Arial" w:cs="Arial" w:eastAsia="Arial" w:hAnsi="Arial"/>
          <w:sz w:val="17"/>
          <w:szCs w:val="17"/>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56"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auto"/>
        </w:rPr>
        <w:t>As a public company, we are subject to reporting and other obligations under the Exchange Act, including the requirements of the Sarbanes-Oxley Act of 2002 ("SOX") Section 404, which require annual management assessments of the effectiveness of our internal control over financial reporting.</w:t>
      </w:r>
    </w:p>
    <w:p>
      <w:pPr>
        <w:spacing w:after="0" w:line="16" w:lineRule="exact"/>
        <w:rPr>
          <w:sz w:val="20"/>
          <w:szCs w:val="20"/>
          <w:color w:val="auto"/>
        </w:rPr>
      </w:pPr>
    </w:p>
    <w:p>
      <w:pPr>
        <w:jc w:val="both"/>
        <w:ind w:right="240" w:firstLine="509"/>
        <w:spacing w:after="0" w:line="271"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jc w:val="both"/>
        <w:ind w:right="240"/>
        <w:spacing w:after="0" w:line="243" w:lineRule="auto"/>
        <w:rPr>
          <w:sz w:val="20"/>
          <w:szCs w:val="20"/>
          <w:color w:val="auto"/>
        </w:rPr>
      </w:pPr>
      <w:r>
        <w:rPr>
          <w:rFonts w:ascii="Arial" w:cs="Arial" w:eastAsia="Arial" w:hAnsi="Arial"/>
          <w:sz w:val="18"/>
          <w:szCs w:val="18"/>
          <w:color w:val="auto"/>
        </w:rPr>
        <w:t>These reporting and other obligations place significant demands on our management and administrative and operational resources, including accounting resources.</w:t>
      </w:r>
    </w:p>
    <w:p>
      <w:pPr>
        <w:spacing w:after="0" w:line="7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jc w:val="both"/>
        <w:ind w:right="80" w:firstLine="509"/>
        <w:spacing w:after="0" w:line="235" w:lineRule="auto"/>
        <w:rPr>
          <w:sz w:val="20"/>
          <w:szCs w:val="20"/>
          <w:color w:val="auto"/>
        </w:rPr>
      </w:pPr>
      <w:r>
        <w:rPr>
          <w:rFonts w:ascii="Arial" w:cs="Arial" w:eastAsia="Arial" w:hAnsi="Arial"/>
          <w:sz w:val="18"/>
          <w:szCs w:val="18"/>
          <w:color w:val="auto"/>
        </w:rPr>
        <w:t>Our corporate offices are located in Palo Alto, California, where we lease approximately 155,000 square feet of office, research and development, engineering and laboratory space pursuant to lease agreements commending in June 2020. The initial lease term for 1200 Page Mill Road is 6.5 years and 13 years for 1250 Page Mill Road.</w:t>
      </w:r>
    </w:p>
    <w:p>
      <w:pPr>
        <w:spacing w:after="0" w:line="80" w:lineRule="exact"/>
        <w:rPr>
          <w:sz w:val="20"/>
          <w:szCs w:val="20"/>
          <w:color w:val="auto"/>
        </w:rPr>
      </w:pPr>
    </w:p>
    <w:p>
      <w:pPr>
        <w:jc w:val="both"/>
        <w:ind w:right="320" w:firstLine="509"/>
        <w:spacing w:after="0" w:line="248" w:lineRule="auto"/>
        <w:rPr>
          <w:sz w:val="20"/>
          <w:szCs w:val="20"/>
          <w:color w:val="auto"/>
        </w:rPr>
      </w:pPr>
      <w:r>
        <w:rPr>
          <w:rFonts w:ascii="Arial" w:cs="Arial" w:eastAsia="Arial" w:hAnsi="Arial"/>
          <w:sz w:val="18"/>
          <w:szCs w:val="18"/>
          <w:color w:val="auto"/>
        </w:rPr>
        <w:t>We continue to lease office and laboratory space at 2631 Hanover Street in Palo Alto, California, which commenced in January 2013. In March 2016, we executed a third lease amendment agreement that became effective March 31, 2016 and extended the lease term until October 31, 2023. The facilities in Palo Alto, California houses substantially all of our personnel.</w:t>
      </w:r>
    </w:p>
    <w:p>
      <w:pPr>
        <w:spacing w:after="0" w:line="74"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In April 2020, we entered into a lease agreement for office and laboratory space at Rottenstrasse 5 in Visp, Switzerland. The space is approximately 1,000 square meters. The initial lease term is 5 years, with automatic renewals every 5 years for a maximum lease term of 15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76" w:name="page77"/>
    <w:bookmarkEnd w:id="76"/>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trades on the Nasdaq Global Market under the trading symbol “KOD”.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As of February 18, 2022, there were approximately 22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cash dividends in the foreseeable future.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24" w:right="5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included elsewhere in this Annual Report on Form 10-K.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29" w:lineRule="auto"/>
        <w:rPr>
          <w:sz w:val="20"/>
          <w:szCs w:val="20"/>
          <w:color w:val="auto"/>
        </w:rPr>
      </w:pPr>
      <w:r>
        <w:rPr>
          <w:rFonts w:ascii="Arial" w:cs="Arial" w:eastAsia="Arial" w:hAnsi="Arial"/>
          <w:sz w:val="18"/>
          <w:szCs w:val="18"/>
          <w:color w:val="auto"/>
        </w:rPr>
        <w:t>Kodiak Sciences (we or the Company) is a biopharmaceutical company committed to researching, developing and commercializing transformative therapeutics to treat high prevalence retinal diseases in the United States and additional international markets. We are bringing new science to the design and development of next generation retinal medicines. Our ABC Platform</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uses molecular engineering to merge the fields of antibody-based and chemistry-based therapies and is at the core of Kodiak’s discovery engine. Our lead product candidate, KSI-301, is a novel anti-VEGF antibody biopolymer conjugate being investigated in multiple pivotal studies in retinal vascular diseases including wAMD, DME, RVO and non-proliferative diabetic retinopathy. Our hope with KSI-301 is to meaningfully extend treatment intervals for all patients with retinal vascular diseases. Our pipeline, including product candidates KSI-501 and KSI-601, aims to bring a similar ethos of drug development to other unmet needs in retina such as dry AMD and glaucoma.</w:t>
      </w:r>
    </w:p>
    <w:p>
      <w:pPr>
        <w:spacing w:after="0" w:line="82" w:lineRule="exact"/>
        <w:rPr>
          <w:sz w:val="20"/>
          <w:szCs w:val="20"/>
          <w:color w:val="auto"/>
        </w:rPr>
      </w:pPr>
    </w:p>
    <w:p>
      <w:pPr>
        <w:ind w:right="400" w:firstLine="509"/>
        <w:spacing w:after="0" w:line="248" w:lineRule="auto"/>
        <w:rPr>
          <w:sz w:val="20"/>
          <w:szCs w:val="20"/>
          <w:color w:val="auto"/>
        </w:rPr>
      </w:pPr>
      <w:r>
        <w:rPr>
          <w:rFonts w:ascii="Arial" w:cs="Arial" w:eastAsia="Arial" w:hAnsi="Arial"/>
          <w:sz w:val="18"/>
          <w:szCs w:val="18"/>
          <w:color w:val="auto"/>
        </w:rPr>
        <w:t>Our goal is to prevent and treat the major causes of blindness by developing next-generation therapeutics for chronic, high-prevalence retinal diseases. Our overall objective is to develop our product candidates, seek FDA and worldwide health authority marketing authorization approvals, and ultimately commercialize our product candidates.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KSI-301 Phase 2b/3 Pivotal Study in Wet AMD Top-line Readout</w:t>
      </w:r>
    </w:p>
    <w:p>
      <w:pPr>
        <w:spacing w:after="0" w:line="108"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We recently announced top-line results from our randomized, double-masked, active comparator-controlled Phase 2b/3 clinical trial evaluating the efficacy, durability and safety of KSI-301, a novel antibody biopolymer conjugate, in treatment-naïve subjects with neovascular (wet) age-related macular degeneration (“wet AMD”).</w:t>
      </w:r>
    </w:p>
    <w:p>
      <w:pPr>
        <w:spacing w:after="0" w:line="7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 trial randomized 559 participants, approximately 80% of whom were enrolled in the United States. The study had two treatment arms: KSI-301 5mg on a flexible long-interval regimen and aflibercept 2mg on a fixed short-interval regimen. In the study, three monthly loading doses were administered to all subjects at 0-, 4- and 8-weeks. Subjects on aflibercept were then treated at fixed two month intervals. Subjects on KSI-301 were assessed starting three months after the completion of the loading phase (i.e. beginning at 20 weeks) and, based on predefined disease activity criteria, were treated every three-, four-, or five-months. As a result, patients in the KSI-301 group did not receive dosing more frequently than every three months at any point in the study after the loading phase. The primary endpoint of the study was the average change in best-corrected visual acuity (BCVA) score (a measure of the best vision a person can achieve when reading letters on an eye chart, including with correction such as glasses) from baseline at year one. For the assessment of the primary efficacy endpoint, KSI-301 patients in all three groups (dosed every three, four or five months) were pooled together and their BCVA was compared as a group to the aflibercept group (dosed every two months).</w:t>
      </w:r>
    </w:p>
    <w:p>
      <w:pPr>
        <w:spacing w:after="0" w:line="76"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The results show that KSI-301 did not meet the primary efficacy endpoint of showing non-inferior visual acuity gains for subjects dosed on extended regimens compared to aflibercept given every eight weeks.</w:t>
      </w:r>
    </w:p>
    <w:p>
      <w:pPr>
        <w:spacing w:after="0" w:line="63"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A pre-specified secondary analysis at year 1 assessing durability showed 59% of patients in the KSI-301 arm achieved five-month dosing with visual acuity gains and anatomic improvements comparable to the overall aflibercept group.</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KSI-301 was well-tolerated in the study, with no new safety signals identified.</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Intraocular inflammation occurred in 3.2% of KSI-301 treated patients as compared to 0.0% of patients treated with aflibercept. Recent wet AMD studies have reported intraocular inflammation rates with aflibercept of 1–4.5%. In all cases reported in the Phase 2b/3 study, the clinical finding of inflammation resolved, and no cases of intraocular inflammation with vascular occlusions were observed. We believe that these safety data coupled with the safety observations across the ongoing Phase 3 studies continue to suggest a safety profile for KSI-301 comparable to today’s existing standard of care agents.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ind w:right="140" w:firstLine="509"/>
        <w:spacing w:after="0" w:line="294" w:lineRule="auto"/>
        <w:rPr>
          <w:sz w:val="20"/>
          <w:szCs w:val="20"/>
          <w:color w:val="auto"/>
        </w:rPr>
      </w:pPr>
      <w:r>
        <w:rPr>
          <w:rFonts w:ascii="Arial" w:cs="Arial" w:eastAsia="Arial" w:hAnsi="Arial"/>
          <w:sz w:val="16"/>
          <w:szCs w:val="16"/>
          <w:color w:val="auto"/>
        </w:rPr>
        <w:t>We believe allowing treatment with KSI-301 no more often than every twelve weeks after the loading phase for every patient was insufficient. Nonetheless, we believe the results demonstrate a clear anti-VEGF effect, strong durability and a reassuring safety profile. We believe these data continue to support the potential of KSI-301 and our ABC Platform to significantly extend treatment intervals in retinal disorders in a safe and convenient manner.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KSI-301 Regulatory Plan and Outlook</w:t>
      </w:r>
    </w:p>
    <w:p>
      <w:pPr>
        <w:spacing w:after="0" w:line="10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If successful, we intend to include data from the BEACON, GLEAM/GLIMMER, and DAYLIGHT studies in a single initial BLA, and would seek labeling at launch that is supportive of a range of dosing intervals. We continue to expect that data from our GLEAM and GLIMMER studies will serve as the primary basis for our anticipated BLA submission in DME. Data from our BEACON study is intended to serve as the basis for our anticipated BLA submission in RVO. In wet AMD, we believe that the DAYLIGHT study may clarify the ability of KSI-301 when dosed more frequently to effectively treat a broader population of patients with wet AMD. If successful, we believe that data from our DAYLIGHT study could form the basis of our anticipated BLA submission in wet AMD, with monthly dosing. We believe that, over time, we may be able to generate additional data to support longer-interval dosing in wet AMD in certain patient populations. We are not planning for results of the GLOW study to be included in our initial BLA filing, given our expectations for a longer recruitment timeframe. We may include the results of the GLOW study in NPDR without DME in a supplemental BLA following our planned initial BLA submission.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Since inception in June 2009, we have devoted substantially all of our resources to discovering and developing product candidates and manufacturing processes, building our ABC Platform and assembling our core capabilities in drug development for ophthalmic disease. We plan to continue to use third-party contract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are evaluating investments in commercial manufacturing capacity. We do not have any products approved for sale and have not generated any product revenue since inception.</w:t>
      </w:r>
    </w:p>
    <w:p>
      <w:pPr>
        <w:spacing w:after="0" w:line="81" w:lineRule="exact"/>
        <w:rPr>
          <w:sz w:val="20"/>
          <w:szCs w:val="20"/>
          <w:color w:val="auto"/>
        </w:rPr>
      </w:pPr>
    </w:p>
    <w:p>
      <w:pPr>
        <w:ind w:right="560" w:firstLine="509"/>
        <w:spacing w:after="0" w:line="291" w:lineRule="auto"/>
        <w:rPr>
          <w:sz w:val="20"/>
          <w:szCs w:val="20"/>
          <w:color w:val="auto"/>
        </w:rPr>
      </w:pPr>
      <w:r>
        <w:rPr>
          <w:rFonts w:ascii="Arial" w:cs="Arial" w:eastAsia="Arial" w:hAnsi="Arial"/>
          <w:sz w:val="17"/>
          <w:szCs w:val="17"/>
          <w:color w:val="auto"/>
        </w:rPr>
        <w:t>We have funded our operations primarily through the sale and issuance of equity securities. In October 2018, we completed our initial public offering, or IPO. In December 2019, we completed a follow-on offering. In November 2020, we completed a second follow-on offering.</w:t>
      </w:r>
    </w:p>
    <w:p>
      <w:pPr>
        <w:spacing w:after="0" w:line="39"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We have incurred significant operating losses to date and expect that our operating losses will increase significantly as we advance our product candidates, particularly KSI-301,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In addition, we expect to incur additional costs associated with operating as a public company. Our net loss was $267.0 million, $133.1 million and $47.4 million for the years ended December 31, 2021, 2020 and 2019, respectively. As of December 31, 2021, we had an accumulated deficit of $558.2 million.</w:t>
      </w:r>
    </w:p>
    <w:p>
      <w:pPr>
        <w:spacing w:after="0" w:line="6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KSI-301 for wet AMD, RVO, DME or NPDR or delay our efforts to advance and expand our product pipeline.</w:t>
      </w:r>
    </w:p>
    <w:p>
      <w:pPr>
        <w:spacing w:after="0" w:line="81"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In November 2020, we filed an automatic shelf registration statement (File No. 333-250109), which became effective upon filing. The shelf registration statement allows us to issue certain securities, including shares of our common stock, from time to time. In November 2020, we completed a follow-on offering pursuant to the automatic shelf registration and issued and sold 5,972,222 shares of common stock, including the underwriters’ full exercise of their over-allotment option, at a price to the public of $108.00 per share under our shelf registration statement. The gross proceeds from this offering were $645.0 million, resulting in aggregate net proceeds of $612.0 million after deducting underwriting discounts and commissions and other offering costs.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we had cash and cash equivalents of $731.5 million.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3"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conduct our Phase 3 clinical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Securities and Exchange Commission, or SEC, investor relations costs and director and officer insurance premiums associated with being a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income earned on our cash, cash equivalents and marketable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77" w:lineRule="exact"/>
        <w:rPr>
          <w:sz w:val="20"/>
          <w:szCs w:val="20"/>
          <w:color w:val="auto"/>
        </w:rPr>
      </w:pPr>
    </w:p>
    <w:p>
      <w:pPr>
        <w:ind w:right="40" w:firstLine="509"/>
        <w:spacing w:after="0" w:line="235" w:lineRule="auto"/>
        <w:rPr>
          <w:sz w:val="20"/>
          <w:szCs w:val="20"/>
          <w:color w:val="auto"/>
        </w:rPr>
      </w:pPr>
      <w:r>
        <w:rPr>
          <w:rFonts w:ascii="Arial" w:cs="Arial" w:eastAsia="Arial" w:hAnsi="Arial"/>
          <w:sz w:val="18"/>
          <w:szCs w:val="18"/>
          <w:color w:val="auto"/>
        </w:rPr>
        <w:t>Other income (expense), net consists primarily of tax provisions and amortized issuance costs from the liability related to the future sale of royalties to BBA in 2019, net of accretion income and amortization expense on marketable debt securities.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83"/>
        </w:trPr>
        <w:tc>
          <w:tcPr>
            <w:tcW w:w="10200" w:type="dxa"/>
            <w:vAlign w:val="bottom"/>
            <w:gridSpan w:val="14"/>
          </w:tcPr>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 except percentages) :</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4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2021 vs 2020</w:t>
            </w:r>
          </w:p>
        </w:tc>
      </w:tr>
      <w:tr>
        <w:trPr>
          <w:trHeight w:val="216"/>
        </w:trPr>
        <w:tc>
          <w:tcPr>
            <w:tcW w:w="4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9"/>
              </w:rPr>
              <w:t>Change</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4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ind w:left="140"/>
              <w:spacing w:after="0" w:line="196" w:lineRule="exact"/>
              <w:rPr>
                <w:sz w:val="20"/>
                <w:szCs w:val="20"/>
                <w:color w:val="auto"/>
              </w:rPr>
            </w:pPr>
            <w:r>
              <w:rPr>
                <w:rFonts w:ascii="Arial" w:cs="Arial" w:eastAsia="Arial" w:hAnsi="Arial"/>
                <w:sz w:val="18"/>
                <w:szCs w:val="18"/>
                <w:b w:val="1"/>
                <w:bCs w:val="1"/>
                <w:color w:val="auto"/>
              </w:rPr>
              <w:t>Dollar</w:t>
            </w:r>
          </w:p>
        </w:tc>
        <w:tc>
          <w:tcPr>
            <w:tcW w:w="82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w w:val="96"/>
              </w:rPr>
              <w:t>Percent</w:t>
            </w:r>
          </w:p>
        </w:tc>
        <w:tc>
          <w:tcPr>
            <w:tcW w:w="220" w:type="dxa"/>
            <w:vAlign w:val="bottom"/>
          </w:tcPr>
          <w:p>
            <w:pPr>
              <w:spacing w:after="0"/>
              <w:rPr>
                <w:sz w:val="17"/>
                <w:szCs w:val="17"/>
                <w:color w:val="auto"/>
              </w:rPr>
            </w:pPr>
          </w:p>
        </w:tc>
      </w:tr>
      <w:tr>
        <w:trPr>
          <w:trHeight w:val="196"/>
        </w:trPr>
        <w:tc>
          <w:tcPr>
            <w:tcW w:w="4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06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217,340</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107,389</w:t>
            </w:r>
          </w:p>
        </w:tc>
        <w:tc>
          <w:tcPr>
            <w:tcW w:w="24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37,506</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109,951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102 %</w:t>
            </w:r>
          </w:p>
        </w:tc>
      </w:tr>
      <w:tr>
        <w:trPr>
          <w:trHeight w:val="203"/>
        </w:trPr>
        <w:tc>
          <w:tcPr>
            <w:tcW w:w="40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49,711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28,618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21,093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74 %</w:t>
            </w:r>
          </w:p>
        </w:tc>
      </w:tr>
      <w:tr>
        <w:trPr>
          <w:trHeight w:val="20"/>
        </w:trPr>
        <w:tc>
          <w:tcPr>
            <w:tcW w:w="40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406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(267,051 )</w:t>
            </w:r>
          </w:p>
        </w:tc>
        <w:tc>
          <w:tcPr>
            <w:tcW w:w="140" w:type="dxa"/>
            <w:vAlign w:val="bottom"/>
          </w:tcPr>
          <w:p>
            <w:pPr>
              <w:spacing w:after="0"/>
              <w:rPr>
                <w:sz w:val="17"/>
                <w:szCs w:val="17"/>
                <w:color w:val="auto"/>
              </w:rPr>
            </w:pPr>
          </w:p>
        </w:tc>
        <w:tc>
          <w:tcPr>
            <w:tcW w:w="14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(136,007 )</w:t>
            </w:r>
          </w:p>
        </w:tc>
        <w:tc>
          <w:tcPr>
            <w:tcW w:w="280" w:type="dxa"/>
            <w:vAlign w:val="bottom"/>
          </w:tcPr>
          <w:p>
            <w:pPr>
              <w:spacing w:after="0"/>
              <w:rPr>
                <w:sz w:val="17"/>
                <w:szCs w:val="17"/>
                <w:color w:val="auto"/>
              </w:rPr>
            </w:pPr>
          </w:p>
        </w:tc>
        <w:tc>
          <w:tcPr>
            <w:tcW w:w="12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(49,190 )</w:t>
            </w:r>
          </w:p>
        </w:tc>
        <w:tc>
          <w:tcPr>
            <w:tcW w:w="240" w:type="dxa"/>
            <w:vAlign w:val="bottom"/>
          </w:tcPr>
          <w:p>
            <w:pPr>
              <w:spacing w:after="0"/>
              <w:rPr>
                <w:sz w:val="17"/>
                <w:szCs w:val="17"/>
                <w:color w:val="auto"/>
              </w:rPr>
            </w:pPr>
          </w:p>
        </w:tc>
        <w:tc>
          <w:tcPr>
            <w:tcW w:w="12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(131,044 )</w:t>
            </w: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96 %</w:t>
            </w:r>
          </w:p>
        </w:tc>
      </w:tr>
      <w:tr>
        <w:trPr>
          <w:trHeight w:val="203"/>
        </w:trPr>
        <w:tc>
          <w:tcPr>
            <w:tcW w:w="40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2,902</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(2,604 )</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r>
      <w:tr>
        <w:trPr>
          <w:trHeight w:val="203"/>
        </w:trPr>
        <w:tc>
          <w:tcPr>
            <w:tcW w:w="406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(22 )</w:t>
            </w:r>
          </w:p>
        </w:tc>
        <w:tc>
          <w:tcPr>
            <w:tcW w:w="14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(25 )</w:t>
            </w:r>
          </w:p>
        </w:tc>
        <w:tc>
          <w:tcPr>
            <w:tcW w:w="28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(8 )</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40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(215 )</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(249 )</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406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(266,990 )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(133,096 )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(47,365 )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(133,894 )</w:t>
            </w: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101 %</w:t>
            </w:r>
          </w:p>
        </w:tc>
      </w:tr>
      <w:tr>
        <w:trPr>
          <w:trHeight w:val="20"/>
        </w:trPr>
        <w:tc>
          <w:tcPr>
            <w:tcW w:w="4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-681990</wp:posOffset>
            </wp:positionV>
            <wp:extent cx="7747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-681990</wp:posOffset>
            </wp:positionV>
            <wp:extent cx="768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-681990</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-681990</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-681990</wp:posOffset>
            </wp:positionV>
            <wp:extent cx="14541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-159385</wp:posOffset>
            </wp:positionV>
            <wp:extent cx="7747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-159385</wp:posOffset>
            </wp:positionV>
            <wp:extent cx="768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-159385</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-159385</wp:posOffset>
            </wp:positionV>
            <wp:extent cx="14541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Research and development expenses increased $110.0 million, or 102%, during the year ended December 31, 2020 as compared to the year ended December 31, 2021.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2"/>
              </w:rPr>
              <w:t>2021 vs 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KSI-301 program expenses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137,849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58,563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19,285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79,286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KSI-501 program expenses</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4,529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1,573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1,188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2,956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ABC Platform and other program expenses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11,354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7,365</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Payroll and personnel expenses</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51,171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30,434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11,978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20,737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Facilities and other research and development</w:t>
            </w:r>
          </w:p>
        </w:tc>
        <w:tc>
          <w:tcPr>
            <w:tcW w:w="28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12,437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9,454</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2,837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tcPr>
          <w:p>
            <w:pPr>
              <w:ind w:left="200"/>
              <w:spacing w:after="0" w:line="196" w:lineRule="exact"/>
              <w:rPr>
                <w:sz w:val="20"/>
                <w:szCs w:val="20"/>
                <w:color w:val="auto"/>
              </w:rPr>
            </w:pPr>
            <w:r>
              <w:rPr>
                <w:rFonts w:ascii="Arial" w:cs="Arial" w:eastAsia="Arial" w:hAnsi="Arial"/>
                <w:sz w:val="18"/>
                <w:szCs w:val="18"/>
                <w:color w:val="auto"/>
              </w:rPr>
              <w:t>Total research and development expenses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217,340</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107,389</w:t>
            </w:r>
          </w:p>
        </w:tc>
        <w:tc>
          <w:tcPr>
            <w:tcW w:w="5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37,506</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109,951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-159385</wp:posOffset>
            </wp:positionV>
            <wp:extent cx="7747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-159385</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KSI-301 program expenses increased $79.3 million during the year ended December 31, 2021 as compared to 2020. The increase was primarily due to clinical trial costs to support ongoing trials, as well as manufacturing progress for KSI-301. We initiated two pivotal Phase 3 clinical studies in DME (GLEAM and GLIMMER) and one pivotal Phase 3 clinical study in RVO (BEACON) in the third quarter of 2020. In June 2021, we randomized the first patients into an additional Phase 3 study in wet AMD (DAYLIGHT) designed to broaden KSI-301’s product labeling.</w:t>
      </w:r>
    </w:p>
    <w:p>
      <w:pPr>
        <w:spacing w:after="0" w:line="64"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KSI-501 program expenses increased $3.0 million during the year ended December 31, 2021 as compared to 2020, primarily due to increased research and development activities for KSI-501.</w:t>
      </w:r>
    </w:p>
    <w:p>
      <w:pPr>
        <w:spacing w:after="0" w:line="63"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ABC Platform external expenses increased $4.0 million during the year ended December 31, 2021 as compared to 2020. The increase was primarily driven by manufacturing runs to support our product candidate pipeline.</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Payroll and personnel expenses increased $20.7 million during the year ended December 31, 2021 as compared to 2020, due to increased headcount and stock-based compensation expense. We recorded an incremental stock-based compensation expense of $8.3 million relating to the long-term performance incentive plan program in the fourth quarter of 2021. Furthermore, the research and development headcount increased 38% during the year ended December 31, 2021.</w:t>
      </w:r>
    </w:p>
    <w:p>
      <w:pPr>
        <w:spacing w:after="0" w:line="80"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Facilities and other research and development expenses increased $3.0 million during the year ended December 31, 2021 as compared to 2020, primarily due to lease costs for our Palo Alto and Switzerland facilities expansion.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General and administrative expenses increased $21.1 million, or 74%, during the year ended December 31, 2021 as compared to 2020, primarily driven by increased headcount and stock-based compensation expense, professional services related to consulting, legal and accounting, and lease costs for Palo Alto facilities expansion. We recorded an incremental stock-based compensation expense of $5.9 million relating to the long-term performance incentive plan program in the fourth quarter of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ind w:right="300" w:firstLine="509"/>
        <w:spacing w:after="0" w:line="291" w:lineRule="auto"/>
        <w:rPr>
          <w:sz w:val="20"/>
          <w:szCs w:val="20"/>
          <w:color w:val="auto"/>
        </w:rPr>
      </w:pPr>
      <w:r>
        <w:rPr>
          <w:rFonts w:ascii="Arial" w:cs="Arial" w:eastAsia="Arial" w:hAnsi="Arial"/>
          <w:sz w:val="17"/>
          <w:szCs w:val="17"/>
          <w:color w:val="auto"/>
        </w:rPr>
        <w:t>Interest income decreased $2.6 million during the year ended December 31, 2021 as compared to 2020, which was mainly attributable to interest income earned on increased cash equivalent balances from our follow-on offering in December 2019 and November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0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Other income (expense), net decreased $0.2 million during the year ended December 31, 2021 as compared to 2020, which was mainly attributable to issuance costs from the liability related to the future sale of royalties to BBA in December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We have funded our operations primarily through the sale and issuance of common stock, redeemable convertible preferred stock, convertible notes and warrants. As of December 31, 2021, we had cash and cash equivalents of $731.5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90"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In December 2019, we completed a follow-on offering pursuant to the shelf registration on Form S-3 and issued and sold 6,900,000 shares of common stock at a price to the public of $46.00 per share. The gross proceeds from this offering were $317.4 million, resulting in aggregate net proceeds of $297.6 million after deducting underwriting discounts and commissions and other offering costs payable by us.</w:t>
      </w:r>
    </w:p>
    <w:p>
      <w:pPr>
        <w:spacing w:after="0" w:line="67" w:lineRule="exact"/>
        <w:rPr>
          <w:sz w:val="20"/>
          <w:szCs w:val="20"/>
          <w:color w:val="auto"/>
        </w:rPr>
      </w:pPr>
    </w:p>
    <w:p>
      <w:pPr>
        <w:ind w:right="100" w:firstLine="509"/>
        <w:spacing w:after="0" w:line="235" w:lineRule="auto"/>
        <w:rPr>
          <w:sz w:val="20"/>
          <w:szCs w:val="20"/>
          <w:color w:val="auto"/>
        </w:rPr>
      </w:pPr>
      <w:r>
        <w:rPr>
          <w:rFonts w:ascii="Arial" w:cs="Arial" w:eastAsia="Arial" w:hAnsi="Arial"/>
          <w:sz w:val="18"/>
          <w:szCs w:val="18"/>
          <w:color w:val="auto"/>
        </w:rPr>
        <w:t>In November 2020, we completed a follow-on offering pursuant to the shelf registration on Form S-3 and issued and sold 5,972,222 shares of common stock at a price to the public of $108.00 per share. The gross proceeds from this offering were $645.0 million, resulting in aggregate net proceeds of $612.0 million after deducting underwriting discounts and commissions and other offering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incurred net losses since our inception. For the years ended December 31, 2021, 2020 and 2019, we had net losses of $267.0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$133.1 million, and $47.4 million, respectively, and we expect to continue to incur additional losses in future periods. As of December 31, 2021, we had an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 of $558.2 million.</w:t>
      </w:r>
    </w:p>
    <w:p>
      <w:pPr>
        <w:spacing w:after="0" w:line="88"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80"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continue incurring additional costs associated with operating as a public company.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2" w:name="page83"/>
    <w:bookmarkEnd w:id="82"/>
    <w:p>
      <w:pPr>
        <w:ind w:right="160" w:firstLine="509"/>
        <w:spacing w:after="0" w:line="261" w:lineRule="auto"/>
        <w:rPr>
          <w:sz w:val="20"/>
          <w:szCs w:val="20"/>
          <w:color w:val="auto"/>
        </w:rPr>
      </w:pPr>
      <w:r>
        <w:rPr>
          <w:rFonts w:ascii="Arial" w:cs="Arial" w:eastAsia="Arial" w:hAnsi="Arial"/>
          <w:sz w:val="18"/>
          <w:szCs w:val="18"/>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63" w:lineRule="exact"/>
        <w:rPr>
          <w:sz w:val="20"/>
          <w:szCs w:val="20"/>
          <w:color w:val="auto"/>
        </w:rPr>
      </w:pPr>
    </w:p>
    <w:p>
      <w:pPr>
        <w:ind w:left="760" w:right="40" w:hanging="378"/>
        <w:spacing w:after="0" w:line="261"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03" w:lineRule="exact"/>
        <w:rPr>
          <w:rFonts w:ascii="Arial" w:cs="Arial" w:eastAsia="Arial" w:hAnsi="Arial"/>
          <w:sz w:val="18"/>
          <w:szCs w:val="18"/>
          <w:color w:val="auto"/>
        </w:rPr>
      </w:pPr>
    </w:p>
    <w:p>
      <w:pPr>
        <w:ind w:left="760" w:right="560" w:hanging="378"/>
        <w:spacing w:after="0" w:line="261"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03" w:lineRule="exact"/>
        <w:rPr>
          <w:rFonts w:ascii="Arial" w:cs="Arial" w:eastAsia="Arial" w:hAnsi="Arial"/>
          <w:sz w:val="18"/>
          <w:szCs w:val="18"/>
          <w:color w:val="auto"/>
        </w:rPr>
      </w:pPr>
    </w:p>
    <w:p>
      <w:pPr>
        <w:ind w:left="760" w:right="560" w:hanging="378"/>
        <w:spacing w:after="0" w:line="261"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04"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significant uncertainties caused by the evolving effects of the COVID-19 pandemic may also negatively impact our operations and capital resources. We and our key clinical and manufacturing partners have been able to continue to advance our operations, and we continue to monitor the impact of COVID-19 on our ability to continue the development of, and seek regulatory approvals for, our product candidates, and begin to commercialize any approved products. This pandemic may ultimately have a material adverse effect on our liquidity and operating plans, although we are unable to make any prediction with certainty given the spread and rapidly changing nature of the pandemic and the evolving global actions taken to contain and treat the novel coronavirus.</w:t>
      </w:r>
    </w:p>
    <w:p>
      <w:pPr>
        <w:spacing w:after="0" w:line="81"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titled “Risk Factors” for additional risks associated with our substantial capital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3"/>
          </w:tcPr>
          <w:p>
            <w:pPr>
              <w:ind w:left="88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2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196"/>
        </w:trPr>
        <w:tc>
          <w:tcPr>
            <w:tcW w:w="52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center"/>
              <w:ind w:right="30"/>
              <w:spacing w:after="0" w:line="196" w:lineRule="exact"/>
              <w:rPr>
                <w:sz w:val="20"/>
                <w:szCs w:val="20"/>
                <w:color w:val="auto"/>
              </w:rPr>
            </w:pPr>
            <w:r>
              <w:rPr>
                <w:rFonts w:ascii="Arial" w:cs="Arial" w:eastAsia="Arial" w:hAnsi="Arial"/>
                <w:sz w:val="18"/>
                <w:szCs w:val="18"/>
                <w:b w:val="1"/>
                <w:bCs w:val="1"/>
                <w:color w:val="auto"/>
                <w:w w:val="70"/>
              </w:rPr>
              <w:t>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w:t>
            </w:r>
          </w:p>
        </w:tc>
        <w:tc>
          <w:tcPr>
            <w:tcW w:w="25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28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(182,270 )</w:t>
            </w:r>
          </w:p>
        </w:tc>
        <w:tc>
          <w:tcPr>
            <w:tcW w:w="5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(83,428 )</w:t>
            </w:r>
          </w:p>
        </w:tc>
      </w:tr>
      <w:tr>
        <w:trPr>
          <w:trHeight w:val="203"/>
        </w:trPr>
        <w:tc>
          <w:tcPr>
            <w:tcW w:w="5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25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(38,798 )</w:t>
            </w: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104,834</w:t>
            </w: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2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8,182</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717,377</w:t>
            </w:r>
          </w:p>
        </w:tc>
        <w:tc>
          <w:tcPr>
            <w:tcW w:w="100" w:type="dxa"/>
            <w:vAlign w:val="bottom"/>
          </w:tcPr>
          <w:p>
            <w:pPr>
              <w:spacing w:after="0"/>
              <w:rPr>
                <w:sz w:val="17"/>
                <w:szCs w:val="17"/>
                <w:color w:val="auto"/>
              </w:rPr>
            </w:pPr>
          </w:p>
        </w:tc>
      </w:tr>
      <w:tr>
        <w:trPr>
          <w:trHeight w:val="236"/>
        </w:trPr>
        <w:tc>
          <w:tcPr>
            <w:tcW w:w="5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3"/>
              </w:rPr>
              <w:t>Net increase (decrease) in cash, cash equivalents and restricted cash</w:t>
            </w:r>
          </w:p>
        </w:tc>
        <w:tc>
          <w:tcPr>
            <w:tcW w:w="25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(212,886</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center"/>
              <w:ind w:right="3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738,783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5220" w:type="dxa"/>
            <w:vAlign w:val="bottom"/>
          </w:tcPr>
          <w:p>
            <w:pPr>
              <w:spacing w:after="0"/>
              <w:rPr>
                <w:sz w:val="24"/>
                <w:szCs w:val="24"/>
                <w:color w:val="auto"/>
              </w:rPr>
            </w:pPr>
          </w:p>
        </w:tc>
        <w:tc>
          <w:tcPr>
            <w:tcW w:w="2500" w:type="dxa"/>
            <w:vAlign w:val="bottom"/>
          </w:tcPr>
          <w:p>
            <w:pPr>
              <w:jc w:val="right"/>
              <w:ind w:right="1910"/>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22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-504825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-487680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-504825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-487680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90" w:lineRule="exact"/>
        <w:rPr>
          <w:sz w:val="20"/>
          <w:szCs w:val="20"/>
          <w:color w:val="auto"/>
        </w:rPr>
      </w:pPr>
    </w:p>
    <w:p>
      <w:pPr>
        <w:ind w:right="220" w:firstLine="509"/>
        <w:spacing w:after="0" w:line="253" w:lineRule="auto"/>
        <w:rPr>
          <w:sz w:val="20"/>
          <w:szCs w:val="20"/>
          <w:color w:val="auto"/>
        </w:rPr>
      </w:pPr>
      <w:r>
        <w:rPr>
          <w:rFonts w:ascii="Arial" w:cs="Arial" w:eastAsia="Arial" w:hAnsi="Arial"/>
          <w:sz w:val="17"/>
          <w:szCs w:val="17"/>
          <w:color w:val="auto"/>
        </w:rPr>
        <w:t>Net cash used in operating activities was $182.3 million for the year ended December 31, 2021. Cash used in operating activities was primarily driven by the increase in net loss during this period due to increased payroll and personnel expenses and manufacturing and clinical trial costs to support overall growth. Cash used in operating activities was also driven by changes in operating assets and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90"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color w:val="auto"/>
        </w:rPr>
        <w:t>Net cash used in investing activities was $38.8 million for the year ended December 31, 2021 and primarily related to deposit on manufacturing equipment, as well as purchases of property and equipment.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90" w:lineRule="exact"/>
        <w:rPr>
          <w:sz w:val="20"/>
          <w:szCs w:val="20"/>
          <w:color w:val="auto"/>
        </w:rPr>
      </w:pPr>
    </w:p>
    <w:p>
      <w:pPr>
        <w:ind w:right="300" w:firstLine="509"/>
        <w:spacing w:after="0" w:line="246" w:lineRule="auto"/>
        <w:rPr>
          <w:sz w:val="20"/>
          <w:szCs w:val="20"/>
          <w:color w:val="auto"/>
        </w:rPr>
      </w:pPr>
      <w:r>
        <w:rPr>
          <w:rFonts w:ascii="Arial" w:cs="Arial" w:eastAsia="Arial" w:hAnsi="Arial"/>
          <w:sz w:val="18"/>
          <w:szCs w:val="18"/>
          <w:color w:val="auto"/>
        </w:rPr>
        <w:t>Net cash provided by financing activities was $8.2 million for the year ended December 31, 2021, which consisted primarily due to the proceeds from stock option exercises and proceeds from issuances of common stock pursuant to employee stock purchase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04" w:lineRule="exact"/>
        <w:rPr>
          <w:sz w:val="20"/>
          <w:szCs w:val="20"/>
          <w:color w:val="auto"/>
        </w:rPr>
      </w:pPr>
    </w:p>
    <w:p>
      <w:pPr>
        <w:jc w:val="both"/>
        <w:ind w:right="260" w:firstLine="509"/>
        <w:spacing w:after="0" w:line="248" w:lineRule="auto"/>
        <w:rPr>
          <w:sz w:val="20"/>
          <w:szCs w:val="20"/>
          <w:color w:val="auto"/>
        </w:rPr>
      </w:pPr>
      <w:r>
        <w:rPr>
          <w:rFonts w:ascii="Arial" w:cs="Arial" w:eastAsia="Arial" w:hAnsi="Arial"/>
          <w:sz w:val="18"/>
          <w:szCs w:val="18"/>
          <w:color w:val="auto"/>
        </w:rPr>
        <w:t>Operating lease payments represent our commitment for future minimum rent made under non-cancelable leases for our corporate offices in Palo Alto, California, and office and laboratory space in Visp, Switzerland. The total future payments for our operating lease obligations as of December 31, 2021 is $123.7 million, of which $7.3 million is due in the next twelve months.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Lease</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Embedded lease payment represent our commitment for future minimum payment made under the manufacturing agreement with Lonza Ltd. for the clinical and commercial supply of drug substance in a custom-built manufacturing facility. The total future payments relating to our embedded lease, including capital contribution payments, as of December 31, 2021 is approximately 189.5 million Swiss Francs, of which 53.0 million Swiss Francs is expected to be due in the next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Agreements</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Company has entered into service and equipment purchase agreements in the normal course of business with various providers, which can contain minimum commitments or other noncancelable obligations. As of December 31, 2021, the total amount of contractual obligations related to these manufacturing agreements that are subject to cancellation fees, including accrued amounts, was $69.5 million, of which $59.7 million is expected to be due in the next twelve months.</w:t>
      </w:r>
    </w:p>
    <w:p>
      <w:pPr>
        <w:spacing w:after="0" w:line="80"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For further information on our leases and manufacturing agreements, refer to Note 7 of the Notes to Consolidated Financial Statements included in Part II, Item 8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Agreements</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Company may incur potential contingent payments upon our achievement of clinical, regulatory and commercial milestones, as applicable. Due to the uncertainty of the achievement and timing of the events requiring payment under these agreements, the amount to be paid by us are not fixed or determinable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The impact of the ongoing COVID-19 pandemic continues to evolve.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Accrued Research and Development</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 The estimated costs of research and development provided, but not yet invoiced, are included in accrued liabilities and other current liabilities on the consolidated balance sheets. If the actual timing of the performance of services or the level of effort varies from the original estimates, we will adjust the accrual accordingly. Payments made to third parties under these arrangements in advance of the performance of the related services are recorded as prepaid expenses and other assets until the services are rendered.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right="120" w:firstLine="509"/>
        <w:spacing w:after="0" w:line="216" w:lineRule="exact"/>
        <w:rPr>
          <w:sz w:val="20"/>
          <w:szCs w:val="20"/>
          <w:color w:val="auto"/>
        </w:rPr>
      </w:pPr>
      <w:r>
        <w:rPr>
          <w:rFonts w:ascii="Arial" w:cs="Arial" w:eastAsia="Arial" w:hAnsi="Arial"/>
          <w:sz w:val="17"/>
          <w:szCs w:val="17"/>
          <w:color w:val="auto"/>
        </w:rPr>
        <w:t>We measure and recognize compensation expense for all stock</w:t>
      </w:r>
      <w:r>
        <w:rPr>
          <w:rFonts w:ascii="MS PGothic" w:cs="MS PGothic" w:eastAsia="MS PGothic" w:hAnsi="MS PGothic"/>
          <w:sz w:val="17"/>
          <w:szCs w:val="17"/>
          <w:color w:val="auto"/>
        </w:rPr>
        <w:t>‑</w:t>
      </w:r>
      <w:r>
        <w:rPr>
          <w:rFonts w:ascii="Arial" w:cs="Arial" w:eastAsia="Arial" w:hAnsi="Arial"/>
          <w:sz w:val="17"/>
          <w:szCs w:val="17"/>
          <w:color w:val="auto"/>
        </w:rPr>
        <w:t>based awards made to employees, directors and non</w:t>
      </w:r>
      <w:r>
        <w:rPr>
          <w:rFonts w:ascii="MS PGothic" w:cs="MS PGothic" w:eastAsia="MS PGothic" w:hAnsi="MS PGothic"/>
          <w:sz w:val="17"/>
          <w:szCs w:val="17"/>
          <w:color w:val="auto"/>
        </w:rPr>
        <w:t>‑</w:t>
      </w:r>
      <w:r>
        <w:rPr>
          <w:rFonts w:ascii="Arial" w:cs="Arial" w:eastAsia="Arial" w:hAnsi="Arial"/>
          <w:sz w:val="17"/>
          <w:szCs w:val="17"/>
          <w:color w:val="auto"/>
        </w:rPr>
        <w:t>employees, based on estimated fair values of the awards on the grant date and recognized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requisite service period.</w:t>
      </w:r>
    </w:p>
    <w:p>
      <w:pPr>
        <w:spacing w:after="0" w:line="81" w:lineRule="exact"/>
        <w:rPr>
          <w:sz w:val="20"/>
          <w:szCs w:val="20"/>
          <w:color w:val="auto"/>
        </w:rPr>
      </w:pPr>
    </w:p>
    <w:p>
      <w:pPr>
        <w:ind w:right="360" w:firstLine="509"/>
        <w:spacing w:after="0" w:line="208" w:lineRule="exact"/>
        <w:rPr>
          <w:sz w:val="20"/>
          <w:szCs w:val="20"/>
          <w:color w:val="auto"/>
        </w:rPr>
      </w:pPr>
      <w:r>
        <w:rPr>
          <w:rFonts w:ascii="Arial" w:cs="Arial" w:eastAsia="Arial" w:hAnsi="Arial"/>
          <w:sz w:val="16"/>
          <w:szCs w:val="16"/>
          <w:color w:val="auto"/>
        </w:rPr>
        <w:t>The fair value of options is estimated on the grant date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valuation model or Monte Carlo simulation model. The calculation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requires that we make certain assumptions and judgments about a number of complex and subjective variables used in the valuation model, including the expected term, expected volatility of the underlying common stock and risk</w:t>
      </w:r>
      <w:r>
        <w:rPr>
          <w:rFonts w:ascii="MS PGothic" w:cs="MS PGothic" w:eastAsia="MS PGothic" w:hAnsi="MS PGothic"/>
          <w:sz w:val="16"/>
          <w:szCs w:val="16"/>
          <w:color w:val="auto"/>
        </w:rPr>
        <w:t>‑</w:t>
      </w:r>
      <w:r>
        <w:rPr>
          <w:rFonts w:ascii="Arial" w:cs="Arial" w:eastAsia="Arial" w:hAnsi="Arial"/>
          <w:sz w:val="16"/>
          <w:szCs w:val="16"/>
          <w:color w:val="auto"/>
        </w:rPr>
        <w:t>free interest rate. Our stock-based awards are subject to either service, performance-based or market-based vesting conditions. We evaluate whether achievement of the performance conditions is probable and record expense over the appropriate service period based on this assessment.</w:t>
      </w:r>
    </w:p>
    <w:p>
      <w:pPr>
        <w:spacing w:after="0" w:line="82"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Changes in these assumptions can materially affect the fair value and ultimately how much stock-based compensation expense is recognized. These inputs are subjective and generally require significant analysis and judgment to develop.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200" w:firstLine="509"/>
        <w:spacing w:after="0" w:line="279" w:lineRule="auto"/>
        <w:rPr>
          <w:sz w:val="20"/>
          <w:szCs w:val="20"/>
          <w:color w:val="auto"/>
        </w:rPr>
      </w:pPr>
      <w:r>
        <w:rPr>
          <w:rFonts w:ascii="Arial" w:cs="Arial" w:eastAsia="Arial" w:hAnsi="Arial"/>
          <w:sz w:val="16"/>
          <w:szCs w:val="16"/>
          <w:color w:val="auto"/>
        </w:rPr>
        <w:t>We provide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bases of assets and liabilities and net operating loss, or NOLs,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of the tax benefits will not be realized.</w:t>
      </w:r>
    </w:p>
    <w:p>
      <w:pPr>
        <w:spacing w:after="0" w:line="51"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w:t>
      </w:r>
    </w:p>
    <w:p>
      <w:pPr>
        <w:spacing w:after="0" w:line="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of each balance sheet date, unresolved uncertain tax positions must be reassessed, and we will determine whether (1) the factors underlying the sustainability assertion have changed and (2) the amount of the recognized tax benefit is still appropriate. The recognition and measurement of tax benefits requires significant judgment. Judgments concerning the recognition and measurement of a tax benefit might change as new information becomes available. Our policy is to recognize interest and penalties related to the underpayment of income taxes as a component of income tax expense or benefit. To date, there have been no interest or penalties charged in relation to the unrecognized tax benefits. As of December 31, 2021 and 2020, none of the unrecognized tax benefits would affect income tax expense with consideration of our valuation allowance. We do not expect that our uncertain tax positions will materially change in the next twelve months.</w:t>
      </w:r>
    </w:p>
    <w:p>
      <w:pPr>
        <w:spacing w:after="0" w:line="83" w:lineRule="exact"/>
        <w:rPr>
          <w:sz w:val="20"/>
          <w:szCs w:val="20"/>
          <w:color w:val="auto"/>
        </w:rPr>
      </w:pPr>
    </w:p>
    <w:p>
      <w:pPr>
        <w:ind w:right="80" w:firstLine="509"/>
        <w:spacing w:after="0" w:line="268" w:lineRule="auto"/>
        <w:rPr>
          <w:sz w:val="20"/>
          <w:szCs w:val="20"/>
          <w:color w:val="auto"/>
        </w:rPr>
      </w:pPr>
      <w:r>
        <w:rPr>
          <w:rFonts w:ascii="Arial" w:cs="Arial" w:eastAsia="Arial" w:hAnsi="Arial"/>
          <w:sz w:val="16"/>
          <w:szCs w:val="16"/>
          <w:color w:val="auto"/>
        </w:rPr>
        <w:t>NOLs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our value immediately prior to the ownership change. We have completed a Section 382 study through December 31, 2020 which concluded no such ownership change had occurred through December</w:t>
      </w:r>
    </w:p>
    <w:p>
      <w:pPr>
        <w:spacing w:after="0" w:line="1" w:lineRule="exact"/>
        <w:rPr>
          <w:sz w:val="20"/>
          <w:szCs w:val="20"/>
          <w:color w:val="auto"/>
        </w:rPr>
      </w:pPr>
    </w:p>
    <w:p>
      <w:pPr>
        <w:ind w:left="5540" w:right="2780" w:hanging="5532"/>
        <w:spacing w:after="0" w:line="493" w:lineRule="auto"/>
        <w:tabs>
          <w:tab w:leader="none" w:pos="2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2020. Subsequent ownership changes since the most recent study may further affect the limitation in future years.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consolidated financial statements included in Part II, Item 8 of this Annual Report on Form 10-K.</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0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We are exposed to market risk related to changes in interest rates. As of December 31, 2021, we had cash and cash equivalents of $731.5 million, primarily invested in money market funds. As of December 31, 2020, we had cash and cash equivalents of $969.0 million, primarily invested in money market funds, U.S. treasury securities and corporate notes. Changes in the general level of interest rates can affect the fair value of our investment portfolio. If market interest rates were to increase immediately and uniformly by 100 basis points, or one percentage point, from levels at December 31, 2021, the net fair value of our interest-sensitive marketable securities would have resulted in a hypothetical decline of less than $0.1 million.</w:t>
      </w:r>
    </w:p>
    <w:p>
      <w:pPr>
        <w:spacing w:after="0" w:line="51"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We do not believe that other market risks, like foreign currency exchange rate risk, had a significant impact on our results of operations for any periods presented herein.</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95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740" w:type="dxa"/>
            <w:vAlign w:val="bottom"/>
          </w:tcPr>
          <w:p>
            <w:pPr>
              <w:spacing w:after="0"/>
              <w:rPr>
                <w:sz w:val="20"/>
                <w:szCs w:val="20"/>
                <w:color w:val="auto"/>
              </w:rPr>
            </w:pPr>
          </w:p>
        </w:tc>
      </w:tr>
      <w:tr>
        <w:trPr>
          <w:trHeight w:val="621"/>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40" w:type="dxa"/>
            <w:vAlign w:val="bottom"/>
            <w:gridSpan w:val="4"/>
          </w:tcPr>
          <w:p>
            <w:pPr>
              <w:jc w:val="center"/>
              <w:ind w:right="1460"/>
              <w:spacing w:after="0"/>
              <w:rPr>
                <w:sz w:val="20"/>
                <w:szCs w:val="20"/>
                <w:color w:val="auto"/>
              </w:rPr>
            </w:pPr>
            <w:r>
              <w:rPr>
                <w:rFonts w:ascii="Arial" w:cs="Arial" w:eastAsia="Arial" w:hAnsi="Arial"/>
                <w:sz w:val="18"/>
                <w:szCs w:val="18"/>
                <w:b w:val="1"/>
                <w:bCs w:val="1"/>
                <w:color w:val="auto"/>
              </w:rPr>
              <w:t>INDEX TO CONSOLIDATED FINANCIAL STATEMENTS</w:t>
            </w:r>
          </w:p>
        </w:tc>
        <w:tc>
          <w:tcPr>
            <w:tcW w:w="17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9480" w:type="dxa"/>
            <w:vAlign w:val="bottom"/>
            <w:gridSpan w:val="8"/>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Report of Independent Registered Public Accounting Firm (PCAOB ID: 238)</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195"/>
        </w:trPr>
        <w:tc>
          <w:tcPr>
            <w:tcW w:w="20" w:type="dxa"/>
            <w:vAlign w:val="bottom"/>
          </w:tcPr>
          <w:p>
            <w:pPr>
              <w:spacing w:after="0"/>
              <w:rPr>
                <w:sz w:val="16"/>
                <w:szCs w:val="16"/>
                <w:color w:val="auto"/>
              </w:rPr>
            </w:pPr>
          </w:p>
        </w:tc>
        <w:tc>
          <w:tcPr>
            <w:tcW w:w="5580" w:type="dxa"/>
            <w:vAlign w:val="bottom"/>
            <w:tcBorders>
              <w:top w:val="single" w:sz="8" w:color="0000FF"/>
            </w:tcBorders>
            <w:gridSpan w:val="7"/>
          </w:tcPr>
          <w:p>
            <w:pPr>
              <w:spacing w:after="0" w:line="195" w:lineRule="exact"/>
              <w:rPr>
                <w:sz w:val="20"/>
                <w:szCs w:val="20"/>
                <w:color w:val="auto"/>
              </w:rPr>
            </w:pPr>
            <w:r>
              <w:rPr>
                <w:rFonts w:ascii="Arial" w:cs="Arial" w:eastAsia="Arial" w:hAnsi="Arial"/>
                <w:sz w:val="18"/>
                <w:szCs w:val="18"/>
                <w:color w:val="auto"/>
              </w:rPr>
              <w:t>Consolidated Financial Statements</w:t>
            </w:r>
          </w:p>
        </w:tc>
        <w:tc>
          <w:tcPr>
            <w:tcW w:w="39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9480" w:type="dxa"/>
            <w:vAlign w:val="bottom"/>
            <w:gridSpan w:val="8"/>
          </w:tcPr>
          <w:p>
            <w:pPr>
              <w:spacing w:after="0" w:line="190" w:lineRule="exact"/>
              <w:rPr>
                <w:rFonts w:ascii="Arial" w:cs="Arial" w:eastAsia="Arial" w:hAnsi="Arial"/>
                <w:sz w:val="18"/>
                <w:szCs w:val="18"/>
                <w:color w:val="0000FF"/>
              </w:rPr>
            </w:pPr>
            <w:hyperlink w:anchor="page91">
              <w:r>
                <w:rPr>
                  <w:rFonts w:ascii="Arial" w:cs="Arial" w:eastAsia="Arial" w:hAnsi="Arial"/>
                  <w:sz w:val="18"/>
                  <w:szCs w:val="18"/>
                  <w:color w:val="0000FF"/>
                </w:rPr>
                <w:t>Consolidated Balance Sheets</w:t>
              </w:r>
            </w:hyperlink>
          </w:p>
        </w:tc>
        <w:tc>
          <w:tcPr>
            <w:tcW w:w="1740" w:type="dxa"/>
            <w:vAlign w:val="bottom"/>
          </w:tcPr>
          <w:p>
            <w:pPr>
              <w:jc w:val="right"/>
              <w:spacing w:after="0" w:line="190" w:lineRule="exact"/>
              <w:rPr>
                <w:sz w:val="20"/>
                <w:szCs w:val="20"/>
                <w:color w:val="auto"/>
              </w:rPr>
            </w:pPr>
            <w:r>
              <w:rPr>
                <w:rFonts w:ascii="Arial" w:cs="Arial" w:eastAsia="Arial" w:hAnsi="Arial"/>
                <w:sz w:val="18"/>
                <w:szCs w:val="18"/>
                <w:color w:val="auto"/>
              </w:rPr>
              <w:t>85</w:t>
            </w:r>
          </w:p>
        </w:tc>
      </w:tr>
      <w:tr>
        <w:trPr>
          <w:trHeight w:val="183"/>
        </w:trPr>
        <w:tc>
          <w:tcPr>
            <w:tcW w:w="20" w:type="dxa"/>
            <w:vAlign w:val="bottom"/>
            <w:tcBorders>
              <w:top w:val="single" w:sz="8" w:color="0000EE"/>
            </w:tcBorders>
          </w:tcPr>
          <w:p>
            <w:pPr>
              <w:spacing w:after="0"/>
              <w:rPr>
                <w:sz w:val="15"/>
                <w:szCs w:val="15"/>
                <w:color w:val="auto"/>
              </w:rPr>
            </w:pPr>
          </w:p>
        </w:tc>
        <w:tc>
          <w:tcPr>
            <w:tcW w:w="2080" w:type="dxa"/>
            <w:vAlign w:val="bottom"/>
            <w:tcBorders>
              <w:top w:val="single" w:sz="8" w:color="0000FF"/>
            </w:tcBorders>
          </w:tcPr>
          <w:p>
            <w:pPr>
              <w:spacing w:after="0" w:line="182" w:lineRule="exact"/>
              <w:rPr>
                <w:rFonts w:ascii="Arial" w:cs="Arial" w:eastAsia="Arial" w:hAnsi="Arial"/>
                <w:sz w:val="18"/>
                <w:szCs w:val="18"/>
                <w:color w:val="0000FF"/>
                <w:w w:val="93"/>
              </w:rPr>
            </w:pPr>
            <w:hyperlink w:anchor="page92">
              <w:r>
                <w:rPr>
                  <w:rFonts w:ascii="Arial" w:cs="Arial" w:eastAsia="Arial" w:hAnsi="Arial"/>
                  <w:sz w:val="18"/>
                  <w:szCs w:val="18"/>
                  <w:color w:val="0000FF"/>
                  <w:w w:val="93"/>
                </w:rPr>
                <w:t>Consolidated Statements of</w:t>
              </w:r>
            </w:hyperlink>
          </w:p>
        </w:tc>
        <w:tc>
          <w:tcPr>
            <w:tcW w:w="20" w:type="dxa"/>
            <w:vAlign w:val="bottom"/>
            <w:tcBorders>
              <w:top w:val="single" w:sz="8" w:color="0000EE"/>
            </w:tcBorders>
          </w:tcPr>
          <w:p>
            <w:pPr>
              <w:spacing w:after="0"/>
              <w:rPr>
                <w:sz w:val="15"/>
                <w:szCs w:val="15"/>
                <w:color w:val="auto"/>
              </w:rPr>
            </w:pPr>
          </w:p>
        </w:tc>
        <w:tc>
          <w:tcPr>
            <w:tcW w:w="7380" w:type="dxa"/>
            <w:vAlign w:val="bottom"/>
            <w:gridSpan w:val="6"/>
          </w:tcPr>
          <w:p>
            <w:pPr>
              <w:spacing w:after="0" w:line="182" w:lineRule="exact"/>
              <w:rPr>
                <w:rFonts w:ascii="Arial" w:cs="Arial" w:eastAsia="Arial" w:hAnsi="Arial"/>
                <w:sz w:val="18"/>
                <w:szCs w:val="18"/>
                <w:color w:val="0000FF"/>
              </w:rPr>
            </w:pPr>
            <w:hyperlink w:anchor="page92">
              <w:r>
                <w:rPr>
                  <w:rFonts w:ascii="Arial" w:cs="Arial" w:eastAsia="Arial" w:hAnsi="Arial"/>
                  <w:sz w:val="18"/>
                  <w:szCs w:val="18"/>
                  <w:color w:val="0000FF"/>
                </w:rPr>
                <w:t>Operations and Comprehensive Loss</w:t>
              </w:r>
            </w:hyperlink>
          </w:p>
        </w:tc>
        <w:tc>
          <w:tcPr>
            <w:tcW w:w="174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r>
      <w:tr>
        <w:trPr>
          <w:trHeight w:val="183"/>
        </w:trPr>
        <w:tc>
          <w:tcPr>
            <w:tcW w:w="20" w:type="dxa"/>
            <w:vAlign w:val="bottom"/>
            <w:tcBorders>
              <w:top w:val="single" w:sz="8" w:color="0000EE"/>
            </w:tcBorders>
          </w:tcPr>
          <w:p>
            <w:pPr>
              <w:spacing w:after="0"/>
              <w:rPr>
                <w:sz w:val="15"/>
                <w:szCs w:val="15"/>
                <w:color w:val="auto"/>
              </w:rPr>
            </w:pPr>
          </w:p>
        </w:tc>
        <w:tc>
          <w:tcPr>
            <w:tcW w:w="468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93">
              <w:r>
                <w:rPr>
                  <w:rFonts w:ascii="Arial" w:cs="Arial" w:eastAsia="Arial" w:hAnsi="Arial"/>
                  <w:sz w:val="18"/>
                  <w:szCs w:val="18"/>
                  <w:color w:val="0000FF"/>
                </w:rPr>
                <w:t>Consolidated Statements of Stockholders’ Equity</w:t>
              </w:r>
            </w:hyperlink>
          </w:p>
        </w:tc>
        <w:tc>
          <w:tcPr>
            <w:tcW w:w="4800" w:type="dxa"/>
            <w:vAlign w:val="bottom"/>
            <w:gridSpan w:val="2"/>
          </w:tcPr>
          <w:p>
            <w:pPr>
              <w:spacing w:after="0"/>
              <w:rPr>
                <w:sz w:val="15"/>
                <w:szCs w:val="15"/>
                <w:color w:val="auto"/>
              </w:rPr>
            </w:pPr>
          </w:p>
        </w:tc>
        <w:tc>
          <w:tcPr>
            <w:tcW w:w="174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28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Consolidated Statements of Cash Flows</w:t>
              </w:r>
            </w:hyperlink>
          </w:p>
        </w:tc>
        <w:tc>
          <w:tcPr>
            <w:tcW w:w="660" w:type="dxa"/>
            <w:vAlign w:val="bottom"/>
            <w:tcBorders>
              <w:top w:val="single" w:sz="8" w:color="0000FF"/>
            </w:tcBorders>
            <w:gridSpan w:val="2"/>
          </w:tcPr>
          <w:p>
            <w:pPr>
              <w:spacing w:after="0"/>
              <w:rPr>
                <w:sz w:val="15"/>
                <w:szCs w:val="15"/>
                <w:color w:val="auto"/>
              </w:rPr>
            </w:pPr>
          </w:p>
        </w:tc>
        <w:tc>
          <w:tcPr>
            <w:tcW w:w="5940" w:type="dxa"/>
            <w:vAlign w:val="bottom"/>
            <w:gridSpan w:val="3"/>
          </w:tcPr>
          <w:p>
            <w:pPr>
              <w:spacing w:after="0"/>
              <w:rPr>
                <w:sz w:val="15"/>
                <w:szCs w:val="15"/>
                <w:color w:val="auto"/>
              </w:rPr>
            </w:pPr>
          </w:p>
        </w:tc>
        <w:tc>
          <w:tcPr>
            <w:tcW w:w="174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r>
      <w:tr>
        <w:trPr>
          <w:trHeight w:val="183"/>
        </w:trPr>
        <w:tc>
          <w:tcPr>
            <w:tcW w:w="20" w:type="dxa"/>
            <w:vAlign w:val="bottom"/>
          </w:tcPr>
          <w:p>
            <w:pPr>
              <w:spacing w:after="0"/>
              <w:rPr>
                <w:sz w:val="15"/>
                <w:szCs w:val="15"/>
                <w:color w:val="auto"/>
              </w:rPr>
            </w:pPr>
          </w:p>
        </w:tc>
        <w:tc>
          <w:tcPr>
            <w:tcW w:w="9480" w:type="dxa"/>
            <w:vAlign w:val="bottom"/>
            <w:gridSpan w:val="8"/>
          </w:tcPr>
          <w:p>
            <w:pPr>
              <w:spacing w:after="0" w:line="182" w:lineRule="exact"/>
              <w:rPr>
                <w:rFonts w:ascii="Arial" w:cs="Arial" w:eastAsia="Arial" w:hAnsi="Arial"/>
                <w:sz w:val="18"/>
                <w:szCs w:val="18"/>
                <w:color w:val="0000FF"/>
              </w:rPr>
            </w:pPr>
            <w:hyperlink w:anchor="page95">
              <w:r>
                <w:rPr>
                  <w:rFonts w:ascii="Arial" w:cs="Arial" w:eastAsia="Arial" w:hAnsi="Arial"/>
                  <w:sz w:val="18"/>
                  <w:szCs w:val="18"/>
                  <w:color w:val="0000FF"/>
                </w:rPr>
                <w:t>Notes to Consolidated Financial Statements</w:t>
              </w:r>
            </w:hyperlink>
          </w:p>
        </w:tc>
        <w:tc>
          <w:tcPr>
            <w:tcW w:w="174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r>
      <w:tr>
        <w:trPr>
          <w:trHeight w:val="642"/>
        </w:trPr>
        <w:tc>
          <w:tcPr>
            <w:tcW w:w="20" w:type="dxa"/>
            <w:vAlign w:val="bottom"/>
          </w:tcPr>
          <w:p>
            <w:pPr>
              <w:spacing w:after="0"/>
              <w:rPr>
                <w:sz w:val="24"/>
                <w:szCs w:val="24"/>
                <w:color w:val="auto"/>
              </w:rPr>
            </w:pPr>
          </w:p>
        </w:tc>
        <w:tc>
          <w:tcPr>
            <w:tcW w:w="3140" w:type="dxa"/>
            <w:vAlign w:val="bottom"/>
            <w:tcBorders>
              <w:top w:val="single" w:sz="8" w:color="0000FF"/>
            </w:tcBorders>
            <w:gridSpan w:val="4"/>
          </w:tcPr>
          <w:p>
            <w:pPr>
              <w:spacing w:after="0"/>
              <w:rPr>
                <w:sz w:val="24"/>
                <w:szCs w:val="24"/>
                <w:color w:val="auto"/>
              </w:rPr>
            </w:pPr>
          </w:p>
        </w:tc>
        <w:tc>
          <w:tcPr>
            <w:tcW w:w="6340" w:type="dxa"/>
            <w:vAlign w:val="bottom"/>
            <w:gridSpan w:val="4"/>
          </w:tcPr>
          <w:p>
            <w:pPr>
              <w:jc w:val="right"/>
              <w:ind w:right="3780"/>
              <w:spacing w:after="0"/>
              <w:rPr>
                <w:sz w:val="20"/>
                <w:szCs w:val="20"/>
                <w:color w:val="auto"/>
              </w:rPr>
            </w:pPr>
            <w:r>
              <w:rPr>
                <w:rFonts w:ascii="Arial" w:cs="Arial" w:eastAsia="Arial" w:hAnsi="Arial"/>
                <w:sz w:val="18"/>
                <w:szCs w:val="18"/>
                <w:color w:val="auto"/>
              </w:rPr>
              <w:t>82</w:t>
            </w:r>
          </w:p>
        </w:tc>
        <w:tc>
          <w:tcPr>
            <w:tcW w:w="174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90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8" w:name="page89"/>
    <w:bookmarkEnd w:id="8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Kodiak Sciences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 xml:space="preserve">We have audited the accompanying consolidated balance sheets of Kodiak Sciences Inc. and its subsidiaries (the “Company”) as of December 31, 2021 and 2020, and the related consolidated statements of operations and comprehensive loss,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33"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Clinical Trial and Related Costs</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described in Notes 2 and 4 to the consolidated financial statements, the Company recorded $21.8 million in accrued clinical trial and related costs as of December 31, 2021.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w:t>
      </w:r>
    </w:p>
    <w:p>
      <w:pPr>
        <w:spacing w:after="0" w:line="14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principal considerations for our determination that performing procedures relating to accrued clinical trial and related costs is a critical audit matter are the judgment by management in evaluating the data used in developing the accrued clinical trial and related cost estimates, which in turn led to a high degree of auditor judgment and effort in performing procedures to evaluate audit evidence obtained related to patient enrollment, clinical site activations and services rendered by outside service providers used by management in developing the estimates.</w:t>
      </w:r>
    </w:p>
    <w:p>
      <w:pPr>
        <w:spacing w:after="0" w:line="13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completeness and accuracy of clinical trial accruals, including controls relating to the reliability of data used in the development of the estimates. These procedures also included, among others, (1) testing management’s process for developing the estimated accrued clinical trial and related costs, (2) evaluating the appropriateness of the approach used by management to develop the estimates, (3) testing the completeness and accuracy of the data used in developing the estimates, including data related to patient enrollment, clinical site activations and services rendered by outside service providers, (4) confirming clinical costs and contracted fees with the clinical vendors on a test basis, and (5) examining clinical vendor contracts on a test basis to evaluate the completeness of costs considered in the estimates.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March 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w w:val="99"/>
              </w:rPr>
              <w:t>December 31,</w:t>
            </w:r>
          </w:p>
        </w:tc>
        <w:tc>
          <w:tcPr>
            <w:tcW w:w="200" w:type="dxa"/>
            <w:vAlign w:val="bottom"/>
          </w:tcPr>
          <w:p>
            <w:pPr>
              <w:spacing w:after="0"/>
              <w:rPr>
                <w:sz w:val="16"/>
                <w:szCs w:val="16"/>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731,510</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944,396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6"/>
                <w:szCs w:val="16"/>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24,578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3,301</w:t>
            </w:r>
          </w:p>
        </w:tc>
        <w:tc>
          <w:tcPr>
            <w:tcW w:w="2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3,031</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380"/>
              <w:spacing w:after="0" w:line="183" w:lineRule="exact"/>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734,811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972,005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6,324</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41,330</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5,136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66,744</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73,672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55,011</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904,220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1,067,347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12,431</w:t>
            </w:r>
          </w:p>
        </w:tc>
        <w:tc>
          <w:tcPr>
            <w:tcW w:w="28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8,646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48,319</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20,402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Operating lease liability</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64,683</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31,422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76,063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75,028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Liability related to sale of future royalties</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99,943</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99,890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240,900</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206,596</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6"/>
                <w:szCs w:val="16"/>
                <w:color w:val="auto"/>
              </w:rPr>
              <w:t>Commitments and contingencies (Note 7)</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20" w:type="dxa"/>
            <w:vAlign w:val="bottom"/>
          </w:tcPr>
          <w:p>
            <w:pPr>
              <w:ind w:left="200"/>
              <w:spacing w:after="0" w:line="152" w:lineRule="exact"/>
              <w:rPr>
                <w:sz w:val="20"/>
                <w:szCs w:val="20"/>
                <w:color w:val="auto"/>
              </w:rPr>
            </w:pPr>
            <w:r>
              <w:rPr>
                <w:rFonts w:ascii="Arial" w:cs="Arial" w:eastAsia="Arial" w:hAnsi="Arial"/>
                <w:sz w:val="16"/>
                <w:szCs w:val="16"/>
                <w:color w:val="auto"/>
              </w:rPr>
              <w:t>Preferred stock, $0.0001 par value, 10,000,000 shares authorized;</w:t>
            </w: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320"/>
              <w:spacing w:after="0" w:line="162" w:lineRule="exact"/>
              <w:rPr>
                <w:sz w:val="20"/>
                <w:szCs w:val="20"/>
                <w:color w:val="auto"/>
              </w:rPr>
            </w:pPr>
            <w:r>
              <w:rPr>
                <w:rFonts w:ascii="Arial" w:cs="Arial" w:eastAsia="Arial" w:hAnsi="Arial"/>
                <w:sz w:val="16"/>
                <w:szCs w:val="16"/>
                <w:color w:val="auto"/>
              </w:rPr>
              <w:t>0 shares issued and outstanding at December 31, 2021 and</w:t>
            </w:r>
          </w:p>
        </w:tc>
        <w:tc>
          <w:tcPr>
            <w:tcW w:w="220" w:type="dxa"/>
            <w:vAlign w:val="bottom"/>
          </w:tcPr>
          <w:p>
            <w:pPr>
              <w:spacing w:after="0"/>
              <w:rPr>
                <w:sz w:val="14"/>
                <w:szCs w:val="14"/>
                <w:color w:val="auto"/>
              </w:rPr>
            </w:pPr>
          </w:p>
        </w:tc>
        <w:tc>
          <w:tcPr>
            <w:tcW w:w="16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720" w:type="dxa"/>
            <w:vAlign w:val="bottom"/>
          </w:tcPr>
          <w:p>
            <w:pPr>
              <w:ind w:left="320"/>
              <w:spacing w:after="0"/>
              <w:rPr>
                <w:sz w:val="20"/>
                <w:szCs w:val="20"/>
                <w:color w:val="auto"/>
              </w:rPr>
            </w:pPr>
            <w:r>
              <w:rPr>
                <w:rFonts w:ascii="Arial" w:cs="Arial" w:eastAsia="Arial" w:hAnsi="Arial"/>
                <w:sz w:val="16"/>
                <w:szCs w:val="16"/>
                <w:color w:val="auto"/>
              </w:rPr>
              <w:t>December 31, 2020, respectively</w:t>
            </w:r>
          </w:p>
        </w:tc>
        <w:tc>
          <w:tcPr>
            <w:tcW w:w="22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72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Common stock, $0.0001 par value, 490,000,000 shares authorized</w:t>
            </w:r>
          </w:p>
        </w:tc>
        <w:tc>
          <w:tcPr>
            <w:tcW w:w="2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20"/>
              <w:spacing w:after="0" w:line="162" w:lineRule="exact"/>
              <w:rPr>
                <w:sz w:val="20"/>
                <w:szCs w:val="20"/>
                <w:color w:val="auto"/>
              </w:rPr>
            </w:pPr>
            <w:r>
              <w:rPr>
                <w:rFonts w:ascii="Arial" w:cs="Arial" w:eastAsia="Arial" w:hAnsi="Arial"/>
                <w:sz w:val="16"/>
                <w:szCs w:val="16"/>
                <w:color w:val="auto"/>
              </w:rPr>
              <w:t>at December 31, 2021 and December 31, 2020; 51,826,257 and</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20"/>
              <w:spacing w:after="0" w:line="162" w:lineRule="exact"/>
              <w:rPr>
                <w:sz w:val="20"/>
                <w:szCs w:val="20"/>
                <w:color w:val="auto"/>
              </w:rPr>
            </w:pPr>
            <w:r>
              <w:rPr>
                <w:rFonts w:ascii="Arial" w:cs="Arial" w:eastAsia="Arial" w:hAnsi="Arial"/>
                <w:sz w:val="16"/>
                <w:szCs w:val="16"/>
                <w:color w:val="auto"/>
              </w:rPr>
              <w:t>51,112,302 shares issued and outstanding at December 31, 2021 and</w:t>
            </w:r>
          </w:p>
        </w:tc>
        <w:tc>
          <w:tcPr>
            <w:tcW w:w="22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2020, respectively</w:t>
            </w:r>
          </w:p>
        </w:tc>
        <w:tc>
          <w:tcPr>
            <w:tcW w:w="220" w:type="dxa"/>
            <w:vAlign w:val="bottom"/>
            <w:shd w:val="clear" w:color="auto" w:fill="CFF0FC"/>
          </w:tcPr>
          <w:p>
            <w:pPr>
              <w:spacing w:after="0"/>
              <w:rPr>
                <w:sz w:val="17"/>
                <w:szCs w:val="17"/>
                <w:color w:val="auto"/>
              </w:rPr>
            </w:pPr>
          </w:p>
        </w:tc>
        <w:tc>
          <w:tcPr>
            <w:tcW w:w="138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1,221,532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1,151,920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shd w:val="clear" w:color="auto" w:fill="CFF0FC"/>
          </w:tcPr>
          <w:p>
            <w:pPr>
              <w:spacing w:after="0"/>
              <w:rPr>
                <w:sz w:val="16"/>
                <w:szCs w:val="16"/>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6"/>
                <w:szCs w:val="16"/>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6"/>
                <w:szCs w:val="16"/>
                <w:color w:val="auto"/>
              </w:rPr>
              <w:t>(558,217 )</w:t>
            </w:r>
          </w:p>
        </w:tc>
        <w:tc>
          <w:tcPr>
            <w:tcW w:w="200" w:type="dxa"/>
            <w:vAlign w:val="bottom"/>
          </w:tcPr>
          <w:p>
            <w:pPr>
              <w:spacing w:after="0"/>
              <w:rPr>
                <w:sz w:val="16"/>
                <w:szCs w:val="16"/>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(291,227 )</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3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663,320</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3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860,751</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904,220</w:t>
            </w:r>
          </w:p>
        </w:tc>
        <w:tc>
          <w:tcPr>
            <w:tcW w:w="28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1,067,347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-3622675</wp:posOffset>
            </wp:positionV>
            <wp:extent cx="6032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-3622675</wp:posOffset>
            </wp:positionV>
            <wp:extent cx="514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-2887980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-2871470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-2887980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-2871470</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-1642110</wp:posOffset>
            </wp:positionV>
            <wp:extent cx="603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-1642110</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-150495</wp:posOffset>
            </wp:positionV>
            <wp:extent cx="6032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Year Ended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9"/>
              <w:spacing w:after="0" w:line="169" w:lineRule="exact"/>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39"/>
              <w:spacing w:after="0" w:line="169" w:lineRule="exact"/>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9"/>
              <w:spacing w:after="0" w:line="169"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Operating expenses</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217,340</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107,389</w:t>
            </w:r>
          </w:p>
        </w:tc>
        <w:tc>
          <w:tcPr>
            <w:tcW w:w="24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37,506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49,711</w:t>
            </w: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28,618</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11,684</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ind w:left="380"/>
              <w:spacing w:after="0" w:line="183" w:lineRule="exact"/>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267,051</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136,007</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49,190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(267,051</w:t>
            </w:r>
          </w:p>
        </w:tc>
        <w:tc>
          <w:tcPr>
            <w:tcW w:w="2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(136,007</w:t>
            </w:r>
          </w:p>
        </w:tc>
        <w:tc>
          <w:tcPr>
            <w:tcW w:w="24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(49,190</w:t>
            </w:r>
          </w:p>
        </w:tc>
        <w:tc>
          <w:tcPr>
            <w:tcW w:w="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652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2,902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(22 )</w:t>
            </w:r>
          </w:p>
        </w:tc>
        <w:tc>
          <w:tcPr>
            <w:tcW w:w="16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(25 )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189"/>
        </w:trPr>
        <w:tc>
          <w:tcPr>
            <w:tcW w:w="652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16"/>
                <w:szCs w:val="16"/>
                <w:color w:val="auto"/>
              </w:rPr>
            </w:pPr>
          </w:p>
        </w:tc>
        <w:tc>
          <w:tcPr>
            <w:tcW w:w="1340" w:type="dxa"/>
            <w:vAlign w:val="bottom"/>
            <w:gridSpan w:val="2"/>
          </w:tcPr>
          <w:p>
            <w:pPr>
              <w:jc w:val="right"/>
              <w:ind w:right="99"/>
              <w:spacing w:after="0"/>
              <w:rPr>
                <w:sz w:val="20"/>
                <w:szCs w:val="20"/>
                <w:color w:val="auto"/>
              </w:rPr>
            </w:pPr>
            <w:r>
              <w:rPr>
                <w:rFonts w:ascii="Arial" w:cs="Arial" w:eastAsia="Arial" w:hAnsi="Arial"/>
                <w:sz w:val="16"/>
                <w:szCs w:val="16"/>
                <w:color w:val="auto"/>
              </w:rPr>
              <w:t>(215 )</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(266,990</w:t>
            </w:r>
          </w:p>
        </w:tc>
        <w:tc>
          <w:tcPr>
            <w:tcW w:w="240" w:type="dxa"/>
            <w:vAlign w:val="bottom"/>
            <w:tcBorders>
              <w:bottom w:val="single" w:sz="8" w:color="CFF0FC"/>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(133,096</w:t>
            </w:r>
          </w:p>
        </w:tc>
        <w:tc>
          <w:tcPr>
            <w:tcW w:w="24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(47,365</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0"/>
        </w:trPr>
        <w:tc>
          <w:tcPr>
            <w:tcW w:w="6520" w:type="dxa"/>
            <w:vAlign w:val="bottom"/>
          </w:tcPr>
          <w:p>
            <w:pPr>
              <w:ind w:left="20"/>
              <w:spacing w:after="0" w:line="170" w:lineRule="exact"/>
              <w:rPr>
                <w:sz w:val="20"/>
                <w:szCs w:val="20"/>
                <w:color w:val="auto"/>
              </w:rPr>
            </w:pPr>
            <w:r>
              <w:rPr>
                <w:rFonts w:ascii="Arial" w:cs="Arial" w:eastAsia="Arial" w:hAnsi="Arial"/>
                <w:sz w:val="16"/>
                <w:szCs w:val="16"/>
                <w:color w:val="auto"/>
              </w:rPr>
              <w:t>Net loss per common share, basic and diluted</w:t>
            </w:r>
          </w:p>
        </w:tc>
        <w:tc>
          <w:tcPr>
            <w:tcW w:w="320" w:type="dxa"/>
            <w:vAlign w:val="bottom"/>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99"/>
              <w:spacing w:after="0" w:line="170" w:lineRule="exact"/>
              <w:rPr>
                <w:sz w:val="20"/>
                <w:szCs w:val="20"/>
                <w:color w:val="auto"/>
              </w:rPr>
            </w:pPr>
            <w:r>
              <w:rPr>
                <w:rFonts w:ascii="Arial" w:cs="Arial" w:eastAsia="Arial" w:hAnsi="Arial"/>
                <w:sz w:val="16"/>
                <w:szCs w:val="16"/>
                <w:color w:val="auto"/>
              </w:rPr>
              <w:t>(5.16 )</w:t>
            </w:r>
          </w:p>
        </w:tc>
        <w:tc>
          <w:tcPr>
            <w:tcW w:w="160" w:type="dxa"/>
            <w:vAlign w:val="bottom"/>
          </w:tcPr>
          <w:p>
            <w:pPr>
              <w:jc w:val="right"/>
              <w:spacing w:after="0" w:line="170" w:lineRule="exact"/>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79"/>
              <w:spacing w:after="0" w:line="170" w:lineRule="exact"/>
              <w:rPr>
                <w:sz w:val="20"/>
                <w:szCs w:val="20"/>
                <w:color w:val="auto"/>
              </w:rPr>
            </w:pPr>
            <w:r>
              <w:rPr>
                <w:rFonts w:ascii="Arial" w:cs="Arial" w:eastAsia="Arial" w:hAnsi="Arial"/>
                <w:sz w:val="16"/>
                <w:szCs w:val="16"/>
                <w:color w:val="auto"/>
              </w:rPr>
              <w:t>(2.91 )</w:t>
            </w:r>
          </w:p>
        </w:tc>
        <w:tc>
          <w:tcPr>
            <w:tcW w:w="300" w:type="dxa"/>
            <w:vAlign w:val="bottom"/>
          </w:tcPr>
          <w:p>
            <w:pPr>
              <w:jc w:val="right"/>
              <w:ind w:right="11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520" w:type="dxa"/>
            <w:vAlign w:val="bottom"/>
            <w:shd w:val="clear" w:color="auto" w:fill="CFF0FC"/>
          </w:tcPr>
          <w:p>
            <w:pPr>
              <w:ind w:left="20"/>
              <w:spacing w:after="0" w:line="133" w:lineRule="exact"/>
              <w:rPr>
                <w:sz w:val="20"/>
                <w:szCs w:val="20"/>
                <w:color w:val="auto"/>
              </w:rPr>
            </w:pPr>
            <w:r>
              <w:rPr>
                <w:rFonts w:ascii="Arial" w:cs="Arial" w:eastAsia="Arial" w:hAnsi="Arial"/>
                <w:sz w:val="15"/>
                <w:szCs w:val="15"/>
                <w:color w:val="auto"/>
              </w:rPr>
              <w:t>Weighted-average shares of common stock outstanding used</w:t>
            </w:r>
          </w:p>
        </w:tc>
        <w:tc>
          <w:tcPr>
            <w:tcW w:w="320" w:type="dxa"/>
            <w:vAlign w:val="bottom"/>
            <w:shd w:val="clear" w:color="auto" w:fill="CFF0FC"/>
          </w:tcPr>
          <w:p>
            <w:pPr>
              <w:spacing w:after="0"/>
              <w:rPr>
                <w:sz w:val="11"/>
                <w:szCs w:val="11"/>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51,788,918</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45,741,845</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37,853,616</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520" w:type="dxa"/>
            <w:vAlign w:val="bottom"/>
            <w:tcBorders>
              <w:bottom w:val="single" w:sz="8" w:color="CFF0FC"/>
            </w:tcBorders>
            <w:shd w:val="clear" w:color="auto" w:fill="CFF0FC"/>
          </w:tcPr>
          <w:p>
            <w:pPr>
              <w:ind w:left="140"/>
              <w:spacing w:after="0" w:line="138" w:lineRule="exact"/>
              <w:rPr>
                <w:sz w:val="20"/>
                <w:szCs w:val="20"/>
                <w:color w:val="auto"/>
              </w:rPr>
            </w:pPr>
            <w:r>
              <w:rPr>
                <w:rFonts w:ascii="Arial" w:cs="Arial" w:eastAsia="Arial" w:hAnsi="Arial"/>
                <w:sz w:val="16"/>
                <w:szCs w:val="16"/>
                <w:color w:val="auto"/>
              </w:rPr>
              <w:t>in computing net loss per common share, basic and diluted</w:t>
            </w: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520" w:type="dxa"/>
            <w:vAlign w:val="bottom"/>
          </w:tcPr>
          <w:p>
            <w:pPr>
              <w:ind w:left="20"/>
              <w:spacing w:after="0" w:line="170" w:lineRule="exact"/>
              <w:rPr>
                <w:sz w:val="20"/>
                <w:szCs w:val="20"/>
                <w:color w:val="auto"/>
              </w:rPr>
            </w:pPr>
            <w:r>
              <w:rPr>
                <w:rFonts w:ascii="Arial" w:cs="Arial" w:eastAsia="Arial" w:hAnsi="Arial"/>
                <w:sz w:val="16"/>
                <w:szCs w:val="16"/>
                <w:color w:val="auto"/>
              </w:rPr>
              <w:t>Other comprehensive income (loss)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Change in unrealized gains related to available-for-sale</w:t>
            </w:r>
          </w:p>
        </w:tc>
        <w:tc>
          <w:tcPr>
            <w:tcW w:w="320" w:type="dxa"/>
            <w:vAlign w:val="bottom"/>
            <w:shd w:val="clear" w:color="auto" w:fill="CFF0FC"/>
          </w:tcPr>
          <w:p>
            <w:pPr>
              <w:spacing w:after="0"/>
              <w:rPr>
                <w:sz w:val="13"/>
                <w:szCs w:val="13"/>
                <w:color w:val="auto"/>
              </w:rPr>
            </w:pPr>
          </w:p>
        </w:tc>
        <w:tc>
          <w:tcPr>
            <w:tcW w:w="134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(53 )</w:t>
            </w:r>
          </w:p>
        </w:tc>
        <w:tc>
          <w:tcPr>
            <w:tcW w:w="16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5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debt securities, net of tax</w:t>
            </w:r>
          </w:p>
        </w:tc>
        <w:tc>
          <w:tcPr>
            <w:tcW w:w="320" w:type="dxa"/>
            <w:vAlign w:val="bottom"/>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Pr>
          <w:p>
            <w:pPr>
              <w:ind w:left="380"/>
              <w:spacing w:after="0" w:line="183" w:lineRule="exact"/>
              <w:rPr>
                <w:sz w:val="20"/>
                <w:szCs w:val="20"/>
                <w:color w:val="auto"/>
              </w:rPr>
            </w:pPr>
            <w:r>
              <w:rPr>
                <w:rFonts w:ascii="Arial" w:cs="Arial" w:eastAsia="Arial" w:hAnsi="Arial"/>
                <w:sz w:val="16"/>
                <w:szCs w:val="16"/>
                <w:color w:val="auto"/>
              </w:rPr>
              <w:t>Total other comprehensive income (loss)</w:t>
            </w:r>
          </w:p>
        </w:tc>
        <w:tc>
          <w:tcPr>
            <w:tcW w:w="320" w:type="dxa"/>
            <w:vAlign w:val="bottom"/>
          </w:tcPr>
          <w:p>
            <w:pPr>
              <w:spacing w:after="0"/>
              <w:rPr>
                <w:sz w:val="15"/>
                <w:szCs w:val="15"/>
                <w:color w:val="auto"/>
              </w:rPr>
            </w:pPr>
          </w:p>
        </w:tc>
        <w:tc>
          <w:tcPr>
            <w:tcW w:w="134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(53 )</w:t>
            </w:r>
          </w:p>
        </w:tc>
        <w:tc>
          <w:tcPr>
            <w:tcW w:w="16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43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Comprehensive loss</w:t>
            </w:r>
          </w:p>
        </w:tc>
        <w:tc>
          <w:tcPr>
            <w:tcW w:w="320" w:type="dxa"/>
            <w:vAlign w:val="bottom"/>
            <w:tcBorders>
              <w:top w:val="single" w:sz="8" w:color="auto"/>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(267,043</w:t>
            </w:r>
          </w:p>
        </w:tc>
        <w:tc>
          <w:tcPr>
            <w:tcW w:w="240" w:type="dxa"/>
            <w:vAlign w:val="bottom"/>
            <w:tcBorders>
              <w:bottom w:val="single" w:sz="8" w:color="CFF0FC"/>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(133,053</w:t>
            </w:r>
          </w:p>
        </w:tc>
        <w:tc>
          <w:tcPr>
            <w:tcW w:w="24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(47,355</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5024120</wp:posOffset>
            </wp:positionH>
            <wp:positionV relativeFrom="paragraph">
              <wp:posOffset>-2258060</wp:posOffset>
            </wp:positionV>
            <wp:extent cx="8572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-2258060</wp:posOffset>
            </wp:positionV>
            <wp:extent cx="76835"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-2258060</wp:posOffset>
            </wp:positionV>
            <wp:extent cx="7683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-1753870</wp:posOffset>
            </wp:positionV>
            <wp:extent cx="6032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-1753870</wp:posOffset>
            </wp:positionV>
            <wp:extent cx="5143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-1753870</wp:posOffset>
            </wp:positionV>
            <wp:extent cx="5143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-1010920</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-993775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-1010920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-993775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-1010920</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-993775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-642620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-625475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-642620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-625475</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-642620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-625475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-279400</wp:posOffset>
            </wp:positionV>
            <wp:extent cx="6032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-279400</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-279400</wp:posOffset>
            </wp:positionV>
            <wp:extent cx="5143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 thousands, except share and per share amounts)</w:t>
      </w:r>
    </w:p>
    <w:p>
      <w:pPr>
        <w:sectPr>
          <w:pgSz w:w="11900" w:h="16838" w:orient="portrait"/>
          <w:cols w:equalWidth="0" w:num="1">
            <w:col w:w="11060"/>
          </w:cols>
          <w:pgMar w:left="400" w:top="324" w:right="439" w:bottom="1440" w:gutter="0" w:footer="0" w:header="0"/>
        </w:sect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r>
      <w:tr>
        <w:trPr>
          <w:trHeight w:val="169"/>
        </w:trPr>
        <w:tc>
          <w:tcPr>
            <w:tcW w:w="2700" w:type="dxa"/>
            <w:vAlign w:val="bottom"/>
          </w:tcPr>
          <w:p>
            <w:pPr>
              <w:spacing w:after="0"/>
              <w:rPr>
                <w:sz w:val="14"/>
                <w:szCs w:val="14"/>
                <w:color w:val="auto"/>
              </w:rPr>
            </w:pP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r>
      <w:tr>
        <w:trPr>
          <w:trHeight w:val="164"/>
        </w:trPr>
        <w:tc>
          <w:tcPr>
            <w:tcW w:w="2700" w:type="dxa"/>
            <w:vAlign w:val="bottom"/>
          </w:tcPr>
          <w:p>
            <w:pPr>
              <w:spacing w:after="0"/>
              <w:rPr>
                <w:sz w:val="20"/>
                <w:szCs w:val="20"/>
                <w:color w:val="auto"/>
              </w:rPr>
            </w:pPr>
            <w:r>
              <w:rPr>
                <w:rFonts w:ascii="Arial" w:cs="Arial" w:eastAsia="Arial" w:hAnsi="Arial"/>
                <w:sz w:val="14"/>
                <w:szCs w:val="14"/>
                <w:color w:val="auto"/>
              </w:rPr>
              <w:t>Balances at December 31, 2018</w:t>
            </w:r>
          </w:p>
        </w:tc>
        <w:tc>
          <w:tcPr>
            <w:tcW w:w="1220" w:type="dxa"/>
            <w:vAlign w:val="bottom"/>
          </w:tcPr>
          <w:p>
            <w:pPr>
              <w:jc w:val="right"/>
              <w:spacing w:after="0"/>
              <w:rPr>
                <w:sz w:val="20"/>
                <w:szCs w:val="20"/>
                <w:color w:val="auto"/>
              </w:rPr>
            </w:pPr>
            <w:r>
              <w:rPr>
                <w:rFonts w:ascii="Arial" w:cs="Arial" w:eastAsia="Arial" w:hAnsi="Arial"/>
                <w:sz w:val="14"/>
                <w:szCs w:val="14"/>
                <w:color w:val="auto"/>
              </w:rPr>
              <w:t>36,829,857</w:t>
            </w:r>
          </w:p>
        </w:tc>
        <w:tc>
          <w:tcPr>
            <w:tcW w:w="2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upon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6"/>
        </w:trPr>
        <w:tc>
          <w:tcPr>
            <w:tcW w:w="270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1220" w:type="dxa"/>
            <w:vAlign w:val="bottom"/>
          </w:tcPr>
          <w:p>
            <w:pPr>
              <w:jc w:val="right"/>
              <w:spacing w:after="0"/>
              <w:rPr>
                <w:sz w:val="20"/>
                <w:szCs w:val="20"/>
                <w:color w:val="auto"/>
              </w:rPr>
            </w:pPr>
            <w:r>
              <w:rPr>
                <w:rFonts w:ascii="Arial" w:cs="Arial" w:eastAsia="Arial" w:hAnsi="Arial"/>
                <w:sz w:val="14"/>
                <w:szCs w:val="14"/>
                <w:color w:val="auto"/>
              </w:rPr>
              <w:t>662,079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8"/>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upon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2700" w:type="dxa"/>
            <w:vAlign w:val="bottom"/>
          </w:tcPr>
          <w:p>
            <w:pPr>
              <w:ind w:left="300"/>
              <w:spacing w:after="0" w:line="149" w:lineRule="exact"/>
              <w:rPr>
                <w:sz w:val="20"/>
                <w:szCs w:val="20"/>
                <w:color w:val="auto"/>
              </w:rPr>
            </w:pPr>
            <w:r>
              <w:rPr>
                <w:rFonts w:ascii="Arial" w:cs="Arial" w:eastAsia="Arial" w:hAnsi="Arial"/>
                <w:sz w:val="14"/>
                <w:szCs w:val="14"/>
                <w:color w:val="auto"/>
              </w:rPr>
              <w:t>vesting of restricted stock</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6"/>
        </w:trPr>
        <w:tc>
          <w:tcPr>
            <w:tcW w:w="2700" w:type="dxa"/>
            <w:vAlign w:val="bottom"/>
          </w:tcPr>
          <w:p>
            <w:pPr>
              <w:ind w:left="300"/>
              <w:spacing w:after="0"/>
              <w:rPr>
                <w:sz w:val="20"/>
                <w:szCs w:val="20"/>
                <w:color w:val="auto"/>
              </w:rPr>
            </w:pPr>
            <w:r>
              <w:rPr>
                <w:rFonts w:ascii="Arial" w:cs="Arial" w:eastAsia="Arial" w:hAnsi="Arial"/>
                <w:sz w:val="14"/>
                <w:szCs w:val="14"/>
                <w:color w:val="auto"/>
              </w:rPr>
              <w:t>units, net of taxes withheld</w:t>
            </w:r>
          </w:p>
        </w:tc>
        <w:tc>
          <w:tcPr>
            <w:tcW w:w="1220" w:type="dxa"/>
            <w:vAlign w:val="bottom"/>
          </w:tcPr>
          <w:p>
            <w:pPr>
              <w:jc w:val="right"/>
              <w:spacing w:after="0"/>
              <w:rPr>
                <w:sz w:val="20"/>
                <w:szCs w:val="20"/>
                <w:color w:val="auto"/>
              </w:rPr>
            </w:pPr>
            <w:r>
              <w:rPr>
                <w:rFonts w:ascii="Arial" w:cs="Arial" w:eastAsia="Arial" w:hAnsi="Arial"/>
                <w:sz w:val="14"/>
                <w:szCs w:val="14"/>
                <w:color w:val="auto"/>
              </w:rPr>
              <w:t>21,467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8"/>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upon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2700" w:type="dxa"/>
            <w:vAlign w:val="bottom"/>
          </w:tcPr>
          <w:p>
            <w:pPr>
              <w:ind w:left="300"/>
              <w:spacing w:after="0" w:line="149" w:lineRule="exact"/>
              <w:rPr>
                <w:sz w:val="20"/>
                <w:szCs w:val="20"/>
                <w:color w:val="auto"/>
              </w:rPr>
            </w:pPr>
            <w:r>
              <w:rPr>
                <w:rFonts w:ascii="Arial" w:cs="Arial" w:eastAsia="Arial" w:hAnsi="Arial"/>
                <w:sz w:val="14"/>
                <w:szCs w:val="14"/>
                <w:color w:val="auto"/>
              </w:rPr>
              <w:t>exercise of common stock</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6"/>
        </w:trPr>
        <w:tc>
          <w:tcPr>
            <w:tcW w:w="2700" w:type="dxa"/>
            <w:vAlign w:val="bottom"/>
          </w:tcPr>
          <w:p>
            <w:pPr>
              <w:ind w:left="300"/>
              <w:spacing w:after="0"/>
              <w:rPr>
                <w:sz w:val="20"/>
                <w:szCs w:val="20"/>
                <w:color w:val="auto"/>
              </w:rPr>
            </w:pPr>
            <w:r>
              <w:rPr>
                <w:rFonts w:ascii="Arial" w:cs="Arial" w:eastAsia="Arial" w:hAnsi="Arial"/>
                <w:sz w:val="14"/>
                <w:szCs w:val="14"/>
                <w:color w:val="auto"/>
              </w:rPr>
              <w:t>warrant</w:t>
            </w: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8"/>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in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2700" w:type="dxa"/>
            <w:vAlign w:val="bottom"/>
          </w:tcPr>
          <w:p>
            <w:pPr>
              <w:ind w:left="300"/>
              <w:spacing w:after="0" w:line="149" w:lineRule="exact"/>
              <w:rPr>
                <w:sz w:val="20"/>
                <w:szCs w:val="20"/>
                <w:color w:val="auto"/>
              </w:rPr>
            </w:pPr>
            <w:r>
              <w:rPr>
                <w:rFonts w:ascii="Arial" w:cs="Arial" w:eastAsia="Arial" w:hAnsi="Arial"/>
                <w:sz w:val="14"/>
                <w:szCs w:val="14"/>
                <w:color w:val="auto"/>
              </w:rPr>
              <w:t>connection with follow-on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2700" w:type="dxa"/>
            <w:vAlign w:val="bottom"/>
          </w:tcPr>
          <w:p>
            <w:pPr>
              <w:ind w:left="300"/>
              <w:spacing w:after="0" w:line="149" w:lineRule="exact"/>
              <w:rPr>
                <w:sz w:val="20"/>
                <w:szCs w:val="20"/>
                <w:color w:val="auto"/>
              </w:rPr>
            </w:pPr>
            <w:r>
              <w:rPr>
                <w:rFonts w:ascii="Arial" w:cs="Arial" w:eastAsia="Arial" w:hAnsi="Arial"/>
                <w:sz w:val="14"/>
                <w:szCs w:val="14"/>
                <w:color w:val="auto"/>
              </w:rPr>
              <w:t>offering, net of offering costs</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6"/>
        </w:trPr>
        <w:tc>
          <w:tcPr>
            <w:tcW w:w="2700" w:type="dxa"/>
            <w:vAlign w:val="bottom"/>
          </w:tcPr>
          <w:p>
            <w:pPr>
              <w:ind w:left="300"/>
              <w:spacing w:after="0"/>
              <w:rPr>
                <w:sz w:val="20"/>
                <w:szCs w:val="20"/>
                <w:color w:val="auto"/>
              </w:rPr>
            </w:pPr>
            <w:r>
              <w:rPr>
                <w:rFonts w:ascii="Arial" w:cs="Arial" w:eastAsia="Arial" w:hAnsi="Arial"/>
                <w:sz w:val="14"/>
                <w:szCs w:val="14"/>
                <w:color w:val="auto"/>
              </w:rPr>
              <w:t>of $19,784</w:t>
            </w:r>
          </w:p>
        </w:tc>
        <w:tc>
          <w:tcPr>
            <w:tcW w:w="1220" w:type="dxa"/>
            <w:vAlign w:val="bottom"/>
          </w:tcPr>
          <w:p>
            <w:pPr>
              <w:jc w:val="right"/>
              <w:spacing w:after="0"/>
              <w:rPr>
                <w:sz w:val="20"/>
                <w:szCs w:val="20"/>
                <w:color w:val="auto"/>
              </w:rPr>
            </w:pPr>
            <w:r>
              <w:rPr>
                <w:rFonts w:ascii="Arial" w:cs="Arial" w:eastAsia="Arial" w:hAnsi="Arial"/>
                <w:sz w:val="14"/>
                <w:szCs w:val="14"/>
                <w:color w:val="auto"/>
              </w:rPr>
              <w:t>6,900,000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r>
      <w:tr>
        <w:trPr>
          <w:trHeight w:val="148"/>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6"/>
        </w:trPr>
        <w:tc>
          <w:tcPr>
            <w:tcW w:w="2700" w:type="dxa"/>
            <w:vAlign w:val="bottom"/>
          </w:tcPr>
          <w:p>
            <w:pPr>
              <w:ind w:left="300"/>
              <w:spacing w:after="0"/>
              <w:rPr>
                <w:sz w:val="20"/>
                <w:szCs w:val="20"/>
                <w:color w:val="auto"/>
              </w:rPr>
            </w:pPr>
            <w:r>
              <w:rPr>
                <w:rFonts w:ascii="Arial" w:cs="Arial" w:eastAsia="Arial" w:hAnsi="Arial"/>
                <w:sz w:val="14"/>
                <w:szCs w:val="14"/>
                <w:color w:val="auto"/>
              </w:rPr>
              <w:t>expense</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75"/>
        </w:trPr>
        <w:tc>
          <w:tcPr>
            <w:tcW w:w="270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81"/>
        </w:trPr>
        <w:tc>
          <w:tcPr>
            <w:tcW w:w="27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64"/>
        </w:trPr>
        <w:tc>
          <w:tcPr>
            <w:tcW w:w="2700" w:type="dxa"/>
            <w:vAlign w:val="bottom"/>
          </w:tcPr>
          <w:p>
            <w:pPr>
              <w:spacing w:after="0"/>
              <w:rPr>
                <w:sz w:val="20"/>
                <w:szCs w:val="20"/>
                <w:color w:val="auto"/>
              </w:rPr>
            </w:pPr>
            <w:r>
              <w:rPr>
                <w:rFonts w:ascii="Arial" w:cs="Arial" w:eastAsia="Arial" w:hAnsi="Arial"/>
                <w:sz w:val="14"/>
                <w:szCs w:val="14"/>
                <w:color w:val="auto"/>
              </w:rPr>
              <w:t>Balances at December 31, 2019</w:t>
            </w:r>
          </w:p>
        </w:tc>
        <w:tc>
          <w:tcPr>
            <w:tcW w:w="1220" w:type="dxa"/>
            <w:vAlign w:val="bottom"/>
          </w:tcPr>
          <w:p>
            <w:pPr>
              <w:jc w:val="right"/>
              <w:spacing w:after="0"/>
              <w:rPr>
                <w:sz w:val="20"/>
                <w:szCs w:val="20"/>
                <w:color w:val="auto"/>
              </w:rPr>
            </w:pPr>
            <w:r>
              <w:rPr>
                <w:rFonts w:ascii="Arial" w:cs="Arial" w:eastAsia="Arial" w:hAnsi="Arial"/>
                <w:sz w:val="14"/>
                <w:szCs w:val="14"/>
                <w:color w:val="auto"/>
              </w:rPr>
              <w:t>44,413,404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r>
      <w:tr>
        <w:trPr>
          <w:trHeight w:val="148"/>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upon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5"/>
        </w:trPr>
        <w:tc>
          <w:tcPr>
            <w:tcW w:w="270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1220" w:type="dxa"/>
            <w:vAlign w:val="bottom"/>
          </w:tcPr>
          <w:p>
            <w:pPr>
              <w:jc w:val="right"/>
              <w:spacing w:after="0"/>
              <w:rPr>
                <w:sz w:val="20"/>
                <w:szCs w:val="20"/>
                <w:color w:val="auto"/>
              </w:rPr>
            </w:pPr>
            <w:r>
              <w:rPr>
                <w:rFonts w:ascii="Arial" w:cs="Arial" w:eastAsia="Arial" w:hAnsi="Arial"/>
                <w:sz w:val="14"/>
                <w:szCs w:val="14"/>
                <w:color w:val="auto"/>
              </w:rPr>
              <w:t>704,675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in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2700" w:type="dxa"/>
            <w:vAlign w:val="bottom"/>
          </w:tcPr>
          <w:p>
            <w:pPr>
              <w:ind w:left="300"/>
              <w:spacing w:after="0" w:line="149" w:lineRule="exact"/>
              <w:rPr>
                <w:sz w:val="20"/>
                <w:szCs w:val="20"/>
                <w:color w:val="auto"/>
              </w:rPr>
            </w:pPr>
            <w:r>
              <w:rPr>
                <w:rFonts w:ascii="Arial" w:cs="Arial" w:eastAsia="Arial" w:hAnsi="Arial"/>
                <w:sz w:val="14"/>
                <w:szCs w:val="14"/>
                <w:color w:val="auto"/>
              </w:rPr>
              <w:t>connection with follow-on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2700" w:type="dxa"/>
            <w:vAlign w:val="bottom"/>
          </w:tcPr>
          <w:p>
            <w:pPr>
              <w:ind w:left="300"/>
              <w:spacing w:after="0" w:line="149" w:lineRule="exact"/>
              <w:rPr>
                <w:sz w:val="20"/>
                <w:szCs w:val="20"/>
                <w:color w:val="auto"/>
              </w:rPr>
            </w:pPr>
            <w:r>
              <w:rPr>
                <w:rFonts w:ascii="Arial" w:cs="Arial" w:eastAsia="Arial" w:hAnsi="Arial"/>
                <w:sz w:val="14"/>
                <w:szCs w:val="14"/>
                <w:color w:val="auto"/>
              </w:rPr>
              <w:t>offering, net of offering costs</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5"/>
        </w:trPr>
        <w:tc>
          <w:tcPr>
            <w:tcW w:w="2700" w:type="dxa"/>
            <w:vAlign w:val="bottom"/>
          </w:tcPr>
          <w:p>
            <w:pPr>
              <w:ind w:left="300"/>
              <w:spacing w:after="0"/>
              <w:rPr>
                <w:sz w:val="20"/>
                <w:szCs w:val="20"/>
                <w:color w:val="auto"/>
              </w:rPr>
            </w:pPr>
            <w:r>
              <w:rPr>
                <w:rFonts w:ascii="Arial" w:cs="Arial" w:eastAsia="Arial" w:hAnsi="Arial"/>
                <w:sz w:val="14"/>
                <w:szCs w:val="14"/>
                <w:color w:val="auto"/>
              </w:rPr>
              <w:t>of $32,984</w:t>
            </w:r>
          </w:p>
        </w:tc>
        <w:tc>
          <w:tcPr>
            <w:tcW w:w="1220" w:type="dxa"/>
            <w:vAlign w:val="bottom"/>
          </w:tcPr>
          <w:p>
            <w:pPr>
              <w:jc w:val="right"/>
              <w:spacing w:after="0"/>
              <w:rPr>
                <w:sz w:val="20"/>
                <w:szCs w:val="20"/>
                <w:color w:val="auto"/>
              </w:rPr>
            </w:pPr>
            <w:r>
              <w:rPr>
                <w:rFonts w:ascii="Arial" w:cs="Arial" w:eastAsia="Arial" w:hAnsi="Arial"/>
                <w:sz w:val="14"/>
                <w:szCs w:val="14"/>
                <w:color w:val="auto"/>
              </w:rPr>
              <w:t>5,972,222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upon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2700" w:type="dxa"/>
            <w:vAlign w:val="bottom"/>
          </w:tcPr>
          <w:p>
            <w:pPr>
              <w:ind w:left="300"/>
              <w:spacing w:after="0" w:line="149" w:lineRule="exact"/>
              <w:rPr>
                <w:sz w:val="20"/>
                <w:szCs w:val="20"/>
                <w:color w:val="auto"/>
              </w:rPr>
            </w:pPr>
            <w:r>
              <w:rPr>
                <w:rFonts w:ascii="Arial" w:cs="Arial" w:eastAsia="Arial" w:hAnsi="Arial"/>
                <w:sz w:val="14"/>
                <w:szCs w:val="14"/>
                <w:color w:val="auto"/>
              </w:rPr>
              <w:t>vesting of restricted stock</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5"/>
        </w:trPr>
        <w:tc>
          <w:tcPr>
            <w:tcW w:w="2700" w:type="dxa"/>
            <w:vAlign w:val="bottom"/>
          </w:tcPr>
          <w:p>
            <w:pPr>
              <w:ind w:left="300"/>
              <w:spacing w:after="0"/>
              <w:rPr>
                <w:sz w:val="20"/>
                <w:szCs w:val="20"/>
                <w:color w:val="auto"/>
              </w:rPr>
            </w:pPr>
            <w:r>
              <w:rPr>
                <w:rFonts w:ascii="Arial" w:cs="Arial" w:eastAsia="Arial" w:hAnsi="Arial"/>
                <w:sz w:val="14"/>
                <w:szCs w:val="14"/>
                <w:color w:val="auto"/>
              </w:rPr>
              <w:t>units, net of taxes withheld</w:t>
            </w:r>
          </w:p>
        </w:tc>
        <w:tc>
          <w:tcPr>
            <w:tcW w:w="1220" w:type="dxa"/>
            <w:vAlign w:val="bottom"/>
          </w:tcPr>
          <w:p>
            <w:pPr>
              <w:jc w:val="right"/>
              <w:spacing w:after="0"/>
              <w:rPr>
                <w:sz w:val="20"/>
                <w:szCs w:val="20"/>
                <w:color w:val="auto"/>
              </w:rPr>
            </w:pPr>
            <w:r>
              <w:rPr>
                <w:rFonts w:ascii="Arial" w:cs="Arial" w:eastAsia="Arial" w:hAnsi="Arial"/>
                <w:sz w:val="14"/>
                <w:szCs w:val="14"/>
                <w:color w:val="auto"/>
              </w:rPr>
              <w:t>22,001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5"/>
        </w:trPr>
        <w:tc>
          <w:tcPr>
            <w:tcW w:w="2700" w:type="dxa"/>
            <w:vAlign w:val="bottom"/>
          </w:tcPr>
          <w:p>
            <w:pPr>
              <w:ind w:left="300"/>
              <w:spacing w:after="0"/>
              <w:rPr>
                <w:sz w:val="20"/>
                <w:szCs w:val="20"/>
                <w:color w:val="auto"/>
              </w:rPr>
            </w:pPr>
            <w:r>
              <w:rPr>
                <w:rFonts w:ascii="Arial" w:cs="Arial" w:eastAsia="Arial" w:hAnsi="Arial"/>
                <w:sz w:val="14"/>
                <w:szCs w:val="14"/>
                <w:color w:val="auto"/>
              </w:rPr>
              <w:t>expense</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76"/>
        </w:trPr>
        <w:tc>
          <w:tcPr>
            <w:tcW w:w="270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81"/>
        </w:trPr>
        <w:tc>
          <w:tcPr>
            <w:tcW w:w="27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64"/>
        </w:trPr>
        <w:tc>
          <w:tcPr>
            <w:tcW w:w="2700" w:type="dxa"/>
            <w:vAlign w:val="bottom"/>
          </w:tcPr>
          <w:p>
            <w:pPr>
              <w:spacing w:after="0"/>
              <w:rPr>
                <w:sz w:val="20"/>
                <w:szCs w:val="20"/>
                <w:color w:val="auto"/>
              </w:rPr>
            </w:pPr>
            <w:r>
              <w:rPr>
                <w:rFonts w:ascii="Arial" w:cs="Arial" w:eastAsia="Arial" w:hAnsi="Arial"/>
                <w:sz w:val="14"/>
                <w:szCs w:val="14"/>
                <w:color w:val="auto"/>
              </w:rPr>
              <w:t>Balances at December 31, 2020</w:t>
            </w:r>
          </w:p>
        </w:tc>
        <w:tc>
          <w:tcPr>
            <w:tcW w:w="1220" w:type="dxa"/>
            <w:vAlign w:val="bottom"/>
          </w:tcPr>
          <w:p>
            <w:pPr>
              <w:jc w:val="right"/>
              <w:spacing w:after="0"/>
              <w:rPr>
                <w:sz w:val="20"/>
                <w:szCs w:val="20"/>
                <w:color w:val="auto"/>
              </w:rPr>
            </w:pPr>
            <w:r>
              <w:rPr>
                <w:rFonts w:ascii="Arial" w:cs="Arial" w:eastAsia="Arial" w:hAnsi="Arial"/>
                <w:sz w:val="14"/>
                <w:szCs w:val="14"/>
                <w:color w:val="auto"/>
              </w:rPr>
              <w:t>51,112,302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upon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5"/>
        </w:trPr>
        <w:tc>
          <w:tcPr>
            <w:tcW w:w="270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1220" w:type="dxa"/>
            <w:vAlign w:val="bottom"/>
          </w:tcPr>
          <w:p>
            <w:pPr>
              <w:jc w:val="right"/>
              <w:spacing w:after="0"/>
              <w:rPr>
                <w:sz w:val="20"/>
                <w:szCs w:val="20"/>
                <w:color w:val="auto"/>
              </w:rPr>
            </w:pPr>
            <w:r>
              <w:rPr>
                <w:rFonts w:ascii="Arial" w:cs="Arial" w:eastAsia="Arial" w:hAnsi="Arial"/>
                <w:sz w:val="14"/>
                <w:szCs w:val="14"/>
                <w:color w:val="auto"/>
              </w:rPr>
              <w:t>463,796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8"/>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upon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2700" w:type="dxa"/>
            <w:vAlign w:val="bottom"/>
          </w:tcPr>
          <w:p>
            <w:pPr>
              <w:ind w:left="300"/>
              <w:spacing w:after="0" w:line="149" w:lineRule="exact"/>
              <w:rPr>
                <w:sz w:val="20"/>
                <w:szCs w:val="20"/>
                <w:color w:val="auto"/>
              </w:rPr>
            </w:pPr>
            <w:r>
              <w:rPr>
                <w:rFonts w:ascii="Arial" w:cs="Arial" w:eastAsia="Arial" w:hAnsi="Arial"/>
                <w:sz w:val="14"/>
                <w:szCs w:val="14"/>
                <w:color w:val="auto"/>
              </w:rPr>
              <w:t>vesting of restricted stock</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5"/>
        </w:trPr>
        <w:tc>
          <w:tcPr>
            <w:tcW w:w="2700" w:type="dxa"/>
            <w:vAlign w:val="bottom"/>
          </w:tcPr>
          <w:p>
            <w:pPr>
              <w:ind w:left="300"/>
              <w:spacing w:after="0"/>
              <w:rPr>
                <w:sz w:val="20"/>
                <w:szCs w:val="20"/>
                <w:color w:val="auto"/>
              </w:rPr>
            </w:pPr>
            <w:r>
              <w:rPr>
                <w:rFonts w:ascii="Arial" w:cs="Arial" w:eastAsia="Arial" w:hAnsi="Arial"/>
                <w:sz w:val="14"/>
                <w:szCs w:val="14"/>
                <w:color w:val="auto"/>
              </w:rPr>
              <w:t>units, net of taxes withheld</w:t>
            </w:r>
          </w:p>
        </w:tc>
        <w:tc>
          <w:tcPr>
            <w:tcW w:w="1220" w:type="dxa"/>
            <w:vAlign w:val="bottom"/>
          </w:tcPr>
          <w:p>
            <w:pPr>
              <w:jc w:val="right"/>
              <w:spacing w:after="0"/>
              <w:rPr>
                <w:sz w:val="20"/>
                <w:szCs w:val="20"/>
                <w:color w:val="auto"/>
              </w:rPr>
            </w:pPr>
            <w:r>
              <w:rPr>
                <w:rFonts w:ascii="Arial" w:cs="Arial" w:eastAsia="Arial" w:hAnsi="Arial"/>
                <w:sz w:val="14"/>
                <w:szCs w:val="14"/>
                <w:color w:val="auto"/>
              </w:rPr>
              <w:t>93,218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8"/>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2700" w:type="dxa"/>
            <w:vAlign w:val="bottom"/>
          </w:tcPr>
          <w:p>
            <w:pPr>
              <w:ind w:left="300"/>
              <w:spacing w:after="0" w:line="149" w:lineRule="exact"/>
              <w:rPr>
                <w:sz w:val="20"/>
                <w:szCs w:val="20"/>
                <w:color w:val="auto"/>
              </w:rPr>
            </w:pPr>
            <w:r>
              <w:rPr>
                <w:rFonts w:ascii="Arial" w:cs="Arial" w:eastAsia="Arial" w:hAnsi="Arial"/>
                <w:sz w:val="14"/>
                <w:szCs w:val="14"/>
                <w:color w:val="auto"/>
              </w:rPr>
              <w:t>pursuant to employee stock</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5"/>
        </w:trPr>
        <w:tc>
          <w:tcPr>
            <w:tcW w:w="2700" w:type="dxa"/>
            <w:vAlign w:val="bottom"/>
          </w:tcPr>
          <w:p>
            <w:pPr>
              <w:ind w:left="300"/>
              <w:spacing w:after="0"/>
              <w:rPr>
                <w:sz w:val="20"/>
                <w:szCs w:val="20"/>
                <w:color w:val="auto"/>
              </w:rPr>
            </w:pPr>
            <w:r>
              <w:rPr>
                <w:rFonts w:ascii="Arial" w:cs="Arial" w:eastAsia="Arial" w:hAnsi="Arial"/>
                <w:sz w:val="14"/>
                <w:szCs w:val="14"/>
                <w:color w:val="auto"/>
              </w:rPr>
              <w:t>purchase plans</w:t>
            </w:r>
          </w:p>
        </w:tc>
        <w:tc>
          <w:tcPr>
            <w:tcW w:w="1220" w:type="dxa"/>
            <w:vAlign w:val="bottom"/>
          </w:tcPr>
          <w:p>
            <w:pPr>
              <w:jc w:val="right"/>
              <w:spacing w:after="0"/>
              <w:rPr>
                <w:sz w:val="20"/>
                <w:szCs w:val="20"/>
                <w:color w:val="auto"/>
              </w:rPr>
            </w:pPr>
            <w:r>
              <w:rPr>
                <w:rFonts w:ascii="Arial" w:cs="Arial" w:eastAsia="Arial" w:hAnsi="Arial"/>
                <w:sz w:val="14"/>
                <w:szCs w:val="14"/>
                <w:color w:val="auto"/>
              </w:rPr>
              <w:t>6,958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8"/>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upon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2700" w:type="dxa"/>
            <w:vAlign w:val="bottom"/>
          </w:tcPr>
          <w:p>
            <w:pPr>
              <w:ind w:left="300"/>
              <w:spacing w:after="0" w:line="149" w:lineRule="exact"/>
              <w:rPr>
                <w:sz w:val="20"/>
                <w:szCs w:val="20"/>
                <w:color w:val="auto"/>
              </w:rPr>
            </w:pPr>
            <w:r>
              <w:rPr>
                <w:rFonts w:ascii="Arial" w:cs="Arial" w:eastAsia="Arial" w:hAnsi="Arial"/>
                <w:sz w:val="14"/>
                <w:szCs w:val="14"/>
                <w:color w:val="auto"/>
              </w:rPr>
              <w:t>exercise of common stock</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6"/>
        </w:trPr>
        <w:tc>
          <w:tcPr>
            <w:tcW w:w="2700" w:type="dxa"/>
            <w:vAlign w:val="bottom"/>
          </w:tcPr>
          <w:p>
            <w:pPr>
              <w:ind w:left="300"/>
              <w:spacing w:after="0"/>
              <w:rPr>
                <w:sz w:val="20"/>
                <w:szCs w:val="20"/>
                <w:color w:val="auto"/>
              </w:rPr>
            </w:pPr>
            <w:r>
              <w:rPr>
                <w:rFonts w:ascii="Arial" w:cs="Arial" w:eastAsia="Arial" w:hAnsi="Arial"/>
                <w:sz w:val="14"/>
                <w:szCs w:val="14"/>
                <w:color w:val="auto"/>
              </w:rPr>
              <w:t>warrants</w:t>
            </w:r>
          </w:p>
        </w:tc>
        <w:tc>
          <w:tcPr>
            <w:tcW w:w="1220" w:type="dxa"/>
            <w:vAlign w:val="bottom"/>
          </w:tcPr>
          <w:p>
            <w:pPr>
              <w:jc w:val="right"/>
              <w:spacing w:after="0"/>
              <w:rPr>
                <w:sz w:val="20"/>
                <w:szCs w:val="20"/>
                <w:color w:val="auto"/>
              </w:rPr>
            </w:pPr>
            <w:r>
              <w:rPr>
                <w:rFonts w:ascii="Arial" w:cs="Arial" w:eastAsia="Arial" w:hAnsi="Arial"/>
                <w:sz w:val="14"/>
                <w:szCs w:val="14"/>
                <w:color w:val="auto"/>
              </w:rPr>
              <w:t>149,983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8"/>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5"/>
        </w:trPr>
        <w:tc>
          <w:tcPr>
            <w:tcW w:w="2700" w:type="dxa"/>
            <w:vAlign w:val="bottom"/>
          </w:tcPr>
          <w:p>
            <w:pPr>
              <w:ind w:left="300"/>
              <w:spacing w:after="0"/>
              <w:rPr>
                <w:sz w:val="20"/>
                <w:szCs w:val="20"/>
                <w:color w:val="auto"/>
              </w:rPr>
            </w:pPr>
            <w:r>
              <w:rPr>
                <w:rFonts w:ascii="Arial" w:cs="Arial" w:eastAsia="Arial" w:hAnsi="Arial"/>
                <w:sz w:val="14"/>
                <w:szCs w:val="14"/>
                <w:color w:val="auto"/>
              </w:rPr>
              <w:t>expense</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75"/>
        </w:trPr>
        <w:tc>
          <w:tcPr>
            <w:tcW w:w="270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81"/>
        </w:trPr>
        <w:tc>
          <w:tcPr>
            <w:tcW w:w="27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69"/>
        </w:trPr>
        <w:tc>
          <w:tcPr>
            <w:tcW w:w="2700" w:type="dxa"/>
            <w:vAlign w:val="bottom"/>
          </w:tcPr>
          <w:p>
            <w:pPr>
              <w:spacing w:after="0"/>
              <w:rPr>
                <w:sz w:val="20"/>
                <w:szCs w:val="20"/>
                <w:color w:val="auto"/>
              </w:rPr>
            </w:pPr>
            <w:r>
              <w:rPr>
                <w:rFonts w:ascii="Arial" w:cs="Arial" w:eastAsia="Arial" w:hAnsi="Arial"/>
                <w:sz w:val="14"/>
                <w:szCs w:val="14"/>
                <w:color w:val="auto"/>
              </w:rPr>
              <w:t>Balances at December 31, 2021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51,826,257</w:t>
            </w:r>
          </w:p>
        </w:tc>
        <w:tc>
          <w:tcPr>
            <w:tcW w:w="2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-4988560</wp:posOffset>
            </wp:positionV>
            <wp:extent cx="7054850" cy="1117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-4671060</wp:posOffset>
            </wp:positionV>
            <wp:extent cx="7054850" cy="3003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54850" cy="3003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-4070985</wp:posOffset>
            </wp:positionV>
            <wp:extent cx="7054850" cy="394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54850" cy="394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-3470910</wp:posOffset>
            </wp:positionV>
            <wp:extent cx="7054850" cy="111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54850" cy="1111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-3239770</wp:posOffset>
            </wp:positionV>
            <wp:extent cx="7054850" cy="1117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-2922270</wp:posOffset>
            </wp:positionV>
            <wp:extent cx="7054850" cy="394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54850" cy="394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-2228215</wp:posOffset>
            </wp:positionV>
            <wp:extent cx="7054850"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54850" cy="2057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-1910715</wp:posOffset>
            </wp:positionV>
            <wp:extent cx="705485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54850" cy="1200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-1679575</wp:posOffset>
            </wp:positionV>
            <wp:extent cx="7054850"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54850" cy="2057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-1173480</wp:posOffset>
            </wp:positionV>
            <wp:extent cx="7054850" cy="3003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54850" cy="3003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-573405</wp:posOffset>
            </wp:positionV>
            <wp:extent cx="705485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54850" cy="2057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-256540</wp:posOffset>
            </wp:positionV>
            <wp:extent cx="7054850"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5485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5"/>
        </w:trPr>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6"/>
                <w:szCs w:val="16"/>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6"/>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197,595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(110,766</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86,833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2,287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020" w:type="dxa"/>
            <w:vAlign w:val="bottom"/>
          </w:tcPr>
          <w:p>
            <w:pPr>
              <w:jc w:val="right"/>
              <w:spacing w:after="0"/>
              <w:rPr>
                <w:sz w:val="20"/>
                <w:szCs w:val="20"/>
                <w:color w:val="auto"/>
              </w:rPr>
            </w:pPr>
            <w:r>
              <w:rPr>
                <w:rFonts w:ascii="Arial" w:cs="Arial" w:eastAsia="Arial" w:hAnsi="Arial"/>
                <w:sz w:val="14"/>
                <w:szCs w:val="14"/>
                <w:color w:val="auto"/>
              </w:rPr>
              <w:t>(132 )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(132 )</w:t>
            </w:r>
          </w:p>
        </w:tc>
        <w:tc>
          <w:tcPr>
            <w:tcW w:w="0" w:type="dxa"/>
            <w:vAlign w:val="bottom"/>
          </w:tcPr>
          <w:p>
            <w:pPr>
              <w:spacing w:after="0"/>
              <w:rPr>
                <w:sz w:val="1"/>
                <w:szCs w:val="1"/>
                <w:color w:val="auto"/>
              </w:rPr>
            </w:pPr>
          </w:p>
        </w:tc>
      </w:tr>
      <w:tr>
        <w:trPr>
          <w:trHeight w:val="473"/>
        </w:trPr>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1"/>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297,615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297,616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6,110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(47,365 )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(47,365 )</w:t>
            </w:r>
          </w:p>
        </w:tc>
        <w:tc>
          <w:tcPr>
            <w:tcW w:w="0" w:type="dxa"/>
            <w:vAlign w:val="bottom"/>
          </w:tcPr>
          <w:p>
            <w:pPr>
              <w:spacing w:after="0"/>
              <w:rPr>
                <w:sz w:val="1"/>
                <w:szCs w:val="1"/>
                <w:color w:val="auto"/>
              </w:rPr>
            </w:pPr>
          </w:p>
        </w:tc>
      </w:tr>
      <w:tr>
        <w:trPr>
          <w:trHeight w:val="176"/>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503,475</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(158,131</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345,359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6,248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612,016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020" w:type="dxa"/>
            <w:vAlign w:val="bottom"/>
          </w:tcPr>
          <w:p>
            <w:pPr>
              <w:jc w:val="right"/>
              <w:spacing w:after="0"/>
              <w:rPr>
                <w:sz w:val="20"/>
                <w:szCs w:val="20"/>
                <w:color w:val="auto"/>
              </w:rPr>
            </w:pPr>
            <w:r>
              <w:rPr>
                <w:rFonts w:ascii="Arial" w:cs="Arial" w:eastAsia="Arial" w:hAnsi="Arial"/>
                <w:sz w:val="14"/>
                <w:szCs w:val="14"/>
                <w:color w:val="auto"/>
              </w:rPr>
              <w:t>(487 )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(487 )</w:t>
            </w:r>
          </w:p>
        </w:tc>
        <w:tc>
          <w:tcPr>
            <w:tcW w:w="0" w:type="dxa"/>
            <w:vAlign w:val="bottom"/>
          </w:tcPr>
          <w:p>
            <w:pPr>
              <w:spacing w:after="0"/>
              <w:rPr>
                <w:sz w:val="1"/>
                <w:szCs w:val="1"/>
                <w:color w:val="auto"/>
              </w:rPr>
            </w:pPr>
          </w:p>
        </w:tc>
      </w:tr>
      <w:tr>
        <w:trPr>
          <w:trHeight w:val="317"/>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30,668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(133,096 )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(133,096 )</w:t>
            </w:r>
          </w:p>
        </w:tc>
        <w:tc>
          <w:tcPr>
            <w:tcW w:w="0" w:type="dxa"/>
            <w:vAlign w:val="bottom"/>
          </w:tcPr>
          <w:p>
            <w:pPr>
              <w:spacing w:after="0"/>
              <w:rPr>
                <w:sz w:val="1"/>
                <w:szCs w:val="1"/>
                <w:color w:val="auto"/>
              </w:rPr>
            </w:pPr>
          </w:p>
        </w:tc>
      </w:tr>
      <w:tr>
        <w:trPr>
          <w:trHeight w:val="176"/>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1,151,920</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(291,227</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860,751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7,743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3"/>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7"/>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61,385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61,385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181"/>
        </w:trPr>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(266,990 )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(266,990 )</w:t>
            </w:r>
          </w:p>
        </w:tc>
        <w:tc>
          <w:tcPr>
            <w:tcW w:w="0" w:type="dxa"/>
            <w:vAlign w:val="bottom"/>
          </w:tcPr>
          <w:p>
            <w:pPr>
              <w:spacing w:after="0"/>
              <w:rPr>
                <w:sz w:val="1"/>
                <w:szCs w:val="1"/>
                <w:color w:val="auto"/>
              </w:rPr>
            </w:pPr>
          </w:p>
        </w:tc>
      </w:tr>
      <w:tr>
        <w:trPr>
          <w:trHeight w:val="169"/>
        </w:trPr>
        <w:tc>
          <w:tcPr>
            <w:tcW w:w="1020" w:type="dxa"/>
            <w:vAlign w:val="bottom"/>
          </w:tcPr>
          <w:p>
            <w:pPr>
              <w:jc w:val="right"/>
              <w:ind w:right="8"/>
              <w:spacing w:after="0"/>
              <w:rPr>
                <w:sz w:val="20"/>
                <w:szCs w:val="20"/>
                <w:color w:val="auto"/>
              </w:rPr>
            </w:pPr>
            <w:r>
              <w:rPr>
                <w:rFonts w:ascii="Arial" w:cs="Arial" w:eastAsia="Arial" w:hAnsi="Arial"/>
                <w:sz w:val="14"/>
                <w:szCs w:val="14"/>
                <w:color w:val="auto"/>
              </w:rPr>
              <w:t>1,221,532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(558,217</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663,320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-4996815</wp:posOffset>
            </wp:positionV>
            <wp:extent cx="7886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-3248025</wp:posOffset>
            </wp:positionV>
            <wp:extent cx="7886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-24765</wp:posOffset>
            </wp:positionV>
            <wp:extent cx="7886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-7620</wp:posOffset>
            </wp:positionV>
            <wp:extent cx="7886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200"/>
            <w:col w:w="5180"/>
          </w:cols>
          <w:pgMar w:left="400" w:top="324" w:right="43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324" w:right="4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9"/>
        </w:trPr>
        <w:tc>
          <w:tcPr>
            <w:tcW w:w="67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9"/>
              <w:spacing w:after="0" w:line="169" w:lineRule="exact"/>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9"/>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9"/>
              <w:spacing w:after="0" w:line="169"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4"/>
                <w:szCs w:val="14"/>
                <w:color w:val="auto"/>
              </w:rPr>
            </w:pPr>
          </w:p>
        </w:tc>
      </w:tr>
      <w:tr>
        <w:trPr>
          <w:trHeight w:val="183"/>
        </w:trPr>
        <w:tc>
          <w:tcPr>
            <w:tcW w:w="6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(266,990 )</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(133,096 ) $</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(47,365 )</w:t>
            </w:r>
          </w:p>
        </w:tc>
      </w:tr>
      <w:tr>
        <w:trPr>
          <w:trHeight w:val="18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70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6"/>
                <w:szCs w:val="16"/>
                <w:color w:val="auto"/>
              </w:rPr>
            </w:pPr>
          </w:p>
        </w:tc>
      </w:tr>
      <w:tr>
        <w:trPr>
          <w:trHeight w:val="189"/>
        </w:trPr>
        <w:tc>
          <w:tcPr>
            <w:tcW w:w="6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disposal of long-lived asset</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7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61,385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30,668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6,110</w:t>
            </w:r>
          </w:p>
        </w:tc>
        <w:tc>
          <w:tcPr>
            <w:tcW w:w="80" w:type="dxa"/>
            <w:vAlign w:val="bottom"/>
          </w:tcPr>
          <w:p>
            <w:pPr>
              <w:spacing w:after="0"/>
              <w:rPr>
                <w:sz w:val="16"/>
                <w:szCs w:val="16"/>
                <w:color w:val="auto"/>
              </w:rPr>
            </w:pPr>
          </w:p>
        </w:tc>
      </w:tr>
      <w:tr>
        <w:trPr>
          <w:trHeight w:val="189"/>
        </w:trPr>
        <w:tc>
          <w:tcPr>
            <w:tcW w:w="6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(accretion) of premium (discount) on marketable securities</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(241 )</w:t>
            </w:r>
          </w:p>
        </w:tc>
      </w:tr>
      <w:tr>
        <w:trPr>
          <w:trHeight w:val="189"/>
        </w:trPr>
        <w:tc>
          <w:tcPr>
            <w:tcW w:w="6700" w:type="dxa"/>
            <w:vAlign w:val="bottom"/>
          </w:tcPr>
          <w:p>
            <w:pPr>
              <w:ind w:left="200"/>
              <w:spacing w:after="0"/>
              <w:rPr>
                <w:sz w:val="20"/>
                <w:szCs w:val="20"/>
                <w:color w:val="auto"/>
              </w:rPr>
            </w:pPr>
            <w:r>
              <w:rPr>
                <w:rFonts w:ascii="Arial" w:cs="Arial" w:eastAsia="Arial" w:hAnsi="Arial"/>
                <w:sz w:val="16"/>
                <w:szCs w:val="16"/>
                <w:color w:val="auto"/>
              </w:rPr>
              <w:t>Amortization of operating lease right-of-use asset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7,708</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16"/>
                <w:szCs w:val="16"/>
                <w:color w:val="auto"/>
              </w:rPr>
            </w:pPr>
          </w:p>
        </w:tc>
      </w:tr>
      <w:tr>
        <w:trPr>
          <w:trHeight w:val="189"/>
        </w:trPr>
        <w:tc>
          <w:tcPr>
            <w:tcW w:w="6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issuance costs</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700" w:type="dxa"/>
            <w:vAlign w:val="bottom"/>
          </w:tcPr>
          <w:p>
            <w:pPr>
              <w:ind w:left="20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6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(270 )</w:t>
            </w: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(218 )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(168 )</w:t>
            </w:r>
          </w:p>
        </w:tc>
      </w:tr>
      <w:tr>
        <w:trPr>
          <w:trHeight w:val="189"/>
        </w:trPr>
        <w:tc>
          <w:tcPr>
            <w:tcW w:w="670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(1,814 )</w:t>
            </w:r>
          </w:p>
        </w:tc>
        <w:tc>
          <w:tcPr>
            <w:tcW w:w="3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(4,511 )</w:t>
            </w:r>
          </w:p>
        </w:tc>
      </w:tr>
      <w:tr>
        <w:trPr>
          <w:trHeight w:val="189"/>
        </w:trPr>
        <w:tc>
          <w:tcPr>
            <w:tcW w:w="6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(2,094 )</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5,224</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w:t>
            </w:r>
          </w:p>
        </w:tc>
        <w:tc>
          <w:tcPr>
            <w:tcW w:w="80" w:type="dxa"/>
            <w:vAlign w:val="bottom"/>
            <w:shd w:val="clear" w:color="auto" w:fill="CFF0FC"/>
          </w:tcPr>
          <w:p>
            <w:pPr>
              <w:spacing w:after="0"/>
              <w:rPr>
                <w:sz w:val="16"/>
                <w:szCs w:val="16"/>
                <w:color w:val="auto"/>
              </w:rPr>
            </w:pPr>
          </w:p>
        </w:tc>
      </w:tr>
      <w:tr>
        <w:trPr>
          <w:trHeight w:val="189"/>
        </w:trPr>
        <w:tc>
          <w:tcPr>
            <w:tcW w:w="6700" w:type="dxa"/>
            <w:vAlign w:val="bottom"/>
          </w:tcPr>
          <w:p>
            <w:pPr>
              <w:ind w:left="380"/>
              <w:spacing w:after="0"/>
              <w:rPr>
                <w:sz w:val="20"/>
                <w:szCs w:val="20"/>
                <w:color w:val="auto"/>
              </w:rPr>
            </w:pPr>
            <w:r>
              <w:rPr>
                <w:rFonts w:ascii="Arial" w:cs="Arial" w:eastAsia="Arial" w:hAnsi="Arial"/>
                <w:sz w:val="16"/>
                <w:szCs w:val="16"/>
                <w:color w:val="auto"/>
              </w:rPr>
              <w:t>Accrued and other current liabilities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13,511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11,748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4,932</w:t>
            </w:r>
          </w:p>
        </w:tc>
        <w:tc>
          <w:tcPr>
            <w:tcW w:w="80" w:type="dxa"/>
            <w:vAlign w:val="bottom"/>
          </w:tcPr>
          <w:p>
            <w:pPr>
              <w:spacing w:after="0"/>
              <w:rPr>
                <w:sz w:val="16"/>
                <w:szCs w:val="16"/>
                <w:color w:val="auto"/>
              </w:rPr>
            </w:pPr>
          </w:p>
        </w:tc>
      </w:tr>
      <w:tr>
        <w:trPr>
          <w:trHeight w:val="189"/>
        </w:trPr>
        <w:tc>
          <w:tcPr>
            <w:tcW w:w="6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liability</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1,814</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(146 )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(383 )</w:t>
            </w:r>
          </w:p>
        </w:tc>
      </w:tr>
      <w:tr>
        <w:trPr>
          <w:trHeight w:val="20"/>
        </w:trPr>
        <w:tc>
          <w:tcPr>
            <w:tcW w:w="6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3"/>
        </w:trPr>
        <w:tc>
          <w:tcPr>
            <w:tcW w:w="6700" w:type="dxa"/>
            <w:vAlign w:val="bottom"/>
          </w:tcPr>
          <w:p>
            <w:pPr>
              <w:ind w:left="560"/>
              <w:spacing w:after="0" w:line="183" w:lineRule="exact"/>
              <w:rPr>
                <w:sz w:val="20"/>
                <w:szCs w:val="20"/>
                <w:color w:val="auto"/>
              </w:rPr>
            </w:pPr>
            <w:r>
              <w:rPr>
                <w:rFonts w:ascii="Arial" w:cs="Arial" w:eastAsia="Arial" w:hAnsi="Arial"/>
                <w:sz w:val="16"/>
                <w:szCs w:val="16"/>
                <w:color w:val="auto"/>
              </w:rPr>
              <w:t>Net cash used in operating activities</w:t>
            </w:r>
          </w:p>
        </w:tc>
        <w:tc>
          <w:tcPr>
            <w:tcW w:w="300" w:type="dxa"/>
            <w:vAlign w:val="bottom"/>
          </w:tcPr>
          <w:p>
            <w:pPr>
              <w:spacing w:after="0"/>
              <w:rPr>
                <w:sz w:val="15"/>
                <w:szCs w:val="15"/>
                <w:color w:val="auto"/>
              </w:rPr>
            </w:pPr>
          </w:p>
        </w:tc>
        <w:tc>
          <w:tcPr>
            <w:tcW w:w="134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(182,270 )</w:t>
            </w:r>
          </w:p>
        </w:tc>
        <w:tc>
          <w:tcPr>
            <w:tcW w:w="300" w:type="dxa"/>
            <w:vAlign w:val="bottom"/>
          </w:tcPr>
          <w:p>
            <w:pPr>
              <w:spacing w:after="0"/>
              <w:rPr>
                <w:sz w:val="15"/>
                <w:szCs w:val="15"/>
                <w:color w:val="auto"/>
              </w:rPr>
            </w:pPr>
          </w:p>
        </w:tc>
        <w:tc>
          <w:tcPr>
            <w:tcW w:w="11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(83,428 )</w:t>
            </w:r>
          </w:p>
        </w:tc>
        <w:tc>
          <w:tcPr>
            <w:tcW w:w="300" w:type="dxa"/>
            <w:vAlign w:val="bottom"/>
          </w:tcPr>
          <w:p>
            <w:pPr>
              <w:spacing w:after="0"/>
              <w:rPr>
                <w:sz w:val="15"/>
                <w:szCs w:val="15"/>
                <w:color w:val="auto"/>
              </w:rPr>
            </w:pPr>
          </w:p>
        </w:tc>
        <w:tc>
          <w:tcPr>
            <w:tcW w:w="11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(39,146 )</w:t>
            </w:r>
          </w:p>
        </w:tc>
      </w:tr>
      <w:tr>
        <w:trPr>
          <w:trHeight w:val="183"/>
        </w:trPr>
        <w:tc>
          <w:tcPr>
            <w:tcW w:w="6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(17,032 )</w:t>
            </w:r>
          </w:p>
        </w:tc>
        <w:tc>
          <w:tcPr>
            <w:tcW w:w="3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(3,814 )</w:t>
            </w:r>
          </w:p>
        </w:tc>
        <w:tc>
          <w:tcPr>
            <w:tcW w:w="3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(437 )</w:t>
            </w:r>
          </w:p>
        </w:tc>
      </w:tr>
      <w:tr>
        <w:trPr>
          <w:trHeight w:val="18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Deposits on property and equipment</w:t>
            </w:r>
          </w:p>
        </w:tc>
        <w:tc>
          <w:tcPr>
            <w:tcW w:w="3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(46,266 )</w:t>
            </w: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(3,184 )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Purchase of marketable securities</w:t>
            </w:r>
          </w:p>
        </w:tc>
        <w:tc>
          <w:tcPr>
            <w:tcW w:w="30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(86,317 )</w:t>
            </w:r>
          </w:p>
        </w:tc>
        <w:tc>
          <w:tcPr>
            <w:tcW w:w="3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(150,961 )</w:t>
            </w:r>
          </w:p>
        </w:tc>
      </w:tr>
      <w:tr>
        <w:trPr>
          <w:trHeight w:val="18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24,500</w:t>
            </w:r>
          </w:p>
        </w:tc>
        <w:tc>
          <w:tcPr>
            <w:tcW w:w="2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198,149</w:t>
            </w:r>
          </w:p>
        </w:tc>
        <w:tc>
          <w:tcPr>
            <w:tcW w:w="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14,400</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6700" w:type="dxa"/>
            <w:vAlign w:val="bottom"/>
          </w:tcPr>
          <w:p>
            <w:pPr>
              <w:ind w:left="56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5"/>
                <w:szCs w:val="15"/>
                <w:color w:val="auto"/>
              </w:rPr>
            </w:pPr>
          </w:p>
        </w:tc>
        <w:tc>
          <w:tcPr>
            <w:tcW w:w="134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(38,798 )</w:t>
            </w:r>
          </w:p>
        </w:tc>
        <w:tc>
          <w:tcPr>
            <w:tcW w:w="30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104,834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(136,998 )</w:t>
            </w:r>
          </w:p>
        </w:tc>
      </w:tr>
      <w:tr>
        <w:trPr>
          <w:trHeight w:val="183"/>
        </w:trPr>
        <w:tc>
          <w:tcPr>
            <w:tcW w:w="6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Proceeds from issuance of common stock in connection with offering, net of offering costs</w:t>
            </w:r>
          </w:p>
        </w:tc>
        <w:tc>
          <w:tcPr>
            <w:tcW w:w="30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612,016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297,616</w:t>
            </w:r>
          </w:p>
        </w:tc>
        <w:tc>
          <w:tcPr>
            <w:tcW w:w="80" w:type="dxa"/>
            <w:vAlign w:val="bottom"/>
          </w:tcPr>
          <w:p>
            <w:pPr>
              <w:spacing w:after="0"/>
              <w:rPr>
                <w:sz w:val="16"/>
                <w:szCs w:val="16"/>
                <w:color w:val="auto"/>
              </w:rPr>
            </w:pPr>
          </w:p>
        </w:tc>
      </w:tr>
      <w:tr>
        <w:trPr>
          <w:trHeight w:val="18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upon options exercise</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7,743</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6,248</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2,287</w:t>
            </w:r>
          </w:p>
        </w:tc>
        <w:tc>
          <w:tcPr>
            <w:tcW w:w="80" w:type="dxa"/>
            <w:vAlign w:val="bottom"/>
            <w:shd w:val="clear" w:color="auto" w:fill="CFF0FC"/>
          </w:tcPr>
          <w:p>
            <w:pPr>
              <w:spacing w:after="0"/>
              <w:rPr>
                <w:sz w:val="16"/>
                <w:szCs w:val="16"/>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Payments for restricted stock units, net of taxes withheld</w:t>
            </w:r>
          </w:p>
        </w:tc>
        <w:tc>
          <w:tcPr>
            <w:tcW w:w="30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(487 )</w:t>
            </w:r>
          </w:p>
        </w:tc>
        <w:tc>
          <w:tcPr>
            <w:tcW w:w="3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(132 )</w:t>
            </w:r>
          </w:p>
        </w:tc>
      </w:tr>
      <w:tr>
        <w:trPr>
          <w:trHeight w:val="18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pursuant to employee stock purchase plans</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Proceeds from sale of future royalties, net of issuance costs</w:t>
            </w:r>
          </w:p>
        </w:tc>
        <w:tc>
          <w:tcPr>
            <w:tcW w:w="30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99,643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 payments of capital lease</w:t>
            </w:r>
          </w:p>
        </w:tc>
        <w:tc>
          <w:tcPr>
            <w:tcW w:w="3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(48 )</w:t>
            </w: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Principal payments of tenant improvement allowance payable</w:t>
            </w:r>
          </w:p>
        </w:tc>
        <w:tc>
          <w:tcPr>
            <w:tcW w:w="3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(45 )</w:t>
            </w:r>
          </w:p>
        </w:tc>
        <w:tc>
          <w:tcPr>
            <w:tcW w:w="3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(38 )</w:t>
            </w:r>
          </w:p>
        </w:tc>
        <w:tc>
          <w:tcPr>
            <w:tcW w:w="3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(36 )</w:t>
            </w:r>
          </w:p>
        </w:tc>
      </w:tr>
      <w:tr>
        <w:trPr>
          <w:trHeight w:val="183"/>
        </w:trPr>
        <w:tc>
          <w:tcPr>
            <w:tcW w:w="6700" w:type="dxa"/>
            <w:vAlign w:val="bottom"/>
            <w:tcBorders>
              <w:bottom w:val="single" w:sz="8" w:color="CFF0FC"/>
            </w:tcBorders>
            <w:shd w:val="clear" w:color="auto" w:fill="CFF0FC"/>
          </w:tcPr>
          <w:p>
            <w:pPr>
              <w:ind w:left="56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8,182</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717,377</w:t>
            </w:r>
          </w:p>
        </w:tc>
        <w:tc>
          <w:tcPr>
            <w:tcW w:w="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299,687</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6700" w:type="dxa"/>
            <w:vAlign w:val="bottom"/>
          </w:tcPr>
          <w:p>
            <w:pPr>
              <w:ind w:left="20"/>
              <w:spacing w:after="0" w:line="183" w:lineRule="exact"/>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Pr>
          <w:p>
            <w:pPr>
              <w:spacing w:after="0"/>
              <w:rPr>
                <w:sz w:val="15"/>
                <w:szCs w:val="15"/>
                <w:color w:val="auto"/>
              </w:rPr>
            </w:pPr>
          </w:p>
        </w:tc>
        <w:tc>
          <w:tcPr>
            <w:tcW w:w="134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(212,886 )</w:t>
            </w:r>
          </w:p>
        </w:tc>
        <w:tc>
          <w:tcPr>
            <w:tcW w:w="30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738,783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123,543</w:t>
            </w:r>
          </w:p>
        </w:tc>
        <w:tc>
          <w:tcPr>
            <w:tcW w:w="80" w:type="dxa"/>
            <w:vAlign w:val="bottom"/>
          </w:tcPr>
          <w:p>
            <w:pPr>
              <w:spacing w:after="0"/>
              <w:rPr>
                <w:sz w:val="15"/>
                <w:szCs w:val="15"/>
                <w:color w:val="auto"/>
              </w:rPr>
            </w:pPr>
          </w:p>
        </w:tc>
      </w:tr>
      <w:tr>
        <w:trPr>
          <w:trHeight w:val="18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950,720</w:t>
            </w:r>
          </w:p>
        </w:tc>
        <w:tc>
          <w:tcPr>
            <w:tcW w:w="2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211,937</w:t>
            </w:r>
          </w:p>
        </w:tc>
        <w:tc>
          <w:tcPr>
            <w:tcW w:w="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88,394</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6700" w:type="dxa"/>
            <w:vAlign w:val="bottom"/>
          </w:tcPr>
          <w:p>
            <w:pPr>
              <w:ind w:left="20"/>
              <w:spacing w:after="0" w:line="183" w:lineRule="exact"/>
              <w:rPr>
                <w:sz w:val="20"/>
                <w:szCs w:val="20"/>
                <w:color w:val="auto"/>
              </w:rPr>
            </w:pPr>
            <w:r>
              <w:rPr>
                <w:rFonts w:ascii="Arial" w:cs="Arial" w:eastAsia="Arial" w:hAnsi="Arial"/>
                <w:sz w:val="16"/>
                <w:szCs w:val="16"/>
                <w:color w:val="auto"/>
              </w:rPr>
              <w:t>Cash, cash equivalents and restricted cash, at end of period</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737,834</w:t>
            </w:r>
          </w:p>
        </w:tc>
        <w:tc>
          <w:tcPr>
            <w:tcW w:w="26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950,720</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211,937</w:t>
            </w:r>
          </w:p>
        </w:tc>
        <w:tc>
          <w:tcPr>
            <w:tcW w:w="80" w:type="dxa"/>
            <w:vAlign w:val="bottom"/>
          </w:tcPr>
          <w:p>
            <w:pPr>
              <w:spacing w:after="0"/>
              <w:rPr>
                <w:sz w:val="15"/>
                <w:szCs w:val="15"/>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670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Reconciliation of cash, cash equivalents and restricted cash to consolidated balance sheets</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731,510</w:t>
            </w:r>
          </w:p>
        </w:tc>
        <w:tc>
          <w:tcPr>
            <w:tcW w:w="26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944,396</w:t>
            </w:r>
          </w:p>
        </w:tc>
        <w:tc>
          <w:tcPr>
            <w:tcW w:w="8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211,797</w:t>
            </w:r>
          </w:p>
        </w:tc>
        <w:tc>
          <w:tcPr>
            <w:tcW w:w="80" w:type="dxa"/>
            <w:vAlign w:val="bottom"/>
          </w:tcPr>
          <w:p>
            <w:pPr>
              <w:spacing w:after="0"/>
              <w:rPr>
                <w:sz w:val="16"/>
                <w:szCs w:val="16"/>
                <w:color w:val="auto"/>
              </w:rPr>
            </w:pPr>
          </w:p>
        </w:tc>
      </w:tr>
      <w:tr>
        <w:trPr>
          <w:trHeight w:val="18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6,324</w:t>
            </w:r>
          </w:p>
        </w:tc>
        <w:tc>
          <w:tcPr>
            <w:tcW w:w="2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6,324</w:t>
            </w:r>
          </w:p>
        </w:tc>
        <w:tc>
          <w:tcPr>
            <w:tcW w:w="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6700" w:type="dxa"/>
            <w:vAlign w:val="bottom"/>
          </w:tcPr>
          <w:p>
            <w:pPr>
              <w:ind w:left="20"/>
              <w:spacing w:after="0" w:line="183" w:lineRule="exact"/>
              <w:rPr>
                <w:sz w:val="20"/>
                <w:szCs w:val="20"/>
                <w:color w:val="auto"/>
              </w:rPr>
            </w:pPr>
            <w:r>
              <w:rPr>
                <w:rFonts w:ascii="Arial" w:cs="Arial" w:eastAsia="Arial" w:hAnsi="Arial"/>
                <w:sz w:val="16"/>
                <w:szCs w:val="16"/>
                <w:color w:val="auto"/>
              </w:rPr>
              <w:t>Cash, cash equivalents and restricted cash in consolidated balance sheets</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737,834</w:t>
            </w:r>
          </w:p>
        </w:tc>
        <w:tc>
          <w:tcPr>
            <w:tcW w:w="26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950,720</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211,937</w:t>
            </w:r>
          </w:p>
        </w:tc>
        <w:tc>
          <w:tcPr>
            <w:tcW w:w="80" w:type="dxa"/>
            <w:vAlign w:val="bottom"/>
          </w:tcPr>
          <w:p>
            <w:pPr>
              <w:spacing w:after="0"/>
              <w:rPr>
                <w:sz w:val="15"/>
                <w:szCs w:val="15"/>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6"/>
                <w:szCs w:val="16"/>
                <w:color w:val="auto"/>
              </w:rPr>
            </w:pPr>
          </w:p>
        </w:tc>
      </w:tr>
      <w:tr>
        <w:trPr>
          <w:trHeight w:val="18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773</w:t>
            </w:r>
          </w:p>
        </w:tc>
        <w:tc>
          <w:tcPr>
            <w:tcW w:w="26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75,614</w:t>
            </w:r>
          </w:p>
        </w:tc>
        <w:tc>
          <w:tcPr>
            <w:tcW w:w="8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2,163</w:t>
            </w:r>
          </w:p>
        </w:tc>
        <w:tc>
          <w:tcPr>
            <w:tcW w:w="80" w:type="dxa"/>
            <w:vAlign w:val="bottom"/>
          </w:tcPr>
          <w:p>
            <w:pPr>
              <w:spacing w:after="0"/>
              <w:rPr>
                <w:sz w:val="16"/>
                <w:szCs w:val="16"/>
                <w:color w:val="auto"/>
              </w:rPr>
            </w:pPr>
          </w:p>
        </w:tc>
      </w:tr>
      <w:tr>
        <w:trPr>
          <w:trHeight w:val="18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property and equipment under accounts payable and accruals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21,088</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Reclassification of deposits to property and equipment</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2,370</w:t>
            </w:r>
          </w:p>
        </w:tc>
        <w:tc>
          <w:tcPr>
            <w:tcW w:w="26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Unpaid offering costs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8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-5781040</wp:posOffset>
            </wp:positionV>
            <wp:extent cx="85725"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-5781040</wp:posOffset>
            </wp:positionV>
            <wp:extent cx="76835"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-5781040</wp:posOffset>
            </wp:positionV>
            <wp:extent cx="76835"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-3836670</wp:posOffset>
            </wp:positionV>
            <wp:extent cx="6032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-3836670</wp:posOffset>
            </wp:positionV>
            <wp:extent cx="5143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-3836670</wp:posOffset>
            </wp:positionV>
            <wp:extent cx="5143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-3099435</wp:posOffset>
            </wp:positionV>
            <wp:extent cx="6032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-3099435</wp:posOffset>
            </wp:positionV>
            <wp:extent cx="5143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-3099435</wp:posOffset>
            </wp:positionV>
            <wp:extent cx="5143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-1873885</wp:posOffset>
            </wp:positionV>
            <wp:extent cx="6032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-1873885</wp:posOffset>
            </wp:positionV>
            <wp:extent cx="5143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-1873885</wp:posOffset>
            </wp:positionV>
            <wp:extent cx="5143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-1624965</wp:posOffset>
            </wp:positionV>
            <wp:extent cx="6032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-1624965</wp:posOffset>
            </wp:positionV>
            <wp:extent cx="5143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-1624965</wp:posOffset>
            </wp:positionV>
            <wp:extent cx="5143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-1110615</wp:posOffset>
            </wp:positionV>
            <wp:extent cx="6032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-1110615</wp:posOffset>
            </wp:positionV>
            <wp:extent cx="514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-1110615</wp:posOffset>
            </wp:positionV>
            <wp:extent cx="5143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Kodiak Sciences Inc. (the “Company”) is a biopharmaceutical company specializing in novel therapeutics to treat high-prevalence retinal diseases.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Company devotes substantially all of its time and efforts to performing research and development, raising capital and recruiting personnel.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04" w:lineRule="exact"/>
        <w:rPr>
          <w:sz w:val="20"/>
          <w:szCs w:val="20"/>
          <w:color w:val="auto"/>
        </w:rPr>
      </w:pPr>
    </w:p>
    <w:p>
      <w:pPr>
        <w:ind w:right="340" w:firstLine="509"/>
        <w:spacing w:after="0" w:line="270" w:lineRule="auto"/>
        <w:rPr>
          <w:sz w:val="20"/>
          <w:szCs w:val="20"/>
          <w:color w:val="auto"/>
        </w:rPr>
      </w:pPr>
      <w:r>
        <w:rPr>
          <w:rFonts w:ascii="Arial" w:cs="Arial" w:eastAsia="Arial" w:hAnsi="Arial"/>
          <w:sz w:val="17"/>
          <w:szCs w:val="17"/>
          <w:color w:val="auto"/>
        </w:rPr>
        <w:t>In December 2019, the Company sold and issued 6,900,000 shares of common stock, including the underwriters’ full exercise of their over-allotment option, at a price to the public of $46.00 per share for gross proceeds of $317.4 million. The aggregate net proceeds to the Company from the follow-on offering were $297.6 million after deducting underwriting discounts and commissions and other offering costs.</w:t>
      </w:r>
    </w:p>
    <w:p>
      <w:pPr>
        <w:spacing w:after="0" w:line="56" w:lineRule="exact"/>
        <w:rPr>
          <w:sz w:val="20"/>
          <w:szCs w:val="20"/>
          <w:color w:val="auto"/>
        </w:rPr>
      </w:pPr>
    </w:p>
    <w:p>
      <w:pPr>
        <w:ind w:right="240" w:firstLine="509"/>
        <w:spacing w:after="0" w:line="270" w:lineRule="auto"/>
        <w:rPr>
          <w:sz w:val="20"/>
          <w:szCs w:val="20"/>
          <w:color w:val="auto"/>
        </w:rPr>
      </w:pPr>
      <w:r>
        <w:rPr>
          <w:rFonts w:ascii="Arial" w:cs="Arial" w:eastAsia="Arial" w:hAnsi="Arial"/>
          <w:sz w:val="17"/>
          <w:szCs w:val="17"/>
          <w:color w:val="auto"/>
        </w:rPr>
        <w:t>In November 2020, the Company sold and issued 5,972,222 shares of common stock, including the underwriters’ full exercise of their over-allotment option, at a price to the public of $108.00 per share for gross proceeds of $645.0 million. The aggregate net proceeds to the Company from the follow-on offering were $612.0 million after deducting underwriting discounts and commissions and other offering costs.</w:t>
      </w:r>
    </w:p>
    <w:p>
      <w:pPr>
        <w:spacing w:after="0" w:line="160" w:lineRule="exact"/>
        <w:rPr>
          <w:sz w:val="20"/>
          <w:szCs w:val="20"/>
          <w:color w:val="auto"/>
        </w:rPr>
      </w:pPr>
    </w:p>
    <w:p>
      <w:pPr>
        <w:ind w:right="7680" w:firstLine="8"/>
        <w:spacing w:after="0" w:line="362" w:lineRule="auto"/>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Certain prior period amounts in the consolidated financial statements have been reclassified to conform to the current period presentation.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consolidated financial statements include the Company’s accounts and the accounts of Kodiak Sciences Financing Corporation and Kodiak Sciences China, the Company’s direct wholly owned subsidiaries, incorporated in the United States and Cayman Islands, respectively, and Kodiak Sciences GmbH and Kodiak Sciences Valais GmbH, the Company’s indirect wholly owned subsidiaries, both incorporated in Switzerland. All intercompany accounts and transactions have been eliminated. The functional and reporting currency of the Company and its subsidiaries is the U.S. dollar. The aggregate foreign currency transaction loss included in determining net loss was $0.3 million, $0.3 million, and less than $0.1 million for the years ended December 31, 2021, 2020 and 2019,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research and development of drugs for retinal diseases. The chief operating decision maker reviews financial information on an aggregate basis for purposes of allocating resources and evaluating financial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The impact of the ongoing COVID-19 pandemic continues to evolve. As a result, certain estimates and assumptions required increased judgment and carried a higher degree of variability and volatility, including but not limited to, the fair value of marketable securities, performance-based equity awards, and research and development accruals. As events continue to unfold and additional information becomes available, these estimates may change materially in future periods. Actual results could differ from those estimates.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In March 2020, the World Health Organization declared a pandemic due to the global COVID-19 outbreak. The significant uncertainties caused by the ongoing COVID-19 pandemic may negatively impact the Company’s operations, liquidity, and capital resources and will depend on certain evolving developments, including the duration and spread of the outbreak, regulatory and private sector responses and the impact on employees and vendors including supply chain and clinical partners, all of which are uncertain and cannot be predicted. During this pandemic, the Company continues to work closely with clinical sites towards maximal patient safety and the lowest number of missed visits and study discontinuations. The Company has taken and continues to take proactive measures to maintain the integrity of its ongoing clinical studies. Despite these efforts, the ongoing COVID-19 pandemic could significantly impact clinical trial enrollment and completion of its clinical studies. The Company will continue to monitor the COVID-19 situation and its impact on the ability to continue the development of, and seek regulatory approvals for, the Company’s product candidates, and begin to commercialize any approved products.</w:t>
      </w:r>
    </w:p>
    <w:p>
      <w:pPr>
        <w:spacing w:after="0" w:line="76"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The Company’s future results of operations involve a number of risks and uncertainties common to clinical-stage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contract manufacturer and research organizations, and other suppliers.</w:t>
      </w:r>
    </w:p>
    <w:p>
      <w:pPr>
        <w:spacing w:after="0" w:line="86"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spacing w:after="0" w:line="81"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The Company expects to incur substantial operating losses for the next several years and will need to obtain additional financing in order to complete clinical trials and launch and commercialize any product candidates for which it receives regulatory approval. There can be no assurance that such financing will be available or will be on terms acceptable by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cash equivalents and marketable securities. As of December 31, 2021 and 2020, cash, cash equivalents and marketable securities were invested primarily in money market funds, U.S. treasury securities and corporate notes through highly rated financial institutions. Investments are restricted, in accordance with the Company’s investment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policy, to a concentration limit per issuer or sector.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highly liquid investments with stated maturities of three months or less at the date of purchase to be cash equivalents.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may invest excess cash balances in marketable securities. The investments in marketable securities are classified as either held-to-maturity or available-for-sale based on facts and circumstances present at the time of purchase. Marketable securities with a remaining maturity date greater than one year are classified as non-current. The Company’s marketable securities can consist of U.S. treasury securities, commercial paper, and corporate bonds. Marketable securities are carried at fair value with the unrealized gains and losses included in other comprehensive income (loss) as a component of stockholders’ equity until realized. Any premium or discount arising at purchase of marketable debt securities is amortized and/or accreted to other income (expense), net over the life of the instrument. Realized gains and losses are determined using the specific identification method and are included in other income (expense), net.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As of December 31, 2021, and 2020, the Company had $6.3 million and $6.3 million, respectively, of long-term restricted cash deposited with a financial institution. The entire amount is held in separate bank accounts to support letter of credit agreements related to the Company’s U.S. corporate offices.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 xml:space="preserve">Accounting Standards Codification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66"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—Observable inputs, such as quoted prices in active markets for identical assets or liabilities at the measurement date.</w:t>
      </w:r>
    </w:p>
    <w:p>
      <w:pPr>
        <w:spacing w:after="0" w:line="104" w:lineRule="exact"/>
        <w:rPr>
          <w:sz w:val="20"/>
          <w:szCs w:val="20"/>
          <w:color w:val="auto"/>
        </w:rPr>
      </w:pPr>
    </w:p>
    <w:p>
      <w:pPr>
        <w:ind w:right="400" w:firstLine="509"/>
        <w:spacing w:after="0" w:line="324"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active, or other inputs that are observable or can be corroborated by observable market data for substantially the full term of the assets or liabilities.</w:t>
      </w:r>
    </w:p>
    <w:p>
      <w:pPr>
        <w:spacing w:after="0" w:line="16"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which reflect management’s best estimate of what market participants would use in pricing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Consideration is given to the risk inherent in the valuation technique and inputs to the model.</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80" w:lineRule="exact"/>
        <w:rPr>
          <w:sz w:val="20"/>
          <w:szCs w:val="20"/>
          <w:color w:val="auto"/>
        </w:rPr>
      </w:pPr>
    </w:p>
    <w:p>
      <w:pPr>
        <w:ind w:right="260" w:firstLine="509"/>
        <w:spacing w:after="0" w:line="291" w:lineRule="auto"/>
        <w:rPr>
          <w:sz w:val="20"/>
          <w:szCs w:val="20"/>
          <w:color w:val="auto"/>
        </w:rPr>
      </w:pPr>
      <w:r>
        <w:rPr>
          <w:rFonts w:ascii="Arial" w:cs="Arial" w:eastAsia="Arial" w:hAnsi="Arial"/>
          <w:sz w:val="17"/>
          <w:szCs w:val="17"/>
          <w:color w:val="auto"/>
        </w:rPr>
        <w:t>The carrying amounts of the Company’s financial instruments consisting of cash and cash equivalents, prepaid expenses and other current assets, accounts payable and accrued liabilities and other current liabilities, approximate fair value due to their relatively short maturities.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of the applicable country or region. Variable lease payments are excluded from the right of use assets and operating lease liabilities and are recognized in the period in which the obligation for those payments is incurred.</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Property and equipment are stated at cost less accumulated depreciation for acquired assets. Construction in progress reflects amounts incurred for construction or improvements of property or equipment that have not been placed in service. Depreciation is computed using the straight-line method over the estimated useful lives of assets, which is generally four years for laboratory equipment, three years for computer equipment and office equipment, five years for computer software and five to seven years for furniture and fixtures. Leasehold improvements are stated at cost and amortized over the shorter of the useful life of the assets or the length of the lease. Upon sale or retirement of assets, the costs and related accumulated depreciation are removed from the consolidated balance sheet and the resulting gain or loss is reflected in operations. Maintenance and repairs are charged to operations as incurred.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may not be recoverable. Recoverability is measured by comparison of the carrying amount to the future undiscounted net cash flows which the assets are expected to generate. If such assets are considered to be impaired, the impairment to be recognized is measured by the amount by which the carrying amount of the assets exceeds the projected discounted future net cash flows arising from the assets. There have been no such impairments of long-lived assets in the years ended December 31, 2021 and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600" w:firstLine="509"/>
        <w:spacing w:after="0" w:line="248" w:lineRule="auto"/>
        <w:rPr>
          <w:sz w:val="20"/>
          <w:szCs w:val="20"/>
          <w:color w:val="auto"/>
        </w:rPr>
      </w:pPr>
      <w:r>
        <w:rPr>
          <w:rFonts w:ascii="Arial" w:cs="Arial" w:eastAsia="Arial" w:hAnsi="Arial"/>
          <w:sz w:val="18"/>
          <w:szCs w:val="18"/>
          <w:color w:val="auto"/>
        </w:rPr>
        <w:t>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equipment, depreciation and utilities.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w:t>
      </w:r>
    </w:p>
    <w:p>
      <w:pPr>
        <w:spacing w:after="0" w:line="104"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The Company has entered into various agreements with various third parties, including clinical investigator sites, contract research organizations (“CROs”) and contract manufacturing organizations (“CMOs”), to provide research and development activities. The Company’s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 The estimated costs of research and development provided, but not yet invoiced, are included in accrued and other current liabilities on the consolidated balance sheets.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or other assets until the services are rendered.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200" w:firstLine="509"/>
        <w:spacing w:after="0" w:line="259" w:lineRule="auto"/>
        <w:rPr>
          <w:sz w:val="20"/>
          <w:szCs w:val="20"/>
          <w:color w:val="auto"/>
        </w:rPr>
      </w:pPr>
      <w:r>
        <w:rPr>
          <w:rFonts w:ascii="Arial" w:cs="Arial" w:eastAsia="Arial" w:hAnsi="Arial"/>
          <w:sz w:val="17"/>
          <w:szCs w:val="17"/>
          <w:color w:val="auto"/>
        </w:rPr>
        <w:t xml:space="preserve">The Company accounts for stock-based compensation in accordance with the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measures stock-based compensation expense for stock options and restricted stock units granted to its employees, directors and non-employees based on the estimated fair value of the awards on the grant date. The fair value of options is calculated using the Black-Scholes valuation model or the Monte Carlo simulation model, which requires the input of subjective assumptions, including (i) the calculation of expected term of the award, (ii) the expected stock price volatility, (iii) the risk-free interest rate, and (iv) expected dividends.</w:t>
      </w:r>
    </w:p>
    <w:p>
      <w:pPr>
        <w:spacing w:after="0" w:line="66"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color w:val="auto"/>
        </w:rPr>
        <w:t>The expected term is calculated using the simplified method, which is available where there is insufficient historical data about exercise patterns and post-vesting employment termination behavior, and equals the midpoint between the vesting date and maximum contractual expiration date.</w:t>
      </w:r>
    </w:p>
    <w:p>
      <w:pPr>
        <w:spacing w:after="0" w:line="16"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expected volatility is estimated based on the Company's historical information for its common stock and supplemented by the historical stock price volatility of a representative peer group over a period equivalent to the expected term of the equity award.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risk-free interest rate is estimated based on the U.S. Treasury securities with maturity dates commensurate with the expected term of the equity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never paid, and does not expect to pay, dividends in the foreseeable future.</w:t>
      </w:r>
    </w:p>
    <w:p>
      <w:pPr>
        <w:spacing w:after="0" w:line="104"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expense is recorded on a straight-line basis over the requisite service period, which is generally the vesting period, for the entire award. The Company accounts for forfeitures as they occur.</w:t>
      </w:r>
    </w:p>
    <w:p>
      <w:pPr>
        <w:spacing w:after="0" w:line="6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 xml:space="preserve">Prior to the adoption of Accounting Standards Update ("ASU") No. 2018-07, </w:t>
      </w:r>
      <w:r>
        <w:rPr>
          <w:rFonts w:ascii="Arial" w:cs="Arial" w:eastAsia="Arial" w:hAnsi="Arial"/>
          <w:sz w:val="18"/>
          <w:szCs w:val="18"/>
          <w:i w:val="1"/>
          <w:iCs w:val="1"/>
          <w:color w:val="auto"/>
        </w:rPr>
        <w:t>Compensation - 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("ASU 2018-07"), the measurement date for non-employee awards was generally the date the services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resulting in financial reporting period adjustments to stock-based compensation during the vesting terms for changes in the fair value of the awards. After adoption of ASU 2018-07 as of January 1, 2019, the measurement date for non-employee awards is the date of grant without changes in the fair value of the award.</w:t>
      </w:r>
    </w:p>
    <w:p>
      <w:pPr>
        <w:spacing w:after="0" w:line="81" w:lineRule="exact"/>
        <w:rPr>
          <w:sz w:val="20"/>
          <w:szCs w:val="20"/>
          <w:color w:val="auto"/>
        </w:rPr>
      </w:pPr>
    </w:p>
    <w:p>
      <w:pPr>
        <w:jc w:val="both"/>
        <w:ind w:right="300" w:firstLine="509"/>
        <w:spacing w:after="0" w:line="294" w:lineRule="auto"/>
        <w:rPr>
          <w:sz w:val="20"/>
          <w:szCs w:val="20"/>
          <w:color w:val="auto"/>
        </w:rPr>
      </w:pPr>
      <w:r>
        <w:rPr>
          <w:rFonts w:ascii="Arial" w:cs="Arial" w:eastAsia="Arial" w:hAnsi="Arial"/>
          <w:sz w:val="16"/>
          <w:szCs w:val="16"/>
          <w:color w:val="auto"/>
        </w:rPr>
        <w:t>The Company has certain stock options and restricted stock units that vest in conjunction with certain performance conditions. At each reporting date, the Company is required to evaluate whether achievement of the performance conditions is probable. Compensation expense is recorded over the appropriate service period based upon the Company's assessment of accomplishing each performance provision. Refer to Note 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(“NOLs”)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6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Comprehensive loss is composed of net loss and other comprehensive income (loss). Other comprehensive income (loss) consists primarily of unrealized gains and losses on debt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related to Sale of Future Royalties</w:t>
      </w:r>
    </w:p>
    <w:p>
      <w:pPr>
        <w:spacing w:after="0" w:line="90"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 xml:space="preserve">On December 1, 2019, the Company and its subsidiary Kodiak Sciences GmbH entered into a funding agreement with Baker Bros. Advisors, LP (“BBA”), which holds more than 5% of the Company’s stock, pursuant to which BBA purchased the right to receive a capped 4.5% royalty on future net sales of KSI-301, the Company’s anti-VEGF antibody biopolymer conjugate therapy, in exchange for $225.0 million. Under the terms of the funding agreement, there is no obligation to repay any funding amount received, other than through the capped royalty payments on future product revenues. The Company recorded the funding amount paid by BBA as a liability on the consolidated balance sheet net of issuance costs, in accordance with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Under ASC 730, the significant related party relationship between the Company and BBA creates an implicit obligation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repay the funding amount paid to the Company.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In July 2021, the funding agreement was amended, at the Company’s request, that the remaining funding amount of $125.0 million would not be paid. Refer to Note 14.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 – Available-for-Sale Debt Securities</w:t>
      </w:r>
    </w:p>
    <w:p>
      <w:pPr>
        <w:spacing w:after="0" w:line="90"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For available-for-sale debt securities in an unrealized loss position, the Company will periodically assess its portfolio for impairment. The assessment first considers the intent or requirement to sell the security. If either of these criteria are met, the amortized cost basis will be written down to fair value through earnings.</w:t>
      </w:r>
    </w:p>
    <w:p>
      <w:pPr>
        <w:spacing w:after="0" w:line="74"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If not met, the Company will evaluate whether the decline resulted from credit losses or other factors by considering the extent to which fair value is less than amortized cost, any changes to the rating of the security by a rating agency, and any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will be recorded, limited by the amount that the fair value is less than the amortized cost basis. Any impairment that has not been recorded through an allowance for credit losses is recognized in other comprehensive income or loss, as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Since the Company has reported net loss for all periods presented, diluted net loss per share is the same as basic net loss per common share for those periods.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From time to time, new accounting pronouncements are issued by the FASB, under its ASC or other standard setting bodies, and adopted by the Company as of the specified effective date. There have been no new accounting pronouncements issued nor adopted during the year ended December 31, 2021 that are of significance to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3. Property and Equipment, net</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7640" w:type="dxa"/>
            <w:vAlign w:val="bottom"/>
          </w:tcPr>
          <w:p>
            <w:pPr>
              <w:ind w:left="52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7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23"/>
                <w:szCs w:val="23"/>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December 31,</w:t>
            </w:r>
          </w:p>
        </w:tc>
      </w:tr>
      <w:tr>
        <w:trPr>
          <w:trHeight w:val="216"/>
        </w:trPr>
        <w:tc>
          <w:tcPr>
            <w:tcW w:w="7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Leasehold improvement</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1,285</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4,565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3,351</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Computer hardware</w:t>
            </w: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Computer software</w:t>
            </w: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Office equipment</w:t>
            </w: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37,809</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property and equipment</w:t>
            </w:r>
          </w:p>
        </w:tc>
        <w:tc>
          <w:tcPr>
            <w:tcW w:w="20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44,269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7,306</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(2,939 )</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(2,170 )</w:t>
            </w:r>
          </w:p>
        </w:tc>
      </w:tr>
      <w:tr>
        <w:trPr>
          <w:trHeight w:val="217"/>
        </w:trPr>
        <w:tc>
          <w:tcPr>
            <w:tcW w:w="76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41,330</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5,136</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-424815</wp:posOffset>
            </wp:positionV>
            <wp:extent cx="6032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87" w:lineRule="exact"/>
        <w:rPr>
          <w:sz w:val="20"/>
          <w:szCs w:val="20"/>
          <w:color w:val="auto"/>
        </w:rPr>
      </w:pPr>
    </w:p>
    <w:p>
      <w:pPr>
        <w:ind w:right="500" w:firstLine="509"/>
        <w:spacing w:after="0" w:line="291" w:lineRule="auto"/>
        <w:rPr>
          <w:sz w:val="20"/>
          <w:szCs w:val="20"/>
          <w:color w:val="auto"/>
        </w:rPr>
      </w:pPr>
      <w:r>
        <w:rPr>
          <w:rFonts w:ascii="Arial" w:cs="Arial" w:eastAsia="Arial" w:hAnsi="Arial"/>
          <w:sz w:val="17"/>
          <w:szCs w:val="17"/>
          <w:color w:val="auto"/>
        </w:rPr>
        <w:t>All property and equipment are maintained in the United States and Switzerland. Depreciation expense, including depreciation of assets under capital leases, was $1.0 million, $0.5 million and $0.5 million for the years ended December 31, 2021, 2020 and 2019,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4. Accrued Liabilities and Other Current Liabilities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7660" w:type="dxa"/>
            <w:vAlign w:val="bottom"/>
          </w:tcPr>
          <w:p>
            <w:pPr>
              <w:ind w:left="520"/>
              <w:spacing w:after="0"/>
              <w:rPr>
                <w:sz w:val="20"/>
                <w:szCs w:val="20"/>
                <w:color w:val="auto"/>
              </w:rPr>
            </w:pPr>
            <w:r>
              <w:rPr>
                <w:rFonts w:ascii="Arial" w:cs="Arial" w:eastAsia="Arial" w:hAnsi="Arial"/>
                <w:sz w:val="18"/>
                <w:szCs w:val="18"/>
                <w:color w:val="auto"/>
              </w:rPr>
              <w:t>Accrued liabilities and other current liabilities consist of the following (in thousands):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7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December 31,</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60" w:type="dxa"/>
            <w:vAlign w:val="bottom"/>
          </w:tcPr>
          <w:p>
            <w:pPr>
              <w:spacing w:after="0"/>
              <w:rPr>
                <w:sz w:val="23"/>
                <w:szCs w:val="23"/>
                <w:color w:val="auto"/>
              </w:rPr>
            </w:pPr>
          </w:p>
        </w:tc>
      </w:tr>
      <w:tr>
        <w:trPr>
          <w:trHeight w:val="216"/>
        </w:trPr>
        <w:tc>
          <w:tcPr>
            <w:tcW w:w="7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clinical trial and related costs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21,776</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11,119</w:t>
            </w:r>
          </w:p>
        </w:tc>
        <w:tc>
          <w:tcPr>
            <w:tcW w:w="6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Accrued leasehold improvements</w:t>
            </w: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13,021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6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salaries and benefits</w:t>
            </w: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6,187</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5,094</w:t>
            </w:r>
          </w:p>
        </w:tc>
        <w:tc>
          <w:tcPr>
            <w:tcW w:w="6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Accrued research and development</w:t>
            </w: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6,041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3,082</w:t>
            </w:r>
          </w:p>
        </w:tc>
        <w:tc>
          <w:tcPr>
            <w:tcW w:w="6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legal fees</w:t>
            </w: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403</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w:t>
            </w:r>
          </w:p>
        </w:tc>
        <w:tc>
          <w:tcPr>
            <w:tcW w:w="6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60" w:type="dxa"/>
            <w:vAlign w:val="bottom"/>
          </w:tcPr>
          <w:p>
            <w:pPr>
              <w:spacing w:after="0"/>
              <w:rPr>
                <w:sz w:val="17"/>
                <w:szCs w:val="17"/>
                <w:color w:val="auto"/>
              </w:rPr>
            </w:pPr>
          </w:p>
        </w:tc>
      </w:tr>
      <w:tr>
        <w:trPr>
          <w:trHeight w:val="202"/>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other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715</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48,319</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20,402</w:t>
            </w:r>
          </w:p>
        </w:tc>
        <w:tc>
          <w:tcPr>
            <w:tcW w:w="6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-159385</wp:posOffset>
            </wp:positionV>
            <wp:extent cx="431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the Company’s fair value hierarchy for assets and liabilities measured at fair value on a recurring basis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December 31, 2021</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5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w w:val="97"/>
              </w:rPr>
              <w:t>Total</w:t>
            </w:r>
          </w:p>
        </w:tc>
        <w:tc>
          <w:tcPr>
            <w:tcW w:w="60" w:type="dxa"/>
            <w:vAlign w:val="bottom"/>
          </w:tcPr>
          <w:p>
            <w:pPr>
              <w:spacing w:after="0"/>
              <w:rPr>
                <w:sz w:val="17"/>
                <w:szCs w:val="17"/>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00" w:type="dxa"/>
            <w:vAlign w:val="bottom"/>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706,703</w:t>
            </w:r>
          </w:p>
        </w:tc>
        <w:tc>
          <w:tcPr>
            <w:tcW w:w="4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820"/>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ind w:left="78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706,703</w:t>
            </w:r>
          </w:p>
        </w:tc>
        <w:tc>
          <w:tcPr>
            <w:tcW w:w="60" w:type="dxa"/>
            <w:vAlign w:val="bottom"/>
          </w:tcPr>
          <w:p>
            <w:pPr>
              <w:spacing w:after="0"/>
              <w:rPr>
                <w:sz w:val="17"/>
                <w:szCs w:val="17"/>
                <w:color w:val="auto"/>
              </w:rPr>
            </w:pPr>
          </w:p>
        </w:tc>
      </w:tr>
      <w:tr>
        <w:trPr>
          <w:trHeight w:val="236"/>
        </w:trPr>
        <w:tc>
          <w:tcPr>
            <w:tcW w:w="5700" w:type="dxa"/>
            <w:vAlign w:val="bottom"/>
            <w:tcBorders>
              <w:top w:val="single" w:sz="8" w:color="CFF0FC"/>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706,703</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ind w:left="82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7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706,703</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-162560</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-162560</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431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-162560</wp:posOffset>
            </wp:positionV>
            <wp:extent cx="431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8"/>
                <w:szCs w:val="18"/>
                <w:b w:val="1"/>
                <w:bCs w:val="1"/>
                <w:color w:val="auto"/>
              </w:rPr>
              <w:t>Fair Value Measurements at December 31, 2020</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5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w w:val="97"/>
              </w:rPr>
              <w:t>Total</w:t>
            </w:r>
          </w:p>
        </w:tc>
        <w:tc>
          <w:tcPr>
            <w:tcW w:w="60" w:type="dxa"/>
            <w:vAlign w:val="bottom"/>
          </w:tcPr>
          <w:p>
            <w:pPr>
              <w:spacing w:after="0"/>
              <w:rPr>
                <w:sz w:val="17"/>
                <w:szCs w:val="17"/>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00" w:type="dxa"/>
            <w:vAlign w:val="bottom"/>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917,485</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ind w:left="78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917,485</w:t>
            </w:r>
          </w:p>
        </w:tc>
        <w:tc>
          <w:tcPr>
            <w:tcW w:w="60" w:type="dxa"/>
            <w:vAlign w:val="bottom"/>
          </w:tcPr>
          <w:p>
            <w:pPr>
              <w:spacing w:after="0"/>
              <w:rPr>
                <w:sz w:val="17"/>
                <w:szCs w:val="17"/>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00" w:type="dxa"/>
            <w:vAlign w:val="bottom"/>
          </w:tcPr>
          <w:p>
            <w:pPr>
              <w:ind w:left="120"/>
              <w:spacing w:after="0" w:line="202" w:lineRule="exact"/>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10,006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7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10,006</w:t>
            </w:r>
          </w:p>
        </w:tc>
        <w:tc>
          <w:tcPr>
            <w:tcW w:w="60" w:type="dxa"/>
            <w:vAlign w:val="bottom"/>
          </w:tcPr>
          <w:p>
            <w:pPr>
              <w:spacing w:after="0"/>
              <w:rPr>
                <w:sz w:val="17"/>
                <w:szCs w:val="17"/>
                <w:color w:val="auto"/>
              </w:rPr>
            </w:pPr>
          </w:p>
        </w:tc>
      </w:tr>
      <w:tr>
        <w:trPr>
          <w:trHeight w:val="203"/>
        </w:trPr>
        <w:tc>
          <w:tcPr>
            <w:tcW w:w="57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Corporate notes</w:t>
            </w: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14,572</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ind w:left="7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14,572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70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917,485</w:t>
            </w:r>
          </w:p>
        </w:tc>
        <w:tc>
          <w:tcPr>
            <w:tcW w:w="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24,578</w:t>
            </w:r>
          </w:p>
        </w:tc>
        <w:tc>
          <w:tcPr>
            <w:tcW w:w="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ind w:left="78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942,063</w:t>
            </w:r>
          </w:p>
        </w:tc>
        <w:tc>
          <w:tcPr>
            <w:tcW w:w="6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-159385</wp:posOffset>
            </wp:positionV>
            <wp:extent cx="5143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-159385</wp:posOffset>
            </wp:positionV>
            <wp:extent cx="5143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wp:posOffset>
            </wp:positionV>
            <wp:extent cx="431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87"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As of December 31, 2021 and 2020, the fair value of the liability related to sale of future royalties is based on our current estimates of future royalties expected to be paid to BBA, which are considered Level 3 inputs. Refer to Note 14. There were no transfers of assets or liabilities between the fair value measurement levels during the years ended December 31, 2021 and 2020.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08"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auto"/>
        </w:rPr>
        <w:t>The marketable securities are classified as available-for-sale and consist of U.S. treasury securities, corporate notes and commercial paper.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had no marketable securities at December 31, 2021. The following table summarizes the marketable securities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Amortized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60" w:type="dxa"/>
            <w:vAlign w:val="bottom"/>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60" w:type="dxa"/>
            <w:vAlign w:val="bottom"/>
          </w:tcPr>
          <w:p>
            <w:pPr>
              <w:spacing w:after="0"/>
              <w:rPr>
                <w:sz w:val="18"/>
                <w:szCs w:val="18"/>
                <w:color w:val="auto"/>
              </w:rPr>
            </w:pPr>
          </w:p>
        </w:tc>
      </w:tr>
      <w:tr>
        <w:trPr>
          <w:trHeight w:val="196"/>
        </w:trPr>
        <w:tc>
          <w:tcPr>
            <w:tcW w:w="4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treasury securities</w:t>
            </w:r>
          </w:p>
        </w:tc>
        <w:tc>
          <w:tcPr>
            <w:tcW w:w="16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ind w:left="8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10,006</w:t>
            </w:r>
          </w:p>
        </w:tc>
        <w:tc>
          <w:tcPr>
            <w:tcW w:w="60" w:type="dxa"/>
            <w:vAlign w:val="bottom"/>
            <w:shd w:val="clear" w:color="auto" w:fill="CFF0FC"/>
          </w:tcPr>
          <w:p>
            <w:pPr>
              <w:spacing w:after="0"/>
              <w:rPr>
                <w:sz w:val="17"/>
                <w:szCs w:val="17"/>
                <w:color w:val="auto"/>
              </w:rPr>
            </w:pPr>
          </w:p>
        </w:tc>
      </w:tr>
      <w:tr>
        <w:trPr>
          <w:trHeight w:val="203"/>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Corporate notes</w:t>
            </w:r>
          </w:p>
        </w:tc>
        <w:tc>
          <w:tcPr>
            <w:tcW w:w="1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14,522</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14,572</w:t>
            </w:r>
          </w:p>
        </w:tc>
        <w:tc>
          <w:tcPr>
            <w:tcW w:w="60" w:type="dxa"/>
            <w:vAlign w:val="bottom"/>
          </w:tcPr>
          <w:p>
            <w:pPr>
              <w:spacing w:after="0"/>
              <w:rPr>
                <w:sz w:val="17"/>
                <w:szCs w:val="17"/>
                <w:color w:val="auto"/>
              </w:rPr>
            </w:pPr>
          </w:p>
        </w:tc>
      </w:tr>
      <w:tr>
        <w:trPr>
          <w:trHeight w:val="236"/>
        </w:trPr>
        <w:tc>
          <w:tcPr>
            <w:tcW w:w="40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marketable securities, current</w:t>
            </w:r>
          </w:p>
        </w:tc>
        <w:tc>
          <w:tcPr>
            <w:tcW w:w="16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24,525</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ind w:left="8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24,578</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15"/>
        </w:trPr>
        <w:tc>
          <w:tcPr>
            <w:tcW w:w="4040" w:type="dxa"/>
            <w:vAlign w:val="bottom"/>
          </w:tcPr>
          <w:p>
            <w:pPr>
              <w:spacing w:after="0"/>
              <w:rPr>
                <w:sz w:val="24"/>
                <w:szCs w:val="24"/>
                <w:color w:val="auto"/>
              </w:rPr>
            </w:pPr>
          </w:p>
        </w:tc>
        <w:tc>
          <w:tcPr>
            <w:tcW w:w="1800" w:type="dxa"/>
            <w:vAlign w:val="bottom"/>
            <w:gridSpan w:val="2"/>
          </w:tcPr>
          <w:p>
            <w:pPr>
              <w:jc w:val="right"/>
              <w:ind w:right="30"/>
              <w:spacing w:after="0"/>
              <w:rPr>
                <w:sz w:val="20"/>
                <w:szCs w:val="20"/>
                <w:color w:val="auto"/>
              </w:rPr>
            </w:pPr>
            <w:r>
              <w:rPr>
                <w:rFonts w:ascii="Arial" w:cs="Arial" w:eastAsia="Arial" w:hAnsi="Arial"/>
                <w:sz w:val="18"/>
                <w:szCs w:val="18"/>
                <w:color w:val="auto"/>
              </w:rPr>
              <w:t>95</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04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-496570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-479425</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-496570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-479425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-496570</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-479425</wp:posOffset>
            </wp:positionV>
            <wp:extent cx="431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-496570</wp:posOffset>
            </wp:positionV>
            <wp:extent cx="431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-479425</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32"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All marketable securities held at December 31, 2020 had effective maturities of less than one year. There were no marketable securities with unrealized losses as of December 31, 2020. The Company did not realized any gains or losses recognized on the sale or maturity of available-for-sale debt securities during the year ended December 31, 2021 and as a result, the Company did not reclassify any amounts out of accumulated comprehensive loss. There were no impairment charges or recoveries recorded during the years ended December 31, 2021 and 2020.</w:t>
      </w:r>
    </w:p>
    <w:p>
      <w:pPr>
        <w:spacing w:after="0" w:line="168" w:lineRule="exact"/>
        <w:rPr>
          <w:sz w:val="20"/>
          <w:szCs w:val="20"/>
          <w:color w:val="auto"/>
        </w:rPr>
      </w:pPr>
    </w:p>
    <w:p>
      <w:pPr>
        <w:ind w:right="8500" w:firstLine="8"/>
        <w:spacing w:after="0" w:line="362" w:lineRule="auto"/>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Palo Alto, California Leases</w:t>
      </w:r>
    </w:p>
    <w:p>
      <w:pPr>
        <w:spacing w:after="0" w:line="90" w:lineRule="exact"/>
        <w:rPr>
          <w:sz w:val="20"/>
          <w:szCs w:val="20"/>
          <w:color w:val="auto"/>
        </w:rPr>
      </w:pPr>
    </w:p>
    <w:p>
      <w:pPr>
        <w:ind w:right="20" w:firstLine="509"/>
        <w:spacing w:after="0" w:line="252" w:lineRule="auto"/>
        <w:rPr>
          <w:sz w:val="20"/>
          <w:szCs w:val="20"/>
          <w:color w:val="auto"/>
        </w:rPr>
      </w:pPr>
      <w:r>
        <w:rPr>
          <w:rFonts w:ascii="Arial" w:cs="Arial" w:eastAsia="Arial" w:hAnsi="Arial"/>
          <w:sz w:val="16"/>
          <w:szCs w:val="16"/>
          <w:color w:val="auto"/>
        </w:rPr>
        <w:t>In June 2020, the Company entered into lease agreements for two buildings at 1200 and 1250 Page Mill Road in Palo Alto, California, which are now the Company’s U.S. corporate offices. The facilities are approximately 82,662 square feet and 72,812 square feet, respectively and include office and laboratory space. For 1200 Page Mill Road, the monthly rent during the initial 6.5-year term will be approximately $0.6 million, with annual year-over-year increases of 3% plus certain operating expenses and taxes and total rent abatement of approximately $7.2 million. The Company has an option to extend the lease term for a period of 6.5 years. For 1250 Page Mill Road, the monthly rent during the initial 13-year term will be approximately $0.5 million, with annual year-over-year increases of 3% plus certain operating expenses and taxes and total rent abatement of approximately $6.3 million. The Landlord will provide a tenant improvement allowance of approximately $1.2 million and $10.6 million for each building, respectively. The Company has two options to extend the lease term for a period of 5 years each. The Company determined that the renewal options were not reasonably certain at lease inception for the two buildings. The Company executed a $10.9 million cash-collateralized letter of credit, which was subsequently reduced to $6.2 million as a result of meeting certain reduction requirements specified therein in 2020. The cash collateralizing the letter of credit is classified as restricted cash on the Company’s consolidated balance sheets. Under ASC 842, the Company classified these leases as operating leases and recorded right-of-use assets and lease liabilities on the lease commencement date. As of December 31, 2021, the Company received a tenant improvement allowance of $1.4 million.</w:t>
      </w:r>
    </w:p>
    <w:p>
      <w:pPr>
        <w:spacing w:after="0" w:line="71"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The Company continues to lease office and laboratory space at 2631 Hanover Street in Palo Alto, California. The Company entered into a lease agreement in January 2013 which was amended in March 2016 and extended the lease term until October 2023. The Company classified this lease as an operating lease and recorded a right-of-use asset and lease liability on January 1, 2019 and recognized rent expense on a straight-line basis throughout the remaining lease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 Lease</w:t>
      </w:r>
    </w:p>
    <w:p>
      <w:pPr>
        <w:spacing w:after="0" w:line="90" w:lineRule="exact"/>
        <w:rPr>
          <w:sz w:val="20"/>
          <w:szCs w:val="20"/>
          <w:color w:val="auto"/>
        </w:rPr>
      </w:pPr>
    </w:p>
    <w:p>
      <w:pPr>
        <w:ind w:right="200" w:firstLine="509"/>
        <w:spacing w:after="0" w:line="266" w:lineRule="auto"/>
        <w:rPr>
          <w:sz w:val="20"/>
          <w:szCs w:val="20"/>
          <w:color w:val="auto"/>
        </w:rPr>
      </w:pPr>
      <w:r>
        <w:rPr>
          <w:rFonts w:ascii="Arial" w:cs="Arial" w:eastAsia="Arial" w:hAnsi="Arial"/>
          <w:sz w:val="16"/>
          <w:szCs w:val="16"/>
          <w:color w:val="auto"/>
        </w:rPr>
        <w:t>In April 2020, the Company entered into a lease agreement for office and laboratory space at Rottenstrasse 5 in Visp, Switzerland. The space is approximately 1,000 square meters. The initial lease term is 5 years, with automatic renewals every 5 years for a maximum lease term of 15 years. The monthly rent during the initial 5-year term will be approximately 32.0 thousand Swiss Francs plus certain operating expenses and taxes. Under ASC 842, the Company classified these leases as operating leases and recorded right-of-use assets and lease liabilities on the lease commencement date.</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maturities of the operating lease liabilities as of December 31, 2021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jc w:val="right"/>
              <w:ind w:right="11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4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14,531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4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15,461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4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4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55,486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4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123,719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4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(33,360 )</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future tenant improvement reimbursements</w:t>
            </w:r>
          </w:p>
        </w:tc>
        <w:tc>
          <w:tcPr>
            <w:tcW w:w="4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(10,363 )</w:t>
            </w:r>
          </w:p>
        </w:tc>
        <w:tc>
          <w:tcPr>
            <w:tcW w:w="0" w:type="dxa"/>
            <w:vAlign w:val="bottom"/>
          </w:tcPr>
          <w:p>
            <w:pPr>
              <w:spacing w:after="0"/>
              <w:rPr>
                <w:sz w:val="1"/>
                <w:szCs w:val="1"/>
                <w:color w:val="auto"/>
              </w:rPr>
            </w:pPr>
          </w:p>
        </w:tc>
      </w:tr>
      <w:tr>
        <w:trPr>
          <w:trHeight w:val="196"/>
        </w:trPr>
        <w:tc>
          <w:tcPr>
            <w:tcW w:w="45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operating lease liabilities</w:t>
            </w:r>
          </w:p>
        </w:tc>
        <w:tc>
          <w:tcPr>
            <w:tcW w:w="410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79,996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100" w:type="dxa"/>
            <w:vAlign w:val="bottom"/>
            <w:vMerge w:val="restart"/>
          </w:tcPr>
          <w:p>
            <w:pPr>
              <w:jc w:val="right"/>
              <w:ind w:right="2830"/>
              <w:spacing w:after="0"/>
              <w:rPr>
                <w:sz w:val="20"/>
                <w:szCs w:val="20"/>
                <w:color w:val="auto"/>
              </w:rPr>
            </w:pPr>
            <w:r>
              <w:rPr>
                <w:rFonts w:ascii="Arial" w:cs="Arial" w:eastAsia="Arial" w:hAnsi="Arial"/>
                <w:sz w:val="18"/>
                <w:szCs w:val="18"/>
                <w:color w:val="auto"/>
              </w:rPr>
              <w:t>96</w:t>
            </w: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54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540" w:type="dxa"/>
            <w:vAlign w:val="bottom"/>
            <w:tcBorders>
              <w:bottom w:val="single" w:sz="8" w:color="9A9A9A"/>
            </w:tcBorders>
          </w:tcPr>
          <w:p>
            <w:pPr>
              <w:spacing w:after="0"/>
              <w:rPr>
                <w:sz w:val="7"/>
                <w:szCs w:val="7"/>
                <w:color w:val="auto"/>
              </w:rPr>
            </w:pPr>
          </w:p>
        </w:tc>
        <w:tc>
          <w:tcPr>
            <w:tcW w:w="4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-630555</wp:posOffset>
            </wp:positionV>
            <wp:extent cx="596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05" w:lineRule="exact"/>
        <w:rPr>
          <w:sz w:val="20"/>
          <w:szCs w:val="20"/>
          <w:color w:val="auto"/>
        </w:rPr>
      </w:pPr>
    </w:p>
    <w:p>
      <w:pPr>
        <w:ind w:right="540" w:firstLine="509"/>
        <w:spacing w:after="0" w:line="246" w:lineRule="auto"/>
        <w:rPr>
          <w:sz w:val="20"/>
          <w:szCs w:val="20"/>
          <w:color w:val="auto"/>
        </w:rPr>
      </w:pPr>
      <w:r>
        <w:rPr>
          <w:rFonts w:ascii="Arial" w:cs="Arial" w:eastAsia="Arial" w:hAnsi="Arial"/>
          <w:sz w:val="18"/>
          <w:szCs w:val="18"/>
          <w:color w:val="auto"/>
        </w:rPr>
        <w:t>The minimum lease payments above do not include any related common area maintenance charges or real estate taxes. The weighted-average remaining lease terms and weighted-average discount rates were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tcPr>
          <w:p>
            <w:pPr>
              <w:spacing w:after="0"/>
              <w:rPr>
                <w:sz w:val="17"/>
                <w:szCs w:val="17"/>
                <w:color w:val="auto"/>
              </w:rPr>
            </w:pPr>
          </w:p>
        </w:tc>
        <w:tc>
          <w:tcPr>
            <w:tcW w:w="146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85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r>
      <w:tr>
        <w:trPr>
          <w:trHeight w:val="196"/>
        </w:trPr>
        <w:tc>
          <w:tcPr>
            <w:tcW w:w="7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remaining lease term (in years)</w:t>
            </w:r>
          </w:p>
        </w:tc>
        <w:tc>
          <w:tcPr>
            <w:tcW w:w="14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color w:val="auto"/>
                <w:w w:val="87"/>
              </w:rPr>
              <w:t>8.8</w:t>
            </w:r>
          </w:p>
        </w:tc>
        <w:tc>
          <w:tcPr>
            <w:tcW w:w="440" w:type="dxa"/>
            <w:vAlign w:val="bottom"/>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ind w:left="1480"/>
              <w:spacing w:after="0" w:line="196" w:lineRule="exact"/>
              <w:rPr>
                <w:sz w:val="20"/>
                <w:szCs w:val="20"/>
                <w:color w:val="auto"/>
              </w:rPr>
            </w:pPr>
            <w:r>
              <w:rPr>
                <w:rFonts w:ascii="Arial" w:cs="Arial" w:eastAsia="Arial" w:hAnsi="Arial"/>
                <w:sz w:val="18"/>
                <w:szCs w:val="18"/>
                <w:color w:val="auto"/>
                <w:w w:val="87"/>
              </w:rPr>
              <w:t>9.5</w:t>
            </w:r>
          </w:p>
        </w:tc>
        <w:tc>
          <w:tcPr>
            <w:tcW w:w="220" w:type="dxa"/>
            <w:vAlign w:val="bottom"/>
            <w:shd w:val="clear" w:color="auto" w:fill="CFF0FC"/>
          </w:tcPr>
          <w:p>
            <w:pPr>
              <w:spacing w:after="0"/>
              <w:rPr>
                <w:sz w:val="17"/>
                <w:szCs w:val="17"/>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6.7 %</w:t>
            </w:r>
          </w:p>
        </w:tc>
        <w:tc>
          <w:tcPr>
            <w:tcW w:w="1940" w:type="dxa"/>
            <w:vAlign w:val="bottom"/>
            <w:gridSpan w:val="2"/>
          </w:tcPr>
          <w:p>
            <w:pPr>
              <w:ind w:left="1480"/>
              <w:spacing w:after="0"/>
              <w:rPr>
                <w:sz w:val="20"/>
                <w:szCs w:val="20"/>
                <w:color w:val="auto"/>
              </w:rPr>
            </w:pPr>
            <w:r>
              <w:rPr>
                <w:rFonts w:ascii="Arial" w:cs="Arial" w:eastAsia="Arial" w:hAnsi="Arial"/>
                <w:sz w:val="18"/>
                <w:szCs w:val="18"/>
                <w:color w:val="auto"/>
                <w:w w:val="95"/>
              </w:rPr>
              <w:t>6.7 %</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Lease</w:t>
      </w:r>
    </w:p>
    <w:p>
      <w:pPr>
        <w:spacing w:after="0" w:line="90"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August 2020, the Company and its wholly-owned subsidiary Kodiak Sciences GmbH entered into a manufacturing agreement with Lonza Ltd (“Lonza”) for the clinical and commercial supply of drug substance for KSI-301. A custom-built manufacturing facility is planned to be completed and dedicated to the manufacture of the Company’s drug substance. The manufacturing agreement has an initial term of eight years, and the Company has the right to extend the term up to a total of 16 years. The Company and Lonza each have the ability to terminate this agreement upon the occurrence of certain conditions.</w:t>
      </w:r>
    </w:p>
    <w:p>
      <w:pPr>
        <w:spacing w:after="0" w:line="8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April 2021, the agreement was amended to provide for higher annual manufacturing capacity. The Company expanded and finalized the design and scope of the bioconjugate manufacturing facility with a revised estimated capital contribution of approximately 75.0 million Swiss Francs of which the Company has paid 35.0 million Swiss Francs of the capital contribution, equivalent to $38.7 million U.S. Dollars, which is recorded in other assets on the consolidated balance sheet as of December 31, 2021. Over the period from 2022 through 2029, manufacturing payments totaling approximately 150.0 million Swiss Francs may be incurred for potential commercial supply of KSI-301 drug substance. These commitments are not included in the operating lease liabilities table above.</w:t>
      </w:r>
    </w:p>
    <w:p>
      <w:pPr>
        <w:spacing w:after="0" w:line="68"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color w:val="auto"/>
        </w:rPr>
        <w:t>The Company concluded that this agreement contains an embedded lease as the custom-built manufacturing suite will be dedicated for the Company’s use. As of December 31, 2021, the Company did not have control of this manufacturing space and therefore, did not record a right-of-use asset and corresponding lease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0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spacing w:after="0" w:line="86" w:lineRule="exact"/>
        <w:rPr>
          <w:sz w:val="20"/>
          <w:szCs w:val="20"/>
          <w:color w:val="auto"/>
        </w:rPr>
      </w:pPr>
    </w:p>
    <w:p>
      <w:pPr>
        <w:ind w:right="440" w:firstLine="509"/>
        <w:spacing w:after="0" w:line="259" w:lineRule="auto"/>
        <w:rPr>
          <w:sz w:val="20"/>
          <w:szCs w:val="20"/>
          <w:color w:val="auto"/>
        </w:rPr>
      </w:pPr>
      <w:r>
        <w:rPr>
          <w:rFonts w:ascii="Arial" w:cs="Arial" w:eastAsia="Arial" w:hAnsi="Arial"/>
          <w:sz w:val="17"/>
          <w:szCs w:val="17"/>
          <w:color w:val="auto"/>
        </w:rPr>
        <w:t>As of December 31, 2021 and 2020, the total amount of contractual obligations related to these manufacturing agreements that are subject to cancellation fees, including accrued amounts, were $69.5 million and $56.5 million, respectively. These amounts represent our minimal contractual obligations, excluding the commitments under the embedded lease arrangement. Purchases under these manufacturing agreements for the years ended December 31, 2021, 2020 and 2019 were $31.8 million, $16.8 million and $7.9 million, respectively. As of December 31, 2021, the Company had not incurred any cancellation fees under the manufacturing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77"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p>
    <w:p>
      <w:pPr>
        <w:spacing w:after="0" w:line="67" w:lineRule="exact"/>
        <w:rPr>
          <w:sz w:val="20"/>
          <w:szCs w:val="20"/>
          <w:color w:val="auto"/>
        </w:rPr>
      </w:pPr>
    </w:p>
    <w:p>
      <w:pPr>
        <w:ind w:right="200" w:firstLine="509"/>
        <w:spacing w:after="0" w:line="235" w:lineRule="auto"/>
        <w:rPr>
          <w:sz w:val="20"/>
          <w:szCs w:val="20"/>
          <w:color w:val="auto"/>
        </w:rPr>
      </w:pPr>
      <w:r>
        <w:rPr>
          <w:rFonts w:ascii="Arial" w:cs="Arial" w:eastAsia="Arial" w:hAnsi="Arial"/>
          <w:sz w:val="18"/>
          <w:szCs w:val="18"/>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Improvement Allowance Payable</w:t>
      </w:r>
    </w:p>
    <w:p>
      <w:pPr>
        <w:spacing w:after="0" w:line="77" w:lineRule="exact"/>
        <w:rPr>
          <w:sz w:val="20"/>
          <w:szCs w:val="20"/>
          <w:color w:val="auto"/>
        </w:rPr>
      </w:pPr>
    </w:p>
    <w:p>
      <w:pPr>
        <w:ind w:right="60" w:firstLine="509"/>
        <w:spacing w:after="0" w:line="224" w:lineRule="auto"/>
        <w:rPr>
          <w:sz w:val="20"/>
          <w:szCs w:val="20"/>
          <w:color w:val="auto"/>
        </w:rPr>
      </w:pPr>
      <w:r>
        <w:rPr>
          <w:rFonts w:ascii="Arial" w:cs="Arial" w:eastAsia="Arial" w:hAnsi="Arial"/>
          <w:sz w:val="18"/>
          <w:szCs w:val="18"/>
          <w:color w:val="auto"/>
        </w:rPr>
        <w:t>In March 2016, the Company entered into a lease amendment, under which the Company is allowed to draw down an additional allowance of $0.4 million for tenant improvements related to the office lease over the period from the execution of the agreement to October 2023. The interest rate is 8% per year over 10 years. Principal and interest are payable on the first day of every month.</w:t>
      </w:r>
    </w:p>
    <w:p>
      <w:pPr>
        <w:spacing w:after="0" w:line="55" w:lineRule="exact"/>
        <w:rPr>
          <w:sz w:val="20"/>
          <w:szCs w:val="20"/>
          <w:color w:val="auto"/>
        </w:rPr>
      </w:pPr>
    </w:p>
    <w:p>
      <w:pPr>
        <w:ind w:right="300" w:firstLine="509"/>
        <w:spacing w:after="0" w:line="224" w:lineRule="auto"/>
        <w:rPr>
          <w:sz w:val="20"/>
          <w:szCs w:val="20"/>
          <w:color w:val="auto"/>
        </w:rPr>
      </w:pPr>
      <w:r>
        <w:rPr>
          <w:rFonts w:ascii="Arial" w:cs="Arial" w:eastAsia="Arial" w:hAnsi="Arial"/>
          <w:sz w:val="18"/>
          <w:szCs w:val="18"/>
          <w:color w:val="auto"/>
        </w:rPr>
        <w:t>As of December 31, 2021 and 2020, the current portion of the tenant improvement allowance payable in accrued and other current liabilities was less than $0.1 million and less than $0.1 million, respectively. As of December 31, 2021 and 2020, the non-current portion of the tenant improvement allowance payable in other liabilities was $0.2 million and $0.3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100" w:firstLine="509"/>
        <w:spacing w:after="0" w:line="246" w:lineRule="auto"/>
        <w:rPr>
          <w:sz w:val="20"/>
          <w:szCs w:val="20"/>
          <w:color w:val="auto"/>
        </w:rPr>
      </w:pPr>
      <w:r>
        <w:rPr>
          <w:rFonts w:ascii="Arial" w:cs="Arial" w:eastAsia="Arial" w:hAnsi="Arial"/>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60" w:firstLine="509"/>
        <w:spacing w:after="0" w:line="227"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8. Income Taxes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1"/>
        </w:trPr>
        <w:tc>
          <w:tcPr>
            <w:tcW w:w="6520" w:type="dxa"/>
            <w:vAlign w:val="bottom"/>
          </w:tcPr>
          <w:p>
            <w:pPr>
              <w:ind w:left="520"/>
              <w:spacing w:after="0"/>
              <w:rPr>
                <w:sz w:val="20"/>
                <w:szCs w:val="20"/>
                <w:color w:val="auto"/>
              </w:rPr>
            </w:pPr>
            <w:r>
              <w:rPr>
                <w:rFonts w:ascii="Arial" w:cs="Arial" w:eastAsia="Arial" w:hAnsi="Arial"/>
                <w:sz w:val="18"/>
                <w:szCs w:val="18"/>
                <w:color w:val="auto"/>
                <w:w w:val="97"/>
              </w:rPr>
              <w:t>The components of loss before income taxes were as follows (in thousands):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6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23"/>
                <w:szCs w:val="23"/>
                <w:color w:val="auto"/>
              </w:rPr>
            </w:pPr>
          </w:p>
        </w:tc>
        <w:tc>
          <w:tcPr>
            <w:tcW w:w="148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23"/>
                <w:szCs w:val="23"/>
                <w:color w:val="auto"/>
              </w:rPr>
            </w:pPr>
          </w:p>
        </w:tc>
        <w:tc>
          <w:tcPr>
            <w:tcW w:w="13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2"/>
              </w:rPr>
              <w:t>Year Ended</w:t>
            </w:r>
          </w:p>
        </w:tc>
      </w:tr>
      <w:tr>
        <w:trPr>
          <w:trHeight w:val="176"/>
        </w:trPr>
        <w:tc>
          <w:tcPr>
            <w:tcW w:w="6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350"/>
              <w:spacing w:after="0" w:line="176"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5"/>
                <w:szCs w:val="15"/>
                <w:color w:val="auto"/>
              </w:rPr>
            </w:pPr>
          </w:p>
        </w:tc>
        <w:tc>
          <w:tcPr>
            <w:tcW w:w="1480" w:type="dxa"/>
            <w:vAlign w:val="bottom"/>
            <w:gridSpan w:val="2"/>
          </w:tcPr>
          <w:p>
            <w:pPr>
              <w:jc w:val="center"/>
              <w:ind w:right="27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5"/>
                <w:szCs w:val="15"/>
                <w:color w:val="auto"/>
              </w:rPr>
            </w:pPr>
          </w:p>
        </w:tc>
        <w:tc>
          <w:tcPr>
            <w:tcW w:w="1320" w:type="dxa"/>
            <w:vAlign w:val="bottom"/>
            <w:gridSpan w:val="2"/>
          </w:tcPr>
          <w:p>
            <w:pPr>
              <w:jc w:val="center"/>
              <w:ind w:right="150"/>
              <w:spacing w:after="0" w:line="176" w:lineRule="exact"/>
              <w:rPr>
                <w:sz w:val="20"/>
                <w:szCs w:val="20"/>
                <w:color w:val="auto"/>
              </w:rPr>
            </w:pPr>
            <w:r>
              <w:rPr>
                <w:rFonts w:ascii="Arial" w:cs="Arial" w:eastAsia="Arial" w:hAnsi="Arial"/>
                <w:sz w:val="18"/>
                <w:szCs w:val="18"/>
                <w:b w:val="1"/>
                <w:bCs w:val="1"/>
                <w:color w:val="auto"/>
                <w:w w:val="88"/>
              </w:rPr>
              <w:t>December 31,</w:t>
            </w:r>
          </w:p>
        </w:tc>
      </w:tr>
      <w:tr>
        <w:trPr>
          <w:trHeight w:val="216"/>
        </w:trPr>
        <w:tc>
          <w:tcPr>
            <w:tcW w:w="6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(46,590</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(17,273</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2,633</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7"/>
                <w:szCs w:val="17"/>
                <w:color w:val="auto"/>
              </w:rPr>
            </w:pPr>
          </w:p>
        </w:tc>
        <w:tc>
          <w:tcPr>
            <w:tcW w:w="1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(220,326 )</w:t>
            </w:r>
          </w:p>
        </w:tc>
        <w:tc>
          <w:tcPr>
            <w:tcW w:w="120" w:type="dxa"/>
            <w:vAlign w:val="bottom"/>
          </w:tcPr>
          <w:p>
            <w:pPr>
              <w:spacing w:after="0"/>
              <w:rPr>
                <w:sz w:val="17"/>
                <w:szCs w:val="17"/>
                <w:color w:val="auto"/>
              </w:rPr>
            </w:pPr>
          </w:p>
        </w:tc>
        <w:tc>
          <w:tcPr>
            <w:tcW w:w="1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(115,809 )</w:t>
            </w:r>
          </w:p>
        </w:tc>
        <w:tc>
          <w:tcPr>
            <w:tcW w:w="14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(49,998 )</w:t>
            </w:r>
          </w:p>
        </w:tc>
      </w:tr>
      <w:tr>
        <w:trPr>
          <w:trHeight w:val="236"/>
        </w:trPr>
        <w:tc>
          <w:tcPr>
            <w:tcW w:w="6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loss before income taxes</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(266,916</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(133,082</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(47,365</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(benefit) for income taxes consists of the following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8"/>
                <w:szCs w:val="18"/>
                <w:color w:val="auto"/>
              </w:rPr>
            </w:pPr>
          </w:p>
        </w:tc>
      </w:tr>
      <w:tr>
        <w:trPr>
          <w:trHeight w:val="175"/>
        </w:trPr>
        <w:tc>
          <w:tcPr>
            <w:tcW w:w="4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20" w:type="dxa"/>
            <w:vAlign w:val="bottom"/>
          </w:tcPr>
          <w:p>
            <w:pPr>
              <w:jc w:val="center"/>
              <w:ind w:left="9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5"/>
                <w:szCs w:val="15"/>
                <w:color w:val="auto"/>
              </w:rPr>
            </w:pPr>
          </w:p>
        </w:tc>
      </w:tr>
      <w:tr>
        <w:trPr>
          <w:trHeight w:val="216"/>
        </w:trPr>
        <w:tc>
          <w:tcPr>
            <w:tcW w:w="4180" w:type="dxa"/>
            <w:vAlign w:val="bottom"/>
          </w:tcPr>
          <w:p>
            <w:pPr>
              <w:spacing w:after="0"/>
              <w:rPr>
                <w:sz w:val="18"/>
                <w:szCs w:val="18"/>
                <w:color w:val="auto"/>
              </w:rPr>
            </w:pPr>
          </w:p>
        </w:tc>
        <w:tc>
          <w:tcPr>
            <w:tcW w:w="3560" w:type="dxa"/>
            <w:vAlign w:val="bottom"/>
            <w:gridSpan w:val="2"/>
          </w:tcPr>
          <w:p>
            <w:pPr>
              <w:jc w:val="center"/>
              <w:ind w:left="247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r>
      <w:tr>
        <w:trPr>
          <w:trHeight w:val="196"/>
        </w:trPr>
        <w:tc>
          <w:tcPr>
            <w:tcW w:w="4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w:t>
            </w:r>
          </w:p>
        </w:tc>
        <w:tc>
          <w:tcPr>
            <w:tcW w:w="234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3560" w:type="dxa"/>
            <w:vAlign w:val="bottom"/>
            <w:gridSpan w:val="2"/>
          </w:tcPr>
          <w:p>
            <w:pPr>
              <w:jc w:val="right"/>
              <w:ind w:right="101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ind w:left="1060"/>
              <w:spacing w:after="0" w:line="202" w:lineRule="exact"/>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ind w:left="10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2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ind w:left="106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ind w:left="10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23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w w:val="79"/>
              </w:rPr>
              <w:t>74</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60"/>
              <w:spacing w:after="0" w:line="202" w:lineRule="exact"/>
              <w:rPr>
                <w:sz w:val="20"/>
                <w:szCs w:val="20"/>
                <w:color w:val="auto"/>
              </w:rPr>
            </w:pPr>
            <w:r>
              <w:rPr>
                <w:rFonts w:ascii="Arial" w:cs="Arial" w:eastAsia="Arial" w:hAnsi="Arial"/>
                <w:sz w:val="18"/>
                <w:szCs w:val="18"/>
                <w:color w:val="auto"/>
                <w:w w:val="79"/>
              </w:rPr>
              <w:t>14</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0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196"/>
        </w:trPr>
        <w:tc>
          <w:tcPr>
            <w:tcW w:w="41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current</w:t>
            </w:r>
          </w:p>
        </w:tc>
        <w:tc>
          <w:tcPr>
            <w:tcW w:w="2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79"/>
              </w:rPr>
              <w:t>74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ind w:left="1060"/>
              <w:spacing w:after="0" w:line="196" w:lineRule="exact"/>
              <w:rPr>
                <w:sz w:val="20"/>
                <w:szCs w:val="20"/>
                <w:color w:val="auto"/>
              </w:rPr>
            </w:pPr>
            <w:r>
              <w:rPr>
                <w:rFonts w:ascii="Arial" w:cs="Arial" w:eastAsia="Arial" w:hAnsi="Arial"/>
                <w:sz w:val="18"/>
                <w:szCs w:val="18"/>
                <w:color w:val="auto"/>
                <w:w w:val="79"/>
              </w:rPr>
              <w:t>14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ind w:left="106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405"/>
        </w:trPr>
        <w:tc>
          <w:tcPr>
            <w:tcW w:w="4180" w:type="dxa"/>
            <w:vAlign w:val="bottom"/>
          </w:tcPr>
          <w:p>
            <w:pPr>
              <w:ind w:left="20"/>
              <w:spacing w:after="0"/>
              <w:rPr>
                <w:sz w:val="20"/>
                <w:szCs w:val="20"/>
                <w:color w:val="auto"/>
              </w:rPr>
            </w:pPr>
            <w:r>
              <w:rPr>
                <w:rFonts w:ascii="Arial" w:cs="Arial" w:eastAsia="Arial" w:hAnsi="Arial"/>
                <w:sz w:val="18"/>
                <w:szCs w:val="18"/>
                <w:color w:val="auto"/>
              </w:rPr>
              <w:t>Deferred:</w:t>
            </w:r>
          </w:p>
        </w:tc>
        <w:tc>
          <w:tcPr>
            <w:tcW w:w="2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w:t>
            </w:r>
          </w:p>
        </w:tc>
        <w:tc>
          <w:tcPr>
            <w:tcW w:w="2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ind w:left="106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ind w:left="10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State</w:t>
            </w:r>
          </w:p>
        </w:tc>
        <w:tc>
          <w:tcPr>
            <w:tcW w:w="2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106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ind w:left="10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41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w:t>
            </w:r>
          </w:p>
        </w:tc>
        <w:tc>
          <w:tcPr>
            <w:tcW w:w="23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ind w:left="106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ind w:left="10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180" w:type="dxa"/>
            <w:vAlign w:val="bottom"/>
          </w:tcPr>
          <w:p>
            <w:pPr>
              <w:ind w:left="200"/>
              <w:spacing w:after="0" w:line="196" w:lineRule="exact"/>
              <w:rPr>
                <w:sz w:val="20"/>
                <w:szCs w:val="20"/>
                <w:color w:val="auto"/>
              </w:rPr>
            </w:pPr>
            <w:r>
              <w:rPr>
                <w:rFonts w:ascii="Arial" w:cs="Arial" w:eastAsia="Arial" w:hAnsi="Arial"/>
                <w:sz w:val="18"/>
                <w:szCs w:val="18"/>
                <w:color w:val="auto"/>
              </w:rPr>
              <w:t>Total deferred</w:t>
            </w:r>
          </w:p>
        </w:tc>
        <w:tc>
          <w:tcPr>
            <w:tcW w:w="23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6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06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36"/>
        </w:trPr>
        <w:tc>
          <w:tcPr>
            <w:tcW w:w="41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Provision (Benefit) for income taxes</w:t>
            </w:r>
          </w:p>
        </w:tc>
        <w:tc>
          <w:tcPr>
            <w:tcW w:w="23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79"/>
              </w:rPr>
              <w:t>74</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ind w:left="1060"/>
              <w:spacing w:after="0" w:line="196" w:lineRule="exact"/>
              <w:rPr>
                <w:sz w:val="20"/>
                <w:szCs w:val="20"/>
                <w:color w:val="auto"/>
              </w:rPr>
            </w:pPr>
            <w:r>
              <w:rPr>
                <w:rFonts w:ascii="Arial" w:cs="Arial" w:eastAsia="Arial" w:hAnsi="Arial"/>
                <w:sz w:val="18"/>
                <w:szCs w:val="18"/>
                <w:color w:val="auto"/>
                <w:w w:val="79"/>
              </w:rPr>
              <w:t>14</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ind w:left="106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15"/>
        </w:trPr>
        <w:tc>
          <w:tcPr>
            <w:tcW w:w="4180" w:type="dxa"/>
            <w:vAlign w:val="bottom"/>
          </w:tcPr>
          <w:p>
            <w:pPr>
              <w:spacing w:after="0"/>
              <w:rPr>
                <w:sz w:val="24"/>
                <w:szCs w:val="24"/>
                <w:color w:val="auto"/>
              </w:rPr>
            </w:pPr>
          </w:p>
        </w:tc>
        <w:tc>
          <w:tcPr>
            <w:tcW w:w="2340" w:type="dxa"/>
            <w:vAlign w:val="bottom"/>
          </w:tcPr>
          <w:p>
            <w:pPr>
              <w:jc w:val="right"/>
              <w:ind w:right="710"/>
              <w:spacing w:after="0"/>
              <w:rPr>
                <w:sz w:val="20"/>
                <w:szCs w:val="20"/>
                <w:color w:val="auto"/>
              </w:rPr>
            </w:pPr>
            <w:r>
              <w:rPr>
                <w:rFonts w:ascii="Arial" w:cs="Arial" w:eastAsia="Arial" w:hAnsi="Arial"/>
                <w:sz w:val="18"/>
                <w:szCs w:val="18"/>
                <w:color w:val="auto"/>
              </w:rPr>
              <w:t>98</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18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-767715</wp:posOffset>
            </wp:positionV>
            <wp:extent cx="5143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-767715</wp:posOffset>
            </wp:positionV>
            <wp:extent cx="431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-767715</wp:posOffset>
            </wp:positionV>
            <wp:extent cx="431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-496570</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-479425</wp:posOffset>
            </wp:positionV>
            <wp:extent cx="51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-496570</wp:posOffset>
            </wp:positionV>
            <wp:extent cx="431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-479425</wp:posOffset>
            </wp:positionV>
            <wp:extent cx="431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-496570</wp:posOffset>
            </wp:positionV>
            <wp:extent cx="431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-479425</wp:posOffset>
            </wp:positionV>
            <wp:extent cx="431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tax effects of temporary differences that give rise to significant components of the net deferred tax assets are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7"/>
                <w:szCs w:val="17"/>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6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75,259</w:t>
            </w:r>
          </w:p>
        </w:tc>
        <w:tc>
          <w:tcPr>
            <w:tcW w:w="2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28,451</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18,523</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Intangible assets</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166,269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12,088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12,112</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 tax credits</w:t>
            </w: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18,330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10,527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4,037</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10,823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1,539</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Accruals</w:t>
            </w: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1,532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1,367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885</w:t>
            </w: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23,142</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22,276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577</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7"/>
                <w:szCs w:val="17"/>
                <w:color w:val="auto"/>
              </w:rPr>
            </w:pPr>
          </w:p>
        </w:tc>
      </w:tr>
      <w:tr>
        <w:trPr>
          <w:trHeight w:val="196"/>
        </w:trPr>
        <w:tc>
          <w:tcPr>
            <w:tcW w:w="6520" w:type="dxa"/>
            <w:vAlign w:val="bottom"/>
            <w:tcBorders>
              <w:top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deferred tax assets</w:t>
            </w:r>
          </w:p>
        </w:tc>
        <w:tc>
          <w:tcPr>
            <w:tcW w:w="12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295,355</w:t>
            </w: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83,241</w:t>
            </w: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37,816</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6520" w:type="dxa"/>
            <w:vAlign w:val="bottom"/>
          </w:tcPr>
          <w:p>
            <w:pPr>
              <w:ind w:left="380"/>
              <w:spacing w:after="0" w:line="202" w:lineRule="exact"/>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(275,788 )</w:t>
            </w:r>
          </w:p>
        </w:tc>
        <w:tc>
          <w:tcPr>
            <w:tcW w:w="12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(62,005 )</w:t>
            </w:r>
          </w:p>
        </w:tc>
        <w:tc>
          <w:tcPr>
            <w:tcW w:w="14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(37,249 )</w:t>
            </w:r>
          </w:p>
        </w:tc>
      </w:tr>
      <w:tr>
        <w:trPr>
          <w:trHeight w:val="196"/>
        </w:trPr>
        <w:tc>
          <w:tcPr>
            <w:tcW w:w="65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Net deferred tax assets</w:t>
            </w:r>
          </w:p>
        </w:tc>
        <w:tc>
          <w:tcPr>
            <w:tcW w:w="12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19,567</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21,236</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right-of-use asset</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(19,217 )</w:t>
            </w: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(21,234 )</w:t>
            </w: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(534 )</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Capitalized legal fees</w:t>
            </w:r>
          </w:p>
        </w:tc>
        <w:tc>
          <w:tcPr>
            <w:tcW w:w="12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(2 )</w:t>
            </w:r>
          </w:p>
        </w:tc>
        <w:tc>
          <w:tcPr>
            <w:tcW w:w="14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(33 )</w:t>
            </w: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(350 )</w:t>
            </w: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65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20" w:type="dxa"/>
            <w:vAlign w:val="bottom"/>
          </w:tcPr>
          <w:p>
            <w:pPr>
              <w:ind w:left="380"/>
              <w:spacing w:after="0" w:line="196" w:lineRule="exact"/>
              <w:rPr>
                <w:sz w:val="20"/>
                <w:szCs w:val="20"/>
                <w:color w:val="auto"/>
              </w:rPr>
            </w:pPr>
            <w:r>
              <w:rPr>
                <w:rFonts w:ascii="Arial" w:cs="Arial" w:eastAsia="Arial" w:hAnsi="Arial"/>
                <w:sz w:val="18"/>
                <w:szCs w:val="18"/>
                <w:color w:val="auto"/>
              </w:rPr>
              <w:t>Total deferred tax liabilities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(19,567 )</w:t>
            </w:r>
          </w:p>
        </w:tc>
        <w:tc>
          <w:tcPr>
            <w:tcW w:w="120" w:type="dxa"/>
            <w:vAlign w:val="bottom"/>
          </w:tcPr>
          <w:p>
            <w:pPr>
              <w:spacing w:after="0"/>
              <w:rPr>
                <w:sz w:val="17"/>
                <w:szCs w:val="17"/>
                <w:color w:val="auto"/>
              </w:rPr>
            </w:pPr>
          </w:p>
        </w:tc>
        <w:tc>
          <w:tcPr>
            <w:tcW w:w="14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(21,236 )</w:t>
            </w:r>
          </w:p>
        </w:tc>
        <w:tc>
          <w:tcPr>
            <w:tcW w:w="140" w:type="dxa"/>
            <w:vAlign w:val="bottom"/>
          </w:tcPr>
          <w:p>
            <w:pPr>
              <w:spacing w:after="0"/>
              <w:rPr>
                <w:sz w:val="17"/>
                <w:szCs w:val="17"/>
                <w:color w:val="auto"/>
              </w:rPr>
            </w:pPr>
          </w:p>
        </w:tc>
        <w:tc>
          <w:tcPr>
            <w:tcW w:w="1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(567 )</w:t>
            </w:r>
          </w:p>
        </w:tc>
      </w:tr>
      <w:tr>
        <w:trPr>
          <w:trHeight w:val="236"/>
        </w:trPr>
        <w:tc>
          <w:tcPr>
            <w:tcW w:w="65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net deferred tax assets</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-1216660</wp:posOffset>
            </wp:positionV>
            <wp:extent cx="6858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-1216660</wp:posOffset>
            </wp:positionV>
            <wp:extent cx="6032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-1216660</wp:posOffset>
            </wp:positionV>
            <wp:extent cx="5969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-296545</wp:posOffset>
            </wp:positionV>
            <wp:extent cx="685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-296545</wp:posOffset>
            </wp:positionV>
            <wp:extent cx="6032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7"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Company has recorded a full valuation allowance against its net deferred tax assets due to the uncertainty as to whether such assets will be realized. The net change in the total valuation allowance for the years ended December 31, 2021, 2020 and 2019 was an increase of approximately $213.8 million, $24.8 million and $15.9 million, respectively.</w:t>
      </w:r>
    </w:p>
    <w:p>
      <w:pPr>
        <w:spacing w:after="0" w:line="7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NOLs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The Company has completed a Section 382 study through December 31, 2020 which concluded no such ownership change had occurred through December 31, 2020. Subsequent ownership changes since the most recent study may further affect the limitation in future years.</w:t>
      </w:r>
    </w:p>
    <w:p>
      <w:pPr>
        <w:spacing w:after="0" w:line="53"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As of December 31, 2021, the Company had $57.5 million of federal and $395.4 million of state net operating loss available to offset future taxable income. A portion of the federal net operating loss carryforwards begin to expire in 2035 and the state net operating loss carryforwards begin to expire in 2035, if not utilized. $39.4 million of the federal net operating loss are not subject to expiration.</w:t>
      </w:r>
    </w:p>
    <w:p>
      <w:pPr>
        <w:spacing w:after="0" w:line="7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As of December 31, 2021, the Company also had federal and state research and development credit carryforwards of $17.9 million and $7.2 million, respectively. The federal research and development credit carryforwards expire beginning 2035. The California tax credit can be carried forward indefinitely.</w:t>
      </w:r>
    </w:p>
    <w:p>
      <w:pPr>
        <w:spacing w:after="0" w:line="7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On March 27, 2020, the President signed into law the Coronavirus Aid, Relief, and Economic Security Act, or the CARES Act, an economic stimulus package in response to the COVID-19 global pandemic and the Families First Coronavirus Response Act, or FFCR Act, which permits employees of certain organizations paid sick time stemming from COVID-19-related issues. The CARES Act contains several corporate income tax provisions, including making remaining alternative minimum tax credits immediately refundable; providing a 5-year carryback of NOLs generated in tax years 2018, 2019, and 2020, and removing the 80% taxable income limitation on utilization of those NOLs if carried back to prior tax years or utilized in tax years beginning before 2021; temporarily liberalizing the interest deductibility rules under Section 163(j) of the CARES Act, by raising the adjusted taxable income limitation from 30% to 50% for tax years 2019 and 2020 and giving taxpayers the election of using 2019 adjusted taxable income for purposes of computing 2020 interest deductibility. The CARES Act did not have a material impact on the Company’s tax provision for the years ended December 31, 2020 or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The Consolidated Appropriations Act, 2021, which was enacted on December 27, 2020, has expanded, extended, and clarified selected CARES Act provisions, specifically on Paycheck Protection Program loans and Employee Retention Tax Credits, 100% deductibility of business meals as well as other tax extenders. The Consolidated Appropriations Act did not have a material impact on the Company’s tax provision for the years ended December 31, 2020 or 2021.</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California Assembly Bill 85 (AB 85) was signed into law by Governor Gavin Newsom on June 29, 2020. The legislation suspends the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NOL deductions for 2020, 2021, and 2022 for certain taxpayers and imposes a limitation on certain California tax credits for 2020, 2021, and 2022.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legislation disallows the use of California NOL deductions if the taxpayer recognizes business income and its adjusted gross income is greater than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$1,000,000. The carryover periods for NOL deductions disallowed by this provision will be extended. Additionally, any business credit will only offset 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maximum of $5,000,000 of California tax. Given the Company’s taxable loss position, this legislation did not impact the tax provision for the years ended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or 2021.</w:t>
      </w:r>
    </w:p>
    <w:p>
      <w:pPr>
        <w:spacing w:after="0" w:line="88"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California Senate Bill 113 (SB 113), was signed into law by Governor Newsom on February 9, 2022. The legislation contains important California tax law changes, including reinstatement of business tax credits and net NOL deductions limited by AB 85 mentioned above. The new tax law should be accounted for under ASC 740 in the period of enactment (2022) but is not expected to have a material impact on the Company’s tax provision due to its taxable loss position.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Company’s effective tax rate to the statutory U.S. federal rate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18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December 31,</w:t>
            </w:r>
          </w:p>
        </w:tc>
        <w:tc>
          <w:tcPr>
            <w:tcW w:w="17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16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5980" w:type="dxa"/>
            <w:vAlign w:val="bottom"/>
          </w:tcPr>
          <w:p>
            <w:pPr>
              <w:spacing w:after="0"/>
              <w:rPr>
                <w:sz w:val="18"/>
                <w:szCs w:val="18"/>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8"/>
                <w:szCs w:val="18"/>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r>
      <w:tr>
        <w:trPr>
          <w:trHeight w:val="196"/>
        </w:trPr>
        <w:tc>
          <w:tcPr>
            <w:tcW w:w="5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income tax rate</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State taxes</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220" w:type="dxa"/>
            <w:vAlign w:val="bottom"/>
          </w:tcPr>
          <w:p>
            <w:pPr>
              <w:spacing w:after="0"/>
              <w:rPr>
                <w:sz w:val="17"/>
                <w:szCs w:val="17"/>
                <w:color w:val="auto"/>
              </w:rPr>
            </w:pP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tax rate differential</w:t>
            </w:r>
          </w:p>
        </w:tc>
        <w:tc>
          <w:tcPr>
            <w:tcW w:w="18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(7.7 )</w:t>
            </w:r>
          </w:p>
        </w:tc>
        <w:tc>
          <w:tcPr>
            <w:tcW w:w="17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(7.9 )</w:t>
            </w:r>
          </w:p>
        </w:tc>
        <w:tc>
          <w:tcPr>
            <w:tcW w:w="16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(12.4 )</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8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(78.3 )</w:t>
            </w:r>
          </w:p>
        </w:tc>
        <w:tc>
          <w:tcPr>
            <w:tcW w:w="17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(17.3 )</w:t>
            </w:r>
          </w:p>
        </w:tc>
        <w:tc>
          <w:tcPr>
            <w:tcW w:w="16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(30.5 )</w:t>
            </w: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8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(1.2 )</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7"/>
                <w:szCs w:val="17"/>
                <w:color w:val="auto"/>
              </w:rPr>
            </w:pP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Research tax credit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3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84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(0.1 )</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Sale of future royalties</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380" w:type="dxa"/>
            <w:vAlign w:val="bottom"/>
          </w:tcPr>
          <w:p>
            <w:pPr>
              <w:spacing w:after="0"/>
              <w:rPr>
                <w:sz w:val="17"/>
                <w:szCs w:val="17"/>
                <w:color w:val="auto"/>
              </w:rPr>
            </w:pPr>
          </w:p>
        </w:tc>
        <w:tc>
          <w:tcPr>
            <w:tcW w:w="17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(9.4 )</w:t>
            </w:r>
          </w:p>
        </w:tc>
        <w:tc>
          <w:tcPr>
            <w:tcW w:w="16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Section 162(m)</w:t>
            </w:r>
          </w:p>
        </w:tc>
        <w:tc>
          <w:tcPr>
            <w:tcW w:w="18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(0.8 )</w:t>
            </w:r>
          </w:p>
        </w:tc>
        <w:tc>
          <w:tcPr>
            <w:tcW w:w="17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(1.2 )</w:t>
            </w:r>
          </w:p>
        </w:tc>
        <w:tc>
          <w:tcPr>
            <w:tcW w:w="16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Intangible valuation</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57.8</w:t>
            </w:r>
          </w:p>
        </w:tc>
        <w:tc>
          <w:tcPr>
            <w:tcW w:w="380" w:type="dxa"/>
            <w:vAlign w:val="bottom"/>
          </w:tcPr>
          <w:p>
            <w:pPr>
              <w:spacing w:after="0"/>
              <w:rPr>
                <w:sz w:val="17"/>
                <w:szCs w:val="17"/>
                <w:color w:val="auto"/>
              </w:rPr>
            </w:pPr>
          </w:p>
        </w:tc>
        <w:tc>
          <w:tcPr>
            <w:tcW w:w="17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36"/>
        </w:trPr>
        <w:tc>
          <w:tcPr>
            <w:tcW w:w="5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w:t>
            </w:r>
          </w:p>
        </w:tc>
        <w:tc>
          <w:tcPr>
            <w:tcW w:w="3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w:t>
            </w:r>
          </w:p>
        </w:tc>
        <w:tc>
          <w:tcPr>
            <w:tcW w:w="34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-24765</wp:posOffset>
            </wp:positionV>
            <wp:extent cx="15430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1543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14605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460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8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As of December 31, 2021, 2020 and 2019, none of the unrecognized tax benefits would affect income tax expense with consideration of the valuation allowance. The Company does not anticipate the uncertain tax positions will materially change in the next 12 months.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beginning and ending unrecognized tax benefits amounts are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Unrecognized tax benefits at beginning of period</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4,650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1,838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398</w:t>
            </w:r>
          </w:p>
        </w:tc>
        <w:tc>
          <w:tcPr>
            <w:tcW w:w="6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2,079</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2,812</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1,440</w:t>
            </w:r>
          </w:p>
        </w:tc>
        <w:tc>
          <w:tcPr>
            <w:tcW w:w="60" w:type="dxa"/>
            <w:vAlign w:val="bottom"/>
          </w:tcPr>
          <w:p>
            <w:pPr>
              <w:spacing w:after="0"/>
              <w:rPr>
                <w:sz w:val="17"/>
                <w:szCs w:val="17"/>
                <w:color w:val="auto"/>
              </w:rPr>
            </w:pPr>
          </w:p>
        </w:tc>
      </w:tr>
      <w:tr>
        <w:trPr>
          <w:trHeight w:val="236"/>
        </w:trPr>
        <w:tc>
          <w:tcPr>
            <w:tcW w:w="6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Unrecognized tax benefits at end of period</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6,729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4,650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514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431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431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87"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The Company files income tax returns in the United States and Switzerland. The Company is not currently under examination by income tax authorities in federal, state or other jurisdictions. All tax returns remain open for examination by the federal and state authorities for three and four years, respectively, from the date of utilization of any net operating loss or credits.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Stock</w:t>
      </w:r>
    </w:p>
    <w:p>
      <w:pPr>
        <w:spacing w:after="0" w:line="10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As of December 31, 2021 and 2020, the Company’s amended and restated certificate of incorporation authorized the Company to issue up to 10,000,000 shares of preferred stock at the par value of $0.0001 per share. As of December 31, 2021, there are no shares of the Company’s preferred stock issued or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08" w:lineRule="exact"/>
        <w:rPr>
          <w:sz w:val="20"/>
          <w:szCs w:val="20"/>
          <w:color w:val="auto"/>
        </w:rPr>
      </w:pPr>
    </w:p>
    <w:p>
      <w:pPr>
        <w:jc w:val="both"/>
        <w:ind w:right="60" w:firstLine="509"/>
        <w:spacing w:after="0" w:line="270" w:lineRule="auto"/>
        <w:rPr>
          <w:sz w:val="20"/>
          <w:szCs w:val="20"/>
          <w:color w:val="auto"/>
        </w:rPr>
      </w:pPr>
      <w:r>
        <w:rPr>
          <w:rFonts w:ascii="Arial" w:cs="Arial" w:eastAsia="Arial" w:hAnsi="Arial"/>
          <w:sz w:val="17"/>
          <w:szCs w:val="17"/>
          <w:color w:val="auto"/>
        </w:rPr>
        <w:t>As of December 31, 2021 and 2020, the Company’s amended and restated certificate of incorporation authorized the Company to issue 490,000,000 shares of common stock at the par value of $0.0001 per share. Each share of common stock is entitled to one vote. The board of directors may declare and pay dividends to holders of common stock. The Company has never declared or paid any dividends on common stock.</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reserved common stock for future issuances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December 31, 2021</w:t>
            </w:r>
          </w:p>
        </w:tc>
        <w:tc>
          <w:tcPr>
            <w:tcW w:w="280" w:type="dxa"/>
            <w:vAlign w:val="bottom"/>
          </w:tcPr>
          <w:p>
            <w:pPr>
              <w:spacing w:after="0"/>
              <w:rPr>
                <w:sz w:val="17"/>
                <w:szCs w:val="17"/>
                <w:color w:val="auto"/>
              </w:rPr>
            </w:pPr>
          </w:p>
        </w:tc>
        <w:tc>
          <w:tcPr>
            <w:tcW w:w="1860" w:type="dxa"/>
            <w:vAlign w:val="bottom"/>
            <w:gridSpan w:val="2"/>
          </w:tcPr>
          <w:p>
            <w:pPr>
              <w:ind w:left="3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20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 of options outstanding and release of restricted shares</w:t>
            </w: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14,887,847</w:t>
            </w:r>
          </w:p>
        </w:tc>
        <w:tc>
          <w:tcPr>
            <w:tcW w:w="2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7,257,221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Exercise of common stock warrants outstanding</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250,000</w:t>
            </w:r>
          </w:p>
        </w:tc>
        <w:tc>
          <w:tcPr>
            <w:tcW w:w="2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399,999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9"/>
              </w:rPr>
              <w:t>Issuance of common stock under the 2018</w:t>
            </w:r>
          </w:p>
        </w:tc>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Incentive Plan</w:t>
            </w: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2,101,369</w:t>
            </w:r>
          </w:p>
        </w:tc>
        <w:tc>
          <w:tcPr>
            <w:tcW w:w="2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2,742,183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line="202" w:lineRule="exact"/>
              <w:rPr>
                <w:sz w:val="20"/>
                <w:szCs w:val="20"/>
                <w:color w:val="auto"/>
              </w:rPr>
            </w:pPr>
            <w:r>
              <w:rPr>
                <w:rFonts w:ascii="Arial" w:cs="Arial" w:eastAsia="Arial" w:hAnsi="Arial"/>
                <w:sz w:val="18"/>
                <w:szCs w:val="18"/>
                <w:color w:val="auto"/>
                <w:w w:val="89"/>
              </w:rPr>
              <w:t>Issuance of common stock under the 2018</w:t>
            </w:r>
          </w:p>
        </w:tc>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Employee Share Purchase Plan</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453,042</w:t>
            </w:r>
          </w:p>
        </w:tc>
        <w:tc>
          <w:tcPr>
            <w:tcW w:w="2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080" w:type="dxa"/>
            <w:vAlign w:val="bottom"/>
            <w:tcBorders>
              <w:top w:val="single" w:sz="8" w:color="CFF0FC"/>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4240" w:type="dxa"/>
            <w:vAlign w:val="bottom"/>
            <w:tcBorders>
              <w:top w:val="single" w:sz="8" w:color="CFF0FC"/>
              <w:bottom w:val="single" w:sz="8" w:color="CFF0FC"/>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17,692,258</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10,859,403</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-162560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04" w:lineRule="exact"/>
        <w:rPr>
          <w:sz w:val="20"/>
          <w:szCs w:val="20"/>
          <w:color w:val="auto"/>
        </w:rPr>
      </w:pPr>
    </w:p>
    <w:p>
      <w:pPr>
        <w:jc w:val="both"/>
        <w:ind w:right="520" w:firstLine="509"/>
        <w:spacing w:after="0" w:line="276" w:lineRule="auto"/>
        <w:rPr>
          <w:sz w:val="20"/>
          <w:szCs w:val="20"/>
          <w:color w:val="auto"/>
        </w:rPr>
      </w:pPr>
      <w:r>
        <w:rPr>
          <w:rFonts w:ascii="Arial" w:cs="Arial" w:eastAsia="Arial" w:hAnsi="Arial"/>
          <w:sz w:val="16"/>
          <w:szCs w:val="16"/>
          <w:color w:val="auto"/>
        </w:rPr>
        <w:t>In August 2018, the Company adopted the 2018 Equity Incentive Plan (“2018 Plan”), which became effective on the business day prior to the effectiveness of the registration statement relating to the IPO. The 2018 Plan initially reserved 4,300,000 shares of common stock for the issuance of incentive stock options ("ISOs"), nonstatutory stock options ("NSOs"), restricted stock, restricted stock units (“RSUs”), stock appreciation rights,</w:t>
      </w:r>
    </w:p>
    <w:p>
      <w:pPr>
        <w:spacing w:after="0" w:line="1"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performance units and performance shares to employees, directors and consultants of the Company. The number of shares available for issuance will increase annually on the first day of each fiscal year beginning in 2019 equal to the least of (1) 4,300,000 shares, and (2) 4% of outstanding shares of common stock as of the last day of the immediately preceding year, and (3) such other amount as determined by the board of directors. The exercise price of options must be equal to at least the fair market value of the common stock on the grant date. For ISOs, the term may not exceed ten years, except in respect to any participant with more than 10% of voting power of all classes or stock, then the term may not exceed five years and the exercise price must be equal to at least 110% of the fair market value of the common stock on the grant date. Options granted generally vest over four years.</w:t>
      </w:r>
    </w:p>
    <w:p>
      <w:pPr>
        <w:spacing w:after="0" w:line="52"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number of shares available for issuance increased by 2,044,492 shares in 2021 and there were 2,101,369 shares available for grant under the 2018 Plan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Long-Term Performance Incentive Plan</w:t>
      </w:r>
    </w:p>
    <w:p>
      <w:pPr>
        <w:spacing w:after="0" w:line="104"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In August 2021, the Company adopted the 2021 Long-Term Performance Incentive Plan (“2021 LTPIP”), which was approved by the Company's stockholders on October 13, 2021. The 2021 LTPIP was designed to be a long-term, pay-for-performance, incentive plan that would further align the interests of management and other eligible employees with the creation of substantial long-term value for the Company's stockholders. Eligible employees at or above grade level 10 were provided a one-time opportunity to “opt-in” or “buy-in” to the 2021 LTPIP, via a one-time election, and, if they so elected, agreed to forgo up to 75% of their annual equity incentive awards for the next seven years, and instead received a one-time grant of performance-based stock options that could potentially provide three times more value than the forgone annual equity incentive compensation.</w:t>
      </w:r>
    </w:p>
    <w:p>
      <w:pPr>
        <w:spacing w:after="0" w:line="53"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Additionally, the Company granted stock options to eligible employees below grade level 10 under the broader long-term performance incentive program terms from the existing share reserve under the 2018 Plan and not pursuant to the 2021 LTPIP. The terms for the stock options granted under the 2021 LTPIP and the 2018 Plan are collectively referred to as the "LTPIP Program".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The 2021 LTPIP reserved 5,502,334 shares of common stock for the issuance of NSOs. For the year ended December 31, 2021, 5,502,334 performance-based stock options were granted under the 2021 LTPIP. There were no shares available for grant under the 2021 LTPIP as of December 31, 2021. An additional 1,920,625 performance-based stock options were granted under the 2018 Plan as part of the LTPIP Program.</w:t>
      </w:r>
    </w:p>
    <w:p>
      <w:pPr>
        <w:spacing w:after="0" w:line="56"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exercise price of options granted under the LTPIP Program was $88.21, the fair market value of the common stock on August 12, 2021, the date of approval by the board of directors.</w:t>
      </w:r>
    </w:p>
    <w:p>
      <w:pPr>
        <w:spacing w:after="0" w:line="63"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Shares underlying the options granted under the LTPIP Program may be earned based on the achievement of the performance-based requirement and/or certain operational milestones; after being earned, the shares then generally vest based on continued service with the Company following the date earned and through the end of the seven-year performance period.</w:t>
      </w:r>
    </w:p>
    <w:p>
      <w:pPr>
        <w:spacing w:after="0" w:line="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performance-based requirement consists of seven tranches of stock price goals. The first tranche requires the Company's stock price per share to meet or exceed $200, with each tranche thereafter requiring a $100 incremental increase up to $800 for the last tranche. A percentage of the shares underlying the option will be earned based on the stock price meeting or exceeding the corresponding stock price goal for a period of 90 consecutive trading days during the seven-year performance period,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Performance-Based Requirement</w:t>
            </w:r>
          </w:p>
        </w:tc>
        <w:tc>
          <w:tcPr>
            <w:tcW w:w="1080" w:type="dxa"/>
            <w:vAlign w:val="bottom"/>
          </w:tcPr>
          <w:p>
            <w:pPr>
              <w:spacing w:after="0"/>
              <w:rPr>
                <w:sz w:val="17"/>
                <w:szCs w:val="17"/>
                <w:color w:val="auto"/>
              </w:rPr>
            </w:pPr>
          </w:p>
        </w:tc>
        <w:tc>
          <w:tcPr>
            <w:tcW w:w="2120" w:type="dxa"/>
            <w:vAlign w:val="bottom"/>
          </w:tcPr>
          <w:p>
            <w:pPr>
              <w:jc w:val="right"/>
              <w:ind w:right="1070"/>
              <w:spacing w:after="0"/>
              <w:rPr>
                <w:sz w:val="20"/>
                <w:szCs w:val="20"/>
                <w:color w:val="auto"/>
              </w:rPr>
            </w:pPr>
            <w:r>
              <w:rPr>
                <w:rFonts w:ascii="Arial" w:cs="Arial" w:eastAsia="Arial" w:hAnsi="Arial"/>
                <w:sz w:val="18"/>
                <w:szCs w:val="18"/>
                <w:b w:val="1"/>
                <w:bCs w:val="1"/>
                <w:color w:val="auto"/>
              </w:rPr>
              <w:t>Target</w:t>
            </w:r>
          </w:p>
        </w:tc>
        <w:tc>
          <w:tcPr>
            <w:tcW w:w="2460" w:type="dxa"/>
            <w:vAlign w:val="bottom"/>
          </w:tcPr>
          <w:p>
            <w:pPr>
              <w:jc w:val="right"/>
              <w:ind w:right="710"/>
              <w:spacing w:after="0"/>
              <w:rPr>
                <w:sz w:val="20"/>
                <w:szCs w:val="20"/>
                <w:color w:val="auto"/>
              </w:rPr>
            </w:pPr>
            <w:r>
              <w:rPr>
                <w:rFonts w:ascii="Arial" w:cs="Arial" w:eastAsia="Arial" w:hAnsi="Arial"/>
                <w:sz w:val="18"/>
                <w:szCs w:val="18"/>
                <w:b w:val="1"/>
                <w:bCs w:val="1"/>
                <w:color w:val="auto"/>
              </w:rPr>
              <w:t>Tranche Earning</w:t>
            </w:r>
          </w:p>
        </w:tc>
        <w:tc>
          <w:tcPr>
            <w:tcW w:w="2280" w:type="dxa"/>
            <w:vAlign w:val="bottom"/>
          </w:tcPr>
          <w:p>
            <w:pPr>
              <w:jc w:val="right"/>
              <w:ind w:right="370"/>
              <w:spacing w:after="0"/>
              <w:rPr>
                <w:sz w:val="20"/>
                <w:szCs w:val="20"/>
                <w:color w:val="auto"/>
              </w:rPr>
            </w:pPr>
            <w:r>
              <w:rPr>
                <w:rFonts w:ascii="Arial" w:cs="Arial" w:eastAsia="Arial" w:hAnsi="Arial"/>
                <w:sz w:val="18"/>
                <w:szCs w:val="18"/>
                <w:b w:val="1"/>
                <w:bCs w:val="1"/>
                <w:color w:val="auto"/>
              </w:rPr>
              <w:t>Cumulative Earning</w:t>
            </w: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tcPr>
          <w:p>
            <w:pPr>
              <w:jc w:val="right"/>
              <w:ind w:right="890"/>
              <w:spacing w:after="0"/>
              <w:rPr>
                <w:sz w:val="20"/>
                <w:szCs w:val="20"/>
                <w:color w:val="auto"/>
              </w:rPr>
            </w:pPr>
            <w:r>
              <w:rPr>
                <w:rFonts w:ascii="Arial" w:cs="Arial" w:eastAsia="Arial" w:hAnsi="Arial"/>
                <w:sz w:val="18"/>
                <w:szCs w:val="18"/>
                <w:b w:val="1"/>
                <w:bCs w:val="1"/>
                <w:color w:val="auto"/>
              </w:rPr>
              <w:t>Stock Price</w:t>
            </w:r>
          </w:p>
        </w:tc>
        <w:tc>
          <w:tcPr>
            <w:tcW w:w="2460" w:type="dxa"/>
            <w:vAlign w:val="bottom"/>
          </w:tcPr>
          <w:p>
            <w:pPr>
              <w:jc w:val="right"/>
              <w:ind w:right="930"/>
              <w:spacing w:after="0"/>
              <w:rPr>
                <w:sz w:val="20"/>
                <w:szCs w:val="20"/>
                <w:color w:val="auto"/>
              </w:rPr>
            </w:pPr>
            <w:r>
              <w:rPr>
                <w:rFonts w:ascii="Arial" w:cs="Arial" w:eastAsia="Arial" w:hAnsi="Arial"/>
                <w:sz w:val="18"/>
                <w:szCs w:val="18"/>
                <w:b w:val="1"/>
                <w:bCs w:val="1"/>
                <w:color w:val="auto"/>
              </w:rPr>
              <w:t>Percentage</w:t>
            </w:r>
          </w:p>
        </w:tc>
        <w:tc>
          <w:tcPr>
            <w:tcW w:w="2280" w:type="dxa"/>
            <w:vAlign w:val="bottom"/>
          </w:tcPr>
          <w:p>
            <w:pPr>
              <w:jc w:val="right"/>
              <w:ind w:right="73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Tranche One</w:t>
            </w:r>
          </w:p>
        </w:tc>
        <w:tc>
          <w:tcPr>
            <w:tcW w:w="10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200</w:t>
            </w:r>
          </w:p>
        </w:tc>
        <w:tc>
          <w:tcPr>
            <w:tcW w:w="24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7.5 %</w:t>
            </w:r>
          </w:p>
        </w:tc>
        <w:tc>
          <w:tcPr>
            <w:tcW w:w="2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Tranche Two</w:t>
            </w:r>
          </w:p>
        </w:tc>
        <w:tc>
          <w:tcPr>
            <w:tcW w:w="1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300</w:t>
            </w:r>
          </w:p>
        </w:tc>
        <w:tc>
          <w:tcPr>
            <w:tcW w:w="2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12.5 %</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Tranche Three</w:t>
            </w:r>
          </w:p>
        </w:tc>
        <w:tc>
          <w:tcPr>
            <w:tcW w:w="10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400</w:t>
            </w:r>
          </w:p>
        </w:tc>
        <w:tc>
          <w:tcPr>
            <w:tcW w:w="24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25.0 %</w:t>
            </w:r>
          </w:p>
        </w:tc>
        <w:tc>
          <w:tcPr>
            <w:tcW w:w="2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45.0 %</w:t>
            </w: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Tranche Four</w:t>
            </w:r>
          </w:p>
        </w:tc>
        <w:tc>
          <w:tcPr>
            <w:tcW w:w="1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500</w:t>
            </w:r>
          </w:p>
        </w:tc>
        <w:tc>
          <w:tcPr>
            <w:tcW w:w="2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25.0 %</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Tranche Five</w:t>
            </w:r>
          </w:p>
        </w:tc>
        <w:tc>
          <w:tcPr>
            <w:tcW w:w="10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600</w:t>
            </w:r>
          </w:p>
        </w:tc>
        <w:tc>
          <w:tcPr>
            <w:tcW w:w="24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20.0 %</w:t>
            </w:r>
          </w:p>
        </w:tc>
        <w:tc>
          <w:tcPr>
            <w:tcW w:w="2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90.0 %</w:t>
            </w: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Tranche Six</w:t>
            </w:r>
          </w:p>
        </w:tc>
        <w:tc>
          <w:tcPr>
            <w:tcW w:w="1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1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700</w:t>
            </w:r>
          </w:p>
        </w:tc>
        <w:tc>
          <w:tcPr>
            <w:tcW w:w="2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5.0 %</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95.0 %</w:t>
            </w: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Tranche Seven</w:t>
            </w:r>
          </w:p>
        </w:tc>
        <w:tc>
          <w:tcPr>
            <w:tcW w:w="10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800</w:t>
            </w:r>
          </w:p>
        </w:tc>
        <w:tc>
          <w:tcPr>
            <w:tcW w:w="24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5.0 %</w:t>
            </w:r>
          </w:p>
        </w:tc>
        <w:tc>
          <w:tcPr>
            <w:tcW w:w="2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Up to 35% of the shares underlying an option may also be earned based on the Company’s achievement of certain operational milestones during the seven-year performance period. A participant may earn up to 25% of their award based on approval by the U.S. Food and Drug Administration of a Biologics License Application in respect of a first, second, and third major indication (RVO, DME and/or wAMD). An additional operational milestone requires the Company to generate sales of at least $2.5 billion in a completed fiscal year.</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maximum percentage of shares that can be earned based on the attainment of the operational milestones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Operational Milestone</w:t>
            </w:r>
          </w:p>
        </w:tc>
        <w:tc>
          <w:tcPr>
            <w:tcW w:w="540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Operational Milestone</w:t>
            </w:r>
          </w:p>
        </w:tc>
        <w:tc>
          <w:tcPr>
            <w:tcW w:w="0" w:type="dxa"/>
            <w:vAlign w:val="bottom"/>
          </w:tcPr>
          <w:p>
            <w:pPr>
              <w:spacing w:after="0"/>
              <w:rPr>
                <w:sz w:val="1"/>
                <w:szCs w:val="1"/>
                <w:color w:val="auto"/>
              </w:rPr>
            </w:pPr>
          </w:p>
        </w:tc>
      </w:tr>
      <w:tr>
        <w:trPr>
          <w:trHeight w:val="216"/>
        </w:trPr>
        <w:tc>
          <w:tcPr>
            <w:tcW w:w="5840" w:type="dxa"/>
            <w:vAlign w:val="bottom"/>
            <w:vMerge w:val="continue"/>
          </w:tcPr>
          <w:p>
            <w:pPr>
              <w:spacing w:after="0"/>
              <w:rPr>
                <w:sz w:val="18"/>
                <w:szCs w:val="18"/>
                <w:color w:val="auto"/>
              </w:rPr>
            </w:pPr>
          </w:p>
        </w:tc>
        <w:tc>
          <w:tcPr>
            <w:tcW w:w="5400" w:type="dxa"/>
            <w:vAlign w:val="bottom"/>
          </w:tcPr>
          <w:p>
            <w:pPr>
              <w:jc w:val="right"/>
              <w:ind w:right="410"/>
              <w:spacing w:after="0"/>
              <w:rPr>
                <w:sz w:val="20"/>
                <w:szCs w:val="20"/>
                <w:color w:val="auto"/>
              </w:rPr>
            </w:pPr>
            <w:r>
              <w:rPr>
                <w:rFonts w:ascii="Arial" w:cs="Arial" w:eastAsia="Arial" w:hAnsi="Arial"/>
                <w:sz w:val="18"/>
                <w:szCs w:val="18"/>
                <w:b w:val="1"/>
                <w:bCs w:val="1"/>
                <w:color w:val="auto"/>
              </w:rPr>
              <w:t>Earning Percentage</w:t>
            </w: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First BLA Approval</w:t>
            </w:r>
          </w:p>
        </w:tc>
        <w:tc>
          <w:tcPr>
            <w:tcW w:w="5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Second BLA Approval</w:t>
            </w:r>
          </w:p>
        </w:tc>
        <w:tc>
          <w:tcPr>
            <w:tcW w:w="5400" w:type="dxa"/>
            <w:vAlign w:val="bottom"/>
          </w:tcPr>
          <w:p>
            <w:pPr>
              <w:jc w:val="right"/>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Third BLA Approval</w:t>
            </w:r>
          </w:p>
        </w:tc>
        <w:tc>
          <w:tcPr>
            <w:tcW w:w="5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Sales &gt; $2.5 billion in a Fiscal Year</w:t>
            </w:r>
          </w:p>
        </w:tc>
        <w:tc>
          <w:tcPr>
            <w:tcW w:w="540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portion of the award that may be earned based on attainment of an operational milestone is inclusive of, and not in addition to, any portion of the award that may be earned based on the attainment of the performance-based requirement. Therefore, to the extent a portion of the award is earned based on the attainment of an operational milestone, the subsequent tranche(s) of the award that is eligible to be earned based on the performance-based requirement will be reduced by the excess, if any, of the number of shares earned over the cumulative earning percentage provided for in the performance-based requirement.</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performance-based requirement and operational milestones were not achieved as of December 31, 2021.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LTPIP Modification Accounting</w:t>
      </w:r>
    </w:p>
    <w:p>
      <w:pPr>
        <w:spacing w:after="0" w:line="104"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In August 2021, the Company granted annual long-term incentive awards, which included time-vested stock options, time-vested RSUs and performance-based stock options (“PSOs”) to employees and nonemployees. As a result of stockholder approval of the 2021 LTPIP in October, a portion of the annual long-term incentive awards, elected by eligible employees to forgo, was exchanged for the options granted under the LTPIP Program.</w:t>
      </w:r>
    </w:p>
    <w:p>
      <w:pPr>
        <w:spacing w:after="0" w:line="39"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Company determined the exchange was a modification under ASC 718. Under ASC 718, the exchange of the original award (annual long-term incentive awards granted in August 2021) with the modified award (options granted under the LTPIP Program) represented a change in the original terms and conditions. The modification resulted in additional compensation cost equal to the incremental value between the original and modified awards to be recognized. The Company considered the fair value, vesting conditions and classification of the annual long-term incentive awards granted in August 2021, immediately prior to the modification date, compared to the fair value of the options granted under the LTPIP Program to determine the incremental value.</w:t>
      </w:r>
    </w:p>
    <w:p>
      <w:pPr>
        <w:spacing w:after="0" w:line="5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For the annual long-term incentive awards granted in August 2021, the Company continues to record the unrecognized compensation expense over the original vesting period.</w:t>
      </w:r>
    </w:p>
    <w:p>
      <w:pPr>
        <w:spacing w:after="0" w:line="6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For the options granted under the LTPIP Program, in accordance with ASC 718-10-55-16, the Company used the Monte Carlo simulation model to estimate the grant date fair value of the options granted under the LTPIP Program that will be earned upon attainment of the stock price goals and to determine the incremental value. The fair value of the options granted under the LTPIP Program was estimated using the following weighted-average assumptions: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60" w:type="dxa"/>
            <w:vAlign w:val="bottom"/>
          </w:tcPr>
          <w:p>
            <w:pPr>
              <w:spacing w:after="0"/>
              <w:rPr>
                <w:sz w:val="19"/>
                <w:szCs w:val="19"/>
                <w:color w:val="auto"/>
              </w:rPr>
            </w:pPr>
          </w:p>
        </w:tc>
        <w:tc>
          <w:tcPr>
            <w:tcW w:w="6680" w:type="dxa"/>
            <w:vAlign w:val="bottom"/>
          </w:tcPr>
          <w:p>
            <w:pPr>
              <w:jc w:val="right"/>
              <w:ind w:right="1210"/>
              <w:spacing w:after="0"/>
              <w:rPr>
                <w:sz w:val="20"/>
                <w:szCs w:val="20"/>
                <w:color w:val="auto"/>
              </w:rPr>
            </w:pPr>
            <w:r>
              <w:rPr>
                <w:rFonts w:ascii="Arial" w:cs="Arial" w:eastAsia="Arial" w:hAnsi="Arial"/>
                <w:sz w:val="18"/>
                <w:szCs w:val="18"/>
                <w:b w:val="1"/>
                <w:bCs w:val="1"/>
                <w:color w:val="auto"/>
              </w:rPr>
              <w:t>Year Ended December 31, 2021</w:t>
            </w: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6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61 %</w:t>
            </w: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6680" w:type="dxa"/>
            <w:vAlign w:val="bottom"/>
          </w:tcPr>
          <w:p>
            <w:pPr>
              <w:jc w:val="right"/>
              <w:spacing w:after="0" w:line="202" w:lineRule="exact"/>
              <w:rPr>
                <w:sz w:val="20"/>
                <w:szCs w:val="20"/>
                <w:color w:val="auto"/>
              </w:rPr>
            </w:pPr>
            <w:r>
              <w:rPr>
                <w:rFonts w:ascii="Arial" w:cs="Arial" w:eastAsia="Arial" w:hAnsi="Arial"/>
                <w:sz w:val="18"/>
                <w:szCs w:val="18"/>
                <w:color w:val="auto"/>
              </w:rPr>
              <w:t>1.54 %</w:t>
            </w: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Dividend yield</w:t>
            </w:r>
          </w:p>
        </w:tc>
        <w:tc>
          <w:tcPr>
            <w:tcW w:w="6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0 %</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Simulation term</w:t>
            </w:r>
          </w:p>
        </w:tc>
        <w:tc>
          <w:tcPr>
            <w:tcW w:w="6680" w:type="dxa"/>
            <w:vAlign w:val="bottom"/>
          </w:tcPr>
          <w:p>
            <w:pPr>
              <w:jc w:val="right"/>
              <w:ind w:right="150"/>
              <w:spacing w:after="0"/>
              <w:rPr>
                <w:sz w:val="20"/>
                <w:szCs w:val="20"/>
                <w:color w:val="auto"/>
              </w:rPr>
            </w:pPr>
            <w:r>
              <w:rPr>
                <w:rFonts w:ascii="Arial" w:cs="Arial" w:eastAsia="Arial" w:hAnsi="Arial"/>
                <w:sz w:val="18"/>
                <w:szCs w:val="18"/>
                <w:color w:val="auto"/>
              </w:rPr>
              <w:t>9.83</w:t>
            </w:r>
          </w:p>
        </w:tc>
      </w:tr>
    </w:tbl>
    <w:p>
      <w:pPr>
        <w:spacing w:after="0" w:line="187"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As of grant date, the exchange of equity awards under the LTPIP Program resulted in total incremental stock-based compensation costs of $336.3 million to be recognized ratably over a weighted-average period of 5.32 years. The weighted-average grant date fair value of the options granted under the LTPIP Program was $49.18.</w:t>
      </w:r>
    </w:p>
    <w:p>
      <w:pPr>
        <w:spacing w:after="0" w:line="7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For the year ended December 31, 2021, the Company recognized $14.2 million of incremental stock based compensation cost for the options granted under the LTPIP Program. As of December 31, 2021, there was $321.1 million of unrecognized incremental stock-based compensation expense related to the 7,404,209 options granted under the LTPIP Program, but not yet earned or vested, to be recognized over a weighted-average period of 5.11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including stock options and PSOs under the 2021 LTPIP, 2018 Plan and 2015 Plan is summarized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7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Intrinsic</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7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2"/>
              </w:rPr>
              <w:t>of</w:t>
            </w:r>
          </w:p>
        </w:tc>
        <w:tc>
          <w:tcPr>
            <w:tcW w:w="240" w:type="dxa"/>
            <w:vAlign w:val="bottom"/>
          </w:tcPr>
          <w:p>
            <w:pPr>
              <w:spacing w:after="0"/>
              <w:rPr>
                <w:sz w:val="15"/>
                <w:szCs w:val="15"/>
                <w:color w:val="auto"/>
              </w:rPr>
            </w:pPr>
          </w:p>
        </w:tc>
        <w:tc>
          <w:tcPr>
            <w:tcW w:w="124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Term</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6,897,276</w:t>
            </w:r>
          </w:p>
        </w:tc>
        <w:tc>
          <w:tcPr>
            <w:tcW w:w="3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24.52</w:t>
            </w:r>
          </w:p>
        </w:tc>
        <w:tc>
          <w:tcPr>
            <w:tcW w:w="22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8.07</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841,704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8,947,553</w:t>
            </w:r>
          </w:p>
        </w:tc>
        <w:tc>
          <w:tcPr>
            <w:tcW w:w="3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89.41</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(463,796 )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16.69</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Forfeited or canceled</w:t>
            </w:r>
          </w:p>
        </w:tc>
        <w:tc>
          <w:tcPr>
            <w:tcW w:w="1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(857,116 )</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75.95</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00" w:type="dxa"/>
            <w:vAlign w:val="bottom"/>
            <w:tcBorders>
              <w:top w:val="single" w:sz="8" w:color="CFF0FC"/>
              <w:bottom w:val="single" w:sz="8" w:color="CFF0FC"/>
            </w:tcBorders>
            <w:shd w:val="clear" w:color="auto" w:fill="CFF0FC"/>
          </w:tcPr>
          <w:p>
            <w:pPr>
              <w:ind w:left="20"/>
              <w:spacing w:after="0" w:line="176" w:lineRule="exact"/>
              <w:rPr>
                <w:sz w:val="20"/>
                <w:szCs w:val="20"/>
                <w:color w:val="auto"/>
              </w:rPr>
            </w:pPr>
            <w:r>
              <w:rPr>
                <w:rFonts w:ascii="Arial" w:cs="Arial" w:eastAsia="Arial" w:hAnsi="Arial"/>
                <w:sz w:val="18"/>
                <w:szCs w:val="18"/>
                <w:color w:val="auto"/>
              </w:rPr>
              <w:t>Outstanding at December 31, 2021</w:t>
            </w:r>
          </w:p>
        </w:tc>
        <w:tc>
          <w:tcPr>
            <w:tcW w:w="14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14,523,917</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61.68</w:t>
            </w:r>
          </w:p>
        </w:tc>
        <w:tc>
          <w:tcPr>
            <w:tcW w:w="1700" w:type="dxa"/>
            <w:vAlign w:val="bottom"/>
            <w:tcBorders>
              <w:top w:val="single" w:sz="8" w:color="CFF0FC"/>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8.60</w:t>
            </w:r>
          </w:p>
        </w:tc>
        <w:tc>
          <w:tcPr>
            <w:tcW w:w="380" w:type="dxa"/>
            <w:vAlign w:val="bottom"/>
            <w:tcBorders>
              <w:top w:val="single" w:sz="8" w:color="CFF0FC"/>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335,440</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20"/>
              <w:spacing w:after="0" w:line="183" w:lineRule="exact"/>
              <w:rPr>
                <w:sz w:val="20"/>
                <w:szCs w:val="20"/>
                <w:color w:val="auto"/>
              </w:rPr>
            </w:pPr>
            <w:r>
              <w:rPr>
                <w:rFonts w:ascii="Arial" w:cs="Arial" w:eastAsia="Arial" w:hAnsi="Arial"/>
                <w:sz w:val="18"/>
                <w:szCs w:val="18"/>
                <w:color w:val="auto"/>
              </w:rPr>
              <w:t>Shares exercisable December 31, 2021</w:t>
            </w:r>
          </w:p>
        </w:tc>
        <w:tc>
          <w:tcPr>
            <w:tcW w:w="1480" w:type="dxa"/>
            <w:vAlign w:val="bottom"/>
          </w:tcPr>
          <w:p>
            <w:pPr>
              <w:jc w:val="right"/>
              <w:spacing w:after="0" w:line="183" w:lineRule="exact"/>
              <w:rPr>
                <w:sz w:val="20"/>
                <w:szCs w:val="20"/>
                <w:color w:val="auto"/>
              </w:rPr>
            </w:pPr>
            <w:r>
              <w:rPr>
                <w:rFonts w:ascii="Arial" w:cs="Arial" w:eastAsia="Arial" w:hAnsi="Arial"/>
                <w:sz w:val="18"/>
                <w:szCs w:val="18"/>
                <w:color w:val="auto"/>
              </w:rPr>
              <w:t>7,001,426</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and expected to vest December 31, 2021</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14,523,917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-281940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-264795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-419100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right="60" w:firstLine="509"/>
        <w:spacing w:after="0" w:line="261" w:lineRule="auto"/>
        <w:rPr>
          <w:sz w:val="20"/>
          <w:szCs w:val="20"/>
          <w:color w:val="auto"/>
        </w:rPr>
      </w:pPr>
      <w:r>
        <w:rPr>
          <w:rFonts w:ascii="Arial" w:cs="Arial" w:eastAsia="Arial" w:hAnsi="Arial"/>
          <w:sz w:val="18"/>
          <w:szCs w:val="18"/>
          <w:color w:val="auto"/>
        </w:rPr>
        <w:t>353,751 time-vested stock options and 246,963 PSOs from the annual long-term incentive awards were exchanged for the options granted under the LTPIP Program in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weighted-average grant date fair value of the time-vested stock options granted for 2021, 2020 and 2019 was $51.55, $32.44 and $34.11 per share, respectively. The aggregate intrinsic value represents the value of the Company’s closing stock price on the last trading day of the period in excess of the weighted-average exercise price multiplied by the number of options outstanding or exercisable.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Options</w:t>
      </w:r>
    </w:p>
    <w:p>
      <w:pPr>
        <w:spacing w:after="0" w:line="10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Company estimated the fair value of employee stock options using the Black-Scholes valuation model. The fair value of time-vested employee stock options was estimated using the following weighted-average assumptions: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b w:val="1"/>
                <w:bCs w:val="1"/>
                <w:color w:val="auto"/>
              </w:rPr>
              <w:t>Year Ended</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0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5080" w:type="dxa"/>
            <w:vAlign w:val="bottom"/>
          </w:tcPr>
          <w:p>
            <w:pPr>
              <w:spacing w:after="0"/>
              <w:rPr>
                <w:sz w:val="17"/>
                <w:szCs w:val="17"/>
                <w:color w:val="auto"/>
              </w:rPr>
            </w:pPr>
          </w:p>
        </w:tc>
        <w:tc>
          <w:tcPr>
            <w:tcW w:w="12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70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7"/>
                <w:szCs w:val="17"/>
                <w:color w:val="auto"/>
              </w:rPr>
            </w:pPr>
          </w:p>
        </w:tc>
        <w:tc>
          <w:tcPr>
            <w:tcW w:w="16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7"/>
                <w:szCs w:val="17"/>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volatility</w:t>
            </w:r>
          </w:p>
        </w:tc>
        <w:tc>
          <w:tcPr>
            <w:tcW w:w="12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w:t>
            </w:r>
          </w:p>
        </w:tc>
        <w:tc>
          <w:tcPr>
            <w:tcW w:w="44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87"/>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9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1.03 %</w:t>
            </w:r>
          </w:p>
        </w:tc>
        <w:tc>
          <w:tcPr>
            <w:tcW w:w="21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0.39 %</w:t>
            </w:r>
          </w:p>
        </w:tc>
        <w:tc>
          <w:tcPr>
            <w:tcW w:w="1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1.65 %</w:t>
            </w: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Dividend yield</w:t>
            </w:r>
          </w:p>
        </w:tc>
        <w:tc>
          <w:tcPr>
            <w:tcW w:w="9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0 %</w:t>
            </w:r>
          </w:p>
        </w:tc>
        <w:tc>
          <w:tcPr>
            <w:tcW w:w="21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0 %</w:t>
            </w:r>
          </w:p>
        </w:tc>
        <w:tc>
          <w:tcPr>
            <w:tcW w:w="1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0 %</w:t>
            </w: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Expected term</w:t>
            </w:r>
          </w:p>
        </w:tc>
        <w:tc>
          <w:tcPr>
            <w:tcW w:w="500" w:type="dxa"/>
            <w:vAlign w:val="bottom"/>
          </w:tcPr>
          <w:p>
            <w:pPr>
              <w:jc w:val="right"/>
              <w:spacing w:after="0"/>
              <w:rPr>
                <w:sz w:val="20"/>
                <w:szCs w:val="20"/>
                <w:color w:val="auto"/>
              </w:rPr>
            </w:pPr>
            <w:r>
              <w:rPr>
                <w:rFonts w:ascii="Arial" w:cs="Arial" w:eastAsia="Arial" w:hAnsi="Arial"/>
                <w:sz w:val="18"/>
                <w:szCs w:val="18"/>
                <w:color w:val="auto"/>
              </w:rPr>
              <w:t>6.25</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6.00</w:t>
            </w:r>
          </w:p>
        </w:tc>
        <w:tc>
          <w:tcPr>
            <w:tcW w:w="4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20"/>
                <w:szCs w:val="20"/>
                <w:color w:val="auto"/>
              </w:rPr>
            </w:pP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total fair value of employee options vested during the years ended December 31, 2021, 2020 and 2019 was $26.9 million, $19.7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$4.6 million, respectively. Stock-based compensation expense recognized during the years ended December 31, 2021, 2020 and 2019 for options granted to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employees, including the options granted under the LTPIP Program, was $44.1 million, $20.8 million and $5.7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Restricted share activity, including restricted stock units (“RSUs”), and performance-based restricted stock units (“PSUs”), under the 2018 Plan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2015 Plan is summarized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1540" w:type="dxa"/>
            <w:vAlign w:val="bottom"/>
            <w:vMerge w:val="restart"/>
          </w:tcPr>
          <w:p>
            <w:pPr>
              <w:jc w:val="center"/>
              <w:ind w:left="550"/>
              <w:spacing w:after="0"/>
              <w:rPr>
                <w:sz w:val="20"/>
                <w:szCs w:val="20"/>
                <w:color w:val="auto"/>
              </w:rPr>
            </w:pPr>
            <w:r>
              <w:rPr>
                <w:rFonts w:ascii="Arial" w:cs="Arial" w:eastAsia="Arial" w:hAnsi="Arial"/>
                <w:sz w:val="18"/>
                <w:szCs w:val="18"/>
                <w:b w:val="1"/>
                <w:bCs w:val="1"/>
                <w:color w:val="auto"/>
                <w:w w:val="91"/>
              </w:rPr>
              <w:t>Number of</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5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Pr>
          <w:p>
            <w:pPr>
              <w:spacing w:after="0"/>
              <w:rPr>
                <w:sz w:val="15"/>
                <w:szCs w:val="15"/>
                <w:color w:val="auto"/>
              </w:rPr>
            </w:pPr>
          </w:p>
        </w:tc>
        <w:tc>
          <w:tcPr>
            <w:tcW w:w="1540" w:type="dxa"/>
            <w:vAlign w:val="bottom"/>
          </w:tcPr>
          <w:p>
            <w:pPr>
              <w:jc w:val="center"/>
              <w:ind w:left="550"/>
              <w:spacing w:after="0" w:line="176" w:lineRule="exact"/>
              <w:rPr>
                <w:sz w:val="20"/>
                <w:szCs w:val="20"/>
                <w:color w:val="auto"/>
              </w:rPr>
            </w:pPr>
            <w:r>
              <w:rPr>
                <w:rFonts w:ascii="Arial" w:cs="Arial" w:eastAsia="Arial" w:hAnsi="Arial"/>
                <w:sz w:val="18"/>
                <w:szCs w:val="18"/>
                <w:b w:val="1"/>
                <w:bCs w:val="1"/>
                <w:color w:val="auto"/>
                <w:w w:val="88"/>
              </w:rPr>
              <w:t>Restricted</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93"/>
              </w:rPr>
              <w:t>Grant Date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54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3"/>
              </w:rPr>
              <w:t>Shares</w:t>
            </w:r>
          </w:p>
        </w:tc>
        <w:tc>
          <w:tcPr>
            <w:tcW w:w="6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5"/>
              </w:rPr>
              <w:t>Fair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at December 31, 2020</w:t>
            </w:r>
          </w:p>
        </w:tc>
        <w:tc>
          <w:tcPr>
            <w:tcW w:w="15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359,945</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59.54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2"/>
              </w:rPr>
              <w:t>193,500</w:t>
            </w:r>
          </w:p>
        </w:tc>
        <w:tc>
          <w:tcPr>
            <w:tcW w:w="34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93.89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w w:val="94"/>
              </w:rPr>
              <w:t>(93,218 )</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58.93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Canceled</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4"/>
              </w:rPr>
              <w:t>(96,297 )</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79.19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20" w:type="dxa"/>
            <w:vAlign w:val="bottom"/>
            <w:tcBorders>
              <w:top w:val="single" w:sz="8" w:color="CFF0FC"/>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at December 31, 2021</w:t>
            </w:r>
          </w:p>
        </w:tc>
        <w:tc>
          <w:tcPr>
            <w:tcW w:w="154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363,930</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72.75</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-162560</wp:posOffset>
            </wp:positionV>
            <wp:extent cx="603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57,614 time-vested RSUs from the annual long-term incentive awards were exchanged for the options granted under the LTPIP Program in 2021.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Restricted Stock Units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RSUs will vest in four equal annual installments over four years, which is the requisite service period after that date.</w:t>
      </w:r>
    </w:p>
    <w:p>
      <w:pPr>
        <w:spacing w:after="0" w:line="104"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The Company granted 184,200 RSUs to employees in 2021. The total fair value of RSUs vested during the year ended December 31, 2021, 2020, and 2019 was $3.2 million, $0.3 million and $0.3 million, respectively. Stock-based compensation expense recognized during the years ended December 31, 2021, 2020 and 2019 for RSUs was $4.4 million, $1.9 million, and $0.3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granted 33,655 stock options and 9,300 RSUs to non-employees during the year ended December 31, 2021. The Company granted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41,500 and 15,000 stock options to non-employees during the years ended December 31, 2020 and 2019, respectively.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Subsequent to the adoption of ASU 2018-07 effective January 1, 2019, existing stock options granted to non-employees will no longer be revalued, and the estimated fair value of new stock options granted to non-employees will be calculated on the date of grant and not remeasured, similar to stock options granted to employees. The fair value of non-employee stock options was estimated using the following weighted-average assumptions: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b w:val="1"/>
                <w:bCs w:val="1"/>
                <w:color w:val="auto"/>
              </w:rPr>
              <w:t>Year Ended</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vMerge w:val="restart"/>
          </w:tcPr>
          <w:p>
            <w:pPr>
              <w:ind w:left="20"/>
              <w:spacing w:after="0"/>
              <w:rPr>
                <w:sz w:val="20"/>
                <w:szCs w:val="20"/>
                <w:color w:val="auto"/>
              </w:rPr>
            </w:pPr>
            <w:r>
              <w:rPr>
                <w:rFonts w:ascii="Arial" w:cs="Arial" w:eastAsia="Arial" w:hAnsi="Arial"/>
                <w:sz w:val="18"/>
                <w:szCs w:val="18"/>
                <w:color w:val="auto"/>
              </w:rPr>
              <w:t>Expected volatility</w:t>
            </w:r>
          </w:p>
        </w:tc>
        <w:tc>
          <w:tcPr>
            <w:tcW w:w="12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7"/>
                <w:szCs w:val="17"/>
                <w:color w:val="auto"/>
              </w:rPr>
            </w:pPr>
          </w:p>
        </w:tc>
        <w:tc>
          <w:tcPr>
            <w:tcW w:w="440" w:type="dxa"/>
            <w:vAlign w:val="bottom"/>
            <w:vMerge w:val="restart"/>
          </w:tcPr>
          <w:p>
            <w:pPr>
              <w:jc w:val="right"/>
              <w:ind w:right="190"/>
              <w:spacing w:after="0"/>
              <w:rPr>
                <w:sz w:val="20"/>
                <w:szCs w:val="20"/>
                <w:color w:val="auto"/>
              </w:rPr>
            </w:pPr>
            <w:r>
              <w:rPr>
                <w:rFonts w:ascii="Arial" w:cs="Arial" w:eastAsia="Arial" w:hAnsi="Arial"/>
                <w:sz w:val="18"/>
                <w:szCs w:val="18"/>
                <w:color w:val="auto"/>
                <w:w w:val="87"/>
              </w:rPr>
              <w:t>%</w:t>
            </w:r>
          </w:p>
        </w:tc>
        <w:tc>
          <w:tcPr>
            <w:tcW w:w="170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2020</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16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2019</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440" w:type="dxa"/>
            <w:vAlign w:val="bottom"/>
            <w:vMerge w:val="continue"/>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420" w:type="dxa"/>
            <w:vAlign w:val="bottom"/>
            <w:vMerge w:val="continue"/>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9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0.97 %</w:t>
            </w:r>
          </w:p>
        </w:tc>
        <w:tc>
          <w:tcPr>
            <w:tcW w:w="21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0.36 %</w:t>
            </w:r>
          </w:p>
        </w:tc>
        <w:tc>
          <w:tcPr>
            <w:tcW w:w="1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Dividend yield</w:t>
            </w:r>
          </w:p>
        </w:tc>
        <w:tc>
          <w:tcPr>
            <w:tcW w:w="9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0 %</w:t>
            </w:r>
          </w:p>
        </w:tc>
        <w:tc>
          <w:tcPr>
            <w:tcW w:w="21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0 %</w:t>
            </w:r>
          </w:p>
        </w:tc>
        <w:tc>
          <w:tcPr>
            <w:tcW w:w="1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5.69</w:t>
            </w:r>
          </w:p>
        </w:tc>
        <w:tc>
          <w:tcPr>
            <w:tcW w:w="4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w:t>
            </w:r>
          </w:p>
        </w:tc>
        <w:tc>
          <w:tcPr>
            <w:tcW w:w="4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6.08</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Stock-based compensation expense recognized during the years ended December 31, 2021, 2020 and 2019 for equity awards granted to non-employees was $1.2 million, $0.7 million and $0.1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December 2019, the Company granted 170,150 performance-based stock options and 128,900 performance-based RSUs (collectively "2019 PSA"). These equity awards will vest 25% upon the achievement of specific clinical development milestones. The remaining awards will then vest in three equal annual installments after that date. The performance criteria for 2019 PSA was achieved in June 2021. 42,536 of the performance-based stock options and 28,905 of the performance-based restricted stock vested during 2021. The total fair value of the performance-based stock options and RSUs vested during the years ended December 31, 2021 was $4.2 million.</w:t>
      </w:r>
    </w:p>
    <w:p>
      <w:pPr>
        <w:spacing w:after="0" w:line="81"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The Company estimated the fair value of the 2019 PSA using the Black-Scholes valuation model. Significant assumptions utilized in estimating the fair value of 2019 PSA include an expected volatility of 72%, a risk-free rate of 1.67%, expected dividend yield of 0%, and expected term of 6.31 years.</w:t>
      </w:r>
    </w:p>
    <w:p>
      <w:pPr>
        <w:spacing w:after="0" w:line="16"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In February 2021, the Company granted 190,831 performance-based stock options ("2021 Feb PSO"). These stock options will vest 25% upon the achievement of specific clinical development milestones. The remaining awards will then vest in 36 successive equal monthly installments after the performance criteria is achieved. As of December 31, 2021, the Company believes that the achievement of the requisite performance criteria for the 2021 Feb PSO continues to be probable.</w:t>
      </w:r>
    </w:p>
    <w:p>
      <w:pPr>
        <w:spacing w:after="0" w:line="80"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2021 Feb PSO fair value was $77.41 per share. The Company estimated the fair value of the 2021 Feb PSO using the Black-Scholes valuation model. Significant assumptions utilized in estimating the fair value of 2021 Feb PSO include an expected volatility of 66%, a risk-free rate of 0.66%, expected dividend yield of 0%, and expected term of 5.94 years.</w:t>
      </w:r>
    </w:p>
    <w:p>
      <w:pPr>
        <w:spacing w:after="0" w:line="7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August 2021, the Company granted 478,750 performance-based stock options ("2021 Aug PSO"). These stock options will vest upon the achievement of specific clinical development milestones with the percentage of shares earned being dependent on the relative total stockholder return over the performance period. The remaining shares will then vest in 12 successive equal monthly installments after the performance criteria is achieved. As of December 31, 2021, the requisite performance criteria for the 2021 Aug PSO was not achieved and not probable; no stock-based compensation expense was recognized during the year ended December 31, 2021.</w:t>
      </w:r>
    </w:p>
    <w:p>
      <w:pPr>
        <w:spacing w:after="0" w:line="81"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The weighted-average estimated fair value per share of the 2021 Aug PSO was $41.49, which was derived from a Monte Carlo simulation model. Significant assumptions utilized in estimating the fair value of 2021 Aug PSO include an expected volatility of 60%, a risk-free rate of 1.05%, expected dividend yield of 0%, and expected term of 6.49 years.</w:t>
      </w:r>
    </w:p>
    <w:p>
      <w:pPr>
        <w:spacing w:after="0" w:line="7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Performance-based stock options are recorded as expense beginning when vesting events are determined to be probable. Stock-based compensation expense recognized during the years ended December 31, 2021, 2020 and 2019 for the performance-based equity awards was $11.4 million, $7.2 million and less than $0.1 million,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Employee Share Purchase Plan</w:t>
      </w:r>
    </w:p>
    <w:p>
      <w:pPr>
        <w:spacing w:after="0" w:line="104"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August 2018, the Company adopted the 2018 Employee Share Purchase Plan (“ESPP”), which became effective on the business day prior to the effectiveness of the registration statement relating to the IPO. A total of 460,000 shares of common stock were initially reserved for issuance under the ESPP. The initial offering period of the ESPP was authorized by the Company’s board of directors and commenced on January 4, 2021. Each offering period is twelve months long, with two purchase periods. ESPP participants will purchase shares of common stock at a price per share equal to 85% of the lesser of (1) the fair market value per share of the common stock on the enrollment date or (2) the fair market value of the common stock on the exercise date.</w:t>
      </w:r>
    </w:p>
    <w:p>
      <w:pPr>
        <w:spacing w:after="0" w:line="8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Company issued 6,958 shares under the ESPP during the year ended December 31, 2021. Stock-based compensation expense recognized during the year ended December 31, 2021 for the ESPP was $0.3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is classified in the consolidated statements of operations and comprehensive loss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ind w:left="260"/>
              <w:spacing w:after="0"/>
              <w:rPr>
                <w:sz w:val="20"/>
                <w:szCs w:val="20"/>
                <w:color w:val="auto"/>
              </w:rPr>
            </w:pPr>
            <w:r>
              <w:rPr>
                <w:rFonts w:ascii="Arial" w:cs="Arial" w:eastAsia="Arial" w:hAnsi="Arial"/>
                <w:sz w:val="18"/>
                <w:szCs w:val="18"/>
                <w:b w:val="1"/>
                <w:bCs w:val="1"/>
                <w:color w:val="auto"/>
              </w:rPr>
              <w:t>Year Ended</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7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15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7"/>
                <w:szCs w:val="17"/>
                <w:color w:val="auto"/>
              </w:rPr>
            </w:pPr>
          </w:p>
        </w:tc>
      </w:tr>
      <w:tr>
        <w:trPr>
          <w:trHeight w:val="196"/>
        </w:trPr>
        <w:tc>
          <w:tcPr>
            <w:tcW w:w="3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540" w:type="dxa"/>
            <w:vAlign w:val="bottom"/>
            <w:shd w:val="clear" w:color="auto" w:fill="CFF0FC"/>
          </w:tcPr>
          <w:p>
            <w:pPr>
              <w:jc w:val="right"/>
              <w:ind w:right="13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33,237</w:t>
            </w: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16,957</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3,496</w:t>
            </w:r>
          </w:p>
        </w:tc>
        <w:tc>
          <w:tcPr>
            <w:tcW w:w="60" w:type="dxa"/>
            <w:vAlign w:val="bottom"/>
            <w:shd w:val="clear" w:color="auto" w:fill="CFF0FC"/>
          </w:tcPr>
          <w:p>
            <w:pPr>
              <w:spacing w:after="0"/>
              <w:rPr>
                <w:sz w:val="17"/>
                <w:szCs w:val="17"/>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28,148</w:t>
            </w: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13,711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2,614</w:t>
            </w:r>
          </w:p>
        </w:tc>
        <w:tc>
          <w:tcPr>
            <w:tcW w:w="60" w:type="dxa"/>
            <w:vAlign w:val="bottom"/>
          </w:tcPr>
          <w:p>
            <w:pPr>
              <w:spacing w:after="0"/>
              <w:rPr>
                <w:sz w:val="17"/>
                <w:szCs w:val="17"/>
                <w:color w:val="auto"/>
              </w:rPr>
            </w:pPr>
          </w:p>
        </w:tc>
      </w:tr>
      <w:tr>
        <w:trPr>
          <w:trHeight w:val="236"/>
        </w:trPr>
        <w:tc>
          <w:tcPr>
            <w:tcW w:w="3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stock-based compensation</w:t>
            </w:r>
          </w:p>
        </w:tc>
        <w:tc>
          <w:tcPr>
            <w:tcW w:w="1540" w:type="dxa"/>
            <w:vAlign w:val="bottom"/>
            <w:tcBorders>
              <w:bottom w:val="single" w:sz="8" w:color="auto"/>
            </w:tcBorders>
            <w:shd w:val="clear" w:color="auto" w:fill="CFF0FC"/>
          </w:tcPr>
          <w:p>
            <w:pPr>
              <w:jc w:val="right"/>
              <w:ind w:right="13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61,385</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30,668</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6,110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-25400</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431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431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As of December 31, 2021, the Company had $434.4 million of unrecognized compensation expense related to unvested share-based awards and ESPP, which is expected to be recognized over a weighted-average period of 4.4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Subject to Repurchase</w:t>
      </w:r>
    </w:p>
    <w:p>
      <w:pPr>
        <w:spacing w:after="0" w:line="104"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The Company has a right of repurchase with respect to unvested shares issued upon early exercise of options at an amount equal to the lower of (1) the exercise price of each restricted share being repurchased and (2) the fair market value of such restricted share at the time the Company’s right of repurchase is exercised. The Company’s right to repurchase these shares lapses as those shares vest over the requisite service period.</w:t>
      </w:r>
    </w:p>
    <w:p>
      <w:pPr>
        <w:spacing w:after="0" w:line="39"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Shares purchased by employees pursuant to the early exercise of stock options are not deemed, for accounting purposes, to be issued until those shares vest according to their respective vesting schedules. Cash received for early exercised stock options is recorded as accrued liabilities and other current liabilities on the consolidated balance sheet and is reclassified to common stock and additional paid-in capital as such shares vest. At December 31, 2021, there were no early exercised stock options subject to the Company’s right of repurchase.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Attributable to Common Stockholders</w:t>
      </w:r>
    </w:p>
    <w:p>
      <w:pPr>
        <w:spacing w:after="0" w:line="108" w:lineRule="exact"/>
        <w:rPr>
          <w:sz w:val="20"/>
          <w:szCs w:val="20"/>
          <w:color w:val="auto"/>
        </w:rPr>
      </w:pPr>
    </w:p>
    <w:p>
      <w:pPr>
        <w:ind w:right="300" w:firstLine="509"/>
        <w:spacing w:after="0" w:line="291" w:lineRule="auto"/>
        <w:rPr>
          <w:sz w:val="20"/>
          <w:szCs w:val="20"/>
          <w:color w:val="auto"/>
        </w:rPr>
      </w:pPr>
      <w:r>
        <w:rPr>
          <w:rFonts w:ascii="Arial" w:cs="Arial" w:eastAsia="Arial" w:hAnsi="Arial"/>
          <w:sz w:val="17"/>
          <w:szCs w:val="17"/>
          <w:color w:val="auto"/>
        </w:rPr>
        <w:t>The following table sets forth the computation of basic and diluted net loss per share attributable to common stockholders which excludes shares which are legally outstanding, but subject to repurchase by the Company (in thousands, except share and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 Ended</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(266,990 )</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(133,096 )</w:t>
            </w: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(47,365 )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Denominator:</w:t>
            </w:r>
          </w:p>
        </w:tc>
        <w:tc>
          <w:tcPr>
            <w:tcW w:w="4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shares outstanding</w:t>
            </w:r>
          </w:p>
        </w:tc>
        <w:tc>
          <w:tcPr>
            <w:tcW w:w="4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51,788,918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45,741,845</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37,869,291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Less: weighted-average unvested restricted shares</w:t>
            </w:r>
          </w:p>
        </w:tc>
        <w:tc>
          <w:tcPr>
            <w:tcW w:w="420" w:type="dxa"/>
            <w:vAlign w:val="bottom"/>
            <w:shd w:val="clear" w:color="auto" w:fill="CFF0FC"/>
          </w:tcPr>
          <w:p>
            <w:pPr>
              <w:spacing w:after="0"/>
              <w:rPr>
                <w:sz w:val="14"/>
                <w:szCs w:val="14"/>
                <w:color w:val="auto"/>
              </w:rPr>
            </w:pPr>
          </w:p>
        </w:tc>
        <w:tc>
          <w:tcPr>
            <w:tcW w:w="174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18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4"/>
                <w:szCs w:val="14"/>
                <w:color w:val="auto"/>
              </w:rPr>
            </w:pPr>
          </w:p>
        </w:tc>
        <w:tc>
          <w:tcPr>
            <w:tcW w:w="14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(15,675 )</w:t>
            </w: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and shares subject to repurchase</w:t>
            </w:r>
          </w:p>
        </w:tc>
        <w:tc>
          <w:tcPr>
            <w:tcW w:w="420" w:type="dxa"/>
            <w:vAlign w:val="bottom"/>
            <w:shd w:val="clear" w:color="auto" w:fill="CFF0FC"/>
          </w:tcPr>
          <w:p>
            <w:pPr>
              <w:spacing w:after="0"/>
              <w:rPr>
                <w:sz w:val="17"/>
                <w:szCs w:val="17"/>
                <w:color w:val="auto"/>
              </w:rPr>
            </w:pPr>
          </w:p>
        </w:tc>
        <w:tc>
          <w:tcPr>
            <w:tcW w:w="174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40" w:type="dxa"/>
            <w:vAlign w:val="bottom"/>
            <w:gridSpan w:val="2"/>
            <w:vMerge w:val="continue"/>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100" w:type="dxa"/>
            <w:vAlign w:val="bottom"/>
            <w:tcBorders>
              <w:top w:val="single" w:sz="8" w:color="CFF0FC"/>
            </w:tcBorders>
          </w:tcPr>
          <w:p>
            <w:pPr>
              <w:ind w:left="200"/>
              <w:spacing w:after="0" w:line="156" w:lineRule="exact"/>
              <w:rPr>
                <w:sz w:val="20"/>
                <w:szCs w:val="20"/>
                <w:color w:val="auto"/>
              </w:rPr>
            </w:pPr>
            <w:r>
              <w:rPr>
                <w:rFonts w:ascii="Arial" w:cs="Arial" w:eastAsia="Arial" w:hAnsi="Arial"/>
                <w:sz w:val="18"/>
                <w:szCs w:val="18"/>
                <w:color w:val="auto"/>
              </w:rPr>
              <w:t>Weighted-average shares outstanding used in</w:t>
            </w: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340"/>
              <w:spacing w:after="0" w:line="176" w:lineRule="exact"/>
              <w:rPr>
                <w:sz w:val="20"/>
                <w:szCs w:val="20"/>
                <w:color w:val="auto"/>
              </w:rPr>
            </w:pPr>
            <w:r>
              <w:rPr>
                <w:rFonts w:ascii="Arial" w:cs="Arial" w:eastAsia="Arial" w:hAnsi="Arial"/>
                <w:sz w:val="18"/>
                <w:szCs w:val="18"/>
                <w:color w:val="auto"/>
              </w:rPr>
              <w:t>computing net loss per share attributable to</w:t>
            </w:r>
          </w:p>
        </w:tc>
        <w:tc>
          <w:tcPr>
            <w:tcW w:w="4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51,788,918</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45,741,845</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37,853,616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340"/>
              <w:spacing w:after="0" w:line="156" w:lineRule="exact"/>
              <w:rPr>
                <w:sz w:val="20"/>
                <w:szCs w:val="20"/>
                <w:color w:val="auto"/>
              </w:rPr>
            </w:pPr>
            <w:r>
              <w:rPr>
                <w:rFonts w:ascii="Arial" w:cs="Arial" w:eastAsia="Arial" w:hAnsi="Arial"/>
                <w:sz w:val="18"/>
                <w:szCs w:val="18"/>
                <w:color w:val="auto"/>
              </w:rPr>
              <w:t>common stockholders, basic and diluted</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0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w:t>
            </w:r>
          </w:p>
        </w:tc>
        <w:tc>
          <w:tcPr>
            <w:tcW w:w="420" w:type="dxa"/>
            <w:vAlign w:val="bottom"/>
            <w:vMerge w:val="restart"/>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7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(5.16 )</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(2.91 )</w:t>
            </w:r>
          </w:p>
        </w:tc>
        <w:tc>
          <w:tcPr>
            <w:tcW w:w="420" w:type="dxa"/>
            <w:vAlign w:val="bottom"/>
            <w:vMerge w:val="restart"/>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195"/>
        </w:trPr>
        <w:tc>
          <w:tcPr>
            <w:tcW w:w="5100" w:type="dxa"/>
            <w:vAlign w:val="bottom"/>
            <w:shd w:val="clear" w:color="auto" w:fill="CFF0FC"/>
          </w:tcPr>
          <w:p>
            <w:pPr>
              <w:ind w:left="160"/>
              <w:spacing w:after="0" w:line="156" w:lineRule="exact"/>
              <w:rPr>
                <w:sz w:val="20"/>
                <w:szCs w:val="20"/>
                <w:color w:val="auto"/>
              </w:rPr>
            </w:pPr>
            <w:r>
              <w:rPr>
                <w:rFonts w:ascii="Arial" w:cs="Arial" w:eastAsia="Arial" w:hAnsi="Arial"/>
                <w:sz w:val="18"/>
                <w:szCs w:val="18"/>
                <w:color w:val="auto"/>
              </w:rPr>
              <w:t>basic and diluted</w:t>
            </w:r>
          </w:p>
        </w:tc>
        <w:tc>
          <w:tcPr>
            <w:tcW w:w="420" w:type="dxa"/>
            <w:vAlign w:val="bottom"/>
            <w:vMerge w:val="continue"/>
            <w:shd w:val="clear" w:color="auto" w:fill="CFF0FC"/>
          </w:tcPr>
          <w:p>
            <w:pPr>
              <w:spacing w:after="0"/>
              <w:rPr>
                <w:sz w:val="17"/>
                <w:szCs w:val="17"/>
                <w:color w:val="auto"/>
              </w:rPr>
            </w:pPr>
          </w:p>
        </w:tc>
        <w:tc>
          <w:tcPr>
            <w:tcW w:w="1740" w:type="dxa"/>
            <w:vAlign w:val="bottom"/>
            <w:gridSpan w:val="2"/>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1840" w:type="dxa"/>
            <w:vAlign w:val="bottom"/>
            <w:gridSpan w:val="2"/>
            <w:vMerge w:val="continue"/>
            <w:shd w:val="clear" w:color="auto" w:fill="CFF0FC"/>
          </w:tcPr>
          <w:p>
            <w:pPr>
              <w:spacing w:after="0"/>
              <w:rPr>
                <w:sz w:val="17"/>
                <w:szCs w:val="17"/>
                <w:color w:val="auto"/>
              </w:rPr>
            </w:pPr>
          </w:p>
        </w:tc>
        <w:tc>
          <w:tcPr>
            <w:tcW w:w="420" w:type="dxa"/>
            <w:vAlign w:val="bottom"/>
            <w:vMerge w:val="continue"/>
            <w:shd w:val="clear" w:color="auto" w:fill="CFF0FC"/>
          </w:tcPr>
          <w:p>
            <w:pPr>
              <w:spacing w:after="0"/>
              <w:rPr>
                <w:sz w:val="17"/>
                <w:szCs w:val="17"/>
                <w:color w:val="auto"/>
              </w:rPr>
            </w:pPr>
          </w:p>
        </w:tc>
        <w:tc>
          <w:tcPr>
            <w:tcW w:w="14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-596265</wp:posOffset>
            </wp:positionV>
            <wp:extent cx="685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-596265</wp:posOffset>
            </wp:positionV>
            <wp:extent cx="6032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-596265</wp:posOffset>
            </wp:positionV>
            <wp:extent cx="5969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03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7" w:lineRule="exact"/>
        <w:rPr>
          <w:sz w:val="20"/>
          <w:szCs w:val="20"/>
          <w:color w:val="auto"/>
        </w:rPr>
      </w:pPr>
    </w:p>
    <w:p>
      <w:pPr>
        <w:ind w:right="220" w:firstLine="509"/>
        <w:spacing w:after="0" w:line="291" w:lineRule="auto"/>
        <w:rPr>
          <w:sz w:val="20"/>
          <w:szCs w:val="20"/>
          <w:color w:val="auto"/>
        </w:rPr>
      </w:pPr>
      <w:r>
        <w:rPr>
          <w:rFonts w:ascii="Arial" w:cs="Arial" w:eastAsia="Arial" w:hAnsi="Arial"/>
          <w:sz w:val="17"/>
          <w:szCs w:val="17"/>
          <w:color w:val="auto"/>
        </w:rPr>
        <w:t>The following potentially dilutive securities, presented on an as-converted to common stock basis, were excluded from the computation of diluted net loss per share attributable to common stockholders for the period presented because including them would have been antidilutive: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2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As of December 31,</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5320" w:type="dxa"/>
            <w:vAlign w:val="bottom"/>
          </w:tcPr>
          <w:p>
            <w:pPr>
              <w:spacing w:after="0"/>
              <w:rPr>
                <w:sz w:val="17"/>
                <w:szCs w:val="17"/>
                <w:color w:val="auto"/>
              </w:rPr>
            </w:pPr>
          </w:p>
        </w:tc>
        <w:tc>
          <w:tcPr>
            <w:tcW w:w="1780" w:type="dxa"/>
            <w:vAlign w:val="bottom"/>
          </w:tcPr>
          <w:p>
            <w:pPr>
              <w:jc w:val="right"/>
              <w:ind w:right="610"/>
              <w:spacing w:after="0" w:line="196" w:lineRule="exact"/>
              <w:rPr>
                <w:sz w:val="20"/>
                <w:szCs w:val="20"/>
                <w:color w:val="auto"/>
              </w:rPr>
            </w:pPr>
            <w:r>
              <w:rPr>
                <w:rFonts w:ascii="Arial" w:cs="Arial" w:eastAsia="Arial" w:hAnsi="Arial"/>
                <w:sz w:val="18"/>
                <w:szCs w:val="18"/>
                <w:b w:val="1"/>
                <w:bCs w:val="1"/>
                <w:color w:val="auto"/>
              </w:rPr>
              <w:t>2021</w:t>
            </w:r>
          </w:p>
        </w:tc>
        <w:tc>
          <w:tcPr>
            <w:tcW w:w="2040" w:type="dxa"/>
            <w:vAlign w:val="bottom"/>
            <w:gridSpan w:val="2"/>
          </w:tcPr>
          <w:p>
            <w:pPr>
              <w:jc w:val="right"/>
              <w:ind w:right="590"/>
              <w:spacing w:after="0" w:line="196" w:lineRule="exact"/>
              <w:rPr>
                <w:sz w:val="20"/>
                <w:szCs w:val="20"/>
                <w:color w:val="auto"/>
              </w:rPr>
            </w:pPr>
            <w:r>
              <w:rPr>
                <w:rFonts w:ascii="Arial" w:cs="Arial" w:eastAsia="Arial" w:hAnsi="Arial"/>
                <w:sz w:val="18"/>
                <w:szCs w:val="18"/>
                <w:b w:val="1"/>
                <w:bCs w:val="1"/>
                <w:color w:val="auto"/>
              </w:rPr>
              <w:t>2020</w:t>
            </w:r>
          </w:p>
        </w:tc>
        <w:tc>
          <w:tcPr>
            <w:tcW w:w="2040" w:type="dxa"/>
            <w:vAlign w:val="bottom"/>
            <w:gridSpan w:val="2"/>
          </w:tcPr>
          <w:p>
            <w:pPr>
              <w:jc w:val="right"/>
              <w:ind w:right="610"/>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7"/>
                <w:szCs w:val="17"/>
                <w:color w:val="auto"/>
              </w:rPr>
            </w:pPr>
          </w:p>
        </w:tc>
      </w:tr>
      <w:tr>
        <w:trPr>
          <w:trHeight w:val="196"/>
        </w:trPr>
        <w:tc>
          <w:tcPr>
            <w:tcW w:w="5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stock options</w:t>
            </w:r>
          </w:p>
        </w:tc>
        <w:tc>
          <w:tcPr>
            <w:tcW w:w="1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14,523,917</w:t>
            </w:r>
          </w:p>
        </w:tc>
        <w:tc>
          <w:tcPr>
            <w:tcW w:w="30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6,897,276</w:t>
            </w:r>
          </w:p>
        </w:tc>
        <w:tc>
          <w:tcPr>
            <w:tcW w:w="280" w:type="dxa"/>
            <w:vAlign w:val="bottom"/>
            <w:shd w:val="clear" w:color="auto" w:fill="CFF0FC"/>
          </w:tcPr>
          <w:p>
            <w:pPr>
              <w:spacing w:after="0"/>
              <w:rPr>
                <w:sz w:val="17"/>
                <w:szCs w:val="17"/>
                <w:color w:val="auto"/>
              </w:rPr>
            </w:pPr>
          </w:p>
        </w:tc>
        <w:tc>
          <w:tcPr>
            <w:tcW w:w="1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6,671,542</w:t>
            </w:r>
          </w:p>
        </w:tc>
        <w:tc>
          <w:tcPr>
            <w:tcW w:w="60" w:type="dxa"/>
            <w:vAlign w:val="bottom"/>
            <w:shd w:val="clear" w:color="auto" w:fill="CFF0FC"/>
          </w:tcPr>
          <w:p>
            <w:pPr>
              <w:spacing w:after="0"/>
              <w:rPr>
                <w:sz w:val="17"/>
                <w:szCs w:val="17"/>
                <w:color w:val="auto"/>
              </w:rPr>
            </w:pPr>
          </w:p>
        </w:tc>
      </w:tr>
      <w:tr>
        <w:trPr>
          <w:trHeight w:val="203"/>
        </w:trPr>
        <w:tc>
          <w:tcPr>
            <w:tcW w:w="5320" w:type="dxa"/>
            <w:vAlign w:val="bottom"/>
          </w:tcPr>
          <w:p>
            <w:pPr>
              <w:ind w:left="20"/>
              <w:spacing w:after="0" w:line="202" w:lineRule="exact"/>
              <w:rPr>
                <w:sz w:val="20"/>
                <w:szCs w:val="20"/>
                <w:color w:val="auto"/>
              </w:rPr>
            </w:pPr>
            <w:r>
              <w:rPr>
                <w:rFonts w:ascii="Arial" w:cs="Arial" w:eastAsia="Arial" w:hAnsi="Arial"/>
                <w:sz w:val="18"/>
                <w:szCs w:val="18"/>
                <w:color w:val="auto"/>
              </w:rPr>
              <w:t>Unvested restricted shares</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363,930</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359,945</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160,747</w:t>
            </w:r>
          </w:p>
        </w:tc>
        <w:tc>
          <w:tcPr>
            <w:tcW w:w="60" w:type="dxa"/>
            <w:vAlign w:val="bottom"/>
          </w:tcPr>
          <w:p>
            <w:pPr>
              <w:spacing w:after="0"/>
              <w:rPr>
                <w:sz w:val="17"/>
                <w:szCs w:val="17"/>
                <w:color w:val="auto"/>
              </w:rPr>
            </w:pPr>
          </w:p>
        </w:tc>
      </w:tr>
      <w:tr>
        <w:trPr>
          <w:trHeight w:val="236"/>
        </w:trPr>
        <w:tc>
          <w:tcPr>
            <w:tcW w:w="5320" w:type="dxa"/>
            <w:vAlign w:val="bottom"/>
            <w:tcBorders>
              <w:top w:val="single" w:sz="8" w:color="CFF0FC"/>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14,887,847</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1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7,257,221</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6,832,289</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514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-162560</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431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431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-162560</wp:posOffset>
            </wp:positionV>
            <wp:extent cx="431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401(k) Plan</w:t>
      </w:r>
    </w:p>
    <w:p>
      <w:pPr>
        <w:spacing w:after="0" w:line="108" w:lineRule="exact"/>
        <w:rPr>
          <w:sz w:val="20"/>
          <w:szCs w:val="20"/>
          <w:color w:val="auto"/>
        </w:rPr>
      </w:pPr>
    </w:p>
    <w:p>
      <w:pPr>
        <w:ind w:right="280" w:firstLine="509"/>
        <w:spacing w:after="0" w:line="259" w:lineRule="auto"/>
        <w:rPr>
          <w:sz w:val="20"/>
          <w:szCs w:val="20"/>
          <w:color w:val="auto"/>
        </w:rPr>
      </w:pPr>
      <w:r>
        <w:rPr>
          <w:rFonts w:ascii="Arial" w:cs="Arial" w:eastAsia="Arial" w:hAnsi="Arial"/>
          <w:sz w:val="17"/>
          <w:szCs w:val="17"/>
          <w:color w:val="auto"/>
        </w:rPr>
        <w:t>In 2011, the Company adopted a 401(k) retirement and savings plan covering all employees. The 401(k) plan allows employees to make pre- and post-tax contributions up to the maximum allowable amount set by the Internal Revenue Service. The 401(k) plan was amended to include an employer matching provision in 2019. The Company will make matching contributions of 100% of employee contributions up to a maximum of 50% of the individual maximum contribution limit allowed under the IRS rules. For the year ended December 31, 2021, 2020 and 2019, the expense related to the matching contributions was $0.7 million, $0.6 million and $0.3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Liability related to Sale of Future Royalties</w:t>
      </w:r>
    </w:p>
    <w:p>
      <w:pPr>
        <w:spacing w:after="0" w:line="108"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On December 1, 2019, the Company and its subsidiary Kodiak Sciences GmbH entered into a funding agreement with BBA, which holds more than 5% of the Company’s capital stock, pursuant to which BBA purchased the right to receive a capped 4.5% royalty on future net sales of KSI-301, the Company’s anti-VEGF antibody biopolymer conjugate therapy, in exchange for $225.0 million. The royalty terminates upon the date that BBA has received an aggregate amount equal to 4.5 times the funding amount paid to the Company, unless earlier terminated or repurchased by the Company. Under the terms of the funding agreement, there is no obligation to repay any funding amount received, other than through the capped royalty payments on future product revenues. The Company has the option, exercisable at any point during the term of the funding agreement, to repurchase 100% of the royalties due to BBA for a purchase price equal to 4.5 times the funding amount paid to the Company as of such time, less amounts paid by the Company to BBA.</w:t>
      </w:r>
    </w:p>
    <w:p>
      <w:pPr>
        <w:spacing w:after="0" w:line="55"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The closing of the funding agreement was subject to certain conditions and occurred in February 2020. The Company received $100.0 million of the funding on February 4, 2020. The remaining $125.0 million, subject to delivery of notice by the Company, was payable upon enrollment of 50% of the patients in the RVO clinical program. In July 2021, the funding agreement was amended, at the Company’s request, that the remaining funding amount of $125.0 million would not be paid. As a result, $0.2 million of deferred financing cost was expensed during the year ended December 31, 2021.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400" w:firstLine="509"/>
        <w:spacing w:after="0" w:line="284" w:lineRule="auto"/>
        <w:rPr>
          <w:sz w:val="20"/>
          <w:szCs w:val="20"/>
          <w:color w:val="auto"/>
        </w:rPr>
      </w:pPr>
      <w:r>
        <w:rPr>
          <w:rFonts w:ascii="Arial" w:cs="Arial" w:eastAsia="Arial" w:hAnsi="Arial"/>
          <w:sz w:val="16"/>
          <w:szCs w:val="16"/>
          <w:color w:val="auto"/>
        </w:rPr>
        <w:t>The Company recorded the initial $100.0 million payment as a liability on the consolidated balance sheet net of issuance costs.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As of December 31, 2021, royalty payments are not probable and estimable.</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year ended December 31, 2021 and 2020, no interest expense was recognized for the liability related to the sale of future royalties.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Financial Data (unaudited)</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the selected quarterly financial information for the years 2021 and 2020 (in thousands,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5"/>
          </w:tcPr>
          <w:p>
            <w:pPr>
              <w:jc w:val="right"/>
              <w:ind w:right="93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490"/>
              <w:spacing w:after="0" w:line="156" w:lineRule="exact"/>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3"/>
                <w:szCs w:val="13"/>
                <w:color w:val="auto"/>
              </w:rPr>
            </w:pPr>
          </w:p>
        </w:tc>
        <w:tc>
          <w:tcPr>
            <w:tcW w:w="1440" w:type="dxa"/>
            <w:vAlign w:val="bottom"/>
            <w:gridSpan w:val="2"/>
          </w:tcPr>
          <w:p>
            <w:pPr>
              <w:jc w:val="right"/>
              <w:ind w:right="550"/>
              <w:spacing w:after="0" w:line="156" w:lineRule="exact"/>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3"/>
                <w:szCs w:val="13"/>
                <w:color w:val="auto"/>
              </w:rPr>
            </w:pPr>
          </w:p>
        </w:tc>
        <w:tc>
          <w:tcPr>
            <w:tcW w:w="1600" w:type="dxa"/>
            <w:vAlign w:val="bottom"/>
            <w:gridSpan w:val="2"/>
          </w:tcPr>
          <w:p>
            <w:pPr>
              <w:jc w:val="right"/>
              <w:ind w:right="390"/>
              <w:spacing w:after="0" w:line="156"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3"/>
                <w:szCs w:val="13"/>
                <w:color w:val="auto"/>
              </w:rPr>
            </w:pPr>
          </w:p>
        </w:tc>
        <w:tc>
          <w:tcPr>
            <w:tcW w:w="1300" w:type="dxa"/>
            <w:vAlign w:val="bottom"/>
          </w:tcPr>
          <w:p>
            <w:pPr>
              <w:jc w:val="right"/>
              <w:ind w:right="110"/>
              <w:spacing w:after="0" w:line="156"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(50,558</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(55,909</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(67,535</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(93,049</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54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7"/>
                <w:szCs w:val="17"/>
                <w:color w:val="auto"/>
              </w:rPr>
            </w:pPr>
          </w:p>
        </w:tc>
        <w:tc>
          <w:tcPr>
            <w:tcW w:w="1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(50,447 )</w:t>
            </w:r>
          </w:p>
        </w:tc>
        <w:tc>
          <w:tcPr>
            <w:tcW w:w="260" w:type="dxa"/>
            <w:vAlign w:val="bottom"/>
          </w:tcPr>
          <w:p>
            <w:pPr>
              <w:spacing w:after="0"/>
              <w:rPr>
                <w:sz w:val="17"/>
                <w:szCs w:val="17"/>
                <w:color w:val="auto"/>
              </w:rPr>
            </w:pPr>
          </w:p>
        </w:tc>
        <w:tc>
          <w:tcPr>
            <w:tcW w:w="1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(55,852 )</w:t>
            </w:r>
          </w:p>
        </w:tc>
        <w:tc>
          <w:tcPr>
            <w:tcW w:w="140" w:type="dxa"/>
            <w:vAlign w:val="bottom"/>
          </w:tcPr>
          <w:p>
            <w:pPr>
              <w:spacing w:after="0"/>
              <w:rPr>
                <w:sz w:val="17"/>
                <w:szCs w:val="17"/>
                <w:color w:val="auto"/>
              </w:rPr>
            </w:pPr>
          </w:p>
        </w:tc>
        <w:tc>
          <w:tcPr>
            <w:tcW w:w="16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(67,526 )</w:t>
            </w:r>
          </w:p>
        </w:tc>
        <w:tc>
          <w:tcPr>
            <w:tcW w:w="16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(93,165 )</w:t>
            </w: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Net loss per share attributable to common</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(0.98 )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(1.08 )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(1.30 )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stockholders, basic and diluted</w:t>
            </w:r>
          </w:p>
        </w:tc>
        <w:tc>
          <w:tcPr>
            <w:tcW w:w="220" w:type="dxa"/>
            <w:vAlign w:val="bottom"/>
            <w:vMerge w:val="continue"/>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60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5"/>
          </w:tcPr>
          <w:p>
            <w:pPr>
              <w:jc w:val="right"/>
              <w:ind w:right="961"/>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501"/>
              <w:spacing w:after="0" w:line="156" w:lineRule="exact"/>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3"/>
                <w:szCs w:val="13"/>
                <w:color w:val="auto"/>
              </w:rPr>
            </w:pPr>
          </w:p>
        </w:tc>
        <w:tc>
          <w:tcPr>
            <w:tcW w:w="1420" w:type="dxa"/>
            <w:vAlign w:val="bottom"/>
            <w:gridSpan w:val="2"/>
          </w:tcPr>
          <w:p>
            <w:pPr>
              <w:jc w:val="right"/>
              <w:ind w:right="550"/>
              <w:spacing w:after="0" w:line="156" w:lineRule="exact"/>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3"/>
                <w:szCs w:val="13"/>
                <w:color w:val="auto"/>
              </w:rPr>
            </w:pPr>
          </w:p>
        </w:tc>
        <w:tc>
          <w:tcPr>
            <w:tcW w:w="1620" w:type="dxa"/>
            <w:vAlign w:val="bottom"/>
            <w:gridSpan w:val="2"/>
          </w:tcPr>
          <w:p>
            <w:pPr>
              <w:jc w:val="right"/>
              <w:ind w:right="401"/>
              <w:spacing w:after="0" w:line="156"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3"/>
                <w:szCs w:val="13"/>
                <w:color w:val="auto"/>
              </w:rPr>
            </w:pPr>
          </w:p>
        </w:tc>
        <w:tc>
          <w:tcPr>
            <w:tcW w:w="1280" w:type="dxa"/>
            <w:vAlign w:val="bottom"/>
          </w:tcPr>
          <w:p>
            <w:pPr>
              <w:jc w:val="right"/>
              <w:ind w:right="110"/>
              <w:spacing w:after="0" w:line="156"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(25,723</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(26,779</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(36,663</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(46,842</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56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7"/>
                <w:szCs w:val="17"/>
                <w:color w:val="auto"/>
              </w:rPr>
            </w:pPr>
          </w:p>
        </w:tc>
        <w:tc>
          <w:tcPr>
            <w:tcW w:w="14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(24,392 )</w:t>
            </w:r>
          </w:p>
        </w:tc>
        <w:tc>
          <w:tcPr>
            <w:tcW w:w="260" w:type="dxa"/>
            <w:vAlign w:val="bottom"/>
          </w:tcPr>
          <w:p>
            <w:pPr>
              <w:spacing w:after="0"/>
              <w:rPr>
                <w:sz w:val="17"/>
                <w:szCs w:val="17"/>
                <w:color w:val="auto"/>
              </w:rPr>
            </w:pPr>
          </w:p>
        </w:tc>
        <w:tc>
          <w:tcPr>
            <w:tcW w:w="1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(25,999 )</w:t>
            </w:r>
          </w:p>
        </w:tc>
        <w:tc>
          <w:tcPr>
            <w:tcW w:w="140" w:type="dxa"/>
            <w:vAlign w:val="bottom"/>
          </w:tcPr>
          <w:p>
            <w:pPr>
              <w:spacing w:after="0"/>
              <w:rPr>
                <w:sz w:val="17"/>
                <w:szCs w:val="17"/>
                <w:color w:val="auto"/>
              </w:rPr>
            </w:pPr>
          </w:p>
        </w:tc>
        <w:tc>
          <w:tcPr>
            <w:tcW w:w="162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(36,122 )</w:t>
            </w:r>
          </w:p>
        </w:tc>
        <w:tc>
          <w:tcPr>
            <w:tcW w:w="16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(46,583 )</w:t>
            </w: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Net loss per share attributable to common</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shd w:val="clear" w:color="auto" w:fill="CFF0FC"/>
          </w:tcPr>
          <w:p>
            <w:pPr>
              <w:jc w:val="right"/>
              <w:ind w:right="101"/>
              <w:spacing w:after="0"/>
              <w:rPr>
                <w:sz w:val="20"/>
                <w:szCs w:val="20"/>
                <w:color w:val="auto"/>
              </w:rPr>
            </w:pPr>
            <w:r>
              <w:rPr>
                <w:rFonts w:ascii="Arial" w:cs="Arial" w:eastAsia="Arial" w:hAnsi="Arial"/>
                <w:sz w:val="18"/>
                <w:szCs w:val="18"/>
                <w:color w:val="auto"/>
              </w:rPr>
              <w:t>(0.54 )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(0.58 )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vMerge w:val="restart"/>
            <w:shd w:val="clear" w:color="auto" w:fill="CFF0FC"/>
          </w:tcPr>
          <w:p>
            <w:pPr>
              <w:jc w:val="right"/>
              <w:ind w:right="161"/>
              <w:spacing w:after="0"/>
              <w:rPr>
                <w:sz w:val="20"/>
                <w:szCs w:val="20"/>
                <w:color w:val="auto"/>
              </w:rPr>
            </w:pPr>
            <w:r>
              <w:rPr>
                <w:rFonts w:ascii="Arial" w:cs="Arial" w:eastAsia="Arial" w:hAnsi="Arial"/>
                <w:sz w:val="18"/>
                <w:szCs w:val="18"/>
                <w:color w:val="auto"/>
              </w:rPr>
              <w:t>(0.80 )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(0.97 )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stockholders, basic and diluted</w:t>
            </w:r>
          </w:p>
        </w:tc>
        <w:tc>
          <w:tcPr>
            <w:tcW w:w="220" w:type="dxa"/>
            <w:vAlign w:val="bottom"/>
            <w:vMerge w:val="continue"/>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62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47"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December 31, 2021. Based upon such evaluation, our principal executive officer and principal financial officer concluded that the design and operation of our disclosure controls and procedures were effective at a reasonable assurance level as of December 31, 2021.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0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Under the supervision of and with the participation of our principal executive officer and principal financial officer, our management assessed the effectiveness of our internal control over financial reporting as of December 31, 2021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2021.</w:t>
      </w:r>
    </w:p>
    <w:p>
      <w:pPr>
        <w:spacing w:after="0" w:line="66" w:lineRule="exact"/>
        <w:rPr>
          <w:sz w:val="20"/>
          <w:szCs w:val="20"/>
          <w:color w:val="auto"/>
        </w:rPr>
      </w:pPr>
    </w:p>
    <w:p>
      <w:pPr>
        <w:ind w:right="600" w:firstLine="509"/>
        <w:spacing w:after="0" w:line="291" w:lineRule="auto"/>
        <w:rPr>
          <w:sz w:val="20"/>
          <w:szCs w:val="20"/>
          <w:color w:val="auto"/>
        </w:rPr>
      </w:pPr>
      <w:r>
        <w:rPr>
          <w:rFonts w:ascii="Arial" w:cs="Arial" w:eastAsia="Arial" w:hAnsi="Arial"/>
          <w:sz w:val="17"/>
          <w:szCs w:val="17"/>
          <w:color w:val="auto"/>
        </w:rPr>
        <w:t>Our independent registered public accounting firm, PricewaterhouseCoopers LLP, has audited the effectiveness of our internal control over financial reporting as of December 31, 2021, as stated in their report included in Item 8 of this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10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2021, that has materially affected, or is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15" w:name="page116"/>
    <w:bookmarkEnd w:id="115"/>
    <w:p>
      <w:pPr>
        <w:ind w:left="5260"/>
        <w:spacing w:after="0"/>
        <w:rPr>
          <w:sz w:val="20"/>
          <w:szCs w:val="20"/>
          <w:color w:val="auto"/>
        </w:rPr>
      </w:pPr>
      <w:r>
        <w:rPr>
          <w:rFonts w:ascii="Arial" w:cs="Arial" w:eastAsia="Arial" w:hAnsi="Arial"/>
          <w:sz w:val="18"/>
          <w:szCs w:val="18"/>
          <w:b w:val="1"/>
          <w:bCs w:val="1"/>
          <w:color w:val="auto"/>
        </w:rPr>
        <w:t>PART III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of Stockholders within 120 days after December 31, 2021, or the Proxy Statement, under the caption “Executive Officers” and “Board of Directors and Corporate Governance”, and is incorporated in this Annual Report on Form 10-K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the Proxy Statement under the caption “Executive Compensation” and is incorporated in this Annual Report on Form 10-K by reference.</w:t>
      </w:r>
    </w:p>
    <w:p>
      <w:pPr>
        <w:spacing w:after="0" w:line="167"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the Proxy Statement under the caption “Security Ownership of Certain Beneficial Owners and Management” and is incorporated in this Annual Report on Form 10-K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the Proxy Statement under the caption “Related Person Transactions” and is incorporated in this Annual Report on Form 10-K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the Proxy Statement under the caption “Ratification of Appointment of Independent Registered Public Accounting Firm” and is incorporated in this Annual Report on Form 10-K by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6" w:name="page117"/>
    <w:bookmarkEnd w:id="116"/>
    <w:p>
      <w:pPr>
        <w:ind w:left="5260"/>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4" w:lineRule="exact"/>
        <w:rPr>
          <w:sz w:val="20"/>
          <w:szCs w:val="20"/>
          <w:color w:val="auto"/>
        </w:rPr>
      </w:pPr>
    </w:p>
    <w:p>
      <w:pPr>
        <w:ind w:left="760" w:hanging="243"/>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9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9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consolidated financial statements are filed as part of this Annual Report on Form 10-K under Item 8.</w:t>
      </w:r>
    </w:p>
    <w:p>
      <w:pPr>
        <w:spacing w:after="0" w:line="9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90"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All schedules to the consolidated financial statements are omitted as the required information is either inapplicable or presented in the consolidated financial statements.</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 EXHIBITS</w:t>
      </w: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142"/>
        </w:trPr>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8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2"/>
                <w:szCs w:val="12"/>
                <w:color w:val="auto"/>
              </w:rPr>
            </w:pPr>
          </w:p>
        </w:tc>
        <w:tc>
          <w:tcPr>
            <w:tcW w:w="164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2"/>
                <w:szCs w:val="12"/>
                <w:color w:val="auto"/>
              </w:rPr>
            </w:pPr>
          </w:p>
        </w:tc>
        <w:tc>
          <w:tcPr>
            <w:tcW w:w="10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2"/>
                <w:szCs w:val="12"/>
                <w:color w:val="auto"/>
              </w:rPr>
            </w:pPr>
          </w:p>
        </w:tc>
        <w:tc>
          <w:tcPr>
            <w:tcW w:w="150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263"/>
        </w:trPr>
        <w:tc>
          <w:tcPr>
            <w:tcW w:w="1120" w:type="dxa"/>
            <w:vAlign w:val="bottom"/>
          </w:tcPr>
          <w:p>
            <w:pPr>
              <w:jc w:val="right"/>
              <w:ind w:right="62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4380" w:type="dxa"/>
            <w:vAlign w:val="bottom"/>
            <w:gridSpan w:val="6"/>
          </w:tcPr>
          <w:p>
            <w:pPr>
              <w:ind w:left="20"/>
              <w:spacing w:after="0"/>
              <w:rPr>
                <w:rFonts w:ascii="Arial" w:cs="Arial" w:eastAsia="Arial" w:hAnsi="Arial"/>
                <w:sz w:val="18"/>
                <w:szCs w:val="18"/>
                <w:color w:val="0000FF"/>
              </w:rPr>
            </w:pPr>
            <w:hyperlink r:id="rId337">
              <w:r>
                <w:rPr>
                  <w:rFonts w:ascii="Arial" w:cs="Arial" w:eastAsia="Arial" w:hAnsi="Arial"/>
                  <w:sz w:val="18"/>
                  <w:szCs w:val="18"/>
                  <w:color w:val="0000FF"/>
                </w:rPr>
                <w:t>Amended and Restated Certificate of Incorporation of</w:t>
              </w:r>
            </w:hyperlink>
          </w:p>
        </w:tc>
        <w:tc>
          <w:tcPr>
            <w:tcW w:w="1080" w:type="dxa"/>
            <w:vAlign w:val="bottom"/>
          </w:tcPr>
          <w:p>
            <w:pPr>
              <w:ind w:left="80"/>
              <w:spacing w:after="0"/>
              <w:rPr>
                <w:sz w:val="20"/>
                <w:szCs w:val="20"/>
                <w:color w:val="auto"/>
              </w:rPr>
            </w:pPr>
            <w:r>
              <w:rPr>
                <w:rFonts w:ascii="Arial" w:cs="Arial" w:eastAsia="Arial" w:hAnsi="Arial"/>
                <w:sz w:val="18"/>
                <w:szCs w:val="18"/>
                <w:color w:val="auto"/>
              </w:rPr>
              <w:t>10-Q</w:t>
            </w:r>
          </w:p>
        </w:tc>
        <w:tc>
          <w:tcPr>
            <w:tcW w:w="1760" w:type="dxa"/>
            <w:vAlign w:val="bottom"/>
            <w:gridSpan w:val="2"/>
          </w:tcPr>
          <w:p>
            <w:pPr>
              <w:jc w:val="right"/>
              <w:ind w:right="708"/>
              <w:spacing w:after="0"/>
              <w:rPr>
                <w:sz w:val="20"/>
                <w:szCs w:val="20"/>
                <w:color w:val="auto"/>
              </w:rPr>
            </w:pPr>
            <w:r>
              <w:rPr>
                <w:rFonts w:ascii="Arial" w:cs="Arial" w:eastAsia="Arial" w:hAnsi="Arial"/>
                <w:sz w:val="18"/>
                <w:szCs w:val="18"/>
                <w:color w:val="auto"/>
              </w:rPr>
              <w:t>001-38682</w:t>
            </w:r>
          </w:p>
        </w:tc>
        <w:tc>
          <w:tcPr>
            <w:tcW w:w="1180" w:type="dxa"/>
            <w:vAlign w:val="bottom"/>
            <w:gridSpan w:val="2"/>
          </w:tcPr>
          <w:p>
            <w:pPr>
              <w:jc w:val="right"/>
              <w:ind w:right="688"/>
              <w:spacing w:after="0"/>
              <w:rPr>
                <w:sz w:val="20"/>
                <w:szCs w:val="20"/>
                <w:color w:val="auto"/>
              </w:rPr>
            </w:pPr>
            <w:r>
              <w:rPr>
                <w:rFonts w:ascii="Arial" w:cs="Arial" w:eastAsia="Arial" w:hAnsi="Arial"/>
                <w:sz w:val="18"/>
                <w:szCs w:val="18"/>
                <w:color w:val="auto"/>
              </w:rPr>
              <w:t>3.1</w:t>
            </w:r>
          </w:p>
        </w:tc>
        <w:tc>
          <w:tcPr>
            <w:tcW w:w="1600" w:type="dxa"/>
            <w:vAlign w:val="bottom"/>
            <w:gridSpan w:val="2"/>
          </w:tcPr>
          <w:p>
            <w:pPr>
              <w:jc w:val="right"/>
              <w:ind w:right="528"/>
              <w:spacing w:after="0"/>
              <w:rPr>
                <w:sz w:val="20"/>
                <w:szCs w:val="20"/>
                <w:color w:val="auto"/>
              </w:rPr>
            </w:pPr>
            <w:r>
              <w:rPr>
                <w:rFonts w:ascii="Arial" w:cs="Arial" w:eastAsia="Arial" w:hAnsi="Arial"/>
                <w:sz w:val="18"/>
                <w:szCs w:val="18"/>
                <w:color w:val="auto"/>
              </w:rPr>
              <w:t>11/16/2018</w:t>
            </w:r>
          </w:p>
        </w:tc>
      </w:tr>
      <w:tr>
        <w:trPr>
          <w:trHeight w:val="142"/>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2"/>
          </w:tcPr>
          <w:p>
            <w:pPr>
              <w:spacing w:after="0" w:line="142" w:lineRule="exact"/>
              <w:rPr>
                <w:rFonts w:ascii="Arial" w:cs="Arial" w:eastAsia="Arial" w:hAnsi="Arial"/>
                <w:sz w:val="16"/>
                <w:szCs w:val="16"/>
                <w:color w:val="0000FF"/>
                <w:highlight w:val="white"/>
              </w:rPr>
            </w:pPr>
            <w:hyperlink r:id="rId337">
              <w:r>
                <w:rPr>
                  <w:rFonts w:ascii="Arial" w:cs="Arial" w:eastAsia="Arial" w:hAnsi="Arial"/>
                  <w:sz w:val="16"/>
                  <w:szCs w:val="16"/>
                  <w:color w:val="0000FF"/>
                  <w:highlight w:val="white"/>
                </w:rPr>
                <w:t>Kodiak Sciences Inc</w:t>
              </w:r>
              <w:r>
                <w:rPr>
                  <w:rFonts w:ascii="Arial" w:cs="Arial" w:eastAsia="Arial" w:hAnsi="Arial"/>
                  <w:sz w:val="16"/>
                  <w:szCs w:val="16"/>
                  <w:u w:val="single" w:color="auto"/>
                  <w:color w:val="0563C1"/>
                  <w:highlight w:val="white"/>
                </w:rPr>
                <w:t>.</w:t>
              </w:r>
            </w:hyperlink>
          </w:p>
        </w:tc>
        <w:tc>
          <w:tcPr>
            <w:tcW w:w="2420" w:type="dxa"/>
            <w:vAlign w:val="bottom"/>
            <w:tcBorders>
              <w:top w:val="single" w:sz="8" w:color="0000FF"/>
            </w:tcBorders>
          </w:tcPr>
          <w:p>
            <w:pPr>
              <w:spacing w:after="0"/>
              <w:rPr>
                <w:sz w:val="12"/>
                <w:szCs w:val="12"/>
                <w:color w:val="auto"/>
              </w:rPr>
            </w:pPr>
          </w:p>
        </w:tc>
        <w:tc>
          <w:tcPr>
            <w:tcW w:w="42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77" w:lineRule="exact"/>
        <w:rPr>
          <w:sz w:val="20"/>
          <w:szCs w:val="20"/>
          <w:color w:val="auto"/>
        </w:rPr>
      </w:pPr>
    </w:p>
    <w:p>
      <w:pPr>
        <w:sectPr>
          <w:pgSz w:w="11900" w:h="16838" w:orient="portrait"/>
          <w:cols w:equalWidth="0" w:num="1">
            <w:col w:w="11240"/>
          </w:cols>
          <w:pgMar w:left="320" w:top="310" w:right="339" w:bottom="1440" w:gutter="0" w:footer="0" w:header="0"/>
        </w:sectPr>
      </w:pPr>
    </w:p>
    <w:tbl>
      <w:tblPr>
        <w:tblLayout w:type="fixed"/>
        <w:tblInd w:w="20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3.2</w:t>
            </w:r>
          </w:p>
        </w:tc>
        <w:tc>
          <w:tcPr>
            <w:tcW w:w="4220" w:type="dxa"/>
            <w:vAlign w:val="bottom"/>
            <w:gridSpan w:val="7"/>
          </w:tcPr>
          <w:p>
            <w:pPr>
              <w:spacing w:after="0"/>
              <w:rPr>
                <w:rFonts w:ascii="Arial" w:cs="Arial" w:eastAsia="Arial" w:hAnsi="Arial"/>
                <w:sz w:val="18"/>
                <w:szCs w:val="18"/>
                <w:color w:val="0000FF"/>
                <w:w w:val="94"/>
              </w:rPr>
            </w:pPr>
            <w:hyperlink r:id="rId338">
              <w:r>
                <w:rPr>
                  <w:rFonts w:ascii="Arial" w:cs="Arial" w:eastAsia="Arial" w:hAnsi="Arial"/>
                  <w:sz w:val="18"/>
                  <w:szCs w:val="18"/>
                  <w:color w:val="0000FF"/>
                  <w:w w:val="94"/>
                </w:rPr>
                <w:t>Amended and Restated Bylaws of Kodiak Sciences Inc.</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4.1</w:t>
            </w:r>
          </w:p>
        </w:tc>
        <w:tc>
          <w:tcPr>
            <w:tcW w:w="4220" w:type="dxa"/>
            <w:vAlign w:val="bottom"/>
            <w:gridSpan w:val="7"/>
          </w:tcPr>
          <w:p>
            <w:pPr>
              <w:spacing w:after="0"/>
              <w:rPr>
                <w:rFonts w:ascii="Arial" w:cs="Arial" w:eastAsia="Arial" w:hAnsi="Arial"/>
                <w:sz w:val="18"/>
                <w:szCs w:val="18"/>
                <w:color w:val="0000FF"/>
              </w:rPr>
            </w:pPr>
            <w:hyperlink r:id="rId339">
              <w:r>
                <w:rPr>
                  <w:rFonts w:ascii="Arial" w:cs="Arial" w:eastAsia="Arial" w:hAnsi="Arial"/>
                  <w:sz w:val="18"/>
                  <w:szCs w:val="18"/>
                  <w:color w:val="0000FF"/>
                </w:rPr>
                <w:t>Form of Common Stock Certificate</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ind w:right="750"/>
              <w:spacing w:after="0"/>
              <w:rPr>
                <w:sz w:val="20"/>
                <w:szCs w:val="20"/>
                <w:color w:val="auto"/>
              </w:rPr>
            </w:pPr>
            <w:r>
              <w:rPr>
                <w:rFonts w:ascii="Arial" w:cs="Arial" w:eastAsia="Arial" w:hAnsi="Arial"/>
                <w:sz w:val="18"/>
                <w:szCs w:val="18"/>
                <w:color w:val="auto"/>
                <w:w w:val="79"/>
              </w:rPr>
              <w:t>4.2</w:t>
            </w:r>
          </w:p>
        </w:tc>
        <w:tc>
          <w:tcPr>
            <w:tcW w:w="18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vMerge w:val="continue"/>
          </w:tcPr>
          <w:p>
            <w:pPr>
              <w:spacing w:after="0"/>
              <w:rPr>
                <w:sz w:val="24"/>
                <w:szCs w:val="24"/>
                <w:color w:val="auto"/>
              </w:rPr>
            </w:pPr>
          </w:p>
        </w:tc>
        <w:tc>
          <w:tcPr>
            <w:tcW w:w="4220" w:type="dxa"/>
            <w:vAlign w:val="bottom"/>
            <w:gridSpan w:val="7"/>
          </w:tcPr>
          <w:p>
            <w:pPr>
              <w:spacing w:after="0"/>
              <w:rPr>
                <w:rFonts w:ascii="Arial" w:cs="Arial" w:eastAsia="Arial" w:hAnsi="Arial"/>
                <w:sz w:val="18"/>
                <w:szCs w:val="18"/>
                <w:color w:val="0000FF"/>
                <w:w w:val="89"/>
              </w:rPr>
            </w:pPr>
            <w:hyperlink r:id="rId340">
              <w:r>
                <w:rPr>
                  <w:rFonts w:ascii="Arial" w:cs="Arial" w:eastAsia="Arial" w:hAnsi="Arial"/>
                  <w:sz w:val="18"/>
                  <w:szCs w:val="18"/>
                  <w:color w:val="0000FF"/>
                  <w:w w:val="89"/>
                </w:rPr>
                <w:t>Investors’ Rights Agreement, dated September 8, 2015, as</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220" w:type="dxa"/>
            <w:vAlign w:val="bottom"/>
            <w:tcBorders>
              <w:top w:val="single" w:sz="8" w:color="0000FF"/>
            </w:tcBorders>
            <w:gridSpan w:val="7"/>
          </w:tcPr>
          <w:p>
            <w:pPr>
              <w:spacing w:after="0" w:line="156" w:lineRule="exact"/>
              <w:rPr>
                <w:rFonts w:ascii="Arial" w:cs="Arial" w:eastAsia="Arial" w:hAnsi="Arial"/>
                <w:sz w:val="18"/>
                <w:szCs w:val="18"/>
                <w:color w:val="0000FF"/>
                <w:w w:val="93"/>
              </w:rPr>
            </w:pPr>
            <w:hyperlink r:id="rId340">
              <w:r>
                <w:rPr>
                  <w:rFonts w:ascii="Arial" w:cs="Arial" w:eastAsia="Arial" w:hAnsi="Arial"/>
                  <w:sz w:val="18"/>
                  <w:szCs w:val="18"/>
                  <w:color w:val="0000FF"/>
                  <w:w w:val="93"/>
                </w:rPr>
                <w:t>amended, by and among the registrant and the investors</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1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340">
              <w:r>
                <w:rPr>
                  <w:rFonts w:ascii="Arial" w:cs="Arial" w:eastAsia="Arial" w:hAnsi="Arial"/>
                  <w:sz w:val="18"/>
                  <w:szCs w:val="18"/>
                  <w:color w:val="0000FF"/>
                </w:rPr>
                <w:t>and founders named therein</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4.5</w:t>
            </w:r>
          </w:p>
        </w:tc>
        <w:tc>
          <w:tcPr>
            <w:tcW w:w="4220" w:type="dxa"/>
            <w:vAlign w:val="bottom"/>
            <w:gridSpan w:val="7"/>
          </w:tcPr>
          <w:p>
            <w:pPr>
              <w:spacing w:after="0"/>
              <w:rPr>
                <w:rFonts w:ascii="Arial" w:cs="Arial" w:eastAsia="Arial" w:hAnsi="Arial"/>
                <w:sz w:val="18"/>
                <w:szCs w:val="18"/>
                <w:color w:val="0000FF"/>
              </w:rPr>
            </w:pPr>
            <w:hyperlink r:id="rId341">
              <w:r>
                <w:rPr>
                  <w:rFonts w:ascii="Arial" w:cs="Arial" w:eastAsia="Arial" w:hAnsi="Arial"/>
                  <w:sz w:val="18"/>
                  <w:szCs w:val="18"/>
                  <w:color w:val="0000FF"/>
                </w:rPr>
                <w:t>Form of Class B Share Warrant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4.6</w:t>
            </w:r>
          </w:p>
        </w:tc>
        <w:tc>
          <w:tcPr>
            <w:tcW w:w="4220" w:type="dxa"/>
            <w:vAlign w:val="bottom"/>
            <w:gridSpan w:val="7"/>
          </w:tcPr>
          <w:p>
            <w:pPr>
              <w:spacing w:after="0"/>
              <w:rPr>
                <w:rFonts w:ascii="Arial" w:cs="Arial" w:eastAsia="Arial" w:hAnsi="Arial"/>
                <w:sz w:val="18"/>
                <w:szCs w:val="18"/>
                <w:color w:val="0000FF"/>
              </w:rPr>
            </w:pPr>
            <w:hyperlink r:id="rId342">
              <w:r>
                <w:rPr>
                  <w:rFonts w:ascii="Arial" w:cs="Arial" w:eastAsia="Arial" w:hAnsi="Arial"/>
                  <w:sz w:val="18"/>
                  <w:szCs w:val="18"/>
                  <w:color w:val="0000FF"/>
                </w:rPr>
                <w:t>Description of Securities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4.7</w:t>
            </w:r>
          </w:p>
        </w:tc>
        <w:tc>
          <w:tcPr>
            <w:tcW w:w="4220" w:type="dxa"/>
            <w:vAlign w:val="bottom"/>
            <w:gridSpan w:val="7"/>
          </w:tcPr>
          <w:p>
            <w:pPr>
              <w:spacing w:after="0"/>
              <w:rPr>
                <w:rFonts w:ascii="Arial" w:cs="Arial" w:eastAsia="Arial" w:hAnsi="Arial"/>
                <w:sz w:val="18"/>
                <w:szCs w:val="18"/>
                <w:color w:val="0000FF"/>
                <w:w w:val="93"/>
              </w:rPr>
            </w:pPr>
            <w:hyperlink r:id="rId343">
              <w:r>
                <w:rPr>
                  <w:rFonts w:ascii="Arial" w:cs="Arial" w:eastAsia="Arial" w:hAnsi="Arial"/>
                  <w:sz w:val="18"/>
                  <w:szCs w:val="18"/>
                  <w:color w:val="0000FF"/>
                  <w:w w:val="93"/>
                </w:rPr>
                <w:t>Registration Rights Agreement, dated March 1, 2021, by</w:t>
              </w:r>
            </w:hyperlink>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4140" w:type="dxa"/>
            <w:vAlign w:val="bottom"/>
            <w:tcBorders>
              <w:top w:val="single" w:sz="8" w:color="0000FF"/>
            </w:tcBorders>
            <w:gridSpan w:val="6"/>
          </w:tcPr>
          <w:p>
            <w:pPr>
              <w:spacing w:after="0" w:line="142" w:lineRule="exact"/>
              <w:rPr>
                <w:rFonts w:ascii="Arial" w:cs="Arial" w:eastAsia="Arial" w:hAnsi="Arial"/>
                <w:sz w:val="16"/>
                <w:szCs w:val="16"/>
                <w:color w:val="0000FF"/>
                <w:w w:val="99"/>
              </w:rPr>
            </w:pPr>
            <w:hyperlink r:id="rId343">
              <w:r>
                <w:rPr>
                  <w:rFonts w:ascii="Arial" w:cs="Arial" w:eastAsia="Arial" w:hAnsi="Arial"/>
                  <w:sz w:val="16"/>
                  <w:szCs w:val="16"/>
                  <w:color w:val="0000FF"/>
                  <w:w w:val="99"/>
                </w:rPr>
                <w:t>and among the registrant and the investors named therein</w:t>
              </w:r>
            </w:hyperlink>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10-Q</w:t>
            </w:r>
          </w:p>
        </w:tc>
        <w:tc>
          <w:tcPr>
            <w:tcW w:w="1700" w:type="dxa"/>
            <w:vAlign w:val="bottom"/>
          </w:tcPr>
          <w:p>
            <w:pPr>
              <w:ind w:left="380"/>
              <w:spacing w:after="0"/>
              <w:rPr>
                <w:sz w:val="20"/>
                <w:szCs w:val="20"/>
                <w:color w:val="auto"/>
              </w:rPr>
            </w:pPr>
            <w:r>
              <w:rPr>
                <w:rFonts w:ascii="Arial" w:cs="Arial" w:eastAsia="Arial" w:hAnsi="Arial"/>
                <w:sz w:val="18"/>
                <w:szCs w:val="18"/>
                <w:color w:val="auto"/>
              </w:rPr>
              <w:t>001-38682</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1280" w:type="dxa"/>
            <w:vAlign w:val="bottom"/>
          </w:tcPr>
          <w:p>
            <w:pPr>
              <w:ind w:left="480"/>
              <w:spacing w:after="0"/>
              <w:rPr>
                <w:sz w:val="20"/>
                <w:szCs w:val="20"/>
                <w:color w:val="auto"/>
              </w:rPr>
            </w:pPr>
            <w:r>
              <w:rPr>
                <w:rFonts w:ascii="Arial" w:cs="Arial" w:eastAsia="Arial" w:hAnsi="Arial"/>
                <w:sz w:val="18"/>
                <w:szCs w:val="18"/>
                <w:color w:val="auto"/>
                <w:w w:val="86"/>
              </w:rPr>
              <w:t>11/16/2018</w:t>
            </w:r>
          </w:p>
        </w:tc>
      </w:tr>
      <w:tr>
        <w:trPr>
          <w:trHeight w:val="311"/>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00" w:type="dxa"/>
            <w:vAlign w:val="bottom"/>
          </w:tcPr>
          <w:p>
            <w:pPr>
              <w:ind w:left="380"/>
              <w:spacing w:after="0"/>
              <w:rPr>
                <w:sz w:val="20"/>
                <w:szCs w:val="20"/>
                <w:color w:val="auto"/>
              </w:rPr>
            </w:pPr>
            <w:r>
              <w:rPr>
                <w:rFonts w:ascii="Arial" w:cs="Arial" w:eastAsia="Arial" w:hAnsi="Arial"/>
                <w:sz w:val="18"/>
                <w:szCs w:val="18"/>
                <w:color w:val="auto"/>
              </w:rPr>
              <w:t>333-227237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1280" w:type="dxa"/>
            <w:vAlign w:val="bottom"/>
          </w:tcPr>
          <w:p>
            <w:pPr>
              <w:ind w:left="480"/>
              <w:spacing w:after="0"/>
              <w:rPr>
                <w:sz w:val="20"/>
                <w:szCs w:val="20"/>
                <w:color w:val="auto"/>
              </w:rPr>
            </w:pPr>
            <w:r>
              <w:rPr>
                <w:rFonts w:ascii="Arial" w:cs="Arial" w:eastAsia="Arial" w:hAnsi="Arial"/>
                <w:sz w:val="18"/>
                <w:szCs w:val="18"/>
                <w:color w:val="auto"/>
                <w:w w:val="97"/>
              </w:rPr>
              <w:t>9/24/2018</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00" w:type="dxa"/>
            <w:vAlign w:val="bottom"/>
          </w:tcPr>
          <w:p>
            <w:pPr>
              <w:ind w:left="380"/>
              <w:spacing w:after="0"/>
              <w:rPr>
                <w:sz w:val="20"/>
                <w:szCs w:val="20"/>
                <w:color w:val="auto"/>
              </w:rPr>
            </w:pPr>
            <w:r>
              <w:rPr>
                <w:rFonts w:ascii="Arial" w:cs="Arial" w:eastAsia="Arial" w:hAnsi="Arial"/>
                <w:sz w:val="18"/>
                <w:szCs w:val="18"/>
                <w:color w:val="auto"/>
              </w:rPr>
              <w:t>333-227237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1280" w:type="dxa"/>
            <w:vAlign w:val="bottom"/>
          </w:tcPr>
          <w:p>
            <w:pPr>
              <w:ind w:left="480"/>
              <w:spacing w:after="0"/>
              <w:rPr>
                <w:sz w:val="20"/>
                <w:szCs w:val="20"/>
                <w:color w:val="auto"/>
              </w:rPr>
            </w:pPr>
            <w:r>
              <w:rPr>
                <w:rFonts w:ascii="Arial" w:cs="Arial" w:eastAsia="Arial" w:hAnsi="Arial"/>
                <w:sz w:val="18"/>
                <w:szCs w:val="18"/>
                <w:color w:val="auto"/>
                <w:w w:val="97"/>
              </w:rPr>
              <w:t>9/24/2018</w:t>
            </w:r>
          </w:p>
        </w:tc>
      </w:tr>
      <w:tr>
        <w:trPr>
          <w:trHeight w:val="662"/>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00" w:type="dxa"/>
            <w:vAlign w:val="bottom"/>
          </w:tcPr>
          <w:p>
            <w:pPr>
              <w:ind w:left="380"/>
              <w:spacing w:after="0"/>
              <w:rPr>
                <w:sz w:val="20"/>
                <w:szCs w:val="20"/>
                <w:color w:val="auto"/>
              </w:rPr>
            </w:pPr>
            <w:r>
              <w:rPr>
                <w:rFonts w:ascii="Arial" w:cs="Arial" w:eastAsia="Arial" w:hAnsi="Arial"/>
                <w:sz w:val="18"/>
                <w:szCs w:val="18"/>
                <w:color w:val="auto"/>
              </w:rPr>
              <w:t>333-227237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4.5</w:t>
            </w:r>
          </w:p>
        </w:tc>
        <w:tc>
          <w:tcPr>
            <w:tcW w:w="1280" w:type="dxa"/>
            <w:vAlign w:val="bottom"/>
          </w:tcPr>
          <w:p>
            <w:pPr>
              <w:ind w:left="480"/>
              <w:spacing w:after="0"/>
              <w:rPr>
                <w:sz w:val="20"/>
                <w:szCs w:val="20"/>
                <w:color w:val="auto"/>
              </w:rPr>
            </w:pPr>
            <w:r>
              <w:rPr>
                <w:rFonts w:ascii="Arial" w:cs="Arial" w:eastAsia="Arial" w:hAnsi="Arial"/>
                <w:sz w:val="18"/>
                <w:szCs w:val="18"/>
                <w:color w:val="auto"/>
              </w:rPr>
              <w:t>9/7/2018</w:t>
            </w:r>
          </w:p>
        </w:tc>
      </w:tr>
      <w:tr>
        <w:trPr>
          <w:trHeight w:val="311"/>
        </w:trPr>
        <w:tc>
          <w:tcPr>
            <w:tcW w:w="820" w:type="dxa"/>
            <w:vAlign w:val="bottom"/>
          </w:tcPr>
          <w:p>
            <w:pPr>
              <w:spacing w:after="0"/>
              <w:rPr>
                <w:sz w:val="20"/>
                <w:szCs w:val="20"/>
                <w:color w:val="auto"/>
              </w:rPr>
            </w:pPr>
            <w:r>
              <w:rPr>
                <w:rFonts w:ascii="Arial" w:cs="Arial" w:eastAsia="Arial" w:hAnsi="Arial"/>
                <w:sz w:val="18"/>
                <w:szCs w:val="18"/>
                <w:color w:val="auto"/>
              </w:rPr>
              <w:t>10-K</w:t>
            </w:r>
          </w:p>
        </w:tc>
        <w:tc>
          <w:tcPr>
            <w:tcW w:w="1700" w:type="dxa"/>
            <w:vAlign w:val="bottom"/>
          </w:tcPr>
          <w:p>
            <w:pPr>
              <w:ind w:left="380"/>
              <w:spacing w:after="0"/>
              <w:rPr>
                <w:sz w:val="20"/>
                <w:szCs w:val="20"/>
                <w:color w:val="auto"/>
              </w:rPr>
            </w:pPr>
            <w:r>
              <w:rPr>
                <w:rFonts w:ascii="Arial" w:cs="Arial" w:eastAsia="Arial" w:hAnsi="Arial"/>
                <w:sz w:val="18"/>
                <w:szCs w:val="18"/>
                <w:color w:val="auto"/>
              </w:rPr>
              <w:t>001-38682</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4.6</w:t>
            </w:r>
          </w:p>
        </w:tc>
        <w:tc>
          <w:tcPr>
            <w:tcW w:w="1280" w:type="dxa"/>
            <w:vAlign w:val="bottom"/>
          </w:tcPr>
          <w:p>
            <w:pPr>
              <w:ind w:left="480"/>
              <w:spacing w:after="0"/>
              <w:rPr>
                <w:sz w:val="20"/>
                <w:szCs w:val="20"/>
                <w:color w:val="auto"/>
              </w:rPr>
            </w:pPr>
            <w:r>
              <w:rPr>
                <w:rFonts w:ascii="Arial" w:cs="Arial" w:eastAsia="Arial" w:hAnsi="Arial"/>
                <w:sz w:val="18"/>
                <w:szCs w:val="18"/>
                <w:color w:val="auto"/>
                <w:w w:val="97"/>
              </w:rPr>
              <w:t>3/16/2020</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10-K</w:t>
            </w:r>
          </w:p>
        </w:tc>
        <w:tc>
          <w:tcPr>
            <w:tcW w:w="1700" w:type="dxa"/>
            <w:vAlign w:val="bottom"/>
          </w:tcPr>
          <w:p>
            <w:pPr>
              <w:ind w:left="380"/>
              <w:spacing w:after="0"/>
              <w:rPr>
                <w:sz w:val="20"/>
                <w:szCs w:val="20"/>
                <w:color w:val="auto"/>
              </w:rPr>
            </w:pPr>
            <w:r>
              <w:rPr>
                <w:rFonts w:ascii="Arial" w:cs="Arial" w:eastAsia="Arial" w:hAnsi="Arial"/>
                <w:sz w:val="18"/>
                <w:szCs w:val="18"/>
                <w:color w:val="auto"/>
              </w:rPr>
              <w:t>001-38682</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4.7</w:t>
            </w:r>
          </w:p>
        </w:tc>
        <w:tc>
          <w:tcPr>
            <w:tcW w:w="1280" w:type="dxa"/>
            <w:vAlign w:val="bottom"/>
          </w:tcPr>
          <w:p>
            <w:pPr>
              <w:ind w:left="480"/>
              <w:spacing w:after="0"/>
              <w:rPr>
                <w:sz w:val="20"/>
                <w:szCs w:val="20"/>
                <w:color w:val="auto"/>
              </w:rPr>
            </w:pPr>
            <w:r>
              <w:rPr>
                <w:rFonts w:ascii="Arial" w:cs="Arial" w:eastAsia="Arial" w:hAnsi="Arial"/>
                <w:sz w:val="18"/>
                <w:szCs w:val="18"/>
                <w:color w:val="auto"/>
              </w:rPr>
              <w:t>3/1/2021</w:t>
            </w:r>
          </w:p>
        </w:tc>
      </w:tr>
    </w:tbl>
    <w:p>
      <w:pPr>
        <w:spacing w:after="0" w:line="198" w:lineRule="exact"/>
        <w:rPr>
          <w:sz w:val="20"/>
          <w:szCs w:val="20"/>
          <w:color w:val="auto"/>
        </w:rPr>
      </w:pPr>
    </w:p>
    <w:p>
      <w:pPr>
        <w:sectPr>
          <w:pgSz w:w="11900" w:h="16838" w:orient="portrait"/>
          <w:cols w:equalWidth="0" w:num="2">
            <w:col w:w="5480" w:space="220"/>
            <w:col w:w="5540"/>
          </w:cols>
          <w:pgMar w:left="320" w:top="310" w:right="3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3"/>
              </w:rPr>
              <w:t>10.1+</w:t>
            </w:r>
          </w:p>
        </w:tc>
        <w:tc>
          <w:tcPr>
            <w:tcW w:w="4140" w:type="dxa"/>
            <w:vAlign w:val="bottom"/>
            <w:gridSpan w:val="8"/>
          </w:tcPr>
          <w:p>
            <w:pPr>
              <w:spacing w:after="0"/>
              <w:rPr>
                <w:rFonts w:ascii="Arial" w:cs="Arial" w:eastAsia="Arial" w:hAnsi="Arial"/>
                <w:sz w:val="18"/>
                <w:szCs w:val="18"/>
                <w:color w:val="0000FF"/>
                <w:w w:val="93"/>
              </w:rPr>
            </w:pPr>
            <w:hyperlink r:id="rId344">
              <w:r>
                <w:rPr>
                  <w:rFonts w:ascii="Arial" w:cs="Arial" w:eastAsia="Arial" w:hAnsi="Arial"/>
                  <w:sz w:val="18"/>
                  <w:szCs w:val="18"/>
                  <w:color w:val="0000FF"/>
                  <w:w w:val="93"/>
                </w:rPr>
                <w:t>Form of Director and Officer Indemnification Agreement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3"/>
              </w:rPr>
              <w:t>10.2+</w:t>
            </w:r>
          </w:p>
        </w:tc>
        <w:tc>
          <w:tcPr>
            <w:tcW w:w="380" w:type="dxa"/>
            <w:vAlign w:val="bottom"/>
            <w:gridSpan w:val="2"/>
          </w:tcPr>
          <w:p>
            <w:pPr>
              <w:spacing w:after="0"/>
              <w:rPr>
                <w:rFonts w:ascii="Arial" w:cs="Arial" w:eastAsia="Arial" w:hAnsi="Arial"/>
                <w:sz w:val="18"/>
                <w:szCs w:val="18"/>
                <w:color w:val="0000FF"/>
                <w:w w:val="89"/>
              </w:rPr>
            </w:pPr>
            <w:hyperlink r:id="rId345">
              <w:r>
                <w:rPr>
                  <w:rFonts w:ascii="Arial" w:cs="Arial" w:eastAsia="Arial" w:hAnsi="Arial"/>
                  <w:sz w:val="18"/>
                  <w:szCs w:val="18"/>
                  <w:color w:val="0000FF"/>
                  <w:w w:val="89"/>
                </w:rPr>
                <w:t>2009</w:t>
              </w:r>
            </w:hyperlink>
          </w:p>
        </w:tc>
        <w:tc>
          <w:tcPr>
            <w:tcW w:w="3760" w:type="dxa"/>
            <w:vAlign w:val="bottom"/>
            <w:gridSpan w:val="6"/>
          </w:tcPr>
          <w:p>
            <w:pPr>
              <w:ind w:left="20"/>
              <w:spacing w:after="0"/>
              <w:rPr>
                <w:rFonts w:ascii="Arial" w:cs="Arial" w:eastAsia="Arial" w:hAnsi="Arial"/>
                <w:sz w:val="18"/>
                <w:szCs w:val="18"/>
                <w:color w:val="0000FF"/>
              </w:rPr>
            </w:pPr>
            <w:hyperlink r:id="rId345">
              <w:r>
                <w:rPr>
                  <w:rFonts w:ascii="Arial" w:cs="Arial" w:eastAsia="Arial" w:hAnsi="Arial"/>
                  <w:sz w:val="18"/>
                  <w:szCs w:val="18"/>
                  <w:color w:val="0000FF"/>
                </w:rPr>
                <w:t>Options and Profits Interest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3"/>
              </w:rPr>
              <w:t>10.3+</w:t>
            </w:r>
          </w:p>
        </w:tc>
        <w:tc>
          <w:tcPr>
            <w:tcW w:w="380" w:type="dxa"/>
            <w:vAlign w:val="bottom"/>
            <w:gridSpan w:val="2"/>
          </w:tcPr>
          <w:p>
            <w:pPr>
              <w:spacing w:after="0"/>
              <w:rPr>
                <w:rFonts w:ascii="Arial" w:cs="Arial" w:eastAsia="Arial" w:hAnsi="Arial"/>
                <w:sz w:val="18"/>
                <w:szCs w:val="18"/>
                <w:color w:val="0000FF"/>
                <w:w w:val="89"/>
              </w:rPr>
            </w:pPr>
            <w:hyperlink r:id="rId346">
              <w:r>
                <w:rPr>
                  <w:rFonts w:ascii="Arial" w:cs="Arial" w:eastAsia="Arial" w:hAnsi="Arial"/>
                  <w:sz w:val="18"/>
                  <w:szCs w:val="18"/>
                  <w:color w:val="0000FF"/>
                  <w:w w:val="89"/>
                </w:rPr>
                <w:t>2015</w:t>
              </w:r>
            </w:hyperlink>
          </w:p>
        </w:tc>
        <w:tc>
          <w:tcPr>
            <w:tcW w:w="3760" w:type="dxa"/>
            <w:vAlign w:val="bottom"/>
            <w:gridSpan w:val="6"/>
          </w:tcPr>
          <w:p>
            <w:pPr>
              <w:ind w:left="20"/>
              <w:spacing w:after="0"/>
              <w:rPr>
                <w:rFonts w:ascii="Arial" w:cs="Arial" w:eastAsia="Arial" w:hAnsi="Arial"/>
                <w:sz w:val="18"/>
                <w:szCs w:val="18"/>
                <w:color w:val="0000FF"/>
              </w:rPr>
            </w:pPr>
            <w:hyperlink r:id="rId346">
              <w:r>
                <w:rPr>
                  <w:rFonts w:ascii="Arial" w:cs="Arial" w:eastAsia="Arial" w:hAnsi="Arial"/>
                  <w:sz w:val="18"/>
                  <w:szCs w:val="18"/>
                  <w:color w:val="0000FF"/>
                </w:rPr>
                <w:t>Share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3"/>
              </w:rPr>
              <w:t>10.4+</w:t>
            </w:r>
          </w:p>
        </w:tc>
        <w:tc>
          <w:tcPr>
            <w:tcW w:w="4140" w:type="dxa"/>
            <w:vAlign w:val="bottom"/>
            <w:gridSpan w:val="8"/>
          </w:tcPr>
          <w:p>
            <w:pPr>
              <w:spacing w:after="0"/>
              <w:rPr>
                <w:rFonts w:ascii="Arial" w:cs="Arial" w:eastAsia="Arial" w:hAnsi="Arial"/>
                <w:sz w:val="18"/>
                <w:szCs w:val="18"/>
                <w:color w:val="0000FF"/>
                <w:w w:val="93"/>
              </w:rPr>
            </w:pPr>
            <w:hyperlink r:id="rId347">
              <w:r>
                <w:rPr>
                  <w:rFonts w:ascii="Arial" w:cs="Arial" w:eastAsia="Arial" w:hAnsi="Arial"/>
                  <w:sz w:val="18"/>
                  <w:szCs w:val="18"/>
                  <w:color w:val="0000FF"/>
                  <w:w w:val="93"/>
                </w:rPr>
                <w:t>Form of Notice of Stock Option Grant and Stock Option</w:t>
              </w:r>
            </w:hyperlink>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412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347">
              <w:r>
                <w:rPr>
                  <w:rFonts w:ascii="Arial" w:cs="Arial" w:eastAsia="Arial" w:hAnsi="Arial"/>
                  <w:sz w:val="16"/>
                  <w:szCs w:val="16"/>
                  <w:color w:val="0000FF"/>
                </w:rPr>
                <w:t>Agreement under the 2009 Option and Profits Interest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8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347">
              <w:r>
                <w:rPr>
                  <w:rFonts w:ascii="Arial" w:cs="Arial" w:eastAsia="Arial" w:hAnsi="Arial"/>
                  <w:sz w:val="16"/>
                  <w:szCs w:val="16"/>
                  <w:color w:val="0000FF"/>
                </w:rPr>
                <w:t>Plan</w:t>
              </w:r>
            </w:hyperlink>
          </w:p>
        </w:tc>
        <w:tc>
          <w:tcPr>
            <w:tcW w:w="154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jc w:val="right"/>
              <w:ind w:right="650"/>
              <w:spacing w:after="0"/>
              <w:rPr>
                <w:sz w:val="20"/>
                <w:szCs w:val="20"/>
                <w:color w:val="auto"/>
              </w:rPr>
            </w:pPr>
            <w:r>
              <w:rPr>
                <w:rFonts w:ascii="Arial" w:cs="Arial" w:eastAsia="Arial" w:hAnsi="Arial"/>
                <w:sz w:val="18"/>
                <w:szCs w:val="18"/>
                <w:color w:val="auto"/>
                <w:w w:val="83"/>
              </w:rPr>
              <w:t>10.5+</w:t>
            </w:r>
          </w:p>
        </w:tc>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vMerge w:val="continue"/>
          </w:tcPr>
          <w:p>
            <w:pPr>
              <w:spacing w:after="0"/>
              <w:rPr>
                <w:sz w:val="24"/>
                <w:szCs w:val="24"/>
                <w:color w:val="auto"/>
              </w:rPr>
            </w:pPr>
          </w:p>
        </w:tc>
        <w:tc>
          <w:tcPr>
            <w:tcW w:w="4140" w:type="dxa"/>
            <w:vAlign w:val="bottom"/>
            <w:gridSpan w:val="8"/>
          </w:tcPr>
          <w:p>
            <w:pPr>
              <w:spacing w:after="0"/>
              <w:rPr>
                <w:rFonts w:ascii="Arial" w:cs="Arial" w:eastAsia="Arial" w:hAnsi="Arial"/>
                <w:sz w:val="18"/>
                <w:szCs w:val="18"/>
                <w:color w:val="0000FF"/>
                <w:w w:val="93"/>
              </w:rPr>
            </w:pPr>
            <w:hyperlink r:id="rId348">
              <w:r>
                <w:rPr>
                  <w:rFonts w:ascii="Arial" w:cs="Arial" w:eastAsia="Arial" w:hAnsi="Arial"/>
                  <w:sz w:val="18"/>
                  <w:szCs w:val="18"/>
                  <w:color w:val="0000FF"/>
                  <w:w w:val="93"/>
                </w:rPr>
                <w:t>Form of Notice of Stock Option Grant and Stock Option</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1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348">
              <w:r>
                <w:rPr>
                  <w:rFonts w:ascii="Arial" w:cs="Arial" w:eastAsia="Arial" w:hAnsi="Arial"/>
                  <w:sz w:val="18"/>
                  <w:szCs w:val="18"/>
                  <w:color w:val="0000FF"/>
                </w:rPr>
                <w:t>Agreement under the 2015 Share Incentive Plan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1160" w:type="dxa"/>
            <w:vAlign w:val="bottom"/>
          </w:tcPr>
          <w:p>
            <w:pPr>
              <w:ind w:left="440"/>
              <w:spacing w:after="0"/>
              <w:rPr>
                <w:sz w:val="20"/>
                <w:szCs w:val="20"/>
                <w:color w:val="auto"/>
              </w:rPr>
            </w:pPr>
            <w:r>
              <w:rPr>
                <w:rFonts w:ascii="Arial" w:cs="Arial" w:eastAsia="Arial" w:hAnsi="Arial"/>
                <w:sz w:val="18"/>
                <w:szCs w:val="18"/>
                <w:color w:val="auto"/>
                <w:w w:val="87"/>
              </w:rPr>
              <w:t>9/24/2018</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10.2</w:t>
            </w:r>
          </w:p>
        </w:tc>
        <w:tc>
          <w:tcPr>
            <w:tcW w:w="1160" w:type="dxa"/>
            <w:vAlign w:val="bottom"/>
          </w:tcPr>
          <w:p>
            <w:pPr>
              <w:ind w:left="440"/>
              <w:spacing w:after="0"/>
              <w:rPr>
                <w:sz w:val="20"/>
                <w:szCs w:val="20"/>
                <w:color w:val="auto"/>
              </w:rPr>
            </w:pPr>
            <w:r>
              <w:rPr>
                <w:rFonts w:ascii="Arial" w:cs="Arial" w:eastAsia="Arial" w:hAnsi="Arial"/>
                <w:sz w:val="18"/>
                <w:szCs w:val="18"/>
                <w:color w:val="auto"/>
                <w:w w:val="99"/>
              </w:rPr>
              <w:t>9/7/2018</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10.3</w:t>
            </w:r>
          </w:p>
        </w:tc>
        <w:tc>
          <w:tcPr>
            <w:tcW w:w="1160" w:type="dxa"/>
            <w:vAlign w:val="bottom"/>
          </w:tcPr>
          <w:p>
            <w:pPr>
              <w:ind w:left="440"/>
              <w:spacing w:after="0"/>
              <w:rPr>
                <w:sz w:val="20"/>
                <w:szCs w:val="20"/>
                <w:color w:val="auto"/>
              </w:rPr>
            </w:pPr>
            <w:r>
              <w:rPr>
                <w:rFonts w:ascii="Arial" w:cs="Arial" w:eastAsia="Arial" w:hAnsi="Arial"/>
                <w:sz w:val="18"/>
                <w:szCs w:val="18"/>
                <w:color w:val="auto"/>
                <w:w w:val="99"/>
              </w:rPr>
              <w:t>9/7/2018</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1160" w:type="dxa"/>
            <w:vAlign w:val="bottom"/>
          </w:tcPr>
          <w:p>
            <w:pPr>
              <w:ind w:left="440"/>
              <w:spacing w:after="0"/>
              <w:rPr>
                <w:sz w:val="20"/>
                <w:szCs w:val="20"/>
                <w:color w:val="auto"/>
              </w:rPr>
            </w:pPr>
            <w:r>
              <w:rPr>
                <w:rFonts w:ascii="Arial" w:cs="Arial" w:eastAsia="Arial" w:hAnsi="Arial"/>
                <w:sz w:val="18"/>
                <w:szCs w:val="18"/>
                <w:color w:val="auto"/>
                <w:w w:val="99"/>
              </w:rPr>
              <w:t>9/7/2018</w:t>
            </w:r>
          </w:p>
        </w:tc>
      </w:tr>
      <w:tr>
        <w:trPr>
          <w:trHeight w:val="621"/>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10.5</w:t>
            </w:r>
          </w:p>
        </w:tc>
        <w:tc>
          <w:tcPr>
            <w:tcW w:w="1160" w:type="dxa"/>
            <w:vAlign w:val="bottom"/>
          </w:tcPr>
          <w:p>
            <w:pPr>
              <w:ind w:left="440"/>
              <w:spacing w:after="0"/>
              <w:rPr>
                <w:sz w:val="20"/>
                <w:szCs w:val="20"/>
                <w:color w:val="auto"/>
              </w:rPr>
            </w:pPr>
            <w:r>
              <w:rPr>
                <w:rFonts w:ascii="Arial" w:cs="Arial" w:eastAsia="Arial" w:hAnsi="Arial"/>
                <w:sz w:val="18"/>
                <w:szCs w:val="18"/>
                <w:color w:val="auto"/>
                <w:w w:val="99"/>
              </w:rPr>
              <w:t>9/7/2018</w:t>
            </w:r>
          </w:p>
        </w:tc>
      </w:tr>
    </w:tbl>
    <w:p>
      <w:pPr>
        <w:spacing w:after="0" w:line="205" w:lineRule="exact"/>
        <w:rPr>
          <w:sz w:val="20"/>
          <w:szCs w:val="20"/>
          <w:color w:val="auto"/>
        </w:rPr>
      </w:pPr>
    </w:p>
    <w:p>
      <w:pPr>
        <w:sectPr>
          <w:pgSz w:w="11900" w:h="16838" w:orient="portrait"/>
          <w:cols w:equalWidth="0" w:num="2">
            <w:col w:w="5400" w:space="300"/>
            <w:col w:w="5540"/>
          </w:cols>
          <w:pgMar w:left="320" w:top="310"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280" w:type="dxa"/>
            <w:vAlign w:val="bottom"/>
          </w:tcPr>
          <w:p>
            <w:pPr>
              <w:jc w:val="right"/>
              <w:ind w:right="67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rFonts w:ascii="Arial" w:cs="Arial" w:eastAsia="Arial" w:hAnsi="Arial"/>
                <w:sz w:val="18"/>
                <w:szCs w:val="18"/>
                <w:color w:val="0000FF"/>
                <w:w w:val="84"/>
              </w:rPr>
            </w:pPr>
            <w:hyperlink r:id="rId349">
              <w:r>
                <w:rPr>
                  <w:rFonts w:ascii="Arial" w:cs="Arial" w:eastAsia="Arial" w:hAnsi="Arial"/>
                  <w:sz w:val="18"/>
                  <w:szCs w:val="18"/>
                  <w:color w:val="0000FF"/>
                  <w:w w:val="84"/>
                </w:rPr>
                <w:t>2018</w:t>
              </w:r>
            </w:hyperlink>
          </w:p>
        </w:tc>
        <w:tc>
          <w:tcPr>
            <w:tcW w:w="3820" w:type="dxa"/>
            <w:vAlign w:val="bottom"/>
            <w:gridSpan w:val="7"/>
          </w:tcPr>
          <w:p>
            <w:pPr>
              <w:ind w:left="20"/>
              <w:spacing w:after="0"/>
              <w:rPr>
                <w:rFonts w:ascii="Arial" w:cs="Arial" w:eastAsia="Arial" w:hAnsi="Arial"/>
                <w:sz w:val="18"/>
                <w:szCs w:val="18"/>
                <w:color w:val="0000FF"/>
              </w:rPr>
            </w:pPr>
            <w:hyperlink r:id="rId349">
              <w:r>
                <w:rPr>
                  <w:rFonts w:ascii="Arial" w:cs="Arial" w:eastAsia="Arial" w:hAnsi="Arial"/>
                  <w:sz w:val="18"/>
                  <w:szCs w:val="18"/>
                  <w:color w:val="0000FF"/>
                </w:rPr>
                <w:t>Equity Incentive Plan</w:t>
              </w:r>
            </w:hyperlink>
          </w:p>
        </w:tc>
        <w:tc>
          <w:tcPr>
            <w:tcW w:w="1060" w:type="dxa"/>
            <w:vAlign w:val="bottom"/>
          </w:tcPr>
          <w:p>
            <w:pPr>
              <w:ind w:left="240"/>
              <w:spacing w:after="0"/>
              <w:rPr>
                <w:sz w:val="20"/>
                <w:szCs w:val="20"/>
                <w:color w:val="auto"/>
              </w:rPr>
            </w:pPr>
            <w:r>
              <w:rPr>
                <w:rFonts w:ascii="Arial" w:cs="Arial" w:eastAsia="Arial" w:hAnsi="Arial"/>
                <w:sz w:val="18"/>
                <w:szCs w:val="18"/>
                <w:color w:val="auto"/>
              </w:rPr>
              <w:t>S-1/A</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10.6</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9/24/2018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jc w:val="right"/>
              <w:ind w:right="670"/>
              <w:spacing w:after="0"/>
              <w:rPr>
                <w:sz w:val="20"/>
                <w:szCs w:val="20"/>
                <w:color w:val="auto"/>
              </w:rPr>
            </w:pPr>
            <w:r>
              <w:rPr>
                <w:rFonts w:ascii="Arial" w:cs="Arial" w:eastAsia="Arial" w:hAnsi="Arial"/>
                <w:sz w:val="18"/>
                <w:szCs w:val="18"/>
                <w:color w:val="auto"/>
              </w:rPr>
              <w:t>10.7+</w:t>
            </w:r>
          </w:p>
        </w:tc>
        <w:tc>
          <w:tcPr>
            <w:tcW w:w="4180" w:type="dxa"/>
            <w:vAlign w:val="bottom"/>
            <w:gridSpan w:val="8"/>
          </w:tcPr>
          <w:p>
            <w:pPr>
              <w:spacing w:after="0"/>
              <w:rPr>
                <w:rFonts w:ascii="Arial" w:cs="Arial" w:eastAsia="Arial" w:hAnsi="Arial"/>
                <w:sz w:val="18"/>
                <w:szCs w:val="18"/>
                <w:color w:val="0000FF"/>
                <w:w w:val="94"/>
              </w:rPr>
            </w:pPr>
            <w:hyperlink r:id="rId350">
              <w:r>
                <w:rPr>
                  <w:rFonts w:ascii="Arial" w:cs="Arial" w:eastAsia="Arial" w:hAnsi="Arial"/>
                  <w:sz w:val="18"/>
                  <w:szCs w:val="18"/>
                  <w:color w:val="0000FF"/>
                  <w:w w:val="94"/>
                </w:rPr>
                <w:t>Form of Notice of Stock Option Grant and Stock Option</w:t>
              </w:r>
            </w:hyperlink>
          </w:p>
        </w:tc>
        <w:tc>
          <w:tcPr>
            <w:tcW w:w="1060" w:type="dxa"/>
            <w:vAlign w:val="bottom"/>
          </w:tcPr>
          <w:p>
            <w:pPr>
              <w:ind w:left="240"/>
              <w:spacing w:after="0"/>
              <w:rPr>
                <w:sz w:val="20"/>
                <w:szCs w:val="20"/>
                <w:color w:val="auto"/>
              </w:rPr>
            </w:pPr>
            <w:r>
              <w:rPr>
                <w:rFonts w:ascii="Arial" w:cs="Arial" w:eastAsia="Arial" w:hAnsi="Arial"/>
                <w:sz w:val="18"/>
                <w:szCs w:val="18"/>
                <w:color w:val="auto"/>
              </w:rPr>
              <w:t>S-1/A</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10.7</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9/24/2018</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35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350">
              <w:r>
                <w:rPr>
                  <w:rFonts w:ascii="Arial" w:cs="Arial" w:eastAsia="Arial" w:hAnsi="Arial"/>
                  <w:sz w:val="16"/>
                  <w:szCs w:val="16"/>
                  <w:color w:val="0000FF"/>
                </w:rPr>
                <w:t>Agreement under the 2018 Equity Incentive Plan</w:t>
              </w:r>
            </w:hyperlink>
          </w:p>
        </w:tc>
        <w:tc>
          <w:tcPr>
            <w:tcW w:w="20" w:type="dxa"/>
            <w:vAlign w:val="bottom"/>
            <w:tcBorders>
              <w:top w:val="single" w:sz="8" w:color="0000FF"/>
              <w:bottom w:val="single" w:sz="8" w:color="0000EE"/>
            </w:tcBorders>
          </w:tcPr>
          <w:p>
            <w:pPr>
              <w:spacing w:after="0"/>
              <w:rPr>
                <w:sz w:val="12"/>
                <w:szCs w:val="12"/>
                <w:color w:val="auto"/>
              </w:rPr>
            </w:pPr>
          </w:p>
        </w:tc>
        <w:tc>
          <w:tcPr>
            <w:tcW w:w="560" w:type="dxa"/>
            <w:vAlign w:val="bottom"/>
            <w:tcBorders>
              <w:top w:val="single" w:sz="8" w:color="0000FF"/>
            </w:tcBorders>
            <w:gridSpan w:val="2"/>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right"/>
              <w:ind w:right="670"/>
              <w:spacing w:after="0"/>
              <w:rPr>
                <w:sz w:val="20"/>
                <w:szCs w:val="20"/>
                <w:color w:val="auto"/>
              </w:rPr>
            </w:pPr>
            <w:r>
              <w:rPr>
                <w:rFonts w:ascii="Arial" w:cs="Arial" w:eastAsia="Arial" w:hAnsi="Arial"/>
                <w:sz w:val="18"/>
                <w:szCs w:val="18"/>
                <w:color w:val="auto"/>
              </w:rPr>
              <w:t>10.8+</w:t>
            </w:r>
          </w:p>
        </w:tc>
        <w:tc>
          <w:tcPr>
            <w:tcW w:w="4180" w:type="dxa"/>
            <w:vAlign w:val="bottom"/>
            <w:gridSpan w:val="8"/>
          </w:tcPr>
          <w:p>
            <w:pPr>
              <w:spacing w:after="0"/>
              <w:rPr>
                <w:rFonts w:ascii="Arial" w:cs="Arial" w:eastAsia="Arial" w:hAnsi="Arial"/>
                <w:sz w:val="18"/>
                <w:szCs w:val="18"/>
                <w:color w:val="0000FF"/>
                <w:w w:val="91"/>
              </w:rPr>
            </w:pPr>
            <w:hyperlink r:id="rId351">
              <w:r>
                <w:rPr>
                  <w:rFonts w:ascii="Arial" w:cs="Arial" w:eastAsia="Arial" w:hAnsi="Arial"/>
                  <w:sz w:val="18"/>
                  <w:szCs w:val="18"/>
                  <w:color w:val="0000FF"/>
                  <w:w w:val="91"/>
                </w:rPr>
                <w:t>Form of Notice of Restricted Stock Unit Grant and Terms</w:t>
              </w:r>
            </w:hyperlink>
          </w:p>
        </w:tc>
        <w:tc>
          <w:tcPr>
            <w:tcW w:w="1060" w:type="dxa"/>
            <w:vAlign w:val="bottom"/>
          </w:tcPr>
          <w:p>
            <w:pPr>
              <w:ind w:left="240"/>
              <w:spacing w:after="0"/>
              <w:rPr>
                <w:sz w:val="20"/>
                <w:szCs w:val="20"/>
                <w:color w:val="auto"/>
              </w:rPr>
            </w:pPr>
            <w:r>
              <w:rPr>
                <w:rFonts w:ascii="Arial" w:cs="Arial" w:eastAsia="Arial" w:hAnsi="Arial"/>
                <w:sz w:val="18"/>
                <w:szCs w:val="18"/>
                <w:color w:val="auto"/>
              </w:rPr>
              <w:t>S-1/A</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10.8</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9/24/2018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80" w:type="dxa"/>
            <w:vAlign w:val="bottom"/>
          </w:tcPr>
          <w:p>
            <w:pPr>
              <w:spacing w:after="0"/>
              <w:rPr>
                <w:sz w:val="12"/>
                <w:szCs w:val="12"/>
                <w:color w:val="auto"/>
              </w:rPr>
            </w:pPr>
          </w:p>
        </w:tc>
        <w:tc>
          <w:tcPr>
            <w:tcW w:w="4180" w:type="dxa"/>
            <w:vAlign w:val="bottom"/>
            <w:gridSpan w:val="8"/>
          </w:tcPr>
          <w:p>
            <w:pPr>
              <w:spacing w:after="0" w:line="142" w:lineRule="exact"/>
              <w:rPr>
                <w:rFonts w:ascii="Arial" w:cs="Arial" w:eastAsia="Arial" w:hAnsi="Arial"/>
                <w:sz w:val="16"/>
                <w:szCs w:val="16"/>
                <w:color w:val="0000FF"/>
              </w:rPr>
            </w:pPr>
            <w:hyperlink r:id="rId351">
              <w:r>
                <w:rPr>
                  <w:rFonts w:ascii="Arial" w:cs="Arial" w:eastAsia="Arial" w:hAnsi="Arial"/>
                  <w:sz w:val="16"/>
                  <w:szCs w:val="16"/>
                  <w:color w:val="0000FF"/>
                </w:rPr>
                <w:t>and Conditions of Restricted Stock Unit Grant under the</w:t>
              </w:r>
            </w:hyperlink>
          </w:p>
        </w:tc>
        <w:tc>
          <w:tcPr>
            <w:tcW w:w="1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80" w:type="dxa"/>
            <w:vAlign w:val="bottom"/>
          </w:tcPr>
          <w:p>
            <w:pPr>
              <w:spacing w:after="0"/>
              <w:rPr>
                <w:sz w:val="12"/>
                <w:szCs w:val="12"/>
                <w:color w:val="auto"/>
              </w:rPr>
            </w:pPr>
          </w:p>
        </w:tc>
        <w:tc>
          <w:tcPr>
            <w:tcW w:w="360" w:type="dxa"/>
            <w:vAlign w:val="bottom"/>
          </w:tcPr>
          <w:p>
            <w:pPr>
              <w:spacing w:after="0" w:line="142" w:lineRule="exact"/>
              <w:rPr>
                <w:rFonts w:ascii="Arial" w:cs="Arial" w:eastAsia="Arial" w:hAnsi="Arial"/>
                <w:sz w:val="16"/>
                <w:szCs w:val="16"/>
                <w:color w:val="0000FF"/>
                <w:w w:val="95"/>
              </w:rPr>
            </w:pPr>
            <w:hyperlink r:id="rId351">
              <w:r>
                <w:rPr>
                  <w:rFonts w:ascii="Arial" w:cs="Arial" w:eastAsia="Arial" w:hAnsi="Arial"/>
                  <w:sz w:val="16"/>
                  <w:szCs w:val="16"/>
                  <w:color w:val="0000FF"/>
                  <w:w w:val="95"/>
                </w:rPr>
                <w:t>2018</w:t>
              </w:r>
            </w:hyperlink>
          </w:p>
        </w:tc>
        <w:tc>
          <w:tcPr>
            <w:tcW w:w="3720" w:type="dxa"/>
            <w:vAlign w:val="bottom"/>
            <w:gridSpan w:val="5"/>
          </w:tcPr>
          <w:p>
            <w:pPr>
              <w:ind w:left="20"/>
              <w:spacing w:after="0" w:line="142" w:lineRule="exact"/>
              <w:rPr>
                <w:rFonts w:ascii="Arial" w:cs="Arial" w:eastAsia="Arial" w:hAnsi="Arial"/>
                <w:sz w:val="16"/>
                <w:szCs w:val="16"/>
                <w:color w:val="0000FF"/>
              </w:rPr>
            </w:pPr>
            <w:hyperlink r:id="rId351">
              <w:r>
                <w:rPr>
                  <w:rFonts w:ascii="Arial" w:cs="Arial" w:eastAsia="Arial" w:hAnsi="Arial"/>
                  <w:sz w:val="16"/>
                  <w:szCs w:val="16"/>
                  <w:color w:val="0000FF"/>
                </w:rPr>
                <w:t>Equity Incentive Plan</w:t>
              </w:r>
            </w:hyperlink>
          </w:p>
        </w:tc>
        <w:tc>
          <w:tcPr>
            <w:tcW w:w="10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right"/>
              <w:ind w:right="67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rFonts w:ascii="Arial" w:cs="Arial" w:eastAsia="Arial" w:hAnsi="Arial"/>
                <w:sz w:val="18"/>
                <w:szCs w:val="18"/>
                <w:color w:val="0000FF"/>
                <w:w w:val="84"/>
              </w:rPr>
            </w:pPr>
            <w:hyperlink r:id="rId352">
              <w:r>
                <w:rPr>
                  <w:rFonts w:ascii="Arial" w:cs="Arial" w:eastAsia="Arial" w:hAnsi="Arial"/>
                  <w:sz w:val="18"/>
                  <w:szCs w:val="18"/>
                  <w:color w:val="0000FF"/>
                  <w:w w:val="84"/>
                </w:rPr>
                <w:t>2018</w:t>
              </w:r>
            </w:hyperlink>
          </w:p>
        </w:tc>
        <w:tc>
          <w:tcPr>
            <w:tcW w:w="3820" w:type="dxa"/>
            <w:vAlign w:val="bottom"/>
            <w:gridSpan w:val="7"/>
          </w:tcPr>
          <w:p>
            <w:pPr>
              <w:ind w:left="20"/>
              <w:spacing w:after="0"/>
              <w:rPr>
                <w:rFonts w:ascii="Arial" w:cs="Arial" w:eastAsia="Arial" w:hAnsi="Arial"/>
                <w:sz w:val="18"/>
                <w:szCs w:val="18"/>
                <w:color w:val="0000FF"/>
              </w:rPr>
            </w:pPr>
            <w:hyperlink r:id="rId352">
              <w:r>
                <w:rPr>
                  <w:rFonts w:ascii="Arial" w:cs="Arial" w:eastAsia="Arial" w:hAnsi="Arial"/>
                  <w:sz w:val="18"/>
                  <w:szCs w:val="18"/>
                  <w:color w:val="0000FF"/>
                </w:rPr>
                <w:t>Employee Stock Purchase Plan</w:t>
              </w:r>
            </w:hyperlink>
          </w:p>
        </w:tc>
        <w:tc>
          <w:tcPr>
            <w:tcW w:w="1060" w:type="dxa"/>
            <w:vAlign w:val="bottom"/>
          </w:tcPr>
          <w:p>
            <w:pPr>
              <w:ind w:left="240"/>
              <w:spacing w:after="0"/>
              <w:rPr>
                <w:sz w:val="20"/>
                <w:szCs w:val="20"/>
                <w:color w:val="auto"/>
              </w:rPr>
            </w:pPr>
            <w:r>
              <w:rPr>
                <w:rFonts w:ascii="Arial" w:cs="Arial" w:eastAsia="Arial" w:hAnsi="Arial"/>
                <w:sz w:val="18"/>
                <w:szCs w:val="18"/>
                <w:color w:val="auto"/>
              </w:rPr>
              <w:t>S-1/A</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10.9</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9/24/2018</w:t>
            </w:r>
          </w:p>
        </w:tc>
        <w:tc>
          <w:tcPr>
            <w:tcW w:w="0" w:type="dxa"/>
            <w:vAlign w:val="bottom"/>
          </w:tcPr>
          <w:p>
            <w:pPr>
              <w:spacing w:after="0"/>
              <w:rPr>
                <w:sz w:val="1"/>
                <w:szCs w:val="1"/>
                <w:color w:val="auto"/>
              </w:rPr>
            </w:pPr>
          </w:p>
        </w:tc>
      </w:tr>
      <w:tr>
        <w:trPr>
          <w:trHeight w:val="655"/>
        </w:trPr>
        <w:tc>
          <w:tcPr>
            <w:tcW w:w="12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111</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176"/>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3"/>
          </w:tcPr>
          <w:p>
            <w:pPr>
              <w:ind w:left="82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vMerge w:val="restart"/>
          </w:tcPr>
          <w:p>
            <w:pPr>
              <w:spacing w:after="0" w:line="20" w:lineRule="exact"/>
              <w:rPr>
                <w:sz w:val="1"/>
                <w:szCs w:val="1"/>
                <w:color w:val="auto"/>
              </w:rPr>
            </w:pPr>
          </w:p>
        </w:tc>
        <w:tc>
          <w:tcPr>
            <w:tcW w:w="424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24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8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3"/>
                <w:szCs w:val="13"/>
                <w:color w:val="auto"/>
              </w:rPr>
            </w:pPr>
          </w:p>
        </w:tc>
        <w:tc>
          <w:tcPr>
            <w:tcW w:w="1640" w:type="dxa"/>
            <w:vAlign w:val="bottom"/>
            <w:tcBorders>
              <w:bottom w:val="single" w:sz="8" w:color="auto"/>
            </w:tcBorders>
          </w:tcPr>
          <w:p>
            <w:pPr>
              <w:ind w:left="620"/>
              <w:spacing w:after="0" w:line="155" w:lineRule="exact"/>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3"/>
                <w:szCs w:val="13"/>
                <w:color w:val="auto"/>
              </w:rPr>
            </w:pPr>
          </w:p>
        </w:tc>
        <w:tc>
          <w:tcPr>
            <w:tcW w:w="108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3"/>
                <w:szCs w:val="13"/>
                <w:color w:val="auto"/>
              </w:rPr>
            </w:pPr>
          </w:p>
        </w:tc>
        <w:tc>
          <w:tcPr>
            <w:tcW w:w="150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306" w:right="339" w:bottom="1440" w:gutter="0" w:footer="0" w:header="0"/>
        </w:sectPr>
      </w:pPr>
    </w:p>
    <w:tbl>
      <w:tblPr>
        <w:tblLayout w:type="fixed"/>
        <w:tblInd w:w="120" w:type="dxa"/>
        <w:tblCellMar>
          <w:top w:w="0" w:type="dxa"/>
          <w:left w:w="0" w:type="dxa"/>
          <w:bottom w:w="0" w:type="dxa"/>
          <w:right w:w="0" w:type="dxa"/>
        </w:tblCellMar>
      </w:tblPr>
      <w:tr>
        <w:trPr>
          <w:trHeight w:val="207"/>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6"/>
              </w:rPr>
              <w:t>10.10+</w:t>
            </w:r>
          </w:p>
        </w:tc>
        <w:tc>
          <w:tcPr>
            <w:tcW w:w="3920" w:type="dxa"/>
            <w:vAlign w:val="bottom"/>
            <w:gridSpan w:val="5"/>
          </w:tcPr>
          <w:p>
            <w:pPr>
              <w:spacing w:after="0"/>
              <w:rPr>
                <w:rFonts w:ascii="Arial" w:cs="Arial" w:eastAsia="Arial" w:hAnsi="Arial"/>
                <w:sz w:val="18"/>
                <w:szCs w:val="18"/>
                <w:color w:val="0000FF"/>
              </w:rPr>
            </w:pPr>
            <w:hyperlink r:id="rId355">
              <w:r>
                <w:rPr>
                  <w:rFonts w:ascii="Arial" w:cs="Arial" w:eastAsia="Arial" w:hAnsi="Arial"/>
                  <w:sz w:val="18"/>
                  <w:szCs w:val="18"/>
                  <w:color w:val="0000FF"/>
                </w:rPr>
                <w:t>Form of Subscription Agreement under the 2018</w:t>
              </w:r>
            </w:hyperlink>
          </w:p>
        </w:tc>
      </w:tr>
      <w:tr>
        <w:trPr>
          <w:trHeight w:val="142"/>
        </w:trPr>
        <w:tc>
          <w:tcPr>
            <w:tcW w:w="1160" w:type="dxa"/>
            <w:vAlign w:val="bottom"/>
          </w:tcPr>
          <w:p>
            <w:pPr>
              <w:spacing w:after="0"/>
              <w:rPr>
                <w:sz w:val="12"/>
                <w:szCs w:val="12"/>
                <w:color w:val="auto"/>
              </w:rPr>
            </w:pPr>
          </w:p>
        </w:tc>
        <w:tc>
          <w:tcPr>
            <w:tcW w:w="354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355">
              <w:r>
                <w:rPr>
                  <w:rFonts w:ascii="Arial" w:cs="Arial" w:eastAsia="Arial" w:hAnsi="Arial"/>
                  <w:sz w:val="16"/>
                  <w:szCs w:val="16"/>
                  <w:color w:val="0000FF"/>
                </w:rPr>
                <w:t>Employee Stock Purchase Plan</w:t>
              </w:r>
            </w:hyperlink>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6"/>
              </w:rPr>
              <w:t>10.11+</w:t>
            </w:r>
          </w:p>
        </w:tc>
        <w:tc>
          <w:tcPr>
            <w:tcW w:w="3920" w:type="dxa"/>
            <w:vAlign w:val="bottom"/>
            <w:gridSpan w:val="5"/>
          </w:tcPr>
          <w:p>
            <w:pPr>
              <w:spacing w:after="0"/>
              <w:rPr>
                <w:rFonts w:ascii="Arial" w:cs="Arial" w:eastAsia="Arial" w:hAnsi="Arial"/>
                <w:sz w:val="18"/>
                <w:szCs w:val="18"/>
                <w:color w:val="0000FF"/>
                <w:w w:val="98"/>
              </w:rPr>
            </w:pPr>
            <w:hyperlink r:id="rId356">
              <w:r>
                <w:rPr>
                  <w:rFonts w:ascii="Arial" w:cs="Arial" w:eastAsia="Arial" w:hAnsi="Arial"/>
                  <w:sz w:val="18"/>
                  <w:szCs w:val="18"/>
                  <w:color w:val="0000FF"/>
                  <w:w w:val="98"/>
                </w:rPr>
                <w:t>Executive Employment Agreement, effective as of</w:t>
              </w:r>
            </w:hyperlink>
          </w:p>
        </w:tc>
      </w:tr>
      <w:tr>
        <w:trPr>
          <w:trHeight w:val="20"/>
        </w:trPr>
        <w:tc>
          <w:tcPr>
            <w:tcW w:w="116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392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356">
              <w:r>
                <w:rPr>
                  <w:rFonts w:ascii="Arial" w:cs="Arial" w:eastAsia="Arial" w:hAnsi="Arial"/>
                  <w:sz w:val="16"/>
                  <w:szCs w:val="16"/>
                  <w:color w:val="0000FF"/>
                </w:rPr>
                <w:t>September 6, 2018, between the Registrant and Victor</w:t>
              </w:r>
            </w:hyperlink>
          </w:p>
        </w:tc>
      </w:tr>
      <w:tr>
        <w:trPr>
          <w:trHeight w:val="142"/>
        </w:trPr>
        <w:tc>
          <w:tcPr>
            <w:tcW w:w="1160" w:type="dxa"/>
            <w:vAlign w:val="bottom"/>
          </w:tcPr>
          <w:p>
            <w:pPr>
              <w:spacing w:after="0"/>
              <w:rPr>
                <w:sz w:val="12"/>
                <w:szCs w:val="12"/>
                <w:color w:val="auto"/>
              </w:rPr>
            </w:pPr>
          </w:p>
        </w:tc>
        <w:tc>
          <w:tcPr>
            <w:tcW w:w="3920" w:type="dxa"/>
            <w:vAlign w:val="bottom"/>
            <w:gridSpan w:val="5"/>
          </w:tcPr>
          <w:p>
            <w:pPr>
              <w:spacing w:after="0" w:line="142" w:lineRule="exact"/>
              <w:rPr>
                <w:rFonts w:ascii="Arial" w:cs="Arial" w:eastAsia="Arial" w:hAnsi="Arial"/>
                <w:sz w:val="16"/>
                <w:szCs w:val="16"/>
                <w:color w:val="0000FF"/>
              </w:rPr>
            </w:pPr>
            <w:hyperlink r:id="rId356">
              <w:r>
                <w:rPr>
                  <w:rFonts w:ascii="Arial" w:cs="Arial" w:eastAsia="Arial" w:hAnsi="Arial"/>
                  <w:sz w:val="16"/>
                  <w:szCs w:val="16"/>
                  <w:color w:val="0000FF"/>
                </w:rPr>
                <w:t>Perlroth</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10.10</w:t>
            </w:r>
          </w:p>
        </w:tc>
        <w:tc>
          <w:tcPr>
            <w:tcW w:w="1100" w:type="dxa"/>
            <w:vAlign w:val="bottom"/>
          </w:tcPr>
          <w:p>
            <w:pPr>
              <w:jc w:val="right"/>
              <w:spacing w:after="0"/>
              <w:rPr>
                <w:sz w:val="20"/>
                <w:szCs w:val="20"/>
                <w:color w:val="auto"/>
              </w:rPr>
            </w:pPr>
            <w:r>
              <w:rPr>
                <w:rFonts w:ascii="Arial" w:cs="Arial" w:eastAsia="Arial" w:hAnsi="Arial"/>
                <w:sz w:val="18"/>
                <w:szCs w:val="18"/>
                <w:color w:val="auto"/>
              </w:rPr>
              <w:t>9/24/2018</w:t>
            </w: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10.11</w:t>
            </w:r>
          </w:p>
        </w:tc>
        <w:tc>
          <w:tcPr>
            <w:tcW w:w="1100" w:type="dxa"/>
            <w:vAlign w:val="bottom"/>
          </w:tcPr>
          <w:p>
            <w:pPr>
              <w:jc w:val="right"/>
              <w:spacing w:after="0"/>
              <w:rPr>
                <w:sz w:val="20"/>
                <w:szCs w:val="20"/>
                <w:color w:val="auto"/>
              </w:rPr>
            </w:pPr>
            <w:r>
              <w:rPr>
                <w:rFonts w:ascii="Arial" w:cs="Arial" w:eastAsia="Arial" w:hAnsi="Arial"/>
                <w:sz w:val="18"/>
                <w:szCs w:val="18"/>
                <w:color w:val="auto"/>
              </w:rPr>
              <w:t>9/24/2018</w:t>
            </w:r>
          </w:p>
        </w:tc>
      </w:tr>
    </w:tbl>
    <w:p>
      <w:pPr>
        <w:spacing w:after="0" w:line="340" w:lineRule="exact"/>
        <w:rPr>
          <w:sz w:val="20"/>
          <w:szCs w:val="20"/>
          <w:color w:val="auto"/>
        </w:rPr>
      </w:pPr>
    </w:p>
    <w:p>
      <w:pPr>
        <w:sectPr>
          <w:pgSz w:w="11900" w:h="16838" w:orient="portrait"/>
          <w:cols w:equalWidth="0" w:num="2">
            <w:col w:w="5200" w:space="500"/>
            <w:col w:w="5540"/>
          </w:cols>
          <w:pgMar w:left="320" w:top="306" w:right="339" w:bottom="1440" w:gutter="0" w:footer="0" w:header="0"/>
          <w:type w:val="continuous"/>
        </w:sectPr>
      </w:pPr>
    </w:p>
    <w:tbl>
      <w:tblPr>
        <w:tblLayout w:type="fixed"/>
        <w:tblInd w:w="120" w:type="dxa"/>
        <w:tblCellMar>
          <w:top w:w="0" w:type="dxa"/>
          <w:left w:w="0" w:type="dxa"/>
          <w:bottom w:w="0" w:type="dxa"/>
          <w:right w:w="0" w:type="dxa"/>
        </w:tblCellMar>
      </w:tblPr>
      <w:tr>
        <w:trPr>
          <w:trHeight w:val="227"/>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6"/>
              </w:rPr>
              <w:t>10.12+</w:t>
            </w:r>
          </w:p>
        </w:tc>
        <w:tc>
          <w:tcPr>
            <w:tcW w:w="4540" w:type="dxa"/>
            <w:vAlign w:val="bottom"/>
            <w:gridSpan w:val="2"/>
          </w:tcPr>
          <w:p>
            <w:pPr>
              <w:ind w:left="320"/>
              <w:spacing w:after="0"/>
              <w:rPr>
                <w:rFonts w:ascii="Arial" w:cs="Arial" w:eastAsia="Arial" w:hAnsi="Arial"/>
                <w:sz w:val="18"/>
                <w:szCs w:val="18"/>
                <w:color w:val="0000FF"/>
                <w:w w:val="91"/>
              </w:rPr>
            </w:pPr>
            <w:hyperlink r:id="rId357">
              <w:r>
                <w:rPr>
                  <w:rFonts w:ascii="Arial" w:cs="Arial" w:eastAsia="Arial" w:hAnsi="Arial"/>
                  <w:sz w:val="18"/>
                  <w:szCs w:val="18"/>
                  <w:color w:val="0000FF"/>
                  <w:w w:val="91"/>
                </w:rPr>
                <w:t>Amended Executive Employment Agreement, effective as</w:t>
              </w:r>
            </w:hyperlink>
          </w:p>
        </w:tc>
        <w:tc>
          <w:tcPr>
            <w:tcW w:w="1040" w:type="dxa"/>
            <w:vAlign w:val="bottom"/>
          </w:tcPr>
          <w:p>
            <w:pPr>
              <w:ind w:left="220"/>
              <w:spacing w:after="0"/>
              <w:rPr>
                <w:sz w:val="20"/>
                <w:szCs w:val="20"/>
                <w:color w:val="auto"/>
              </w:rPr>
            </w:pPr>
            <w:r>
              <w:rPr>
                <w:rFonts w:ascii="Arial" w:cs="Arial" w:eastAsia="Arial" w:hAnsi="Arial"/>
                <w:sz w:val="18"/>
                <w:szCs w:val="18"/>
                <w:color w:val="auto"/>
              </w:rPr>
              <w:t>S-1/A</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10.12</w:t>
            </w:r>
          </w:p>
        </w:tc>
        <w:tc>
          <w:tcPr>
            <w:tcW w:w="1100" w:type="dxa"/>
            <w:vAlign w:val="bottom"/>
          </w:tcPr>
          <w:p>
            <w:pPr>
              <w:jc w:val="right"/>
              <w:spacing w:after="0"/>
              <w:rPr>
                <w:sz w:val="20"/>
                <w:szCs w:val="20"/>
                <w:color w:val="auto"/>
              </w:rPr>
            </w:pPr>
            <w:r>
              <w:rPr>
                <w:rFonts w:ascii="Arial" w:cs="Arial" w:eastAsia="Arial" w:hAnsi="Arial"/>
                <w:sz w:val="18"/>
                <w:szCs w:val="18"/>
                <w:color w:val="auto"/>
              </w:rPr>
              <w:t>9/24/2018</w:t>
            </w:r>
          </w:p>
        </w:tc>
      </w:tr>
      <w:tr>
        <w:trPr>
          <w:trHeight w:val="130"/>
        </w:trPr>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20" w:type="dxa"/>
            <w:vAlign w:val="bottom"/>
            <w:tcBorders>
              <w:top w:val="single" w:sz="8" w:color="0000FF"/>
            </w:tcBorders>
          </w:tcPr>
          <w:p>
            <w:pPr>
              <w:spacing w:after="0" w:line="131" w:lineRule="exact"/>
              <w:rPr>
                <w:rFonts w:ascii="Arial" w:cs="Arial" w:eastAsia="Arial" w:hAnsi="Arial"/>
                <w:sz w:val="15"/>
                <w:szCs w:val="15"/>
                <w:u w:val="single" w:color="auto"/>
                <w:color w:val="0000FF"/>
              </w:rPr>
            </w:pPr>
            <w:hyperlink r:id="rId357">
              <w:r>
                <w:rPr>
                  <w:rFonts w:ascii="Arial" w:cs="Arial" w:eastAsia="Arial" w:hAnsi="Arial"/>
                  <w:sz w:val="15"/>
                  <w:szCs w:val="15"/>
                  <w:u w:val="single" w:color="auto"/>
                  <w:color w:val="0000FF"/>
                </w:rPr>
                <w:t>of September 6, 2018, between the Registrant and John</w:t>
              </w:r>
            </w:hyperlink>
          </w:p>
        </w:tc>
        <w:tc>
          <w:tcPr>
            <w:tcW w:w="10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ind w:left="1260"/>
        <w:spacing w:after="0"/>
        <w:rPr>
          <w:rFonts w:ascii="Arial" w:cs="Arial" w:eastAsia="Arial" w:hAnsi="Arial"/>
          <w:sz w:val="18"/>
          <w:szCs w:val="18"/>
          <w:u w:val="single" w:color="auto"/>
          <w:color w:val="0000FF"/>
        </w:rPr>
      </w:pPr>
      <w:hyperlink r:id="rId357">
        <w:r>
          <w:rPr>
            <w:rFonts w:ascii="Arial" w:cs="Arial" w:eastAsia="Arial" w:hAnsi="Arial"/>
            <w:sz w:val="18"/>
            <w:szCs w:val="18"/>
            <w:u w:val="single" w:color="auto"/>
            <w:color w:val="0000FF"/>
          </w:rPr>
          <w:t>Borgeson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-123190</wp:posOffset>
            </wp:positionV>
            <wp:extent cx="25539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255397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-20320</wp:posOffset>
            </wp:positionV>
            <wp:extent cx="4356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435610" cy="825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type w:val="continuous"/>
        </w:sectPr>
      </w:pP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6"/>
              </w:rPr>
              <w:t>10.13+</w:t>
            </w:r>
          </w:p>
        </w:tc>
        <w:tc>
          <w:tcPr>
            <w:tcW w:w="4200" w:type="dxa"/>
            <w:vAlign w:val="bottom"/>
            <w:gridSpan w:val="7"/>
          </w:tcPr>
          <w:p>
            <w:pPr>
              <w:spacing w:after="0"/>
              <w:rPr>
                <w:rFonts w:ascii="Arial" w:cs="Arial" w:eastAsia="Arial" w:hAnsi="Arial"/>
                <w:sz w:val="18"/>
                <w:szCs w:val="18"/>
                <w:color w:val="0000FF"/>
              </w:rPr>
            </w:pPr>
            <w:hyperlink r:id="rId360">
              <w:r>
                <w:rPr>
                  <w:rFonts w:ascii="Arial" w:cs="Arial" w:eastAsia="Arial" w:hAnsi="Arial"/>
                  <w:sz w:val="18"/>
                  <w:szCs w:val="18"/>
                  <w:color w:val="0000FF"/>
                </w:rPr>
                <w:t>Executive Employment Agreement, effective as of</w:t>
              </w:r>
            </w:hyperlink>
          </w:p>
        </w:tc>
      </w:tr>
      <w:tr>
        <w:trPr>
          <w:trHeight w:val="20"/>
        </w:trPr>
        <w:tc>
          <w:tcPr>
            <w:tcW w:w="11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4200" w:type="dxa"/>
            <w:vAlign w:val="bottom"/>
            <w:gridSpan w:val="7"/>
          </w:tcPr>
          <w:p>
            <w:pPr>
              <w:spacing w:after="0" w:line="142" w:lineRule="exact"/>
              <w:rPr>
                <w:rFonts w:ascii="Arial" w:cs="Arial" w:eastAsia="Arial" w:hAnsi="Arial"/>
                <w:sz w:val="16"/>
                <w:szCs w:val="16"/>
                <w:color w:val="0000FF"/>
              </w:rPr>
            </w:pPr>
            <w:hyperlink r:id="rId360">
              <w:r>
                <w:rPr>
                  <w:rFonts w:ascii="Arial" w:cs="Arial" w:eastAsia="Arial" w:hAnsi="Arial"/>
                  <w:sz w:val="16"/>
                  <w:szCs w:val="16"/>
                  <w:color w:val="0000FF"/>
                </w:rPr>
                <w:t>September 6, 2018, between the Registrant and Jason</w:t>
              </w:r>
            </w:hyperlink>
          </w:p>
        </w:tc>
      </w:tr>
      <w:tr>
        <w:trPr>
          <w:trHeight w:val="142"/>
        </w:trPr>
        <w:tc>
          <w:tcPr>
            <w:tcW w:w="1160" w:type="dxa"/>
            <w:vAlign w:val="bottom"/>
          </w:tcPr>
          <w:p>
            <w:pPr>
              <w:spacing w:after="0"/>
              <w:rPr>
                <w:sz w:val="12"/>
                <w:szCs w:val="12"/>
                <w:color w:val="auto"/>
              </w:rPr>
            </w:pPr>
          </w:p>
        </w:tc>
        <w:tc>
          <w:tcPr>
            <w:tcW w:w="5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360">
              <w:r>
                <w:rPr>
                  <w:rFonts w:ascii="Arial" w:cs="Arial" w:eastAsia="Arial" w:hAnsi="Arial"/>
                  <w:sz w:val="16"/>
                  <w:szCs w:val="16"/>
                  <w:color w:val="0000FF"/>
                </w:rPr>
                <w:t>Ehrlich</w:t>
              </w:r>
            </w:hyperlink>
          </w:p>
        </w:tc>
        <w:tc>
          <w:tcPr>
            <w:tcW w:w="20" w:type="dxa"/>
            <w:vAlign w:val="bottom"/>
            <w:tcBorders>
              <w:top w:val="single" w:sz="8" w:color="0000FF"/>
              <w:bottom w:val="single" w:sz="8" w:color="0000EE"/>
            </w:tcBorders>
          </w:tcPr>
          <w:p>
            <w:pPr>
              <w:spacing w:after="0"/>
              <w:rPr>
                <w:sz w:val="12"/>
                <w:szCs w:val="12"/>
                <w:color w:val="auto"/>
              </w:rPr>
            </w:pPr>
          </w:p>
        </w:tc>
        <w:tc>
          <w:tcPr>
            <w:tcW w:w="3340" w:type="dxa"/>
            <w:vAlign w:val="bottom"/>
            <w:tcBorders>
              <w:top w:val="single" w:sz="8" w:color="0000FF"/>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77"/>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6"/>
              </w:rPr>
              <w:t>10.14+</w:t>
            </w:r>
          </w:p>
        </w:tc>
        <w:tc>
          <w:tcPr>
            <w:tcW w:w="4200" w:type="dxa"/>
            <w:vAlign w:val="bottom"/>
            <w:gridSpan w:val="7"/>
          </w:tcPr>
          <w:p>
            <w:pPr>
              <w:spacing w:after="0"/>
              <w:rPr>
                <w:rFonts w:ascii="Arial" w:cs="Arial" w:eastAsia="Arial" w:hAnsi="Arial"/>
                <w:sz w:val="18"/>
                <w:szCs w:val="18"/>
                <w:color w:val="0000FF"/>
                <w:w w:val="91"/>
              </w:rPr>
            </w:pPr>
            <w:hyperlink r:id="rId361">
              <w:r>
                <w:rPr>
                  <w:rFonts w:ascii="Arial" w:cs="Arial" w:eastAsia="Arial" w:hAnsi="Arial"/>
                  <w:sz w:val="18"/>
                  <w:szCs w:val="18"/>
                  <w:color w:val="0000FF"/>
                  <w:w w:val="91"/>
                </w:rPr>
                <w:t>Amended Executive Employment Agreement, effective as</w:t>
              </w:r>
            </w:hyperlink>
          </w:p>
        </w:tc>
      </w:tr>
      <w:tr>
        <w:trPr>
          <w:trHeight w:val="142"/>
        </w:trPr>
        <w:tc>
          <w:tcPr>
            <w:tcW w:w="1160" w:type="dxa"/>
            <w:vAlign w:val="bottom"/>
          </w:tcPr>
          <w:p>
            <w:pPr>
              <w:spacing w:after="0"/>
              <w:rPr>
                <w:sz w:val="12"/>
                <w:szCs w:val="12"/>
                <w:color w:val="auto"/>
              </w:rPr>
            </w:pPr>
          </w:p>
        </w:tc>
        <w:tc>
          <w:tcPr>
            <w:tcW w:w="420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361">
              <w:r>
                <w:rPr>
                  <w:rFonts w:ascii="Arial" w:cs="Arial" w:eastAsia="Arial" w:hAnsi="Arial"/>
                  <w:sz w:val="16"/>
                  <w:szCs w:val="16"/>
                  <w:color w:val="0000FF"/>
                </w:rPr>
                <w:t>of September 6, 2018, between the Registrant and Hong</w:t>
              </w:r>
            </w:hyperlink>
          </w:p>
        </w:tc>
      </w:tr>
      <w:tr>
        <w:trPr>
          <w:trHeight w:val="142"/>
        </w:trPr>
        <w:tc>
          <w:tcPr>
            <w:tcW w:w="1160" w:type="dxa"/>
            <w:vAlign w:val="bottom"/>
          </w:tcPr>
          <w:p>
            <w:pPr>
              <w:spacing w:after="0"/>
              <w:rPr>
                <w:sz w:val="12"/>
                <w:szCs w:val="12"/>
                <w:color w:val="auto"/>
              </w:rPr>
            </w:pPr>
          </w:p>
        </w:tc>
        <w:tc>
          <w:tcPr>
            <w:tcW w:w="406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361">
              <w:r>
                <w:rPr>
                  <w:rFonts w:ascii="Arial" w:cs="Arial" w:eastAsia="Arial" w:hAnsi="Arial"/>
                  <w:sz w:val="16"/>
                  <w:szCs w:val="16"/>
                  <w:color w:val="0000FF"/>
                </w:rPr>
                <w:t>Liang</w:t>
              </w:r>
            </w:hyperlink>
          </w:p>
        </w:tc>
        <w:tc>
          <w:tcPr>
            <w:tcW w:w="140" w:type="dxa"/>
            <w:vAlign w:val="bottom"/>
          </w:tcPr>
          <w:p>
            <w:pPr>
              <w:spacing w:after="0"/>
              <w:rPr>
                <w:sz w:val="12"/>
                <w:szCs w:val="12"/>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10.13</w:t>
            </w:r>
          </w:p>
        </w:tc>
        <w:tc>
          <w:tcPr>
            <w:tcW w:w="1100" w:type="dxa"/>
            <w:vAlign w:val="bottom"/>
          </w:tcPr>
          <w:p>
            <w:pPr>
              <w:jc w:val="right"/>
              <w:spacing w:after="0"/>
              <w:rPr>
                <w:sz w:val="20"/>
                <w:szCs w:val="20"/>
                <w:color w:val="auto"/>
              </w:rPr>
            </w:pPr>
            <w:r>
              <w:rPr>
                <w:rFonts w:ascii="Arial" w:cs="Arial" w:eastAsia="Arial" w:hAnsi="Arial"/>
                <w:sz w:val="18"/>
                <w:szCs w:val="18"/>
                <w:color w:val="auto"/>
              </w:rPr>
              <w:t>9/24/2018</w:t>
            </w:r>
          </w:p>
        </w:tc>
      </w:tr>
      <w:tr>
        <w:trPr>
          <w:trHeight w:val="621"/>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333-227237</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10.14</w:t>
            </w:r>
          </w:p>
        </w:tc>
        <w:tc>
          <w:tcPr>
            <w:tcW w:w="1100" w:type="dxa"/>
            <w:vAlign w:val="bottom"/>
          </w:tcPr>
          <w:p>
            <w:pPr>
              <w:jc w:val="right"/>
              <w:spacing w:after="0"/>
              <w:rPr>
                <w:sz w:val="20"/>
                <w:szCs w:val="20"/>
                <w:color w:val="auto"/>
              </w:rPr>
            </w:pPr>
            <w:r>
              <w:rPr>
                <w:rFonts w:ascii="Arial" w:cs="Arial" w:eastAsia="Arial" w:hAnsi="Arial"/>
                <w:sz w:val="18"/>
                <w:szCs w:val="18"/>
                <w:color w:val="auto"/>
              </w:rPr>
              <w:t>9/24/2018</w:t>
            </w:r>
          </w:p>
        </w:tc>
      </w:tr>
    </w:tbl>
    <w:p>
      <w:pPr>
        <w:spacing w:after="0" w:line="360" w:lineRule="exact"/>
        <w:rPr>
          <w:sz w:val="20"/>
          <w:szCs w:val="20"/>
          <w:color w:val="auto"/>
        </w:rPr>
      </w:pPr>
    </w:p>
    <w:p>
      <w:pPr>
        <w:sectPr>
          <w:pgSz w:w="11900" w:h="16838" w:orient="portrait"/>
          <w:cols w:equalWidth="0" w:num="2">
            <w:col w:w="5480" w:space="220"/>
            <w:col w:w="5540"/>
          </w:cols>
          <w:pgMar w:left="320" w:top="306" w:right="3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10.15+</w:t>
            </w:r>
          </w:p>
        </w:tc>
        <w:tc>
          <w:tcPr>
            <w:tcW w:w="4020" w:type="dxa"/>
            <w:vAlign w:val="bottom"/>
            <w:gridSpan w:val="4"/>
          </w:tcPr>
          <w:p>
            <w:pPr>
              <w:spacing w:after="0"/>
              <w:rPr>
                <w:rFonts w:ascii="Arial" w:cs="Arial" w:eastAsia="Arial" w:hAnsi="Arial"/>
                <w:sz w:val="18"/>
                <w:szCs w:val="18"/>
                <w:color w:val="0000FF"/>
              </w:rPr>
            </w:pPr>
            <w:hyperlink r:id="rId362">
              <w:r>
                <w:rPr>
                  <w:rFonts w:ascii="Arial" w:cs="Arial" w:eastAsia="Arial" w:hAnsi="Arial"/>
                  <w:sz w:val="18"/>
                  <w:szCs w:val="18"/>
                  <w:color w:val="0000FF"/>
                </w:rPr>
                <w:t>Executive Incentive Compensation Plan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8"/>
                <w:szCs w:val="18"/>
                <w:color w:val="auto"/>
              </w:rPr>
              <w:t>10.16*+</w:t>
            </w:r>
          </w:p>
        </w:tc>
        <w:tc>
          <w:tcPr>
            <w:tcW w:w="4020" w:type="dxa"/>
            <w:vAlign w:val="bottom"/>
            <w:gridSpan w:val="4"/>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Outside Director Compensation Policy</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0"/>
        </w:trPr>
        <w:tc>
          <w:tcPr>
            <w:tcW w:w="1160" w:type="dxa"/>
            <w:vAlign w:val="bottom"/>
          </w:tcPr>
          <w:p>
            <w:pPr>
              <w:spacing w:after="0"/>
              <w:rPr>
                <w:sz w:val="20"/>
                <w:szCs w:val="20"/>
                <w:color w:val="auto"/>
              </w:rPr>
            </w:pPr>
            <w:r>
              <w:rPr>
                <w:rFonts w:ascii="Arial" w:cs="Arial" w:eastAsia="Arial" w:hAnsi="Arial"/>
                <w:sz w:val="18"/>
                <w:szCs w:val="18"/>
                <w:color w:val="auto"/>
              </w:rPr>
              <w:t>10.17</w:t>
            </w:r>
          </w:p>
        </w:tc>
        <w:tc>
          <w:tcPr>
            <w:tcW w:w="4020" w:type="dxa"/>
            <w:vAlign w:val="bottom"/>
            <w:gridSpan w:val="4"/>
          </w:tcPr>
          <w:p>
            <w:pPr>
              <w:spacing w:after="0"/>
              <w:rPr>
                <w:rFonts w:ascii="Arial" w:cs="Arial" w:eastAsia="Arial" w:hAnsi="Arial"/>
                <w:sz w:val="18"/>
                <w:szCs w:val="18"/>
                <w:color w:val="0000FF"/>
                <w:w w:val="96"/>
              </w:rPr>
            </w:pPr>
            <w:hyperlink r:id="rId363">
              <w:r>
                <w:rPr>
                  <w:rFonts w:ascii="Arial" w:cs="Arial" w:eastAsia="Arial" w:hAnsi="Arial"/>
                  <w:sz w:val="18"/>
                  <w:szCs w:val="18"/>
                  <w:color w:val="0000FF"/>
                  <w:w w:val="96"/>
                </w:rPr>
                <w:t>Funding Agreement, dated as of December 1, 2019,</w:t>
              </w:r>
            </w:hyperlink>
          </w:p>
        </w:tc>
      </w:tr>
      <w:tr>
        <w:trPr>
          <w:trHeight w:val="20"/>
        </w:trPr>
        <w:tc>
          <w:tcPr>
            <w:tcW w:w="11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402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363">
              <w:r>
                <w:rPr>
                  <w:rFonts w:ascii="Arial" w:cs="Arial" w:eastAsia="Arial" w:hAnsi="Arial"/>
                  <w:sz w:val="16"/>
                  <w:szCs w:val="16"/>
                  <w:color w:val="0000FF"/>
                </w:rPr>
                <w:t>between Kodiak Sciences Inc., Kodiak Sciences GmbH</w:t>
              </w:r>
            </w:hyperlink>
          </w:p>
        </w:tc>
      </w:tr>
      <w:tr>
        <w:trPr>
          <w:trHeight w:val="142"/>
        </w:trPr>
        <w:tc>
          <w:tcPr>
            <w:tcW w:w="1160" w:type="dxa"/>
            <w:vAlign w:val="bottom"/>
          </w:tcPr>
          <w:p>
            <w:pPr>
              <w:spacing w:after="0"/>
              <w:rPr>
                <w:sz w:val="12"/>
                <w:szCs w:val="12"/>
                <w:color w:val="auto"/>
              </w:rPr>
            </w:pPr>
          </w:p>
        </w:tc>
        <w:tc>
          <w:tcPr>
            <w:tcW w:w="4020" w:type="dxa"/>
            <w:vAlign w:val="bottom"/>
            <w:gridSpan w:val="4"/>
          </w:tcPr>
          <w:p>
            <w:pPr>
              <w:spacing w:after="0" w:line="142" w:lineRule="exact"/>
              <w:rPr>
                <w:rFonts w:ascii="Arial" w:cs="Arial" w:eastAsia="Arial" w:hAnsi="Arial"/>
                <w:sz w:val="16"/>
                <w:szCs w:val="16"/>
                <w:color w:val="0000FF"/>
              </w:rPr>
            </w:pPr>
            <w:hyperlink r:id="rId363">
              <w:r>
                <w:rPr>
                  <w:rFonts w:ascii="Arial" w:cs="Arial" w:eastAsia="Arial" w:hAnsi="Arial"/>
                  <w:sz w:val="16"/>
                  <w:szCs w:val="16"/>
                  <w:color w:val="0000FF"/>
                </w:rPr>
                <w:t>and Baker Bros. Advisors, LP</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00" w:type="dxa"/>
            <w:vAlign w:val="bottom"/>
          </w:tcPr>
          <w:p>
            <w:pPr>
              <w:ind w:left="380"/>
              <w:spacing w:after="0"/>
              <w:rPr>
                <w:sz w:val="20"/>
                <w:szCs w:val="20"/>
                <w:color w:val="auto"/>
              </w:rPr>
            </w:pPr>
            <w:r>
              <w:rPr>
                <w:rFonts w:ascii="Arial" w:cs="Arial" w:eastAsia="Arial" w:hAnsi="Arial"/>
                <w:sz w:val="18"/>
                <w:szCs w:val="18"/>
                <w:color w:val="auto"/>
              </w:rPr>
              <w:t>333-227237</w:t>
            </w:r>
          </w:p>
        </w:tc>
        <w:tc>
          <w:tcPr>
            <w:tcW w:w="1240" w:type="dxa"/>
            <w:vAlign w:val="bottom"/>
          </w:tcPr>
          <w:p>
            <w:pPr>
              <w:ind w:left="440"/>
              <w:spacing w:after="0"/>
              <w:rPr>
                <w:sz w:val="20"/>
                <w:szCs w:val="20"/>
                <w:color w:val="auto"/>
              </w:rPr>
            </w:pPr>
            <w:r>
              <w:rPr>
                <w:rFonts w:ascii="Arial" w:cs="Arial" w:eastAsia="Arial" w:hAnsi="Arial"/>
                <w:sz w:val="18"/>
                <w:szCs w:val="18"/>
                <w:color w:val="auto"/>
              </w:rPr>
              <w:t>10.15</w:t>
            </w:r>
          </w:p>
        </w:tc>
        <w:tc>
          <w:tcPr>
            <w:tcW w:w="1100" w:type="dxa"/>
            <w:vAlign w:val="bottom"/>
          </w:tcPr>
          <w:p>
            <w:pPr>
              <w:jc w:val="right"/>
              <w:spacing w:after="0"/>
              <w:rPr>
                <w:sz w:val="20"/>
                <w:szCs w:val="20"/>
                <w:color w:val="auto"/>
              </w:rPr>
            </w:pPr>
            <w:r>
              <w:rPr>
                <w:rFonts w:ascii="Arial" w:cs="Arial" w:eastAsia="Arial" w:hAnsi="Arial"/>
                <w:sz w:val="18"/>
                <w:szCs w:val="18"/>
                <w:color w:val="auto"/>
              </w:rPr>
              <w:t>9/24/2018</w:t>
            </w:r>
          </w:p>
        </w:tc>
      </w:tr>
      <w:tr>
        <w:trPr>
          <w:trHeight w:val="621"/>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700" w:type="dxa"/>
            <w:vAlign w:val="bottom"/>
          </w:tcPr>
          <w:p>
            <w:pPr>
              <w:ind w:left="380"/>
              <w:spacing w:after="0"/>
              <w:rPr>
                <w:sz w:val="20"/>
                <w:szCs w:val="20"/>
                <w:color w:val="auto"/>
              </w:rPr>
            </w:pPr>
            <w:r>
              <w:rPr>
                <w:rFonts w:ascii="Arial" w:cs="Arial" w:eastAsia="Arial" w:hAnsi="Arial"/>
                <w:sz w:val="18"/>
                <w:szCs w:val="18"/>
                <w:color w:val="auto"/>
              </w:rPr>
              <w:t>001-38682</w:t>
            </w:r>
          </w:p>
        </w:tc>
        <w:tc>
          <w:tcPr>
            <w:tcW w:w="1240" w:type="dxa"/>
            <w:vAlign w:val="bottom"/>
          </w:tcPr>
          <w:p>
            <w:pPr>
              <w:ind w:left="440"/>
              <w:spacing w:after="0"/>
              <w:rPr>
                <w:sz w:val="20"/>
                <w:szCs w:val="20"/>
                <w:color w:val="auto"/>
              </w:rPr>
            </w:pPr>
            <w:r>
              <w:rPr>
                <w:rFonts w:ascii="Arial" w:cs="Arial" w:eastAsia="Arial" w:hAnsi="Arial"/>
                <w:sz w:val="18"/>
                <w:szCs w:val="18"/>
                <w:color w:val="auto"/>
              </w:rPr>
              <w:t>10.1</w:t>
            </w:r>
          </w:p>
        </w:tc>
        <w:tc>
          <w:tcPr>
            <w:tcW w:w="1100" w:type="dxa"/>
            <w:vAlign w:val="bottom"/>
          </w:tcPr>
          <w:p>
            <w:pPr>
              <w:jc w:val="right"/>
              <w:spacing w:after="0"/>
              <w:rPr>
                <w:sz w:val="20"/>
                <w:szCs w:val="20"/>
                <w:color w:val="auto"/>
              </w:rPr>
            </w:pPr>
            <w:r>
              <w:rPr>
                <w:rFonts w:ascii="Arial" w:cs="Arial" w:eastAsia="Arial" w:hAnsi="Arial"/>
                <w:sz w:val="18"/>
                <w:szCs w:val="18"/>
                <w:color w:val="auto"/>
              </w:rPr>
              <w:t>12/2/2019</w:t>
            </w:r>
          </w:p>
        </w:tc>
      </w:tr>
    </w:tbl>
    <w:p>
      <w:pPr>
        <w:spacing w:after="0" w:line="353" w:lineRule="exact"/>
        <w:rPr>
          <w:sz w:val="20"/>
          <w:szCs w:val="20"/>
          <w:color w:val="auto"/>
        </w:rPr>
      </w:pPr>
    </w:p>
    <w:p>
      <w:pPr>
        <w:sectPr>
          <w:pgSz w:w="11900" w:h="16838" w:orient="portrait"/>
          <w:cols w:equalWidth="0" w:num="2">
            <w:col w:w="5300" w:space="400"/>
            <w:col w:w="5540"/>
          </w:cols>
          <w:pgMar w:left="320" w:top="306" w:right="339" w:bottom="1440" w:gutter="0" w:footer="0" w:header="0"/>
          <w:type w:val="continuous"/>
        </w:sectPr>
      </w:pPr>
    </w:p>
    <w:tbl>
      <w:tblPr>
        <w:tblLayout w:type="fixed"/>
        <w:tblInd w:w="120" w:type="dxa"/>
        <w:tblCellMar>
          <w:top w:w="0" w:type="dxa"/>
          <w:left w:w="0" w:type="dxa"/>
          <w:bottom w:w="0" w:type="dxa"/>
          <w:right w:w="0" w:type="dxa"/>
        </w:tblCellMar>
      </w:tblPr>
      <w:tr>
        <w:trPr>
          <w:trHeight w:val="227"/>
        </w:trPr>
        <w:tc>
          <w:tcPr>
            <w:tcW w:w="1160" w:type="dxa"/>
            <w:vAlign w:val="bottom"/>
          </w:tcPr>
          <w:p>
            <w:pPr>
              <w:jc w:val="right"/>
              <w:ind w:right="670"/>
              <w:spacing w:after="0"/>
              <w:rPr>
                <w:sz w:val="20"/>
                <w:szCs w:val="20"/>
                <w:color w:val="auto"/>
              </w:rPr>
            </w:pPr>
            <w:r>
              <w:rPr>
                <w:rFonts w:ascii="Arial" w:cs="Arial" w:eastAsia="Arial" w:hAnsi="Arial"/>
                <w:sz w:val="18"/>
                <w:szCs w:val="18"/>
                <w:color w:val="auto"/>
                <w:w w:val="84"/>
              </w:rPr>
              <w:t>10.18</w:t>
            </w:r>
          </w:p>
        </w:tc>
        <w:tc>
          <w:tcPr>
            <w:tcW w:w="4200" w:type="dxa"/>
            <w:vAlign w:val="bottom"/>
            <w:gridSpan w:val="15"/>
          </w:tcPr>
          <w:p>
            <w:pPr>
              <w:spacing w:after="0"/>
              <w:rPr>
                <w:rFonts w:ascii="Arial" w:cs="Arial" w:eastAsia="Arial" w:hAnsi="Arial"/>
                <w:sz w:val="18"/>
                <w:szCs w:val="18"/>
                <w:color w:val="0000FF"/>
                <w:w w:val="96"/>
              </w:rPr>
            </w:pPr>
            <w:hyperlink r:id="rId364">
              <w:r>
                <w:rPr>
                  <w:rFonts w:ascii="Arial" w:cs="Arial" w:eastAsia="Arial" w:hAnsi="Arial"/>
                  <w:sz w:val="18"/>
                  <w:szCs w:val="18"/>
                  <w:color w:val="0000FF"/>
                  <w:w w:val="96"/>
                </w:rPr>
                <w:t>Lease Agreement for 1200 Page Mill Road, Building 3,</w:t>
              </w:r>
            </w:hyperlink>
          </w:p>
        </w:tc>
        <w:tc>
          <w:tcPr>
            <w:tcW w:w="1000" w:type="dxa"/>
            <w:vAlign w:val="bottom"/>
          </w:tcPr>
          <w:p>
            <w:pPr>
              <w:ind w:left="220"/>
              <w:spacing w:after="0"/>
              <w:rPr>
                <w:sz w:val="20"/>
                <w:szCs w:val="20"/>
                <w:color w:val="auto"/>
              </w:rPr>
            </w:pPr>
            <w:r>
              <w:rPr>
                <w:rFonts w:ascii="Arial" w:cs="Arial" w:eastAsia="Arial" w:hAnsi="Arial"/>
                <w:sz w:val="18"/>
                <w:szCs w:val="18"/>
                <w:color w:val="auto"/>
              </w:rPr>
              <w:t>10-Q</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001-38682</w:t>
            </w:r>
          </w:p>
        </w:tc>
        <w:tc>
          <w:tcPr>
            <w:tcW w:w="1220" w:type="dxa"/>
            <w:vAlign w:val="bottom"/>
          </w:tcPr>
          <w:p>
            <w:pPr>
              <w:ind w:left="480"/>
              <w:spacing w:after="0"/>
              <w:rPr>
                <w:sz w:val="20"/>
                <w:szCs w:val="20"/>
                <w:color w:val="auto"/>
              </w:rPr>
            </w:pPr>
            <w:r>
              <w:rPr>
                <w:rFonts w:ascii="Arial" w:cs="Arial" w:eastAsia="Arial" w:hAnsi="Arial"/>
                <w:sz w:val="18"/>
                <w:szCs w:val="18"/>
                <w:color w:val="auto"/>
              </w:rPr>
              <w:t>10.1</w:t>
            </w:r>
          </w:p>
        </w:tc>
        <w:tc>
          <w:tcPr>
            <w:tcW w:w="1240" w:type="dxa"/>
            <w:vAlign w:val="bottom"/>
          </w:tcPr>
          <w:p>
            <w:pPr>
              <w:ind w:left="440"/>
              <w:spacing w:after="0"/>
              <w:rPr>
                <w:sz w:val="20"/>
                <w:szCs w:val="20"/>
                <w:color w:val="auto"/>
              </w:rPr>
            </w:pPr>
            <w:r>
              <w:rPr>
                <w:rFonts w:ascii="Arial" w:cs="Arial" w:eastAsia="Arial" w:hAnsi="Arial"/>
                <w:sz w:val="18"/>
                <w:szCs w:val="18"/>
                <w:color w:val="auto"/>
                <w:w w:val="97"/>
              </w:rPr>
              <w:t>8/10/2020</w:t>
            </w:r>
          </w:p>
        </w:tc>
      </w:tr>
      <w:tr>
        <w:trPr>
          <w:trHeight w:val="155"/>
        </w:trPr>
        <w:tc>
          <w:tcPr>
            <w:tcW w:w="116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9"/>
              </w:rPr>
            </w:pPr>
            <w:hyperlink r:id="rId364">
              <w:r>
                <w:rPr>
                  <w:rFonts w:ascii="Arial" w:cs="Arial" w:eastAsia="Arial" w:hAnsi="Arial"/>
                  <w:sz w:val="18"/>
                  <w:szCs w:val="18"/>
                  <w:color w:val="0000FF"/>
                  <w:w w:val="89"/>
                </w:rPr>
                <w:t>by and between the Registrant and 1050 Page Mill Road</w:t>
              </w:r>
            </w:hyperlink>
          </w:p>
        </w:tc>
        <w:tc>
          <w:tcPr>
            <w:tcW w:w="6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2560" w:type="dxa"/>
            <w:vAlign w:val="bottom"/>
            <w:tcBorders>
              <w:bottom w:val="single" w:sz="8" w:color="0000FF"/>
            </w:tcBorders>
            <w:gridSpan w:val="4"/>
          </w:tcPr>
          <w:p>
            <w:pPr>
              <w:spacing w:after="0" w:line="156" w:lineRule="exact"/>
              <w:rPr>
                <w:rFonts w:ascii="Arial" w:cs="Arial" w:eastAsia="Arial" w:hAnsi="Arial"/>
                <w:sz w:val="18"/>
                <w:szCs w:val="18"/>
                <w:color w:val="0000FF"/>
                <w:w w:val="89"/>
              </w:rPr>
            </w:pPr>
            <w:hyperlink r:id="rId364">
              <w:r>
                <w:rPr>
                  <w:rFonts w:ascii="Arial" w:cs="Arial" w:eastAsia="Arial" w:hAnsi="Arial"/>
                  <w:sz w:val="18"/>
                  <w:szCs w:val="18"/>
                  <w:color w:val="0000FF"/>
                  <w:w w:val="89"/>
                </w:rPr>
                <w:t>Property, LLC, dated June 19, 2020</w:t>
              </w:r>
            </w:hyperlink>
          </w:p>
        </w:tc>
        <w:tc>
          <w:tcPr>
            <w:tcW w:w="20" w:type="dxa"/>
            <w:vAlign w:val="bottom"/>
            <w:tcBorders>
              <w:bottom w:val="single" w:sz="8" w:color="0000EE"/>
            </w:tcBorders>
          </w:tcPr>
          <w:p>
            <w:pPr>
              <w:spacing w:after="0"/>
              <w:rPr>
                <w:sz w:val="13"/>
                <w:szCs w:val="13"/>
                <w:color w:val="auto"/>
              </w:rPr>
            </w:pPr>
          </w:p>
        </w:tc>
        <w:tc>
          <w:tcPr>
            <w:tcW w:w="1520" w:type="dxa"/>
            <w:vAlign w:val="bottom"/>
            <w:gridSpan w:val="9"/>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90"/>
        </w:trPr>
        <w:tc>
          <w:tcPr>
            <w:tcW w:w="1160" w:type="dxa"/>
            <w:vAlign w:val="bottom"/>
          </w:tcPr>
          <w:p>
            <w:pPr>
              <w:jc w:val="right"/>
              <w:ind w:right="670"/>
              <w:spacing w:after="0"/>
              <w:rPr>
                <w:sz w:val="20"/>
                <w:szCs w:val="20"/>
                <w:color w:val="auto"/>
              </w:rPr>
            </w:pPr>
            <w:r>
              <w:rPr>
                <w:rFonts w:ascii="Arial" w:cs="Arial" w:eastAsia="Arial" w:hAnsi="Arial"/>
                <w:sz w:val="18"/>
                <w:szCs w:val="18"/>
                <w:color w:val="auto"/>
                <w:w w:val="84"/>
              </w:rPr>
              <w:t>10.19</w:t>
            </w:r>
          </w:p>
        </w:tc>
        <w:tc>
          <w:tcPr>
            <w:tcW w:w="4200" w:type="dxa"/>
            <w:vAlign w:val="bottom"/>
            <w:gridSpan w:val="15"/>
          </w:tcPr>
          <w:p>
            <w:pPr>
              <w:spacing w:after="0"/>
              <w:rPr>
                <w:rFonts w:ascii="Arial" w:cs="Arial" w:eastAsia="Arial" w:hAnsi="Arial"/>
                <w:sz w:val="18"/>
                <w:szCs w:val="18"/>
                <w:color w:val="0000FF"/>
                <w:w w:val="96"/>
              </w:rPr>
            </w:pPr>
            <w:hyperlink r:id="rId365">
              <w:r>
                <w:rPr>
                  <w:rFonts w:ascii="Arial" w:cs="Arial" w:eastAsia="Arial" w:hAnsi="Arial"/>
                  <w:sz w:val="18"/>
                  <w:szCs w:val="18"/>
                  <w:color w:val="0000FF"/>
                  <w:w w:val="96"/>
                </w:rPr>
                <w:t>Lease Agreement for 1250 Page Mill Road, Building 4,</w:t>
              </w:r>
            </w:hyperlink>
          </w:p>
        </w:tc>
        <w:tc>
          <w:tcPr>
            <w:tcW w:w="1000" w:type="dxa"/>
            <w:vAlign w:val="bottom"/>
          </w:tcPr>
          <w:p>
            <w:pPr>
              <w:ind w:left="220"/>
              <w:spacing w:after="0"/>
              <w:rPr>
                <w:sz w:val="20"/>
                <w:szCs w:val="20"/>
                <w:color w:val="auto"/>
              </w:rPr>
            </w:pPr>
            <w:r>
              <w:rPr>
                <w:rFonts w:ascii="Arial" w:cs="Arial" w:eastAsia="Arial" w:hAnsi="Arial"/>
                <w:sz w:val="18"/>
                <w:szCs w:val="18"/>
                <w:color w:val="auto"/>
              </w:rPr>
              <w:t>10-Q</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001-38682</w:t>
            </w:r>
          </w:p>
        </w:tc>
        <w:tc>
          <w:tcPr>
            <w:tcW w:w="1220" w:type="dxa"/>
            <w:vAlign w:val="bottom"/>
          </w:tcPr>
          <w:p>
            <w:pPr>
              <w:ind w:left="480"/>
              <w:spacing w:after="0"/>
              <w:rPr>
                <w:sz w:val="20"/>
                <w:szCs w:val="20"/>
                <w:color w:val="auto"/>
              </w:rPr>
            </w:pPr>
            <w:r>
              <w:rPr>
                <w:rFonts w:ascii="Arial" w:cs="Arial" w:eastAsia="Arial" w:hAnsi="Arial"/>
                <w:sz w:val="18"/>
                <w:szCs w:val="18"/>
                <w:color w:val="auto"/>
              </w:rPr>
              <w:t>10.2</w:t>
            </w:r>
          </w:p>
        </w:tc>
        <w:tc>
          <w:tcPr>
            <w:tcW w:w="1240" w:type="dxa"/>
            <w:vAlign w:val="bottom"/>
          </w:tcPr>
          <w:p>
            <w:pPr>
              <w:ind w:left="440"/>
              <w:spacing w:after="0"/>
              <w:rPr>
                <w:sz w:val="20"/>
                <w:szCs w:val="20"/>
                <w:color w:val="auto"/>
              </w:rPr>
            </w:pPr>
            <w:r>
              <w:rPr>
                <w:rFonts w:ascii="Arial" w:cs="Arial" w:eastAsia="Arial" w:hAnsi="Arial"/>
                <w:sz w:val="18"/>
                <w:szCs w:val="18"/>
                <w:color w:val="auto"/>
                <w:w w:val="97"/>
              </w:rPr>
              <w:t>8/10/2020</w:t>
            </w:r>
          </w:p>
        </w:tc>
      </w:tr>
      <w:tr>
        <w:trPr>
          <w:trHeight w:val="156"/>
        </w:trPr>
        <w:tc>
          <w:tcPr>
            <w:tcW w:w="1160" w:type="dxa"/>
            <w:vAlign w:val="bottom"/>
          </w:tcPr>
          <w:p>
            <w:pPr>
              <w:spacing w:after="0"/>
              <w:rPr>
                <w:sz w:val="13"/>
                <w:szCs w:val="13"/>
                <w:color w:val="auto"/>
              </w:rPr>
            </w:pPr>
          </w:p>
        </w:tc>
        <w:tc>
          <w:tcPr>
            <w:tcW w:w="4040" w:type="dxa"/>
            <w:vAlign w:val="bottom"/>
            <w:tcBorders>
              <w:top w:val="single" w:sz="8" w:color="0000FF"/>
            </w:tcBorders>
            <w:gridSpan w:val="13"/>
          </w:tcPr>
          <w:p>
            <w:pPr>
              <w:spacing w:after="0" w:line="156" w:lineRule="exact"/>
              <w:rPr>
                <w:rFonts w:ascii="Arial" w:cs="Arial" w:eastAsia="Arial" w:hAnsi="Arial"/>
                <w:sz w:val="18"/>
                <w:szCs w:val="18"/>
                <w:color w:val="0000FF"/>
                <w:w w:val="89"/>
              </w:rPr>
            </w:pPr>
            <w:hyperlink r:id="rId365">
              <w:r>
                <w:rPr>
                  <w:rFonts w:ascii="Arial" w:cs="Arial" w:eastAsia="Arial" w:hAnsi="Arial"/>
                  <w:sz w:val="18"/>
                  <w:szCs w:val="18"/>
                  <w:color w:val="0000FF"/>
                  <w:w w:val="89"/>
                </w:rPr>
                <w:t>by and between the Registrant and 1050 Page Mill Road</w:t>
              </w:r>
            </w:hyperlink>
          </w:p>
        </w:tc>
        <w:tc>
          <w:tcPr>
            <w:tcW w:w="16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365">
              <w:r>
                <w:rPr>
                  <w:rFonts w:ascii="Arial" w:cs="Arial" w:eastAsia="Arial" w:hAnsi="Arial"/>
                  <w:sz w:val="18"/>
                  <w:szCs w:val="18"/>
                  <w:color w:val="0000FF"/>
                  <w:w w:val="89"/>
                </w:rPr>
                <w:t>Property, LLC, dated June 19,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152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77"/>
        </w:trPr>
        <w:tc>
          <w:tcPr>
            <w:tcW w:w="1160" w:type="dxa"/>
            <w:vAlign w:val="bottom"/>
          </w:tcPr>
          <w:p>
            <w:pPr>
              <w:jc w:val="right"/>
              <w:ind w:right="670"/>
              <w:spacing w:after="0"/>
              <w:rPr>
                <w:sz w:val="20"/>
                <w:szCs w:val="20"/>
                <w:color w:val="auto"/>
              </w:rPr>
            </w:pPr>
            <w:r>
              <w:rPr>
                <w:rFonts w:ascii="Arial" w:cs="Arial" w:eastAsia="Arial" w:hAnsi="Arial"/>
                <w:sz w:val="18"/>
                <w:szCs w:val="18"/>
                <w:color w:val="auto"/>
                <w:w w:val="84"/>
              </w:rPr>
              <w:t>10.20</w:t>
            </w:r>
          </w:p>
        </w:tc>
        <w:tc>
          <w:tcPr>
            <w:tcW w:w="4200" w:type="dxa"/>
            <w:vAlign w:val="bottom"/>
            <w:gridSpan w:val="15"/>
          </w:tcPr>
          <w:p>
            <w:pPr>
              <w:spacing w:after="0"/>
              <w:rPr>
                <w:rFonts w:ascii="Arial" w:cs="Arial" w:eastAsia="Arial" w:hAnsi="Arial"/>
                <w:sz w:val="18"/>
                <w:szCs w:val="18"/>
                <w:color w:val="0000FF"/>
                <w:w w:val="90"/>
              </w:rPr>
            </w:pPr>
            <w:hyperlink r:id="rId366">
              <w:r>
                <w:rPr>
                  <w:rFonts w:ascii="Arial" w:cs="Arial" w:eastAsia="Arial" w:hAnsi="Arial"/>
                  <w:sz w:val="18"/>
                  <w:szCs w:val="18"/>
                  <w:color w:val="0000FF"/>
                  <w:w w:val="90"/>
                </w:rPr>
                <w:t>Underwriting Agreement, dated as of November 17, 2020,</w:t>
              </w:r>
            </w:hyperlink>
          </w:p>
        </w:tc>
        <w:tc>
          <w:tcPr>
            <w:tcW w:w="1000" w:type="dxa"/>
            <w:vAlign w:val="bottom"/>
          </w:tcPr>
          <w:p>
            <w:pPr>
              <w:ind w:left="220"/>
              <w:spacing w:after="0"/>
              <w:rPr>
                <w:sz w:val="20"/>
                <w:szCs w:val="20"/>
                <w:color w:val="auto"/>
              </w:rPr>
            </w:pPr>
            <w:r>
              <w:rPr>
                <w:rFonts w:ascii="Arial" w:cs="Arial" w:eastAsia="Arial" w:hAnsi="Arial"/>
                <w:sz w:val="18"/>
                <w:szCs w:val="18"/>
                <w:color w:val="auto"/>
              </w:rPr>
              <w:t>8-K</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001-38682</w:t>
            </w:r>
          </w:p>
        </w:tc>
        <w:tc>
          <w:tcPr>
            <w:tcW w:w="1220" w:type="dxa"/>
            <w:vAlign w:val="bottom"/>
          </w:tcPr>
          <w:p>
            <w:pPr>
              <w:ind w:left="480"/>
              <w:spacing w:after="0"/>
              <w:rPr>
                <w:sz w:val="20"/>
                <w:szCs w:val="20"/>
                <w:color w:val="auto"/>
              </w:rPr>
            </w:pPr>
            <w:r>
              <w:rPr>
                <w:rFonts w:ascii="Arial" w:cs="Arial" w:eastAsia="Arial" w:hAnsi="Arial"/>
                <w:sz w:val="18"/>
                <w:szCs w:val="18"/>
                <w:color w:val="auto"/>
              </w:rPr>
              <w:t>1.1</w:t>
            </w:r>
          </w:p>
        </w:tc>
        <w:tc>
          <w:tcPr>
            <w:tcW w:w="1240" w:type="dxa"/>
            <w:vAlign w:val="bottom"/>
          </w:tcPr>
          <w:p>
            <w:pPr>
              <w:ind w:left="440"/>
              <w:spacing w:after="0"/>
              <w:rPr>
                <w:sz w:val="20"/>
                <w:szCs w:val="20"/>
                <w:color w:val="auto"/>
              </w:rPr>
            </w:pPr>
            <w:r>
              <w:rPr>
                <w:rFonts w:ascii="Arial" w:cs="Arial" w:eastAsia="Arial" w:hAnsi="Arial"/>
                <w:sz w:val="18"/>
                <w:szCs w:val="18"/>
                <w:color w:val="auto"/>
                <w:w w:val="86"/>
              </w:rPr>
              <w:t>11/18/2020</w:t>
            </w:r>
          </w:p>
        </w:tc>
      </w:tr>
      <w:tr>
        <w:trPr>
          <w:trHeight w:val="142"/>
        </w:trPr>
        <w:tc>
          <w:tcPr>
            <w:tcW w:w="1160" w:type="dxa"/>
            <w:vAlign w:val="bottom"/>
          </w:tcPr>
          <w:p>
            <w:pPr>
              <w:spacing w:after="0"/>
              <w:rPr>
                <w:sz w:val="12"/>
                <w:szCs w:val="12"/>
                <w:color w:val="auto"/>
              </w:rPr>
            </w:pPr>
          </w:p>
        </w:tc>
        <w:tc>
          <w:tcPr>
            <w:tcW w:w="356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366">
              <w:r>
                <w:rPr>
                  <w:rFonts w:ascii="Arial" w:cs="Arial" w:eastAsia="Arial" w:hAnsi="Arial"/>
                  <w:sz w:val="16"/>
                  <w:szCs w:val="16"/>
                  <w:color w:val="0000FF"/>
                </w:rPr>
                <w:t>by and among Kodiak Sciences Inc., J.P. Morgan</w:t>
              </w:r>
            </w:hyperlink>
          </w:p>
        </w:tc>
        <w:tc>
          <w:tcPr>
            <w:tcW w:w="640" w:type="dxa"/>
            <w:vAlign w:val="bottom"/>
            <w:tcBorders>
              <w:top w:val="single" w:sz="8" w:color="0000FF"/>
            </w:tcBorders>
            <w:gridSpan w:val="6"/>
          </w:tcPr>
          <w:p>
            <w:pPr>
              <w:spacing w:after="0"/>
              <w:rPr>
                <w:sz w:val="12"/>
                <w:szCs w:val="12"/>
                <w:color w:val="auto"/>
              </w:rPr>
            </w:pPr>
          </w:p>
        </w:tc>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200" w:type="dxa"/>
            <w:vAlign w:val="bottom"/>
            <w:gridSpan w:val="15"/>
          </w:tcPr>
          <w:p>
            <w:pPr>
              <w:spacing w:after="0" w:line="142" w:lineRule="exact"/>
              <w:rPr>
                <w:rFonts w:ascii="Arial" w:cs="Arial" w:eastAsia="Arial" w:hAnsi="Arial"/>
                <w:sz w:val="16"/>
                <w:szCs w:val="16"/>
                <w:color w:val="0000FF"/>
              </w:rPr>
            </w:pPr>
            <w:hyperlink r:id="rId366">
              <w:r>
                <w:rPr>
                  <w:rFonts w:ascii="Arial" w:cs="Arial" w:eastAsia="Arial" w:hAnsi="Arial"/>
                  <w:sz w:val="16"/>
                  <w:szCs w:val="16"/>
                  <w:color w:val="0000FF"/>
                </w:rPr>
                <w:t>Securities LLC, Morgan Stanley &amp; Co. LLC, Jefferies</w:t>
              </w:r>
            </w:hyperlink>
          </w:p>
        </w:tc>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9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366">
              <w:r>
                <w:rPr>
                  <w:rFonts w:ascii="Arial" w:cs="Arial" w:eastAsia="Arial" w:hAnsi="Arial"/>
                  <w:sz w:val="16"/>
                  <w:szCs w:val="16"/>
                  <w:color w:val="0000FF"/>
                </w:rPr>
                <w:t>LLC and Evercore Group L.L.C.</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77"/>
        </w:trPr>
        <w:tc>
          <w:tcPr>
            <w:tcW w:w="1160" w:type="dxa"/>
            <w:vAlign w:val="bottom"/>
          </w:tcPr>
          <w:p>
            <w:pPr>
              <w:jc w:val="right"/>
              <w:ind w:right="670"/>
              <w:spacing w:after="0"/>
              <w:rPr>
                <w:sz w:val="20"/>
                <w:szCs w:val="20"/>
                <w:color w:val="auto"/>
              </w:rPr>
            </w:pPr>
            <w:r>
              <w:rPr>
                <w:rFonts w:ascii="Arial" w:cs="Arial" w:eastAsia="Arial" w:hAnsi="Arial"/>
                <w:sz w:val="18"/>
                <w:szCs w:val="18"/>
                <w:color w:val="auto"/>
                <w:w w:val="84"/>
              </w:rPr>
              <w:t>10.21</w:t>
            </w:r>
          </w:p>
        </w:tc>
        <w:tc>
          <w:tcPr>
            <w:tcW w:w="4200" w:type="dxa"/>
            <w:vAlign w:val="bottom"/>
            <w:gridSpan w:val="15"/>
          </w:tcPr>
          <w:p>
            <w:pPr>
              <w:spacing w:after="0"/>
              <w:rPr>
                <w:rFonts w:ascii="Arial" w:cs="Arial" w:eastAsia="Arial" w:hAnsi="Arial"/>
                <w:sz w:val="18"/>
                <w:szCs w:val="18"/>
                <w:color w:val="0000FF"/>
              </w:rPr>
            </w:pPr>
            <w:hyperlink r:id="rId367">
              <w:r>
                <w:rPr>
                  <w:rFonts w:ascii="Arial" w:cs="Arial" w:eastAsia="Arial" w:hAnsi="Arial"/>
                  <w:sz w:val="18"/>
                  <w:szCs w:val="18"/>
                  <w:color w:val="0000FF"/>
                </w:rPr>
                <w:t>Letter Agreement, dated July 22, 2021</w:t>
              </w:r>
            </w:hyperlink>
          </w:p>
        </w:tc>
        <w:tc>
          <w:tcPr>
            <w:tcW w:w="1000" w:type="dxa"/>
            <w:vAlign w:val="bottom"/>
          </w:tcPr>
          <w:p>
            <w:pPr>
              <w:ind w:left="220"/>
              <w:spacing w:after="0"/>
              <w:rPr>
                <w:sz w:val="20"/>
                <w:szCs w:val="20"/>
                <w:color w:val="auto"/>
              </w:rPr>
            </w:pPr>
            <w:r>
              <w:rPr>
                <w:rFonts w:ascii="Arial" w:cs="Arial" w:eastAsia="Arial" w:hAnsi="Arial"/>
                <w:sz w:val="18"/>
                <w:szCs w:val="18"/>
                <w:color w:val="auto"/>
              </w:rPr>
              <w:t>8-K</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001-38682</w:t>
            </w:r>
          </w:p>
        </w:tc>
        <w:tc>
          <w:tcPr>
            <w:tcW w:w="1220" w:type="dxa"/>
            <w:vAlign w:val="bottom"/>
          </w:tcPr>
          <w:p>
            <w:pPr>
              <w:ind w:left="480"/>
              <w:spacing w:after="0"/>
              <w:rPr>
                <w:sz w:val="20"/>
                <w:szCs w:val="20"/>
                <w:color w:val="auto"/>
              </w:rPr>
            </w:pPr>
            <w:r>
              <w:rPr>
                <w:rFonts w:ascii="Arial" w:cs="Arial" w:eastAsia="Arial" w:hAnsi="Arial"/>
                <w:sz w:val="18"/>
                <w:szCs w:val="18"/>
                <w:color w:val="auto"/>
              </w:rPr>
              <w:t>10.1</w:t>
            </w:r>
          </w:p>
        </w:tc>
        <w:tc>
          <w:tcPr>
            <w:tcW w:w="1240" w:type="dxa"/>
            <w:vAlign w:val="bottom"/>
          </w:tcPr>
          <w:p>
            <w:pPr>
              <w:ind w:left="440"/>
              <w:spacing w:after="0"/>
              <w:rPr>
                <w:sz w:val="20"/>
                <w:szCs w:val="20"/>
                <w:color w:val="auto"/>
              </w:rPr>
            </w:pPr>
            <w:r>
              <w:rPr>
                <w:rFonts w:ascii="Arial" w:cs="Arial" w:eastAsia="Arial" w:hAnsi="Arial"/>
                <w:sz w:val="18"/>
                <w:szCs w:val="18"/>
                <w:color w:val="auto"/>
                <w:w w:val="97"/>
              </w:rPr>
              <w:t>7/23/2021</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20" w:type="dxa"/>
            <w:vAlign w:val="bottom"/>
            <w:tcBorders>
              <w:right w:val="single" w:sz="8" w:color="0000EE"/>
            </w:tcBorders>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90"/>
        </w:trPr>
        <w:tc>
          <w:tcPr>
            <w:tcW w:w="1160" w:type="dxa"/>
            <w:vAlign w:val="bottom"/>
          </w:tcPr>
          <w:p>
            <w:pPr>
              <w:jc w:val="right"/>
              <w:ind w:right="670"/>
              <w:spacing w:after="0"/>
              <w:rPr>
                <w:sz w:val="20"/>
                <w:szCs w:val="20"/>
                <w:color w:val="auto"/>
              </w:rPr>
            </w:pPr>
            <w:r>
              <w:rPr>
                <w:rFonts w:ascii="Arial" w:cs="Arial" w:eastAsia="Arial" w:hAnsi="Arial"/>
                <w:sz w:val="18"/>
                <w:szCs w:val="18"/>
                <w:color w:val="auto"/>
                <w:w w:val="84"/>
              </w:rPr>
              <w:t>10.22</w:t>
            </w:r>
          </w:p>
        </w:tc>
        <w:tc>
          <w:tcPr>
            <w:tcW w:w="4200" w:type="dxa"/>
            <w:vAlign w:val="bottom"/>
            <w:gridSpan w:val="15"/>
          </w:tcPr>
          <w:p>
            <w:pPr>
              <w:spacing w:after="0"/>
              <w:rPr>
                <w:rFonts w:ascii="Arial" w:cs="Arial" w:eastAsia="Arial" w:hAnsi="Arial"/>
                <w:sz w:val="18"/>
                <w:szCs w:val="18"/>
                <w:color w:val="0000FF"/>
              </w:rPr>
            </w:pPr>
            <w:hyperlink r:id="rId368">
              <w:r>
                <w:rPr>
                  <w:rFonts w:ascii="Arial" w:cs="Arial" w:eastAsia="Arial" w:hAnsi="Arial"/>
                  <w:sz w:val="18"/>
                  <w:szCs w:val="18"/>
                  <w:color w:val="0000FF"/>
                </w:rPr>
                <w:t>2021 Long-Term Performance Incentive Plan</w:t>
              </w:r>
            </w:hyperlink>
          </w:p>
        </w:tc>
        <w:tc>
          <w:tcPr>
            <w:tcW w:w="1000" w:type="dxa"/>
            <w:vAlign w:val="bottom"/>
          </w:tcPr>
          <w:p>
            <w:pPr>
              <w:ind w:left="220"/>
              <w:spacing w:after="0"/>
              <w:rPr>
                <w:sz w:val="20"/>
                <w:szCs w:val="20"/>
                <w:color w:val="auto"/>
              </w:rPr>
            </w:pPr>
            <w:r>
              <w:rPr>
                <w:rFonts w:ascii="Arial" w:cs="Arial" w:eastAsia="Arial" w:hAnsi="Arial"/>
                <w:sz w:val="18"/>
                <w:szCs w:val="18"/>
                <w:color w:val="auto"/>
              </w:rPr>
              <w:t>10-Q</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001-38682</w:t>
            </w:r>
          </w:p>
        </w:tc>
        <w:tc>
          <w:tcPr>
            <w:tcW w:w="1220" w:type="dxa"/>
            <w:vAlign w:val="bottom"/>
          </w:tcPr>
          <w:p>
            <w:pPr>
              <w:ind w:left="480"/>
              <w:spacing w:after="0"/>
              <w:rPr>
                <w:sz w:val="20"/>
                <w:szCs w:val="20"/>
                <w:color w:val="auto"/>
              </w:rPr>
            </w:pPr>
            <w:r>
              <w:rPr>
                <w:rFonts w:ascii="Arial" w:cs="Arial" w:eastAsia="Arial" w:hAnsi="Arial"/>
                <w:sz w:val="18"/>
                <w:szCs w:val="18"/>
                <w:color w:val="auto"/>
              </w:rPr>
              <w:t>10.1</w:t>
            </w:r>
          </w:p>
        </w:tc>
        <w:tc>
          <w:tcPr>
            <w:tcW w:w="1240" w:type="dxa"/>
            <w:vAlign w:val="bottom"/>
          </w:tcPr>
          <w:p>
            <w:pPr>
              <w:ind w:left="440"/>
              <w:spacing w:after="0"/>
              <w:rPr>
                <w:sz w:val="20"/>
                <w:szCs w:val="20"/>
                <w:color w:val="auto"/>
              </w:rPr>
            </w:pPr>
            <w:r>
              <w:rPr>
                <w:rFonts w:ascii="Arial" w:cs="Arial" w:eastAsia="Arial" w:hAnsi="Arial"/>
                <w:sz w:val="18"/>
                <w:szCs w:val="18"/>
                <w:color w:val="auto"/>
                <w:w w:val="97"/>
              </w:rPr>
              <w:t>11/9/2021</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00" w:type="dxa"/>
            <w:vAlign w:val="bottom"/>
            <w:tcBorders>
              <w:right w:val="single" w:sz="8" w:color="0000EE"/>
            </w:tcBorders>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90"/>
        </w:trPr>
        <w:tc>
          <w:tcPr>
            <w:tcW w:w="1160" w:type="dxa"/>
            <w:vAlign w:val="bottom"/>
          </w:tcPr>
          <w:p>
            <w:pPr>
              <w:jc w:val="right"/>
              <w:ind w:right="670"/>
              <w:spacing w:after="0"/>
              <w:rPr>
                <w:sz w:val="20"/>
                <w:szCs w:val="20"/>
                <w:color w:val="auto"/>
              </w:rPr>
            </w:pPr>
            <w:r>
              <w:rPr>
                <w:rFonts w:ascii="Arial" w:cs="Arial" w:eastAsia="Arial" w:hAnsi="Arial"/>
                <w:sz w:val="18"/>
                <w:szCs w:val="18"/>
                <w:color w:val="auto"/>
                <w:w w:val="90"/>
              </w:rPr>
              <w:t>23.1*</w:t>
            </w:r>
          </w:p>
        </w:tc>
        <w:tc>
          <w:tcPr>
            <w:tcW w:w="4200" w:type="dxa"/>
            <w:vAlign w:val="bottom"/>
            <w:gridSpan w:val="15"/>
          </w:tcPr>
          <w:p>
            <w:pPr>
              <w:spacing w:after="0"/>
              <w:rPr>
                <w:rFonts w:ascii="Arial" w:cs="Arial" w:eastAsia="Arial" w:hAnsi="Arial"/>
                <w:sz w:val="18"/>
                <w:szCs w:val="18"/>
                <w:color w:val="0000FF"/>
                <w:w w:val="96"/>
              </w:rPr>
            </w:pPr>
            <w:hyperlink w:anchor="page125">
              <w:r>
                <w:rPr>
                  <w:rFonts w:ascii="Arial" w:cs="Arial" w:eastAsia="Arial" w:hAnsi="Arial"/>
                  <w:sz w:val="18"/>
                  <w:szCs w:val="18"/>
                  <w:color w:val="0000FF"/>
                  <w:w w:val="96"/>
                </w:rPr>
                <w:t>Consent of Independent Registered Public Accounting</w:t>
              </w:r>
            </w:hyperlink>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w:anchor="page125">
              <w:r>
                <w:rPr>
                  <w:rFonts w:ascii="Arial" w:cs="Arial" w:eastAsia="Arial" w:hAnsi="Arial"/>
                  <w:sz w:val="16"/>
                  <w:szCs w:val="16"/>
                  <w:color w:val="0000FF"/>
                  <w:w w:val="99"/>
                </w:rPr>
                <w:t>Firm</w:t>
              </w:r>
            </w:hyperlink>
          </w:p>
        </w:tc>
        <w:tc>
          <w:tcPr>
            <w:tcW w:w="20" w:type="dxa"/>
            <w:vAlign w:val="bottom"/>
            <w:tcBorders>
              <w:top w:val="single" w:sz="8" w:color="0000FF"/>
              <w:bottom w:val="single" w:sz="8" w:color="0000EE"/>
            </w:tcBorders>
          </w:tcPr>
          <w:p>
            <w:pPr>
              <w:spacing w:after="0"/>
              <w:rPr>
                <w:sz w:val="12"/>
                <w:szCs w:val="12"/>
                <w:color w:val="auto"/>
              </w:rPr>
            </w:pPr>
          </w:p>
        </w:tc>
        <w:tc>
          <w:tcPr>
            <w:tcW w:w="3600" w:type="dxa"/>
            <w:vAlign w:val="bottom"/>
            <w:tcBorders>
              <w:top w:val="single" w:sz="8" w:color="0000FF"/>
            </w:tcBorders>
            <w:gridSpan w:val="9"/>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90"/>
        </w:trPr>
        <w:tc>
          <w:tcPr>
            <w:tcW w:w="1160" w:type="dxa"/>
            <w:vAlign w:val="bottom"/>
          </w:tcPr>
          <w:p>
            <w:pPr>
              <w:jc w:val="right"/>
              <w:ind w:right="670"/>
              <w:spacing w:after="0"/>
              <w:rPr>
                <w:sz w:val="20"/>
                <w:szCs w:val="20"/>
                <w:color w:val="auto"/>
              </w:rPr>
            </w:pPr>
            <w:r>
              <w:rPr>
                <w:rFonts w:ascii="Arial" w:cs="Arial" w:eastAsia="Arial" w:hAnsi="Arial"/>
                <w:sz w:val="18"/>
                <w:szCs w:val="18"/>
                <w:color w:val="auto"/>
                <w:w w:val="90"/>
              </w:rPr>
              <w:t>24.1*</w:t>
            </w:r>
          </w:p>
        </w:tc>
        <w:tc>
          <w:tcPr>
            <w:tcW w:w="4200" w:type="dxa"/>
            <w:vAlign w:val="bottom"/>
            <w:gridSpan w:val="15"/>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Power of Attorney (included in signature page)</w:t>
              </w:r>
            </w:hyperlink>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8"/>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90"/>
        </w:trPr>
        <w:tc>
          <w:tcPr>
            <w:tcW w:w="1160" w:type="dxa"/>
            <w:vAlign w:val="bottom"/>
          </w:tcPr>
          <w:p>
            <w:pPr>
              <w:jc w:val="right"/>
              <w:ind w:right="670"/>
              <w:spacing w:after="0"/>
              <w:rPr>
                <w:sz w:val="20"/>
                <w:szCs w:val="20"/>
                <w:color w:val="auto"/>
              </w:rPr>
            </w:pPr>
            <w:r>
              <w:rPr>
                <w:rFonts w:ascii="Arial" w:cs="Arial" w:eastAsia="Arial" w:hAnsi="Arial"/>
                <w:sz w:val="18"/>
                <w:szCs w:val="18"/>
                <w:color w:val="auto"/>
                <w:w w:val="90"/>
              </w:rPr>
              <w:t>31.1*</w:t>
            </w:r>
          </w:p>
        </w:tc>
        <w:tc>
          <w:tcPr>
            <w:tcW w:w="4200" w:type="dxa"/>
            <w:vAlign w:val="bottom"/>
            <w:gridSpan w:val="15"/>
          </w:tcPr>
          <w:p>
            <w:pPr>
              <w:spacing w:after="0"/>
              <w:rPr>
                <w:rFonts w:ascii="Arial" w:cs="Arial" w:eastAsia="Arial" w:hAnsi="Arial"/>
                <w:sz w:val="18"/>
                <w:szCs w:val="18"/>
                <w:color w:val="0000FF"/>
                <w:w w:val="97"/>
              </w:rPr>
            </w:pPr>
            <w:hyperlink w:anchor="page126">
              <w:r>
                <w:rPr>
                  <w:rFonts w:ascii="Arial" w:cs="Arial" w:eastAsia="Arial" w:hAnsi="Arial"/>
                  <w:sz w:val="18"/>
                  <w:szCs w:val="18"/>
                  <w:color w:val="0000FF"/>
                  <w:w w:val="97"/>
                </w:rPr>
                <w:t>Certification of Principal Executive Officer Pursuant to</w:t>
              </w:r>
            </w:hyperlink>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30"/>
        </w:trPr>
        <w:tc>
          <w:tcPr>
            <w:tcW w:w="1160" w:type="dxa"/>
            <w:vAlign w:val="bottom"/>
          </w:tcPr>
          <w:p>
            <w:pPr>
              <w:spacing w:after="0"/>
              <w:rPr>
                <w:sz w:val="11"/>
                <w:szCs w:val="11"/>
                <w:color w:val="auto"/>
              </w:rPr>
            </w:pPr>
          </w:p>
        </w:tc>
        <w:tc>
          <w:tcPr>
            <w:tcW w:w="4020" w:type="dxa"/>
            <w:vAlign w:val="bottom"/>
            <w:tcBorders>
              <w:top w:val="single" w:sz="8" w:color="0000FF"/>
            </w:tcBorders>
            <w:gridSpan w:val="12"/>
          </w:tcPr>
          <w:p>
            <w:pPr>
              <w:spacing w:after="0" w:line="131" w:lineRule="exact"/>
              <w:rPr>
                <w:rFonts w:ascii="Arial" w:cs="Arial" w:eastAsia="Arial" w:hAnsi="Arial"/>
                <w:sz w:val="15"/>
                <w:szCs w:val="15"/>
                <w:u w:val="single" w:color="auto"/>
                <w:color w:val="0000FF"/>
              </w:rPr>
            </w:pPr>
            <w:hyperlink w:anchor="page126">
              <w:r>
                <w:rPr>
                  <w:rFonts w:ascii="Arial" w:cs="Arial" w:eastAsia="Arial" w:hAnsi="Arial"/>
                  <w:sz w:val="15"/>
                  <w:szCs w:val="15"/>
                  <w:u w:val="single" w:color="auto"/>
                  <w:color w:val="0000FF"/>
                </w:rPr>
                <w:t>Rules 13a-14(a) and 15d-14(a) under the Securities</w:t>
              </w:r>
            </w:hyperlink>
          </w:p>
        </w:tc>
        <w:tc>
          <w:tcPr>
            <w:tcW w:w="180" w:type="dxa"/>
            <w:vAlign w:val="bottom"/>
            <w:gridSpan w:val="3"/>
          </w:tcPr>
          <w:p>
            <w:pPr>
              <w:spacing w:after="0"/>
              <w:rPr>
                <w:sz w:val="11"/>
                <w:szCs w:val="11"/>
                <w:color w:val="auto"/>
              </w:rPr>
            </w:pPr>
          </w:p>
        </w:tc>
        <w:tc>
          <w:tcPr>
            <w:tcW w:w="10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ind w:left="1260"/>
        <w:spacing w:after="0" w:line="187" w:lineRule="auto"/>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Exchange Act of 1934, as Adopted Pursuant to Section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-93980</wp:posOffset>
            </wp:positionV>
            <wp:extent cx="23698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9">
                      <a:extLst>
                        <a:ext uri="{28A0092B-C50C-407E-A947-70E740481C1C}"/>
                      </a:extLst>
                    </a:blip>
                    <a:srcRect/>
                    <a:stretch>
                      <a:fillRect/>
                    </a:stretch>
                  </pic:blipFill>
                  <pic:spPr bwMode="auto">
                    <a:xfrm>
                      <a:off x="0" y="0"/>
                      <a:ext cx="2369820" cy="8890"/>
                    </a:xfrm>
                    <a:prstGeom prst="rect">
                      <a:avLst/>
                    </a:prstGeom>
                    <a:noFill/>
                  </pic:spPr>
                </pic:pic>
              </a:graphicData>
            </a:graphic>
          </wp:anchor>
        </w:drawing>
      </w:r>
    </w:p>
    <w:p>
      <w:pPr>
        <w:ind w:left="1260"/>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-123190</wp:posOffset>
            </wp:positionV>
            <wp:extent cx="25450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0">
                      <a:extLst>
                        <a:ext uri="{28A0092B-C50C-407E-A947-70E740481C1C}"/>
                      </a:extLst>
                    </a:blip>
                    <a:srcRect/>
                    <a:stretch>
                      <a:fillRect/>
                    </a:stretch>
                  </pic:blipFill>
                  <pic:spPr bwMode="auto">
                    <a:xfrm>
                      <a:off x="0" y="0"/>
                      <a:ext cx="2545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-20320</wp:posOffset>
            </wp:positionV>
            <wp:extent cx="18243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1">
                      <a:extLst>
                        <a:ext uri="{28A0092B-C50C-407E-A947-70E740481C1C}"/>
                      </a:extLst>
                    </a:blip>
                    <a:srcRect/>
                    <a:stretch>
                      <a:fillRect/>
                    </a:stretch>
                  </pic:blipFill>
                  <pic:spPr bwMode="auto">
                    <a:xfrm>
                      <a:off x="0" y="0"/>
                      <a:ext cx="1824355"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85"/>
        </w:trPr>
        <w:tc>
          <w:tcPr>
            <w:tcW w:w="112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83"/>
        </w:trPr>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9"/>
          </w:tcPr>
          <w:p>
            <w:pPr>
              <w:ind w:left="13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5"/>
                <w:szCs w:val="15"/>
                <w:color w:val="auto"/>
              </w:rPr>
            </w:pPr>
          </w:p>
        </w:tc>
        <w:tc>
          <w:tcPr>
            <w:tcW w:w="16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5"/>
                <w:szCs w:val="15"/>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Filing Date</w:t>
            </w:r>
          </w:p>
        </w:tc>
      </w:tr>
      <w:tr>
        <w:trPr>
          <w:trHeight w:val="257"/>
        </w:trPr>
        <w:tc>
          <w:tcPr>
            <w:tcW w:w="1120" w:type="dxa"/>
            <w:vAlign w:val="bottom"/>
          </w:tcPr>
          <w:p>
            <w:pPr>
              <w:ind w:left="1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2"/>
                <w:szCs w:val="22"/>
                <w:color w:val="auto"/>
              </w:rPr>
            </w:pPr>
          </w:p>
        </w:tc>
        <w:tc>
          <w:tcPr>
            <w:tcW w:w="4360" w:type="dxa"/>
            <w:vAlign w:val="bottom"/>
            <w:gridSpan w:val="12"/>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Certification of Principal Financial and Accounting</w:t>
              </w:r>
            </w:hyperlink>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48"/>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60" w:type="dxa"/>
            <w:vAlign w:val="bottom"/>
            <w:tcBorders>
              <w:top w:val="single" w:sz="8" w:color="0000FF"/>
            </w:tcBorders>
            <w:gridSpan w:val="5"/>
          </w:tcPr>
          <w:p>
            <w:pPr>
              <w:spacing w:after="0" w:line="149" w:lineRule="exact"/>
              <w:rPr>
                <w:rFonts w:ascii="Arial" w:cs="Arial" w:eastAsia="Arial" w:hAnsi="Arial"/>
                <w:sz w:val="17"/>
                <w:szCs w:val="17"/>
                <w:color w:val="0000FF"/>
                <w:w w:val="98"/>
              </w:rPr>
            </w:pPr>
            <w:hyperlink w:anchor="page127">
              <w:r>
                <w:rPr>
                  <w:rFonts w:ascii="Arial" w:cs="Arial" w:eastAsia="Arial" w:hAnsi="Arial"/>
                  <w:sz w:val="17"/>
                  <w:szCs w:val="17"/>
                  <w:color w:val="0000FF"/>
                  <w:w w:val="98"/>
                </w:rPr>
                <w:t>Officer Pursuant to Rules 13a-14(a) and 15d-14(a)</w:t>
              </w:r>
            </w:hyperlink>
          </w:p>
        </w:tc>
        <w:tc>
          <w:tcPr>
            <w:tcW w:w="600" w:type="dxa"/>
            <w:vAlign w:val="bottom"/>
            <w:gridSpan w:val="7"/>
          </w:tcPr>
          <w:p>
            <w:pPr>
              <w:spacing w:after="0" w:line="149" w:lineRule="exact"/>
              <w:rPr>
                <w:rFonts w:ascii="Arial" w:cs="Arial" w:eastAsia="Arial" w:hAnsi="Arial"/>
                <w:sz w:val="17"/>
                <w:szCs w:val="17"/>
                <w:color w:val="0000FF"/>
              </w:rPr>
            </w:pPr>
            <w:hyperlink w:anchor="page127">
              <w:r>
                <w:rPr>
                  <w:rFonts w:ascii="Arial" w:cs="Arial" w:eastAsia="Arial" w:hAnsi="Arial"/>
                  <w:sz w:val="17"/>
                  <w:szCs w:val="17"/>
                  <w:color w:val="0000FF"/>
                </w:rPr>
                <w:t>under</w:t>
              </w:r>
            </w:hyperlink>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8"/>
              </w:rPr>
            </w:pPr>
            <w:hyperlink w:anchor="page127">
              <w:r>
                <w:rPr>
                  <w:rFonts w:ascii="Arial" w:cs="Arial" w:eastAsia="Arial" w:hAnsi="Arial"/>
                  <w:sz w:val="16"/>
                  <w:szCs w:val="16"/>
                  <w:color w:val="0000FF"/>
                  <w:w w:val="98"/>
                </w:rPr>
                <w:t>the Securities Exchange Act of 1934, as Adopted Pursuant</w:t>
              </w:r>
            </w:hyperlink>
          </w:p>
        </w:tc>
        <w:tc>
          <w:tcPr>
            <w:tcW w:w="4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gridSpan w:val="10"/>
          </w:tcPr>
          <w:p>
            <w:pPr>
              <w:spacing w:after="0" w:line="142" w:lineRule="exact"/>
              <w:rPr>
                <w:rFonts w:ascii="Arial" w:cs="Arial" w:eastAsia="Arial" w:hAnsi="Arial"/>
                <w:sz w:val="16"/>
                <w:szCs w:val="16"/>
                <w:color w:val="0000FF"/>
              </w:rPr>
            </w:pPr>
            <w:hyperlink w:anchor="page127">
              <w:r>
                <w:rPr>
                  <w:rFonts w:ascii="Arial" w:cs="Arial" w:eastAsia="Arial" w:hAnsi="Arial"/>
                  <w:sz w:val="16"/>
                  <w:szCs w:val="16"/>
                  <w:color w:val="0000FF"/>
                </w:rPr>
                <w:t>to Section 302 of the Sarbanes-Oxley Act of 2002.</w:t>
              </w:r>
            </w:hyperlink>
          </w:p>
        </w:tc>
        <w:tc>
          <w:tcPr>
            <w:tcW w:w="14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120" w:type="dxa"/>
            <w:vAlign w:val="bottom"/>
          </w:tcPr>
          <w:p>
            <w:pPr>
              <w:ind w:left="1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FF"/>
                <w:w w:val="95"/>
              </w:rPr>
            </w:pPr>
            <w:hyperlink w:anchor="page128">
              <w:r>
                <w:rPr>
                  <w:rFonts w:ascii="Arial" w:cs="Arial" w:eastAsia="Arial" w:hAnsi="Arial"/>
                  <w:sz w:val="18"/>
                  <w:szCs w:val="18"/>
                  <w:color w:val="0000FF"/>
                  <w:w w:val="95"/>
                </w:rPr>
                <w:t>Certification of Principal Executive Officer Pursuant to 18</w:t>
              </w:r>
            </w:hyperlink>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w:anchor="page128">
              <w:r>
                <w:rPr>
                  <w:rFonts w:ascii="Arial" w:cs="Arial" w:eastAsia="Arial" w:hAnsi="Arial"/>
                  <w:sz w:val="16"/>
                  <w:szCs w:val="16"/>
                  <w:color w:val="0000FF"/>
                </w:rPr>
                <w:t>U.S.C. Section 1350, as Adopted Pursuant to Section 906</w:t>
              </w:r>
            </w:hyperlink>
          </w:p>
        </w:tc>
        <w:tc>
          <w:tcPr>
            <w:tcW w:w="14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8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128">
              <w:r>
                <w:rPr>
                  <w:rFonts w:ascii="Arial" w:cs="Arial" w:eastAsia="Arial" w:hAnsi="Arial"/>
                  <w:sz w:val="16"/>
                  <w:szCs w:val="16"/>
                  <w:color w:val="0000FF"/>
                </w:rPr>
                <w:t>of the Sarbanes-Oxley Act of 2002.</w:t>
              </w:r>
            </w:hyperlink>
          </w:p>
        </w:tc>
        <w:tc>
          <w:tcPr>
            <w:tcW w:w="180" w:type="dxa"/>
            <w:vAlign w:val="bottom"/>
            <w:gridSpan w:val="3"/>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120" w:type="dxa"/>
            <w:vAlign w:val="bottom"/>
          </w:tcPr>
          <w:p>
            <w:pPr>
              <w:ind w:left="1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3760" w:type="dxa"/>
            <w:vAlign w:val="bottom"/>
            <w:tcBorders>
              <w:bottom w:val="single" w:sz="8" w:color="0000FF"/>
            </w:tcBorders>
            <w:gridSpan w:val="5"/>
          </w:tcPr>
          <w:p>
            <w:pPr>
              <w:spacing w:after="0"/>
              <w:rPr>
                <w:rFonts w:ascii="Arial" w:cs="Arial" w:eastAsia="Arial" w:hAnsi="Arial"/>
                <w:sz w:val="18"/>
                <w:szCs w:val="18"/>
                <w:color w:val="0000FF"/>
                <w:w w:val="94"/>
              </w:rPr>
            </w:pPr>
            <w:hyperlink w:anchor="page129">
              <w:r>
                <w:rPr>
                  <w:rFonts w:ascii="Arial" w:cs="Arial" w:eastAsia="Arial" w:hAnsi="Arial"/>
                  <w:sz w:val="18"/>
                  <w:szCs w:val="18"/>
                  <w:color w:val="0000FF"/>
                  <w:w w:val="94"/>
                </w:rPr>
                <w:t>Certification of Principal Financial and Accounting</w:t>
              </w:r>
            </w:hyperlink>
          </w:p>
        </w:tc>
        <w:tc>
          <w:tcPr>
            <w:tcW w:w="600" w:type="dxa"/>
            <w:vAlign w:val="bottom"/>
            <w:gridSpan w:val="7"/>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60" w:type="dxa"/>
            <w:vAlign w:val="bottom"/>
            <w:gridSpan w:val="12"/>
          </w:tcPr>
          <w:p>
            <w:pPr>
              <w:spacing w:after="0" w:line="142" w:lineRule="exact"/>
              <w:rPr>
                <w:rFonts w:ascii="Arial" w:cs="Arial" w:eastAsia="Arial" w:hAnsi="Arial"/>
                <w:sz w:val="16"/>
                <w:szCs w:val="16"/>
                <w:color w:val="0000FF"/>
              </w:rPr>
            </w:pPr>
            <w:hyperlink w:anchor="page129">
              <w:r>
                <w:rPr>
                  <w:rFonts w:ascii="Arial" w:cs="Arial" w:eastAsia="Arial" w:hAnsi="Arial"/>
                  <w:sz w:val="16"/>
                  <w:szCs w:val="16"/>
                  <w:color w:val="0000FF"/>
                </w:rPr>
                <w:t>Officer Pursuant to 18 U.S.C. Section 1350, as Adopted</w:t>
              </w:r>
            </w:hyperlink>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8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129">
              <w:r>
                <w:rPr>
                  <w:rFonts w:ascii="Arial" w:cs="Arial" w:eastAsia="Arial" w:hAnsi="Arial"/>
                  <w:sz w:val="16"/>
                  <w:szCs w:val="16"/>
                  <w:color w:val="0000FF"/>
                </w:rPr>
                <w:t>Pursuant to Section 906 of the Sarbanes-Oxley Act of</w:t>
              </w:r>
            </w:hyperlink>
          </w:p>
        </w:tc>
        <w:tc>
          <w:tcPr>
            <w:tcW w:w="280" w:type="dxa"/>
            <w:vAlign w:val="bottom"/>
            <w:gridSpan w:val="5"/>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w:anchor="page129">
              <w:r>
                <w:rPr>
                  <w:rFonts w:ascii="Arial" w:cs="Arial" w:eastAsia="Arial" w:hAnsi="Arial"/>
                  <w:sz w:val="16"/>
                  <w:szCs w:val="16"/>
                  <w:color w:val="0000FF"/>
                  <w:w w:val="94"/>
                </w:rPr>
                <w:t>2002.</w:t>
              </w:r>
            </w:hyperlink>
          </w:p>
        </w:tc>
        <w:tc>
          <w:tcPr>
            <w:tcW w:w="20" w:type="dxa"/>
            <w:vAlign w:val="bottom"/>
            <w:tcBorders>
              <w:top w:val="single" w:sz="8" w:color="0000FF"/>
              <w:bottom w:val="single" w:sz="8" w:color="0000EE"/>
            </w:tcBorders>
          </w:tcPr>
          <w:p>
            <w:pPr>
              <w:spacing w:after="0"/>
              <w:rPr>
                <w:sz w:val="12"/>
                <w:szCs w:val="12"/>
                <w:color w:val="auto"/>
              </w:rPr>
            </w:pPr>
          </w:p>
        </w:tc>
        <w:tc>
          <w:tcPr>
            <w:tcW w:w="214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318"/>
        </w:trPr>
        <w:tc>
          <w:tcPr>
            <w:tcW w:w="11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0"/>
        </w:trPr>
        <w:tc>
          <w:tcPr>
            <w:tcW w:w="11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11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2"/>
                <w:szCs w:val="22"/>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w w:val="98"/>
              </w:rPr>
              <w:t>Inline XBRL Taxonomy Extension Calculation Linkbase</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9"/>
                <w:szCs w:val="19"/>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9"/>
                <w:szCs w:val="19"/>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9"/>
                <w:szCs w:val="19"/>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w w:val="96"/>
              </w:rPr>
              <w:t>Inline XBRL Taxonomy Extension Presentation Linkbase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 w:lineRule="exact"/>
        <w:rPr>
          <w:sz w:val="20"/>
          <w:szCs w:val="20"/>
          <w:color w:val="auto"/>
        </w:rPr>
      </w:pPr>
    </w:p>
    <w:p>
      <w:pPr>
        <w:spacing w:after="0" w:line="32" w:lineRule="exact"/>
        <w:rPr>
          <w:sz w:val="20"/>
          <w:szCs w:val="20"/>
          <w:color w:val="auto"/>
        </w:rPr>
      </w:pPr>
    </w:p>
    <w:p>
      <w:pPr>
        <w:ind w:left="1260" w:right="6160" w:hanging="1239"/>
        <w:spacing w:after="0" w:line="227" w:lineRule="auto"/>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95123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9" w:lineRule="exact"/>
        <w:rPr>
          <w:sz w:val="20"/>
          <w:szCs w:val="20"/>
          <w:color w:val="auto"/>
        </w:rPr>
      </w:pPr>
    </w:p>
    <w:p>
      <w:pPr>
        <w:ind w:right="40" w:firstLine="8"/>
        <w:spacing w:after="0" w:line="245" w:lineRule="auto"/>
        <w:tabs>
          <w:tab w:leader="none" w:pos="1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certifications attached as Exhibits 32.1 and 32.2 are deemed “furnished” and not deemed “filed” for purposes of Section 18 of the Securities Exchange Act of 1934 and are not to be incorporated by reference into any filing of Kodiak Sciences Inc.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KODIAK SCIENCES INC.</w:t>
      </w:r>
    </w:p>
    <w:p>
      <w:pPr>
        <w:spacing w:after="0" w:line="331" w:lineRule="exact"/>
        <w:rPr>
          <w:sz w:val="20"/>
          <w:szCs w:val="20"/>
          <w:color w:val="auto"/>
        </w:rPr>
      </w:pPr>
    </w:p>
    <w:p>
      <w:pPr>
        <w:ind w:left="1800"/>
        <w:spacing w:after="0"/>
        <w:tabs>
          <w:tab w:leader="none" w:pos="518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7"/>
          <w:szCs w:val="17"/>
          <w:color w:val="auto"/>
        </w:rPr>
        <w:t>By:</w:t>
      </w:r>
    </w:p>
    <w:p>
      <w:pPr>
        <w:ind w:left="7800"/>
        <w:spacing w:after="0"/>
        <w:rPr>
          <w:sz w:val="20"/>
          <w:szCs w:val="20"/>
          <w:color w:val="auto"/>
        </w:rPr>
      </w:pPr>
      <w:r>
        <w:rPr>
          <w:rFonts w:ascii="Arial" w:cs="Arial" w:eastAsia="Arial" w:hAnsi="Arial"/>
          <w:sz w:val="18"/>
          <w:szCs w:val="18"/>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-12065</wp:posOffset>
            </wp:positionV>
            <wp:extent cx="35490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18"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Victor Perlroth, M.D.</w:t>
      </w:r>
    </w:p>
    <w:p>
      <w:pPr>
        <w:spacing w:after="0" w:line="2"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Victor Perlroth and John Borgeson,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72"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19"/>
                <w:szCs w:val="19"/>
                <w:color w:val="auto"/>
              </w:rPr>
            </w:pPr>
          </w:p>
        </w:tc>
        <w:tc>
          <w:tcPr>
            <w:tcW w:w="482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372"/>
        </w:trPr>
        <w:tc>
          <w:tcPr>
            <w:tcW w:w="3380" w:type="dxa"/>
            <w:vAlign w:val="bottom"/>
          </w:tcPr>
          <w:p>
            <w:pPr>
              <w:ind w:left="20"/>
              <w:spacing w:after="0"/>
              <w:rPr>
                <w:sz w:val="20"/>
                <w:szCs w:val="20"/>
                <w:color w:val="auto"/>
              </w:rPr>
            </w:pPr>
            <w:r>
              <w:rPr>
                <w:rFonts w:ascii="Arial" w:cs="Arial" w:eastAsia="Arial" w:hAnsi="Arial"/>
                <w:sz w:val="18"/>
                <w:szCs w:val="18"/>
                <w:color w:val="auto"/>
              </w:rPr>
              <w:t>/s/ Victor Perlroth</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120" w:type="dxa"/>
            <w:vAlign w:val="bottom"/>
          </w:tcPr>
          <w:p>
            <w:pPr>
              <w:spacing w:after="0"/>
              <w:rPr>
                <w:sz w:val="24"/>
                <w:szCs w:val="24"/>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20" w:type="dxa"/>
            <w:vAlign w:val="bottom"/>
          </w:tcPr>
          <w:p>
            <w:pPr>
              <w:spacing w:after="0"/>
              <w:rPr>
                <w:sz w:val="2"/>
                <w:szCs w:val="2"/>
                <w:color w:val="auto"/>
              </w:rPr>
            </w:pPr>
          </w:p>
        </w:tc>
        <w:tc>
          <w:tcPr>
            <w:tcW w:w="2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Victor Perlroth, M.D.</w:t>
            </w:r>
          </w:p>
        </w:tc>
        <w:tc>
          <w:tcPr>
            <w:tcW w:w="12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3380" w:type="dxa"/>
            <w:vAlign w:val="bottom"/>
          </w:tcPr>
          <w:p>
            <w:pPr>
              <w:ind w:left="20"/>
              <w:spacing w:after="0"/>
              <w:rPr>
                <w:sz w:val="20"/>
                <w:szCs w:val="20"/>
                <w:color w:val="auto"/>
              </w:rPr>
            </w:pPr>
            <w:r>
              <w:rPr>
                <w:rFonts w:ascii="Arial" w:cs="Arial" w:eastAsia="Arial" w:hAnsi="Arial"/>
                <w:sz w:val="18"/>
                <w:szCs w:val="18"/>
                <w:color w:val="auto"/>
              </w:rPr>
              <w:t>/s/ John Borgeson</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John Borgeson</w:t>
            </w:r>
          </w:p>
        </w:tc>
        <w:tc>
          <w:tcPr>
            <w:tcW w:w="120" w:type="dxa"/>
            <w:vAlign w:val="bottom"/>
          </w:tcPr>
          <w:p>
            <w:pPr>
              <w:spacing w:after="0"/>
              <w:rPr>
                <w:sz w:val="19"/>
                <w:szCs w:val="19"/>
                <w:color w:val="auto"/>
              </w:rPr>
            </w:pPr>
          </w:p>
        </w:tc>
        <w:tc>
          <w:tcPr>
            <w:tcW w:w="4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Felix J. Baker</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Felix J. Baker, Ph.D.</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Bancroft</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Charles Bancroft</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Bassil I. Dahiyat</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Bassil I. Dahiyat, Ph.D.</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S. Levy</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Richard S. Levy, M.D.</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A. Profusek</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Robert A. Profusek, J.D.</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Taiyin Yang</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Taiyin Yang, Ph.D.</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7"/>
        </w:trPr>
        <w:tc>
          <w:tcPr>
            <w:tcW w:w="3380" w:type="dxa"/>
            <w:vAlign w:val="bottom"/>
          </w:tcPr>
          <w:p>
            <w:pPr>
              <w:spacing w:after="0"/>
              <w:rPr>
                <w:sz w:val="24"/>
                <w:szCs w:val="24"/>
                <w:color w:val="auto"/>
              </w:rPr>
            </w:pPr>
          </w:p>
        </w:tc>
        <w:tc>
          <w:tcPr>
            <w:tcW w:w="4940" w:type="dxa"/>
            <w:vAlign w:val="bottom"/>
            <w:gridSpan w:val="2"/>
          </w:tcPr>
          <w:p>
            <w:pPr>
              <w:jc w:val="right"/>
              <w:ind w:right="247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10.16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KODIAK SCIENCES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OUTSIDE DIRECTOR COMPENSATION POLICY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by the Board of Directors: September 29, 2021</w:t>
      </w:r>
    </w:p>
    <w:p>
      <w:pPr>
        <w:spacing w:after="0" w:line="20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Kodiak Sciences Inc. (the “</w:t>
      </w:r>
      <w:r>
        <w:rPr>
          <w:rFonts w:ascii="Arial" w:cs="Arial" w:eastAsia="Arial" w:hAnsi="Arial"/>
          <w:sz w:val="18"/>
          <w:szCs w:val="18"/>
          <w:b w:val="1"/>
          <w:bCs w:val="1"/>
          <w:color w:val="auto"/>
        </w:rPr>
        <w:t>Company</w:t>
      </w:r>
      <w:r>
        <w:rPr>
          <w:rFonts w:ascii="Arial" w:cs="Arial" w:eastAsia="Arial" w:hAnsi="Arial"/>
          <w:sz w:val="18"/>
          <w:szCs w:val="18"/>
          <w:color w:val="auto"/>
        </w:rPr>
        <w:t>”) believes that granting equity and cash compensation to members of its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and members of the Board, the “</w:t>
      </w:r>
      <w:r>
        <w:rPr>
          <w:rFonts w:ascii="Arial" w:cs="Arial" w:eastAsia="Arial" w:hAnsi="Arial"/>
          <w:sz w:val="18"/>
          <w:szCs w:val="18"/>
          <w:b w:val="1"/>
          <w:bCs w:val="1"/>
          <w:color w:val="auto"/>
        </w:rPr>
        <w:t>Directors</w:t>
      </w:r>
      <w:r>
        <w:rPr>
          <w:rFonts w:ascii="Arial" w:cs="Arial" w:eastAsia="Arial" w:hAnsi="Arial"/>
          <w:sz w:val="18"/>
          <w:szCs w:val="18"/>
          <w:color w:val="auto"/>
        </w:rPr>
        <w:t>”) represents an effective tool to attract, retain, and reward Directors who are not employees of the Company (the “</w:t>
      </w:r>
      <w:r>
        <w:rPr>
          <w:rFonts w:ascii="Arial" w:cs="Arial" w:eastAsia="Arial" w:hAnsi="Arial"/>
          <w:sz w:val="18"/>
          <w:szCs w:val="18"/>
          <w:b w:val="1"/>
          <w:bCs w:val="1"/>
          <w:color w:val="auto"/>
        </w:rPr>
        <w:t>Outside Directors</w:t>
      </w:r>
      <w:r>
        <w:rPr>
          <w:rFonts w:ascii="Arial" w:cs="Arial" w:eastAsia="Arial" w:hAnsi="Arial"/>
          <w:sz w:val="18"/>
          <w:szCs w:val="18"/>
          <w:color w:val="auto"/>
        </w:rPr>
        <w:t>”). This Outside Director Compensation Policy (the “</w:t>
      </w:r>
      <w:r>
        <w:rPr>
          <w:rFonts w:ascii="Arial" w:cs="Arial" w:eastAsia="Arial" w:hAnsi="Arial"/>
          <w:sz w:val="18"/>
          <w:szCs w:val="18"/>
          <w:b w:val="1"/>
          <w:bCs w:val="1"/>
          <w:color w:val="auto"/>
        </w:rPr>
        <w:t>Policy</w:t>
      </w:r>
      <w:r>
        <w:rPr>
          <w:rFonts w:ascii="Arial" w:cs="Arial" w:eastAsia="Arial" w:hAnsi="Arial"/>
          <w:sz w:val="18"/>
          <w:szCs w:val="18"/>
          <w:color w:val="auto"/>
        </w:rPr>
        <w:t>”) formalizes the Company’s policy regarding cash compensation and grants of equity to its Outside Directors. Unless otherwise defined in this Policy, any capitalized terms used in this Policy will have the meaning given such term in the Company’s 2018 Equity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or if the Plan is no longer in use at the time of an equity award, the meaning given such term or any similar term in the equity plan then in place under which such equity award is granted. Each Outside Director will be solely responsible for any tax obligations incurred by such Outside Director as a result of the equity and cash payments such Outside Director receives under this Policy.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This Policy, as amended and restated by the Board on September 29, 2021, is effective as of October 1, 2021.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u w:val="single" w:color="auto"/>
          <w:color w:val="auto"/>
        </w:rPr>
        <w:t>Cash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Cash Retainer</w:t>
      </w:r>
    </w:p>
    <w:p>
      <w:pPr>
        <w:spacing w:after="0" w:line="20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Each Outside Director will be paid an annual cash retainer of $45,000. There are no per-meeting attendance fees for attending Board meetings or meetings of any committee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Non-Executive Chair, Committee Chair and Committee Member Annual Cash Retainer</w:t>
      </w:r>
    </w:p>
    <w:p>
      <w:pPr>
        <w:spacing w:after="0" w:line="202"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Each Outside Director who serves as the non-executive Chair of the Board, Lead Director, chair of a committee of the Board, or member of a committee of the Board will be eligible to earn additional annual cash retainers as follows:</w:t>
      </w:r>
    </w:p>
    <w:p>
      <w:pPr>
        <w:spacing w:after="0" w:line="177" w:lineRule="exact"/>
        <w:rPr>
          <w:sz w:val="20"/>
          <w:szCs w:val="20"/>
          <w:color w:val="auto"/>
        </w:rPr>
      </w:pPr>
    </w:p>
    <w:tbl>
      <w:tblPr>
        <w:tblLayout w:type="fixed"/>
        <w:tblInd w:w="1500" w:type="dxa"/>
        <w:tblCellMar>
          <w:top w:w="0" w:type="dxa"/>
          <w:left w:w="0" w:type="dxa"/>
          <w:bottom w:w="0" w:type="dxa"/>
          <w:right w:w="0" w:type="dxa"/>
        </w:tblCellMar>
      </w:tblPr>
      <w:tr>
        <w:trPr>
          <w:trHeight w:val="250"/>
        </w:trPr>
        <w:tc>
          <w:tcPr>
            <w:tcW w:w="3100" w:type="dxa"/>
            <w:vAlign w:val="bottom"/>
            <w:gridSpan w:val="2"/>
          </w:tcPr>
          <w:p>
            <w:pPr>
              <w:spacing w:after="0"/>
              <w:rPr>
                <w:sz w:val="20"/>
                <w:szCs w:val="20"/>
                <w:color w:val="auto"/>
              </w:rPr>
            </w:pPr>
            <w:r>
              <w:rPr>
                <w:rFonts w:ascii="Arial" w:cs="Arial" w:eastAsia="Arial" w:hAnsi="Arial"/>
                <w:sz w:val="20"/>
                <w:szCs w:val="20"/>
                <w:color w:val="auto"/>
              </w:rPr>
              <w:t>Non-Executive Chair of the Board:</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96"/>
              </w:rPr>
              <w:t>$30,000</w:t>
            </w:r>
          </w:p>
        </w:tc>
        <w:tc>
          <w:tcPr>
            <w:tcW w:w="980" w:type="dxa"/>
            <w:vAlign w:val="bottom"/>
          </w:tcPr>
          <w:p>
            <w:pPr>
              <w:spacing w:after="0"/>
              <w:rPr>
                <w:sz w:val="21"/>
                <w:szCs w:val="21"/>
                <w:color w:val="auto"/>
              </w:rPr>
            </w:pPr>
          </w:p>
        </w:tc>
      </w:tr>
      <w:tr>
        <w:trPr>
          <w:trHeight w:val="432"/>
        </w:trPr>
        <w:tc>
          <w:tcPr>
            <w:tcW w:w="2580" w:type="dxa"/>
            <w:vAlign w:val="bottom"/>
          </w:tcPr>
          <w:p>
            <w:pPr>
              <w:spacing w:after="0"/>
              <w:rPr>
                <w:sz w:val="20"/>
                <w:szCs w:val="20"/>
                <w:color w:val="auto"/>
              </w:rPr>
            </w:pPr>
            <w:r>
              <w:rPr>
                <w:rFonts w:ascii="Arial" w:cs="Arial" w:eastAsia="Arial" w:hAnsi="Arial"/>
                <w:sz w:val="20"/>
                <w:szCs w:val="20"/>
                <w:color w:val="auto"/>
              </w:rPr>
              <w:t>Lead Director: $24,000</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100" w:type="dxa"/>
            <w:vAlign w:val="bottom"/>
            <w:gridSpan w:val="2"/>
          </w:tcPr>
          <w:p>
            <w:pPr>
              <w:spacing w:after="0"/>
              <w:rPr>
                <w:sz w:val="20"/>
                <w:szCs w:val="20"/>
                <w:color w:val="auto"/>
              </w:rPr>
            </w:pPr>
            <w:r>
              <w:rPr>
                <w:rFonts w:ascii="Arial" w:cs="Arial" w:eastAsia="Arial" w:hAnsi="Arial"/>
                <w:sz w:val="20"/>
                <w:szCs w:val="20"/>
                <w:color w:val="auto"/>
                <w:w w:val="96"/>
              </w:rPr>
              <w:t>Chair of Audit Committee:   $20,000</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8"/>
        </w:trPr>
        <w:tc>
          <w:tcPr>
            <w:tcW w:w="2580" w:type="dxa"/>
            <w:vAlign w:val="bottom"/>
          </w:tcPr>
          <w:p>
            <w:pPr>
              <w:spacing w:after="0"/>
              <w:rPr>
                <w:sz w:val="20"/>
                <w:szCs w:val="20"/>
                <w:color w:val="auto"/>
              </w:rPr>
            </w:pPr>
            <w:r>
              <w:rPr>
                <w:rFonts w:ascii="Arial" w:cs="Arial" w:eastAsia="Arial" w:hAnsi="Arial"/>
                <w:sz w:val="20"/>
                <w:szCs w:val="20"/>
                <w:color w:val="auto"/>
              </w:rPr>
              <w:t>Member of Audit Committee:</w:t>
            </w:r>
          </w:p>
        </w:tc>
        <w:tc>
          <w:tcPr>
            <w:tcW w:w="1440" w:type="dxa"/>
            <w:vAlign w:val="bottom"/>
            <w:gridSpan w:val="2"/>
          </w:tcPr>
          <w:p>
            <w:pPr>
              <w:jc w:val="right"/>
              <w:ind w:right="501"/>
              <w:spacing w:after="0"/>
              <w:rPr>
                <w:sz w:val="20"/>
                <w:szCs w:val="20"/>
                <w:color w:val="auto"/>
              </w:rPr>
            </w:pPr>
            <w:r>
              <w:rPr>
                <w:rFonts w:ascii="Arial" w:cs="Arial" w:eastAsia="Arial" w:hAnsi="Arial"/>
                <w:sz w:val="20"/>
                <w:szCs w:val="20"/>
                <w:color w:val="auto"/>
              </w:rPr>
              <w:t>$10,000</w:t>
            </w:r>
          </w:p>
        </w:tc>
        <w:tc>
          <w:tcPr>
            <w:tcW w:w="980" w:type="dxa"/>
            <w:vAlign w:val="bottom"/>
          </w:tcPr>
          <w:p>
            <w:pPr>
              <w:spacing w:after="0"/>
              <w:rPr>
                <w:sz w:val="24"/>
                <w:szCs w:val="24"/>
                <w:color w:val="auto"/>
              </w:rPr>
            </w:pPr>
          </w:p>
        </w:tc>
      </w:tr>
      <w:tr>
        <w:trPr>
          <w:trHeight w:val="250"/>
        </w:trPr>
        <w:tc>
          <w:tcPr>
            <w:tcW w:w="2580" w:type="dxa"/>
            <w:vAlign w:val="bottom"/>
          </w:tcPr>
          <w:p>
            <w:pPr>
              <w:spacing w:after="0"/>
              <w:rPr>
                <w:sz w:val="20"/>
                <w:szCs w:val="20"/>
                <w:color w:val="auto"/>
              </w:rPr>
            </w:pPr>
            <w:r>
              <w:rPr>
                <w:rFonts w:ascii="Arial" w:cs="Arial" w:eastAsia="Arial" w:hAnsi="Arial"/>
                <w:sz w:val="20"/>
                <w:szCs w:val="20"/>
                <w:color w:val="auto"/>
              </w:rPr>
              <w:t>(excluding Committee Chair)</w:t>
            </w: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32"/>
        </w:trPr>
        <w:tc>
          <w:tcPr>
            <w:tcW w:w="3100" w:type="dxa"/>
            <w:vAlign w:val="bottom"/>
            <w:gridSpan w:val="2"/>
          </w:tcPr>
          <w:p>
            <w:pPr>
              <w:spacing w:after="0"/>
              <w:rPr>
                <w:sz w:val="20"/>
                <w:szCs w:val="20"/>
                <w:color w:val="auto"/>
              </w:rPr>
            </w:pPr>
            <w:r>
              <w:rPr>
                <w:rFonts w:ascii="Arial" w:cs="Arial" w:eastAsia="Arial" w:hAnsi="Arial"/>
                <w:sz w:val="20"/>
                <w:szCs w:val="20"/>
                <w:color w:val="auto"/>
                <w:w w:val="98"/>
              </w:rPr>
              <w:t>Chair of Compensation Committee:</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96"/>
              </w:rPr>
              <w:t>$15,000</w:t>
            </w:r>
          </w:p>
        </w:tc>
        <w:tc>
          <w:tcPr>
            <w:tcW w:w="980" w:type="dxa"/>
            <w:vAlign w:val="bottom"/>
          </w:tcPr>
          <w:p>
            <w:pPr>
              <w:spacing w:after="0"/>
              <w:rPr>
                <w:sz w:val="24"/>
                <w:szCs w:val="24"/>
                <w:color w:val="auto"/>
              </w:rPr>
            </w:pPr>
          </w:p>
        </w:tc>
      </w:tr>
      <w:tr>
        <w:trPr>
          <w:trHeight w:val="398"/>
        </w:trPr>
        <w:tc>
          <w:tcPr>
            <w:tcW w:w="4020" w:type="dxa"/>
            <w:vAlign w:val="bottom"/>
            <w:gridSpan w:val="3"/>
          </w:tcPr>
          <w:p>
            <w:pPr>
              <w:spacing w:after="0"/>
              <w:rPr>
                <w:sz w:val="20"/>
                <w:szCs w:val="20"/>
                <w:color w:val="auto"/>
              </w:rPr>
            </w:pPr>
            <w:r>
              <w:rPr>
                <w:rFonts w:ascii="Arial" w:cs="Arial" w:eastAsia="Arial" w:hAnsi="Arial"/>
                <w:sz w:val="20"/>
                <w:szCs w:val="20"/>
                <w:color w:val="auto"/>
                <w:w w:val="98"/>
              </w:rPr>
              <w:t>Member of Compensation Committee: $7,500</w:t>
            </w:r>
          </w:p>
        </w:tc>
        <w:tc>
          <w:tcPr>
            <w:tcW w:w="980" w:type="dxa"/>
            <w:vAlign w:val="bottom"/>
          </w:tcPr>
          <w:p>
            <w:pPr>
              <w:spacing w:after="0"/>
              <w:rPr>
                <w:sz w:val="24"/>
                <w:szCs w:val="24"/>
                <w:color w:val="auto"/>
              </w:rPr>
            </w:pPr>
          </w:p>
        </w:tc>
      </w:tr>
      <w:tr>
        <w:trPr>
          <w:trHeight w:val="250"/>
        </w:trPr>
        <w:tc>
          <w:tcPr>
            <w:tcW w:w="2580" w:type="dxa"/>
            <w:vAlign w:val="bottom"/>
          </w:tcPr>
          <w:p>
            <w:pPr>
              <w:spacing w:after="0"/>
              <w:rPr>
                <w:sz w:val="20"/>
                <w:szCs w:val="20"/>
                <w:color w:val="auto"/>
              </w:rPr>
            </w:pPr>
            <w:r>
              <w:rPr>
                <w:rFonts w:ascii="Arial" w:cs="Arial" w:eastAsia="Arial" w:hAnsi="Arial"/>
                <w:sz w:val="20"/>
                <w:szCs w:val="20"/>
                <w:color w:val="auto"/>
              </w:rPr>
              <w:t>(excluding Committee Chair)</w:t>
            </w: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98"/>
        </w:trPr>
        <w:tc>
          <w:tcPr>
            <w:tcW w:w="4020" w:type="dxa"/>
            <w:vAlign w:val="bottom"/>
            <w:gridSpan w:val="3"/>
          </w:tcPr>
          <w:p>
            <w:pPr>
              <w:spacing w:after="0"/>
              <w:rPr>
                <w:sz w:val="20"/>
                <w:szCs w:val="20"/>
                <w:color w:val="auto"/>
              </w:rPr>
            </w:pPr>
            <w:r>
              <w:rPr>
                <w:rFonts w:ascii="Arial" w:cs="Arial" w:eastAsia="Arial" w:hAnsi="Arial"/>
                <w:sz w:val="20"/>
                <w:szCs w:val="20"/>
                <w:color w:val="auto"/>
                <w:w w:val="91"/>
              </w:rPr>
              <w:t>Chair of Nominating and Governance Committee:</w:t>
            </w:r>
          </w:p>
        </w:tc>
        <w:tc>
          <w:tcPr>
            <w:tcW w:w="980" w:type="dxa"/>
            <w:vAlign w:val="bottom"/>
          </w:tcPr>
          <w:p>
            <w:pPr>
              <w:jc w:val="right"/>
              <w:spacing w:after="0"/>
              <w:rPr>
                <w:sz w:val="20"/>
                <w:szCs w:val="20"/>
                <w:color w:val="auto"/>
              </w:rPr>
            </w:pPr>
            <w:r>
              <w:rPr>
                <w:rFonts w:ascii="Arial" w:cs="Arial" w:eastAsia="Arial" w:hAnsi="Arial"/>
                <w:sz w:val="20"/>
                <w:szCs w:val="20"/>
                <w:color w:val="auto"/>
              </w:rPr>
              <w:t>$10,000</w:t>
            </w:r>
          </w:p>
        </w:tc>
      </w:tr>
      <w:tr>
        <w:trPr>
          <w:trHeight w:val="250"/>
        </w:trPr>
        <w:tc>
          <w:tcPr>
            <w:tcW w:w="2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jc w:val="right"/>
              <w:ind w:right="721"/>
              <w:spacing w:after="0"/>
              <w:rPr>
                <w:sz w:val="20"/>
                <w:szCs w:val="20"/>
                <w:color w:val="auto"/>
              </w:rPr>
            </w:pPr>
            <w:r>
              <w:rPr>
                <w:rFonts w:ascii="Arial" w:cs="Arial" w:eastAsia="Arial" w:hAnsi="Arial"/>
                <w:sz w:val="20"/>
                <w:szCs w:val="20"/>
                <w:color w:val="auto"/>
              </w:rPr>
              <w:t>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260431957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1" w:name="page122"/>
    <w:bookmarkEnd w:id="121"/>
    <w:p>
      <w:pPr>
        <w:ind w:left="1500"/>
        <w:spacing w:after="0"/>
        <w:rPr>
          <w:sz w:val="20"/>
          <w:szCs w:val="20"/>
          <w:color w:val="auto"/>
        </w:rPr>
      </w:pPr>
      <w:r>
        <w:rPr>
          <w:rFonts w:ascii="Arial" w:cs="Arial" w:eastAsia="Arial" w:hAnsi="Arial"/>
          <w:sz w:val="20"/>
          <w:szCs w:val="20"/>
          <w:color w:val="auto"/>
        </w:rPr>
        <w:t>Member of Nominating and Governance Committee:  $5,000</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(excluding Committee Chair)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Payment</w:t>
      </w:r>
    </w:p>
    <w:p>
      <w:pPr>
        <w:spacing w:after="0" w:line="20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8"/>
          <w:szCs w:val="18"/>
          <w:color w:val="auto"/>
        </w:rPr>
        <w:t>Each annual cash retainer under this Policy will be paid quarterly in arrears on a prorated basis to each Outside Director who has served in the relevant capacity at any point during the immediately preceding fiscal quarter, and such payment shall be made no later than thirty (30) days following the end of such immediately preceding fiscal quarter. For purposes of clarification, an Outside Director who has served as an Outside Director, as a member of an applicable committee (or chair thereof) during only a portion of the relevant Company fiscal quarter will receive a prorated payment of the quarterly payment of the applicable annual cash retainer(s), calculated based on the number of days during such fiscal quarter such Outside Director has served in the relevant capacities.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2.</w:t>
      </w:r>
      <w:r>
        <w:rPr>
          <w:rFonts w:ascii="Arial" w:cs="Arial" w:eastAsia="Arial" w:hAnsi="Arial"/>
          <w:sz w:val="20"/>
          <w:szCs w:val="20"/>
          <w:b w:val="1"/>
          <w:bCs w:val="1"/>
          <w:u w:val="single" w:color="auto"/>
          <w:color w:val="auto"/>
        </w:rPr>
        <w:t>Equity Compensation</w:t>
      </w:r>
    </w:p>
    <w:p>
      <w:pPr>
        <w:spacing w:after="0" w:line="208"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Outside Directors may receive any Awards (except Incentive Stock Options) under the Plan (or the applicable equity plan in place at the time of grant), including discretionary Awards not covered under this Policy. All grants of Awards to Outside Directors under this Section 2 will be automatic and nondiscretionary, except as otherwise provided herein, and will be made in accordance with the following provisions and all other provisions of the Plan that are not inconsistent with this Policy:</w:t>
      </w:r>
    </w:p>
    <w:p>
      <w:pPr>
        <w:spacing w:after="0" w:line="183" w:lineRule="exact"/>
        <w:rPr>
          <w:sz w:val="20"/>
          <w:szCs w:val="20"/>
          <w:color w:val="auto"/>
        </w:rPr>
      </w:pPr>
    </w:p>
    <w:p>
      <w:pPr>
        <w:jc w:val="both"/>
        <w:ind w:firstLine="757"/>
        <w:spacing w:after="0" w:line="233" w:lineRule="auto"/>
        <w:tabs>
          <w:tab w:leader="none" w:pos="149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Initial Awards</w:t>
      </w:r>
      <w:r>
        <w:rPr>
          <w:rFonts w:ascii="Arial" w:cs="Arial" w:eastAsia="Arial" w:hAnsi="Arial"/>
          <w:sz w:val="19"/>
          <w:szCs w:val="19"/>
          <w:color w:val="auto"/>
        </w:rPr>
        <w:t>. Subject to Section 11 of the Plan, each person who first becomes an Outside Director automatically will be granted a Nonstatutory Stock Option with a Value of $905,800 (the “</w:t>
      </w:r>
      <w:r>
        <w:rPr>
          <w:rFonts w:ascii="Arial" w:cs="Arial" w:eastAsia="Arial" w:hAnsi="Arial"/>
          <w:sz w:val="19"/>
          <w:szCs w:val="19"/>
          <w:b w:val="1"/>
          <w:bCs w:val="1"/>
          <w:color w:val="auto"/>
        </w:rPr>
        <w:t>Initial Award</w:t>
      </w:r>
      <w:r>
        <w:rPr>
          <w:rFonts w:ascii="Arial" w:cs="Arial" w:eastAsia="Arial" w:hAnsi="Arial"/>
          <w:sz w:val="19"/>
          <w:szCs w:val="19"/>
          <w:color w:val="auto"/>
        </w:rPr>
        <w:t>”), which grant will be effective on the first trading date on or after the date on which such person first becomes an Outside Director, whether through election by the stockholders of the Company or appointment by the Board to fill a vacancy; provided, however, that the number of Shares covered by an Initial Award will be rounded down to the nearest whole Share. Notwithstanding the foregoing, a Director who was an Employee (an “</w:t>
      </w:r>
      <w:r>
        <w:rPr>
          <w:rFonts w:ascii="Arial" w:cs="Arial" w:eastAsia="Arial" w:hAnsi="Arial"/>
          <w:sz w:val="19"/>
          <w:szCs w:val="19"/>
          <w:b w:val="1"/>
          <w:bCs w:val="1"/>
          <w:color w:val="auto"/>
        </w:rPr>
        <w:t>Inside Director</w:t>
      </w:r>
      <w:r>
        <w:rPr>
          <w:rFonts w:ascii="Arial" w:cs="Arial" w:eastAsia="Arial" w:hAnsi="Arial"/>
          <w:sz w:val="19"/>
          <w:szCs w:val="19"/>
          <w:color w:val="auto"/>
        </w:rPr>
        <w:t>”) who ceases to be an Inside Director, but who remains a Director, will not receive an Initial Award. Subject to Section 4 below and Section 14 of the Plan, each Initial Award will vest and become exercisable as to 1/3 of the Shares subject to the Initial Award on the one (1)-year anniversary of the date of grant and as to 1/36</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Shares subject to the Initial Award on each month thereafter on the same day of the month as the grant date (and if there is no corresponding day, on the last day of the month), in each case, provided that the Outside Director continues to serve as an Outside Director through the applicable vesting date.</w:t>
      </w:r>
    </w:p>
    <w:p>
      <w:pPr>
        <w:spacing w:after="0" w:line="187" w:lineRule="exact"/>
        <w:rPr>
          <w:rFonts w:ascii="Arial" w:cs="Arial" w:eastAsia="Arial" w:hAnsi="Arial"/>
          <w:sz w:val="19"/>
          <w:szCs w:val="19"/>
          <w:color w:val="auto"/>
        </w:rPr>
      </w:pPr>
    </w:p>
    <w:p>
      <w:pPr>
        <w:jc w:val="both"/>
        <w:ind w:firstLine="757"/>
        <w:spacing w:after="0" w:line="218" w:lineRule="exact"/>
        <w:tabs>
          <w:tab w:leader="none" w:pos="149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Annual Awards</w:t>
      </w:r>
      <w:r>
        <w:rPr>
          <w:rFonts w:ascii="Arial" w:cs="Arial" w:eastAsia="Arial" w:hAnsi="Arial"/>
          <w:sz w:val="18"/>
          <w:szCs w:val="18"/>
          <w:color w:val="auto"/>
        </w:rPr>
        <w:t>. Subject to Section 11 of the Plan, each Outside Director automatically will be granted a Nonstatutory Stock Option (an “</w:t>
      </w:r>
      <w:r>
        <w:rPr>
          <w:rFonts w:ascii="Arial" w:cs="Arial" w:eastAsia="Arial" w:hAnsi="Arial"/>
          <w:sz w:val="18"/>
          <w:szCs w:val="18"/>
          <w:b w:val="1"/>
          <w:bCs w:val="1"/>
          <w:color w:val="auto"/>
        </w:rPr>
        <w:t>Annual Award</w:t>
      </w:r>
      <w:r>
        <w:rPr>
          <w:rFonts w:ascii="Arial" w:cs="Arial" w:eastAsia="Arial" w:hAnsi="Arial"/>
          <w:sz w:val="18"/>
          <w:szCs w:val="18"/>
          <w:color w:val="auto"/>
        </w:rPr>
        <w:t>”) with a Value of $466,200; provided that the number of Shares covered by each Annual Award will be rounded down to the nearest whole Share, which grant will be effective on June 30 (or, if June 30 is not a trading day, the trading day preceding June 30) of the applicable year (the “</w:t>
      </w:r>
      <w:r>
        <w:rPr>
          <w:rFonts w:ascii="Arial" w:cs="Arial" w:eastAsia="Arial" w:hAnsi="Arial"/>
          <w:sz w:val="18"/>
          <w:szCs w:val="18"/>
          <w:b w:val="1"/>
          <w:bCs w:val="1"/>
          <w:color w:val="auto"/>
        </w:rPr>
        <w:t>Grant Date</w:t>
      </w:r>
      <w:r>
        <w:rPr>
          <w:rFonts w:ascii="Arial" w:cs="Arial" w:eastAsia="Arial" w:hAnsi="Arial"/>
          <w:sz w:val="18"/>
          <w:szCs w:val="18"/>
          <w:color w:val="auto"/>
        </w:rPr>
        <w:t>”), if, as of such Grant Date, he or she will have served on the Board as a Director for at least the preceding twelve (12) months. Each Outside Director who has served on the Board as a Director for less than twelve (12) months preceding such Grant Date will receive a prorated award based on the number of days during the prior twelve (12) months such Outside Director has served on the Board as a Director. Notwithstanding the foregoing, any Outside Director who is not continuing as a Director following the annual meeting of stockholders in a given fiscal year will not receive an Annual Award in such fiscal year. Subject to Section 4 below and Section 14 of the Plan, each Annual Award will vest and become exercisable as to one hundred percent (100%) of the Shares subject thereto upon the earlier of the one (1)</w:t>
      </w:r>
      <w:r>
        <w:rPr>
          <w:rFonts w:ascii="MS PGothic" w:cs="MS PGothic" w:eastAsia="MS PGothic" w:hAnsi="MS PGothic"/>
          <w:sz w:val="18"/>
          <w:szCs w:val="18"/>
          <w:color w:val="auto"/>
        </w:rPr>
        <w:t>‑</w:t>
      </w:r>
      <w:r>
        <w:rPr>
          <w:rFonts w:ascii="Arial" w:cs="Arial" w:eastAsia="Arial" w:hAnsi="Arial"/>
          <w:sz w:val="18"/>
          <w:szCs w:val="18"/>
          <w:color w:val="auto"/>
        </w:rPr>
        <w:t>year anniversary of the grant date or the day prior to the Company’s next annual</w:t>
      </w:r>
    </w:p>
    <w:p>
      <w:pPr>
        <w:spacing w:after="0" w:line="228" w:lineRule="auto"/>
        <w:rPr>
          <w:sz w:val="20"/>
          <w:szCs w:val="20"/>
          <w:color w:val="auto"/>
        </w:rPr>
      </w:pPr>
      <w:r>
        <w:rPr>
          <w:rFonts w:ascii="Arial" w:cs="Arial" w:eastAsia="Arial" w:hAnsi="Arial"/>
          <w:sz w:val="20"/>
          <w:szCs w:val="20"/>
          <w:color w:val="auto"/>
        </w:rPr>
        <w:t>meeting of</w:t>
      </w:r>
    </w:p>
    <w:p>
      <w:pPr>
        <w:jc w:val="center"/>
        <w:spacing w:after="0"/>
        <w:rPr>
          <w:sz w:val="20"/>
          <w:szCs w:val="20"/>
          <w:color w:val="auto"/>
        </w:rPr>
      </w:pPr>
      <w:r>
        <w:rPr>
          <w:rFonts w:ascii="Arial" w:cs="Arial" w:eastAsia="Arial" w:hAnsi="Arial"/>
          <w:sz w:val="20"/>
          <w:szCs w:val="20"/>
          <w:color w:val="auto"/>
        </w:rPr>
        <w:t>2</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260431957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22" w:name="page123"/>
    <w:bookmarkEnd w:id="122"/>
    <w:p>
      <w:pPr>
        <w:spacing w:after="0" w:line="246" w:lineRule="auto"/>
        <w:rPr>
          <w:sz w:val="20"/>
          <w:szCs w:val="20"/>
          <w:color w:val="auto"/>
        </w:rPr>
      </w:pPr>
      <w:r>
        <w:rPr>
          <w:rFonts w:ascii="Arial" w:cs="Arial" w:eastAsia="Arial" w:hAnsi="Arial"/>
          <w:sz w:val="20"/>
          <w:szCs w:val="20"/>
          <w:color w:val="auto"/>
        </w:rPr>
        <w:t>stockholders occurring in the fiscal year following the Grant Date, in each case, provided that the Outside Director continues to serve as an Outside Director through the applicable vesting date.</w:t>
      </w:r>
    </w:p>
    <w:p>
      <w:pPr>
        <w:spacing w:after="0" w:line="171" w:lineRule="exact"/>
        <w:rPr>
          <w:sz w:val="20"/>
          <w:szCs w:val="20"/>
          <w:color w:val="auto"/>
        </w:rPr>
      </w:pPr>
    </w:p>
    <w:p>
      <w:pPr>
        <w:ind w:firstLine="757"/>
        <w:spacing w:after="0" w:line="252" w:lineRule="auto"/>
        <w:tabs>
          <w:tab w:leader="none" w:pos="1498"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Value</w:t>
      </w:r>
      <w:r>
        <w:rPr>
          <w:rFonts w:ascii="Arial" w:cs="Arial" w:eastAsia="Arial" w:hAnsi="Arial"/>
          <w:sz w:val="20"/>
          <w:szCs w:val="20"/>
          <w:color w:val="auto"/>
        </w:rPr>
        <w:t>. For purposes of this Policy, “</w:t>
      </w:r>
      <w:r>
        <w:rPr>
          <w:rFonts w:ascii="Arial" w:cs="Arial" w:eastAsia="Arial" w:hAnsi="Arial"/>
          <w:sz w:val="20"/>
          <w:szCs w:val="20"/>
          <w:b w:val="1"/>
          <w:bCs w:val="1"/>
          <w:color w:val="auto"/>
        </w:rPr>
        <w:t>Value</w:t>
      </w:r>
      <w:r>
        <w:rPr>
          <w:rFonts w:ascii="Arial" w:cs="Arial" w:eastAsia="Arial" w:hAnsi="Arial"/>
          <w:sz w:val="20"/>
          <w:szCs w:val="20"/>
          <w:color w:val="auto"/>
        </w:rPr>
        <w:t>” means the aggregate grant date fair value computed in accordance with Financial Accounting Standards Board Accounting Standards Codification Topic 718.</w:t>
      </w:r>
    </w:p>
    <w:p>
      <w:pPr>
        <w:spacing w:after="0" w:line="171" w:lineRule="exact"/>
        <w:rPr>
          <w:rFonts w:ascii="Arial" w:cs="Arial" w:eastAsia="Arial" w:hAnsi="Arial"/>
          <w:sz w:val="20"/>
          <w:szCs w:val="20"/>
          <w:color w:val="auto"/>
        </w:rPr>
      </w:pPr>
    </w:p>
    <w:p>
      <w:pPr>
        <w:jc w:val="both"/>
        <w:ind w:firstLine="757"/>
        <w:spacing w:after="0" w:line="237" w:lineRule="auto"/>
        <w:tabs>
          <w:tab w:leader="none" w:pos="1498"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No Discretion</w:t>
      </w:r>
      <w:r>
        <w:rPr>
          <w:rFonts w:ascii="Arial" w:cs="Arial" w:eastAsia="Arial" w:hAnsi="Arial"/>
          <w:sz w:val="20"/>
          <w:szCs w:val="20"/>
          <w:color w:val="auto"/>
        </w:rPr>
        <w:t>. No person will have any discretion to select which Outside Directors will be granted any Awards under this Policy or to determine the number of Shares to be covered by such Awards, as applicable (except as provided in Section 3 or Section 8 below).</w:t>
      </w:r>
    </w:p>
    <w:p>
      <w:pPr>
        <w:spacing w:after="0" w:line="182" w:lineRule="exact"/>
        <w:rPr>
          <w:rFonts w:ascii="Arial" w:cs="Arial" w:eastAsia="Arial" w:hAnsi="Arial"/>
          <w:sz w:val="20"/>
          <w:szCs w:val="20"/>
          <w:color w:val="auto"/>
        </w:rPr>
      </w:pPr>
    </w:p>
    <w:p>
      <w:pPr>
        <w:jc w:val="both"/>
        <w:ind w:right="20" w:firstLine="757"/>
        <w:spacing w:after="0" w:line="237" w:lineRule="auto"/>
        <w:tabs>
          <w:tab w:leader="none" w:pos="1498"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Terms Applicable to all Options Granted Under this Policy</w:t>
      </w:r>
      <w:r>
        <w:rPr>
          <w:rFonts w:ascii="Arial" w:cs="Arial" w:eastAsia="Arial" w:hAnsi="Arial"/>
          <w:sz w:val="20"/>
          <w:szCs w:val="20"/>
          <w:color w:val="auto"/>
        </w:rPr>
        <w:t>. The per Share exercise price for an Option granted under this Policy will be one hundred percent (100%) of the Fair Market Value on the grant date. The maximum term to expiration of an Option granted under this Policy will be ten (10) years, subject to earlier termination as provided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3.</w:t>
      </w:r>
      <w:r>
        <w:rPr>
          <w:rFonts w:ascii="Arial" w:cs="Arial" w:eastAsia="Arial" w:hAnsi="Arial"/>
          <w:sz w:val="20"/>
          <w:szCs w:val="20"/>
          <w:b w:val="1"/>
          <w:bCs w:val="1"/>
          <w:u w:val="single" w:color="auto"/>
          <w:color w:val="auto"/>
        </w:rPr>
        <w:t>Outside Director Compensation Limits</w:t>
      </w:r>
    </w:p>
    <w:p>
      <w:pPr>
        <w:spacing w:after="0" w:line="208"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Notwithstanding anything in this Policy to the contrary, any cash compensation and Awards that may be paid or granted to an Outside Director will be subject to any limits on compensation payable to Outside Directors contained in the Plan (including Section 11 of the Plan) or any successor plan (including any primary equity incentive plan described in Section 8 below), as applicable (such limits, “</w:t>
      </w:r>
      <w:r>
        <w:rPr>
          <w:rFonts w:ascii="Arial" w:cs="Arial" w:eastAsia="Arial" w:hAnsi="Arial"/>
          <w:sz w:val="20"/>
          <w:szCs w:val="20"/>
          <w:b w:val="1"/>
          <w:bCs w:val="1"/>
          <w:color w:val="auto"/>
        </w:rPr>
        <w:t>Compensation Limits</w:t>
      </w:r>
      <w:r>
        <w:rPr>
          <w:rFonts w:ascii="Arial" w:cs="Arial" w:eastAsia="Arial" w:hAnsi="Arial"/>
          <w:sz w:val="20"/>
          <w:szCs w:val="20"/>
          <w:color w:val="auto"/>
        </w:rPr>
        <w:t>”).</w:t>
      </w:r>
    </w:p>
    <w:p>
      <w:pPr>
        <w:spacing w:after="0" w:line="183"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8"/>
          <w:szCs w:val="18"/>
          <w:color w:val="auto"/>
        </w:rPr>
        <w:t>If the aggregate amount of compensation payable to an Outside Director during an applicable period would exceed any applicable Compensation Limit, then the Outside Director will be able to elect whether to receive either (i) the full amount of the Outside Director’s annual cash retainers under this Policy, plus Award(s) (including an Initial Award or Annual Award, as applicable) with a total Value equal to the applicable Compensation Limit minus the amount of such annual cash retainers, or (ii) Award(s) (including an Initial Award or Annual Award, as applicable, with a Value equal to the full applicable Value set forth in Section 2 above), plus the Outside Director’s annual cash retainers under this Policy in an amount equal to the applicable Compensation Limit minus the total Value of such Award(s).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4.</w:t>
      </w:r>
      <w:r>
        <w:rPr>
          <w:rFonts w:ascii="Arial" w:cs="Arial" w:eastAsia="Arial" w:hAnsi="Arial"/>
          <w:sz w:val="20"/>
          <w:szCs w:val="20"/>
          <w:b w:val="1"/>
          <w:bCs w:val="1"/>
          <w:u w:val="single" w:color="auto"/>
          <w:color w:val="auto"/>
        </w:rPr>
        <w:t>Change in Control</w:t>
      </w:r>
    </w:p>
    <w:p>
      <w:pPr>
        <w:spacing w:after="0" w:line="20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In the event of a Change in Control, and unless otherwise agreed, each Outside Director will fully vest in his or her outstanding Company equity awards, including any Initial Award or Annual Award, provided that the Outside Director continues to be an Outside Director through such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5.</w:t>
      </w:r>
      <w:r>
        <w:rPr>
          <w:rFonts w:ascii="Arial" w:cs="Arial" w:eastAsia="Arial" w:hAnsi="Arial"/>
          <w:sz w:val="20"/>
          <w:szCs w:val="20"/>
          <w:b w:val="1"/>
          <w:bCs w:val="1"/>
          <w:u w:val="single" w:color="auto"/>
          <w:color w:val="auto"/>
        </w:rPr>
        <w:t>Expenses</w:t>
      </w:r>
    </w:p>
    <w:p>
      <w:pPr>
        <w:spacing w:after="0" w:line="208"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Each Outside Director’s reasonable, customary, and properly documented expenses in connection with service on the Board or any committee of the Board will be reimbursed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6.</w:t>
      </w:r>
      <w:r>
        <w:rPr>
          <w:rFonts w:ascii="Arial" w:cs="Arial" w:eastAsia="Arial" w:hAnsi="Arial"/>
          <w:sz w:val="20"/>
          <w:szCs w:val="20"/>
          <w:b w:val="1"/>
          <w:bCs w:val="1"/>
          <w:u w:val="single" w:color="auto"/>
          <w:color w:val="auto"/>
        </w:rPr>
        <w:t>Additional Provisions</w:t>
      </w:r>
    </w:p>
    <w:p>
      <w:pPr>
        <w:spacing w:after="0" w:line="208" w:lineRule="exact"/>
        <w:rPr>
          <w:sz w:val="20"/>
          <w:szCs w:val="20"/>
          <w:color w:val="auto"/>
        </w:rPr>
      </w:pPr>
    </w:p>
    <w:p>
      <w:pPr>
        <w:jc w:val="both"/>
        <w:ind w:right="20" w:firstLine="749"/>
        <w:spacing w:after="0" w:line="233" w:lineRule="auto"/>
        <w:rPr>
          <w:sz w:val="20"/>
          <w:szCs w:val="20"/>
          <w:color w:val="auto"/>
        </w:rPr>
      </w:pPr>
      <w:r>
        <w:rPr>
          <w:rFonts w:ascii="Arial" w:cs="Arial" w:eastAsia="Arial" w:hAnsi="Arial"/>
          <w:sz w:val="20"/>
          <w:szCs w:val="20"/>
          <w:color w:val="auto"/>
        </w:rPr>
        <w:t>All provisions of the Plan and form of award agreement approved for use under the Plan not inconsistent with this Policy will apply to Awards granted to Outside Directors.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260431957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7.</w:t>
      </w:r>
      <w:r>
        <w:rPr>
          <w:rFonts w:ascii="Arial" w:cs="Arial" w:eastAsia="Arial" w:hAnsi="Arial"/>
          <w:sz w:val="20"/>
          <w:szCs w:val="20"/>
          <w:b w:val="1"/>
          <w:bCs w:val="1"/>
          <w:u w:val="single" w:color="auto"/>
          <w:color w:val="auto"/>
        </w:rPr>
        <w:t>Section 409A</w:t>
      </w:r>
    </w:p>
    <w:p>
      <w:pPr>
        <w:spacing w:after="0" w:line="20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It is the intent of this Policy that this Policy and all payments hereunder be exempt from or otherwise comply with the requirements of Section 409A (as defined below) so that none of the compensation to be provided hereunder will be subject to the additional tax imposed under 409A of the Internal Revenue Code of 1986, as amended, and the final regulations and guidance thereunder, as may be amended from time to time (together, “</w:t>
      </w:r>
      <w:r>
        <w:rPr>
          <w:rFonts w:ascii="Arial" w:cs="Arial" w:eastAsia="Arial" w:hAnsi="Arial"/>
          <w:sz w:val="18"/>
          <w:szCs w:val="18"/>
          <w:b w:val="1"/>
          <w:bCs w:val="1"/>
          <w:color w:val="auto"/>
        </w:rPr>
        <w:t>Section 409A</w:t>
      </w:r>
      <w:r>
        <w:rPr>
          <w:rFonts w:ascii="Arial" w:cs="Arial" w:eastAsia="Arial" w:hAnsi="Arial"/>
          <w:sz w:val="18"/>
          <w:szCs w:val="18"/>
          <w:color w:val="auto"/>
        </w:rPr>
        <w:t>”), and any ambiguities or ambiguous terms herein will be interpreted to be so exempt or comply. 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As such, all payments under this Policy are intended to fall within the “short-term deferral” exception under Section 409A. In no event will the Company be obligated to reimburse an Outside Director for any taxes imposed or other costs incurred as a result of Section 409A or otherwise because of the receipt of compensation under this Policy.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8.</w:t>
      </w:r>
      <w:r>
        <w:rPr>
          <w:rFonts w:ascii="Arial" w:cs="Arial" w:eastAsia="Arial" w:hAnsi="Arial"/>
          <w:sz w:val="20"/>
          <w:szCs w:val="20"/>
          <w:b w:val="1"/>
          <w:bCs w:val="1"/>
          <w:u w:val="single" w:color="auto"/>
          <w:color w:val="auto"/>
        </w:rPr>
        <w:t>Revisions</w:t>
      </w:r>
    </w:p>
    <w:p>
      <w:pPr>
        <w:spacing w:after="0" w:line="20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The Board or any committee designated by the Board (a “</w:t>
      </w:r>
      <w:r>
        <w:rPr>
          <w:rFonts w:ascii="Arial" w:cs="Arial" w:eastAsia="Arial" w:hAnsi="Arial"/>
          <w:sz w:val="18"/>
          <w:szCs w:val="18"/>
          <w:b w:val="1"/>
          <w:bCs w:val="1"/>
          <w:color w:val="auto"/>
        </w:rPr>
        <w:t>Designated Committee</w:t>
      </w:r>
      <w:r>
        <w:rPr>
          <w:rFonts w:ascii="Arial" w:cs="Arial" w:eastAsia="Arial" w:hAnsi="Arial"/>
          <w:sz w:val="18"/>
          <w:szCs w:val="18"/>
          <w:color w:val="auto"/>
        </w:rPr>
        <w:t>”), may amend, suspend or terminate this Policy at any time and for any reason. This includes, that the Board or a Designated Committee in its discretion may at any time change and otherwise revise the terms of the cash compensation granted under this Policy, including, without limitation, the amount of cash and timing of unearned compensation to be paid on or after the date the Board or a Designated Committee, as applicable determines to make any such change or revision. Any amendment to the terms of any cash compensation granted under the Policy will be effective no earlier than the date such amendment is made. Further, the Board or a Designated Committee in its discretion may at any time change and otherwise revise the terms of Awards granted under this Policy, including, without limitation, the number of Shares subject thereto, the vesting schedule of Awards, and the type of Awards to be granted on or after the date the Board or a Designated Committee, as applicable, determines to make any such change or revision. If, on the date of an Award grant under this Policy, an equity incentive plan other than the Plan is the primary equity incentive plan used by the Company, all references to the Plan in this Policy shall, with respect to such Award, be deemed to refer to the Company’s primary equity incentive plan in use at the time of such Award grant, including that references to Section 11 of the Plan shall be deemed to refer to the section(s) of such primary equity incentive plan relating to the per person limits on the number or value of Shares that an Outside Director may receive under such plan during the period specified therein, and references to Section 14 of the Plan shall be deemed to refer to the section(s) of such primary equity incentive plan relating to adjustments to the Shares, dissolution or liquidation or the Company, and/or merger or Change in Control (or similar transactions) of the Company.</w:t>
      </w:r>
    </w:p>
    <w:p>
      <w:pPr>
        <w:spacing w:after="0" w:line="176"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20"/>
          <w:szCs w:val="20"/>
          <w:color w:val="auto"/>
        </w:rPr>
        <w:t>Notwithstanding the foregoing,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260431957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333-255983, 333-250109 and 333-234443) and Form S-8 (Nos. 333-261670, 333-253751, 333-231503 and 333-227755) of Kodiak Sciences Inc. of our report dated March 1, 2022 relating to the financial statements and the effectiveness of internal control over financial reporting, which appears in this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12"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Kodiak 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800"/>
        <w:spacing w:after="0" w:line="219" w:lineRule="auto"/>
        <w:rPr>
          <w:sz w:val="20"/>
          <w:szCs w:val="20"/>
          <w:color w:val="auto"/>
        </w:rPr>
      </w:pPr>
      <w:r>
        <w:rPr>
          <w:rFonts w:ascii="Arial" w:cs="Arial" w:eastAsia="Arial" w:hAnsi="Arial"/>
          <w:sz w:val="18"/>
          <w:szCs w:val="18"/>
          <w:b w:val="1"/>
          <w:bCs w:val="1"/>
          <w:color w:val="auto"/>
        </w:rPr>
        <w:t>Victor Perlroth, M.D.</w:t>
      </w:r>
    </w:p>
    <w:p>
      <w:pPr>
        <w:ind w:left="7140"/>
        <w:spacing w:after="0" w:line="203" w:lineRule="auto"/>
        <w:rPr>
          <w:sz w:val="20"/>
          <w:szCs w:val="20"/>
          <w:color w:val="auto"/>
        </w:rPr>
      </w:pPr>
      <w:r>
        <w:rPr>
          <w:rFonts w:ascii="Arial" w:cs="Arial" w:eastAsia="Arial" w:hAnsi="Arial"/>
          <w:sz w:val="18"/>
          <w:szCs w:val="18"/>
          <w:b w:val="1"/>
          <w:bCs w:val="1"/>
          <w:color w:val="auto"/>
        </w:rPr>
        <w:t>Chairman and Chief Executive Officer</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12"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Kodiak 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8060"/>
        <w:spacing w:after="0" w:line="219" w:lineRule="auto"/>
        <w:rPr>
          <w:sz w:val="20"/>
          <w:szCs w:val="20"/>
          <w:color w:val="auto"/>
        </w:rPr>
      </w:pPr>
      <w:r>
        <w:rPr>
          <w:rFonts w:ascii="Arial" w:cs="Arial" w:eastAsia="Arial" w:hAnsi="Arial"/>
          <w:sz w:val="18"/>
          <w:szCs w:val="18"/>
          <w:b w:val="1"/>
          <w:bCs w:val="1"/>
          <w:color w:val="auto"/>
        </w:rPr>
        <w:t>John Borgeson</w:t>
      </w:r>
    </w:p>
    <w:p>
      <w:pPr>
        <w:ind w:left="774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connection with the Annual Report of Kodiak Sciences Inc. (the “Company”) on Form 10-K for the fiscal year ending December 31, 2021 as filed with the Securities and Exchange Commission on the date hereof (the “Report”), I certify, pursuant to 18 U.S.C. § 1350, as adopted pursuant to § 906 of the Sarbanes-Oxley Act of 2002, to the best of my knowledge, that:</w:t>
      </w:r>
    </w:p>
    <w:p>
      <w:pPr>
        <w:spacing w:after="0" w:line="182"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2" w:lineRule="exact"/>
        <w:rPr>
          <w:sz w:val="20"/>
          <w:szCs w:val="20"/>
          <w:color w:val="auto"/>
        </w:rPr>
      </w:pPr>
    </w:p>
    <w:p>
      <w:pPr>
        <w:ind w:left="20"/>
        <w:spacing w:after="0"/>
        <w:tabs>
          <w:tab w:leader="none" w:pos="5440" w:val="left"/>
          <w:tab w:leader="none" w:pos="790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-635</wp:posOffset>
            </wp:positionV>
            <wp:extent cx="340296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7740"/>
        <w:spacing w:after="0" w:line="219" w:lineRule="auto"/>
        <w:rPr>
          <w:sz w:val="20"/>
          <w:szCs w:val="20"/>
          <w:color w:val="auto"/>
        </w:rPr>
      </w:pPr>
      <w:r>
        <w:rPr>
          <w:rFonts w:ascii="Arial" w:cs="Arial" w:eastAsia="Arial" w:hAnsi="Arial"/>
          <w:sz w:val="18"/>
          <w:szCs w:val="18"/>
          <w:b w:val="1"/>
          <w:bCs w:val="1"/>
          <w:color w:val="auto"/>
        </w:rPr>
        <w:t>Victor Perlroth, M.D.</w:t>
      </w:r>
    </w:p>
    <w:p>
      <w:pPr>
        <w:ind w:left="7080"/>
        <w:spacing w:after="0" w:line="203" w:lineRule="auto"/>
        <w:rPr>
          <w:sz w:val="20"/>
          <w:szCs w:val="20"/>
          <w:color w:val="auto"/>
        </w:rPr>
      </w:pPr>
      <w:r>
        <w:rPr>
          <w:rFonts w:ascii="Arial" w:cs="Arial" w:eastAsia="Arial" w:hAnsi="Arial"/>
          <w:sz w:val="18"/>
          <w:szCs w:val="18"/>
          <w:b w:val="1"/>
          <w:bCs w:val="1"/>
          <w:color w:val="auto"/>
        </w:rPr>
        <w:t>Chairman and Chief Executive Officer</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Executive Officer)</w:t>
      </w:r>
    </w:p>
    <w:p>
      <w:pPr>
        <w:spacing w:after="0" w:line="223" w:lineRule="exact"/>
        <w:rPr>
          <w:sz w:val="20"/>
          <w:szCs w:val="20"/>
          <w:color w:val="auto"/>
        </w:rPr>
      </w:pPr>
    </w:p>
    <w:p>
      <w:pPr>
        <w:ind w:right="260" w:firstLine="749"/>
        <w:spacing w:after="0" w:line="293"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both"/>
        <w:ind w:right="80" w:firstLine="749"/>
        <w:spacing w:after="0" w:line="329"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connection with the Annual Report of Kodiak Sciences Inc. (the “Company”) on Form 10-K for the fiscal year ending December 31, 2021 as filed with the Securities and Exchange Commission on the date hereof (the “Report”), I certify, pursuant to 18 U.S.C. § 1350, as adopted pursuant to § 906 of the Sarbanes-Oxley Act of 2002, to the best of my knowledge, that:</w:t>
      </w:r>
    </w:p>
    <w:p>
      <w:pPr>
        <w:spacing w:after="0" w:line="182"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2" w:lineRule="exact"/>
        <w:rPr>
          <w:sz w:val="20"/>
          <w:szCs w:val="20"/>
          <w:color w:val="auto"/>
        </w:rPr>
      </w:pPr>
    </w:p>
    <w:p>
      <w:pPr>
        <w:ind w:left="20"/>
        <w:spacing w:after="0"/>
        <w:tabs>
          <w:tab w:leader="none" w:pos="5440" w:val="left"/>
          <w:tab w:leader="none" w:pos="790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-635</wp:posOffset>
            </wp:positionV>
            <wp:extent cx="340296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7980"/>
        <w:spacing w:after="0" w:line="219" w:lineRule="auto"/>
        <w:rPr>
          <w:sz w:val="20"/>
          <w:szCs w:val="20"/>
          <w:color w:val="auto"/>
        </w:rPr>
      </w:pPr>
      <w:r>
        <w:rPr>
          <w:rFonts w:ascii="Arial" w:cs="Arial" w:eastAsia="Arial" w:hAnsi="Arial"/>
          <w:sz w:val="18"/>
          <w:szCs w:val="18"/>
          <w:b w:val="1"/>
          <w:bCs w:val="1"/>
          <w:color w:val="auto"/>
        </w:rPr>
        <w:t>John Borgeson</w:t>
      </w:r>
    </w:p>
    <w:p>
      <w:pPr>
        <w:ind w:left="768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23" w:lineRule="exact"/>
        <w:rPr>
          <w:sz w:val="20"/>
          <w:szCs w:val="20"/>
          <w:color w:val="auto"/>
        </w:rPr>
      </w:pPr>
    </w:p>
    <w:p>
      <w:pPr>
        <w:ind w:right="260" w:firstLine="749"/>
        <w:spacing w:after="0" w:line="293"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both"/>
        <w:ind w:right="80" w:firstLine="749"/>
        <w:spacing w:after="0" w:line="329"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decimal"/>
      <w:start w:val="31"/>
    </w:lvl>
  </w:abstractNum>
  <w:abstractNum w:abstractNumId="50">
    <w:nsid w:val="275AC794"/>
    <w:multiLevelType w:val="hybridMultilevel"/>
    <w:lvl w:ilvl="0">
      <w:lvlJc w:val="left"/>
      <w:lvlText w:val="%1."/>
      <w:numFmt w:val="decimal"/>
      <w:start w:val="2"/>
    </w:lvl>
  </w:abstractNum>
  <w:abstractNum w:abstractNumId="51">
    <w:nsid w:val="39386575"/>
    <w:multiLevelType w:val="hybridMultilevel"/>
    <w:lvl w:ilvl="0">
      <w:lvlJc w:val="left"/>
      <w:lvlText w:val="%1."/>
      <w:numFmt w:val="decimal"/>
      <w:start w:val="7"/>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
      <w:numFmt w:val="bullet"/>
      <w:start w:val="1"/>
    </w:lvl>
    <w:lvl w:ilvl="1">
      <w:lvlJc w:val="left"/>
      <w:lvlText w:val="%2"/>
      <w:numFmt w:val="decimal"/>
      <w:start w:val="104"/>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3"/>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53" Type="http://schemas.openxmlformats.org/officeDocument/2006/relationships/image" Target="media/image330.png"/><Relationship Id="rId354"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9" Type="http://schemas.openxmlformats.org/officeDocument/2006/relationships/image" Target="media/image334.png"/><Relationship Id="rId370" Type="http://schemas.openxmlformats.org/officeDocument/2006/relationships/image" Target="media/image335.png"/><Relationship Id="rId371" Type="http://schemas.openxmlformats.org/officeDocument/2006/relationships/image" Target="media/image336.png"/><Relationship Id="rId372" Type="http://schemas.openxmlformats.org/officeDocument/2006/relationships/image" Target="media/image337.png"/><Relationship Id="rId373" Type="http://schemas.openxmlformats.org/officeDocument/2006/relationships/image" Target="media/image338.png"/><Relationship Id="rId374" Type="http://schemas.openxmlformats.org/officeDocument/2006/relationships/image" Target="media/image339.png"/><Relationship Id="rId375" Type="http://schemas.openxmlformats.org/officeDocument/2006/relationships/image" Target="media/image340.png"/><Relationship Id="rId376" Type="http://schemas.openxmlformats.org/officeDocument/2006/relationships/image" Target="media/image341.png"/><Relationship Id="rId377" Type="http://schemas.openxmlformats.org/officeDocument/2006/relationships/image" Target="media/image342.png"/><Relationship Id="rId378" Type="http://schemas.openxmlformats.org/officeDocument/2006/relationships/image" Target="media/image343.png"/><Relationship Id="rId379" Type="http://schemas.openxmlformats.org/officeDocument/2006/relationships/image" Target="media/image344.png"/><Relationship Id="rId380" Type="http://schemas.openxmlformats.org/officeDocument/2006/relationships/image" Target="media/image345.png"/><Relationship Id="rId381" Type="http://schemas.openxmlformats.org/officeDocument/2006/relationships/image" Target="media/image346.png"/><Relationship Id="rId382" Type="http://schemas.openxmlformats.org/officeDocument/2006/relationships/image" Target="media/image347.png"/><Relationship Id="rId383"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337" Type="http://schemas.openxmlformats.org/officeDocument/2006/relationships/hyperlink" Target="https://www.sec.gov/Archives/edgar/data/0001468748/000156459018029743/kod-ex31_303.htm" TargetMode="External"/><Relationship Id="rId338" Type="http://schemas.openxmlformats.org/officeDocument/2006/relationships/hyperlink" Target="https://www.sec.gov/Archives/edgar/data/0001468748/000156459018029743/kod-ex32_302.htm" TargetMode="External"/><Relationship Id="rId339" Type="http://schemas.openxmlformats.org/officeDocument/2006/relationships/hyperlink" Target="https://www.sec.gov/Archives/edgar/data/0001468748/000119312518280419/d516071dex41.htm" TargetMode="External"/><Relationship Id="rId340" Type="http://schemas.openxmlformats.org/officeDocument/2006/relationships/hyperlink" Target="https://www.sec.gov/Archives/edgar/data/0001468748/000119312518280419/d516071dex42.htm" TargetMode="External"/><Relationship Id="rId341" Type="http://schemas.openxmlformats.org/officeDocument/2006/relationships/hyperlink" Target="https://www.sec.gov/Archives/edgar/data/0001468748/000119312518269221/d516071dex45.htm" TargetMode="External"/><Relationship Id="rId342" Type="http://schemas.openxmlformats.org/officeDocument/2006/relationships/hyperlink" Target="https://www.sec.gov/Archives/edgar/data/1468748/000156459020011186/kod-ex46_599.htm" TargetMode="External"/><Relationship Id="rId343" Type="http://schemas.openxmlformats.org/officeDocument/2006/relationships/hyperlink" Target="https://www.sec.gov/Archives/edgar/data/1468748/000156459021009946/kod-ex47_8.htm" TargetMode="External"/><Relationship Id="rId344" Type="http://schemas.openxmlformats.org/officeDocument/2006/relationships/hyperlink" Target="https://www.sec.gov/Archives/edgar/data/0001468748/000119312518280419/d516071dex101.htm" TargetMode="External"/><Relationship Id="rId345" Type="http://schemas.openxmlformats.org/officeDocument/2006/relationships/hyperlink" Target="https://www.sec.gov/Archives/edgar/data/0001468748/000119312518269221/d516071dex102.htm" TargetMode="External"/><Relationship Id="rId346" Type="http://schemas.openxmlformats.org/officeDocument/2006/relationships/hyperlink" Target="https://www.sec.gov/Archives/edgar/data/0001468748/000119312518269221/d516071dex103.htm" TargetMode="External"/><Relationship Id="rId347" Type="http://schemas.openxmlformats.org/officeDocument/2006/relationships/hyperlink" Target="https://www.sec.gov/Archives/edgar/data/0001468748/000119312518269221/d516071dex104.htm" TargetMode="External"/><Relationship Id="rId348" Type="http://schemas.openxmlformats.org/officeDocument/2006/relationships/hyperlink" Target="https://www.sec.gov/Archives/edgar/data/0001468748/000119312518269221/d516071dex105.htm" TargetMode="External"/><Relationship Id="rId349" Type="http://schemas.openxmlformats.org/officeDocument/2006/relationships/hyperlink" Target="https://www.sec.gov/Archives/edgar/data/0001468748/000119312518280419/d516071dex106.htm" TargetMode="External"/><Relationship Id="rId350" Type="http://schemas.openxmlformats.org/officeDocument/2006/relationships/hyperlink" Target="https://www.sec.gov/Archives/edgar/data/0001468748/000119312518280419/d516071dex107.htm" TargetMode="External"/><Relationship Id="rId351" Type="http://schemas.openxmlformats.org/officeDocument/2006/relationships/hyperlink" Target="https://www.sec.gov/Archives/edgar/data/0001468748/000119312518280419/d516071dex108.htm" TargetMode="External"/><Relationship Id="rId352" Type="http://schemas.openxmlformats.org/officeDocument/2006/relationships/hyperlink" Target="https://www.sec.gov/Archives/edgar/data/0001468748/000119312518280419/d516071dex109.htm" TargetMode="External"/><Relationship Id="rId355" Type="http://schemas.openxmlformats.org/officeDocument/2006/relationships/hyperlink" Target="https://www.sec.gov/Archives/edgar/data/0001468748/000119312518280419/d516071dex1010.htm" TargetMode="External"/><Relationship Id="rId356" Type="http://schemas.openxmlformats.org/officeDocument/2006/relationships/hyperlink" Target="https://www.sec.gov/Archives/edgar/data/0001468748/000119312518280419/d516071dex1011.htm" TargetMode="External"/><Relationship Id="rId357" Type="http://schemas.openxmlformats.org/officeDocument/2006/relationships/hyperlink" Target="https://www.sec.gov/Archives/edgar/data/0001468748/000119312518280419/d516071dex1012.htm" TargetMode="External"/><Relationship Id="rId360" Type="http://schemas.openxmlformats.org/officeDocument/2006/relationships/hyperlink" Target="https://www.sec.gov/Archives/edgar/data/0001468748/000119312518280419/d516071dex1013.htm" TargetMode="External"/><Relationship Id="rId361" Type="http://schemas.openxmlformats.org/officeDocument/2006/relationships/hyperlink" Target="https://www.sec.gov/Archives/edgar/data/0001468748/000119312518280419/d516071dex1014.htm" TargetMode="External"/><Relationship Id="rId362" Type="http://schemas.openxmlformats.org/officeDocument/2006/relationships/hyperlink" Target="https://www.sec.gov/Archives/edgar/data/0001468748/000119312518280419/d516071dex1015.htm" TargetMode="External"/><Relationship Id="rId363" Type="http://schemas.openxmlformats.org/officeDocument/2006/relationships/hyperlink" Target="https://www.sec.gov/Archives/edgar/data/0001468748/000119312519303683/d814017dex101.htm" TargetMode="External"/><Relationship Id="rId364" Type="http://schemas.openxmlformats.org/officeDocument/2006/relationships/hyperlink" Target="https://www.sec.gov/Archives/edgar/data/1468748/000156459020038897/kod-ex101_1339.htm" TargetMode="External"/><Relationship Id="rId365" Type="http://schemas.openxmlformats.org/officeDocument/2006/relationships/hyperlink" Target="https://www.sec.gov/Archives/edgar/data/1468748/000156459020038897/kod-ex102_1338.htm" TargetMode="External"/><Relationship Id="rId366" Type="http://schemas.openxmlformats.org/officeDocument/2006/relationships/hyperlink" Target="https://www.sec.gov/Archives/edgar/data/0001468748/000119312520296971/d61630dex11.htm" TargetMode="External"/><Relationship Id="rId367" Type="http://schemas.openxmlformats.org/officeDocument/2006/relationships/hyperlink" Target="https://www.sec.gov/Archives/edgar/data/0001468748/000095017021000510/kod-20210721ex10_1.htm" TargetMode="External"/><Relationship Id="rId368" Type="http://schemas.openxmlformats.org/officeDocument/2006/relationships/hyperlink" Target="https://www.sec.gov/Archives/edgar/data/1468748/000095017021003800/kod-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2022-03-01T16:29:30Z</dcterms:created>
  <dcterms:modified xsi:type="dcterms:W3CDTF">2022-03-01T16:29:30Z</dcterms:modified>
</cp:coreProperties>
</file>