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354965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372110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47625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-94615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ind w:left="3980" w:right="1740" w:hanging="3972"/>
        <w:spacing w:after="0" w:line="392" w:lineRule="auto"/>
        <w:tabs>
          <w:tab w:leader="none" w:pos="527"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2019</w:t>
      </w:r>
    </w:p>
    <w:p>
      <w:pPr>
        <w:spacing w:after="0" w:line="279" w:lineRule="exact"/>
        <w:rPr>
          <w:sz w:val="24"/>
          <w:szCs w:val="24"/>
          <w:color w:val="auto"/>
        </w:rPr>
      </w:pPr>
    </w:p>
    <w:p>
      <w:pPr>
        <w:ind w:left="3560" w:right="1740" w:hanging="3552"/>
        <w:spacing w:after="0" w:line="375" w:lineRule="auto"/>
        <w:tabs>
          <w:tab w:leader="none" w:pos="528"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 to _________</w:t>
      </w:r>
    </w:p>
    <w:p>
      <w:pPr>
        <w:spacing w:after="0" w:line="1" w:lineRule="exact"/>
        <w:rPr>
          <w:rFonts w:ascii="MS PGothic" w:cs="MS PGothic" w:eastAsia="MS PGothic" w:hAnsi="MS PGothic"/>
          <w:sz w:val="18"/>
          <w:szCs w:val="18"/>
          <w:color w:val="auto"/>
          <w:highlight w:val="black"/>
        </w:rPr>
      </w:pPr>
    </w:p>
    <w:p>
      <w:pPr>
        <w:ind w:left="428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Commission File Number: 001-38682</w:t>
      </w:r>
    </w:p>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KODIAK SCIENCES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-289560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35" w:lineRule="exact"/>
        <w:rPr>
          <w:sz w:val="24"/>
          <w:szCs w:val="24"/>
          <w:color w:val="auto"/>
        </w:rPr>
      </w:pPr>
    </w:p>
    <w:tbl>
      <w:tblPr>
        <w:tblLayout w:type="fixed"/>
        <w:tblInd w:w="1680" w:type="dxa"/>
        <w:tblCellMar>
          <w:top w:w="0" w:type="dxa"/>
          <w:left w:w="0" w:type="dxa"/>
          <w:bottom w:w="0" w:type="dxa"/>
          <w:right w:w="0" w:type="dxa"/>
        </w:tblCellMar>
      </w:tblPr>
      <w:tr>
        <w:trPr>
          <w:trHeight w:val="214"/>
        </w:trPr>
        <w:tc>
          <w:tcPr>
            <w:tcW w:w="4360" w:type="dxa"/>
            <w:vAlign w:val="bottom"/>
          </w:tcPr>
          <w:p>
            <w:pPr>
              <w:jc w:val="center"/>
              <w:ind w:right="19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0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27-0476525</w:t>
            </w:r>
          </w:p>
        </w:tc>
      </w:tr>
      <w:tr>
        <w:trPr>
          <w:trHeight w:val="149"/>
        </w:trPr>
        <w:tc>
          <w:tcPr>
            <w:tcW w:w="4360" w:type="dxa"/>
            <w:vAlign w:val="bottom"/>
          </w:tcPr>
          <w:p>
            <w:pPr>
              <w:jc w:val="center"/>
              <w:ind w:right="19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100" w:type="dxa"/>
            <w:vAlign w:val="bottom"/>
          </w:tcPr>
          <w:p>
            <w:pPr>
              <w:jc w:val="center"/>
              <w:ind w:left="190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360" w:type="dxa"/>
            <w:vAlign w:val="bottom"/>
          </w:tcPr>
          <w:p>
            <w:pPr>
              <w:jc w:val="center"/>
              <w:ind w:right="191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100" w:type="dxa"/>
            <w:vAlign w:val="bottom"/>
          </w:tcPr>
          <w:p>
            <w:pPr>
              <w:jc w:val="center"/>
              <w:ind w:left="18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17"/>
        </w:trPr>
        <w:tc>
          <w:tcPr>
            <w:tcW w:w="4360" w:type="dxa"/>
            <w:vAlign w:val="bottom"/>
          </w:tcPr>
          <w:p>
            <w:pPr>
              <w:jc w:val="center"/>
              <w:ind w:right="1899"/>
              <w:spacing w:after="0"/>
              <w:rPr>
                <w:sz w:val="20"/>
                <w:szCs w:val="20"/>
                <w:color w:val="auto"/>
              </w:rPr>
            </w:pPr>
            <w:r>
              <w:rPr>
                <w:rFonts w:ascii="Times New Roman" w:cs="Times New Roman" w:eastAsia="Times New Roman" w:hAnsi="Times New Roman"/>
                <w:sz w:val="18"/>
                <w:szCs w:val="18"/>
                <w:b w:val="1"/>
                <w:bCs w:val="1"/>
                <w:color w:val="auto"/>
                <w:w w:val="99"/>
              </w:rPr>
              <w:t>2631 Hanover Street</w:t>
            </w:r>
          </w:p>
        </w:tc>
        <w:tc>
          <w:tcPr>
            <w:tcW w:w="3100" w:type="dxa"/>
            <w:vAlign w:val="bottom"/>
          </w:tcPr>
          <w:p>
            <w:pPr>
              <w:spacing w:after="0"/>
              <w:rPr>
                <w:sz w:val="18"/>
                <w:szCs w:val="18"/>
                <w:color w:val="auto"/>
              </w:rPr>
            </w:pPr>
          </w:p>
        </w:tc>
      </w:tr>
      <w:tr>
        <w:trPr>
          <w:trHeight w:val="214"/>
        </w:trPr>
        <w:tc>
          <w:tcPr>
            <w:tcW w:w="4360" w:type="dxa"/>
            <w:vAlign w:val="bottom"/>
          </w:tcPr>
          <w:p>
            <w:pPr>
              <w:jc w:val="center"/>
              <w:ind w:right="1899"/>
              <w:spacing w:after="0"/>
              <w:rPr>
                <w:sz w:val="20"/>
                <w:szCs w:val="20"/>
                <w:color w:val="auto"/>
              </w:rPr>
            </w:pPr>
            <w:r>
              <w:rPr>
                <w:rFonts w:ascii="Times New Roman" w:cs="Times New Roman" w:eastAsia="Times New Roman" w:hAnsi="Times New Roman"/>
                <w:sz w:val="18"/>
                <w:szCs w:val="18"/>
                <w:b w:val="1"/>
                <w:bCs w:val="1"/>
                <w:color w:val="auto"/>
                <w:w w:val="99"/>
              </w:rPr>
              <w:t>Palo Alto, CA</w:t>
            </w:r>
          </w:p>
        </w:tc>
        <w:tc>
          <w:tcPr>
            <w:tcW w:w="310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94304</w:t>
            </w:r>
          </w:p>
        </w:tc>
      </w:tr>
      <w:tr>
        <w:trPr>
          <w:trHeight w:val="190"/>
        </w:trPr>
        <w:tc>
          <w:tcPr>
            <w:tcW w:w="4360" w:type="dxa"/>
            <w:vAlign w:val="bottom"/>
          </w:tcPr>
          <w:p>
            <w:pPr>
              <w:jc w:val="center"/>
              <w:ind w:right="189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100" w:type="dxa"/>
            <w:vAlign w:val="bottom"/>
          </w:tcPr>
          <w:p>
            <w:pPr>
              <w:jc w:val="center"/>
              <w:ind w:left="18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82"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 xml:space="preserve">Registrant’s telephone number, including area code: </w:t>
      </w:r>
      <w:r>
        <w:rPr>
          <w:rFonts w:ascii="Times New Roman" w:cs="Times New Roman" w:eastAsia="Times New Roman" w:hAnsi="Times New Roman"/>
          <w:sz w:val="16"/>
          <w:szCs w:val="16"/>
          <w:b w:val="1"/>
          <w:bCs w:val="1"/>
          <w:color w:val="auto"/>
        </w:rPr>
        <w:t>(650) 281-0850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80010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14"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34" w:lineRule="exact"/>
        <w:rPr>
          <w:sz w:val="24"/>
          <w:szCs w:val="24"/>
          <w:color w:val="auto"/>
        </w:rPr>
      </w:pPr>
    </w:p>
    <w:tbl>
      <w:tblPr>
        <w:tblLayout w:type="fixed"/>
        <w:tblInd w:w="10" w:type="dxa"/>
        <w:tblCellMar>
          <w:top w:w="0" w:type="dxa"/>
          <w:left w:w="0" w:type="dxa"/>
          <w:bottom w:w="0" w:type="dxa"/>
          <w:right w:w="0" w:type="dxa"/>
        </w:tblCellMar>
      </w:tblPr>
      <w:tr>
        <w:trPr>
          <w:trHeight w:val="321"/>
        </w:trPr>
        <w:tc>
          <w:tcPr>
            <w:tcW w:w="38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38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37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304"/>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par value $0.0001</w:t>
            </w:r>
          </w:p>
        </w:tc>
        <w:tc>
          <w:tcPr>
            <w:tcW w:w="3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KOD</w:t>
            </w:r>
          </w:p>
        </w:tc>
        <w:tc>
          <w:tcPr>
            <w:tcW w:w="3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94" w:lineRule="exact"/>
        <w:rPr>
          <w:sz w:val="24"/>
          <w:szCs w:val="24"/>
          <w:color w:val="auto"/>
        </w:rPr>
      </w:pPr>
    </w:p>
    <w:p>
      <w:pPr>
        <w:ind w:right="180" w:firstLine="518"/>
        <w:spacing w:after="0" w:line="21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83" w:lineRule="exact"/>
        <w:rPr>
          <w:sz w:val="24"/>
          <w:szCs w:val="24"/>
          <w:color w:val="auto"/>
        </w:rPr>
      </w:pPr>
    </w:p>
    <w:p>
      <w:pPr>
        <w:ind w:right="60" w:firstLine="518"/>
        <w:spacing w:after="0" w:line="22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84" w:lineRule="exact"/>
        <w:rPr>
          <w:sz w:val="24"/>
          <w:szCs w:val="24"/>
          <w:color w:val="auto"/>
        </w:rPr>
      </w:pPr>
    </w:p>
    <w:p>
      <w:pPr>
        <w:ind w:right="20" w:firstLine="518"/>
        <w:spacing w:after="0" w:line="295"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51" w:lineRule="exact"/>
        <w:rPr>
          <w:sz w:val="24"/>
          <w:szCs w:val="24"/>
          <w:color w:val="auto"/>
        </w:rPr>
      </w:pPr>
    </w:p>
    <w:tbl>
      <w:tblPr>
        <w:tblLayout w:type="fixed"/>
        <w:tblInd w:w="40" w:type="dxa"/>
        <w:tblCellMar>
          <w:top w:w="0" w:type="dxa"/>
          <w:left w:w="0" w:type="dxa"/>
          <w:bottom w:w="0" w:type="dxa"/>
          <w:right w:w="0" w:type="dxa"/>
        </w:tblCellMar>
      </w:tblPr>
      <w:tr>
        <w:trPr>
          <w:trHeight w:val="254"/>
        </w:trPr>
        <w:tc>
          <w:tcPr>
            <w:tcW w:w="19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80" w:type="dxa"/>
            <w:vAlign w:val="bottom"/>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5260" w:type="dxa"/>
            <w:vAlign w:val="bottom"/>
          </w:tcPr>
          <w:p>
            <w:pPr>
              <w:ind w:left="322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2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9"/>
        </w:trPr>
        <w:tc>
          <w:tcPr>
            <w:tcW w:w="19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80" w:type="dxa"/>
            <w:vAlign w:val="bottom"/>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5260" w:type="dxa"/>
            <w:vAlign w:val="bottom"/>
          </w:tcPr>
          <w:p>
            <w:pPr>
              <w:ind w:left="32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2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4"/>
        </w:trPr>
        <w:tc>
          <w:tcPr>
            <w:tcW w:w="198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80" w:type="dxa"/>
            <w:vAlign w:val="bottom"/>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5260" w:type="dxa"/>
            <w:vAlign w:val="bottom"/>
          </w:tcPr>
          <w:p>
            <w:pPr>
              <w:spacing w:after="0"/>
              <w:rPr>
                <w:sz w:val="22"/>
                <w:szCs w:val="22"/>
                <w:color w:val="auto"/>
              </w:rPr>
            </w:pPr>
          </w:p>
        </w:tc>
        <w:tc>
          <w:tcPr>
            <w:tcW w:w="440" w:type="dxa"/>
            <w:vAlign w:val="bottom"/>
          </w:tcPr>
          <w:p>
            <w:pPr>
              <w:spacing w:after="0"/>
              <w:rPr>
                <w:sz w:val="22"/>
                <w:szCs w:val="22"/>
                <w:color w:val="auto"/>
              </w:rPr>
            </w:pPr>
          </w:p>
        </w:tc>
      </w:tr>
    </w:tbl>
    <w:p>
      <w:pPr>
        <w:spacing w:after="0" w:line="204" w:lineRule="exact"/>
        <w:rPr>
          <w:sz w:val="24"/>
          <w:szCs w:val="24"/>
          <w:color w:val="auto"/>
        </w:rPr>
      </w:pPr>
    </w:p>
    <w:p>
      <w:pPr>
        <w:ind w:right="240" w:firstLine="518"/>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0" w:lineRule="exact"/>
        <w:rPr>
          <w:sz w:val="24"/>
          <w:szCs w:val="24"/>
          <w:color w:val="auto"/>
        </w:rPr>
      </w:pPr>
    </w:p>
    <w:p>
      <w:pPr>
        <w:ind w:left="520" w:right="2640"/>
        <w:spacing w:after="0" w:line="27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July 31, 2019, the registrant had 36,931,141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81915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583565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92" w:right="2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Section 21E of the Securities Exchange Act of 1934, as amended, or Exchange Act. We have based these forward-looking statements largely on our current expectations and projections about future events and financial trends affecting the financial condition of our business. 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and/or management’s good faith beliefs as of that time with respect to future events, and are subject to risks and uncertainties that could cause actual performance or results to differ materially from those expressed in or suggested by the forward-looking statements.</w:t>
      </w:r>
    </w:p>
    <w:p>
      <w:pPr>
        <w:spacing w:after="0" w:line="81"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color w:val="auto"/>
        </w:rPr>
        <w:t>Forward-looking statements include all statements that are not historical facts. In some cases, you can identify forward-looking statements by terms such as “may,” “might,” “will,” “objective,” “intend,” “should,” “could,” “can,” “would,” “expect,” “believe,” “anticipate,” “project,” “target,” “design,” “estimate,” “predict,” “potential,” “plan” or the negative of these terms, or similar expressions and comparable terminology intended to identify forward-looking statements. These statements reflect our current views with respect to future events and are based on assumptions and subject to risks and uncertainties, including those set forth under the section of this Quarterly Report on Form 10-Q titled “Part II, Item 1A — Risk Factors” and elsewhere in this report. Forward-looking statements include, but are not limited to, statements about:</w:t>
      </w:r>
    </w:p>
    <w:p>
      <w:pPr>
        <w:spacing w:after="0" w:line="80" w:lineRule="exact"/>
        <w:rPr>
          <w:sz w:val="20"/>
          <w:szCs w:val="20"/>
          <w:color w:val="auto"/>
        </w:rPr>
      </w:pPr>
    </w:p>
    <w:p>
      <w:pPr>
        <w:ind w:left="640" w:hanging="119"/>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cost and timing of our development activities, preclinical studies and clinical trials;</w:t>
      </w:r>
    </w:p>
    <w:p>
      <w:pPr>
        <w:spacing w:after="0" w:line="117"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translation of our preclinical results and data and early clinical trial results into future clinical trials in humans;</w:t>
      </w:r>
    </w:p>
    <w:p>
      <w:pPr>
        <w:spacing w:after="0" w:line="117" w:lineRule="exact"/>
        <w:rPr>
          <w:rFonts w:ascii="Times New Roman" w:cs="Times New Roman" w:eastAsia="Times New Roman" w:hAnsi="Times New Roman"/>
          <w:sz w:val="18"/>
          <w:szCs w:val="18"/>
          <w:color w:val="auto"/>
        </w:rPr>
      </w:pPr>
    </w:p>
    <w:p>
      <w:pPr>
        <w:ind w:left="640" w:right="340" w:hanging="119"/>
        <w:spacing w:after="0" w:line="282"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size and design of clinical trials that regulatory authorities may require to obtain marketing approval, including whether our planned Phase 2 trial in wet AMD will be considered a pivotal trial by the U.S. Food and Drug Administration, or FDA;</w:t>
      </w:r>
    </w:p>
    <w:p>
      <w:pPr>
        <w:spacing w:after="0" w:line="53"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or likelihood of regulatory filings and approvals;</w:t>
      </w:r>
    </w:p>
    <w:p>
      <w:pPr>
        <w:spacing w:after="0" w:line="117" w:lineRule="exact"/>
        <w:rPr>
          <w:rFonts w:ascii="Times New Roman" w:cs="Times New Roman" w:eastAsia="Times New Roman" w:hAnsi="Times New Roman"/>
          <w:sz w:val="18"/>
          <w:szCs w:val="18"/>
          <w:color w:val="auto"/>
        </w:rPr>
      </w:pPr>
    </w:p>
    <w:p>
      <w:pPr>
        <w:ind w:left="640" w:right="60" w:hanging="119"/>
        <w:spacing w:after="0" w:line="282"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of our product candidates, and any related restrictions, limitations and/or warnings in the label of any approved product candidate;</w:t>
      </w:r>
    </w:p>
    <w:p>
      <w:pPr>
        <w:spacing w:after="0" w:line="53"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operations, including funding necessary to develop and commercialize our product candidates;</w:t>
      </w:r>
    </w:p>
    <w:p>
      <w:pPr>
        <w:spacing w:after="0" w:line="117"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our product candidates;</w:t>
      </w:r>
    </w:p>
    <w:p>
      <w:pPr>
        <w:spacing w:after="0" w:line="117"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products or platform technologies that are or may become available;</w:t>
      </w:r>
    </w:p>
    <w:p>
      <w:pPr>
        <w:spacing w:after="0" w:line="117" w:lineRule="exact"/>
        <w:rPr>
          <w:rFonts w:ascii="Times New Roman" w:cs="Times New Roman" w:eastAsia="Times New Roman" w:hAnsi="Times New Roman"/>
          <w:sz w:val="18"/>
          <w:szCs w:val="18"/>
          <w:color w:val="auto"/>
        </w:rPr>
      </w:pPr>
    </w:p>
    <w:p>
      <w:pPr>
        <w:ind w:left="640" w:right="540" w:hanging="119"/>
        <w:spacing w:after="0" w:line="282"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and ability to establish sales, marketing and distribution infrastructure to commercialize any product candidates for which we obtain approval;</w:t>
      </w:r>
    </w:p>
    <w:p>
      <w:pPr>
        <w:spacing w:after="0" w:line="53"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agreements with third parties in connection with the commercialization of our product candidates;</w:t>
      </w:r>
    </w:p>
    <w:p>
      <w:pPr>
        <w:spacing w:after="0" w:line="117"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our product candidates, if approved for commercial use, and our ability to serve those markets;</w:t>
      </w:r>
    </w:p>
    <w:p>
      <w:pPr>
        <w:spacing w:after="0" w:line="117"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regulations and regulatory developments in the United States and foreign countries;</w:t>
      </w:r>
    </w:p>
    <w:p>
      <w:pPr>
        <w:spacing w:after="0" w:line="117" w:lineRule="exact"/>
        <w:rPr>
          <w:rFonts w:ascii="Times New Roman" w:cs="Times New Roman" w:eastAsia="Times New Roman" w:hAnsi="Times New Roman"/>
          <w:sz w:val="18"/>
          <w:szCs w:val="18"/>
          <w:color w:val="auto"/>
        </w:rPr>
      </w:pPr>
    </w:p>
    <w:p>
      <w:pPr>
        <w:ind w:left="640" w:right="620" w:hanging="119"/>
        <w:spacing w:after="0" w:line="282"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potential benefits of strategic collaboration agreements and our ability to attract collaborators with development, regulatory and commercialization expertise;</w:t>
      </w:r>
    </w:p>
    <w:p>
      <w:pPr>
        <w:spacing w:after="0" w:line="53"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covering our product candidates and technology;</w:t>
      </w:r>
    </w:p>
    <w:p>
      <w:pPr>
        <w:spacing w:after="0" w:line="117"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claims relating to our intellectual property and third-party intellectual property;</w:t>
      </w:r>
    </w:p>
    <w:p>
      <w:pPr>
        <w:spacing w:after="0" w:line="117"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contract with third-party suppliers and manufacturers and their ability to perform adequately;</w:t>
      </w:r>
    </w:p>
    <w:p>
      <w:pPr>
        <w:spacing w:after="0" w:line="117"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reimbursement of our product candidates, if approved;</w:t>
      </w:r>
    </w:p>
    <w:p>
      <w:pPr>
        <w:spacing w:after="0" w:line="117"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managerial, scientific and medical personnel;</w:t>
      </w:r>
    </w:p>
    <w:p>
      <w:pPr>
        <w:spacing w:after="0" w:line="117"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estimates regarding expenses, future revenue, capital requirements and needs for additional financing;</w:t>
      </w:r>
    </w:p>
    <w:p>
      <w:pPr>
        <w:spacing w:after="0" w:line="117"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17" w:lineRule="exact"/>
        <w:rPr>
          <w:rFonts w:ascii="Times New Roman" w:cs="Times New Roman" w:eastAsia="Times New Roman" w:hAnsi="Times New Roman"/>
          <w:sz w:val="18"/>
          <w:szCs w:val="18"/>
          <w:color w:val="auto"/>
        </w:rPr>
      </w:pPr>
    </w:p>
    <w:p>
      <w:pPr>
        <w:ind w:left="640" w:right="260" w:hanging="119"/>
        <w:spacing w:after="0" w:line="282"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period during which we qualify as an emerging growth company under the Jumpstart Our Business Startups Act of 2012, or JOBS Act; and</w:t>
      </w:r>
    </w:p>
    <w:p>
      <w:pPr>
        <w:spacing w:after="0" w:line="53"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use of the proceeds from our initial public offering.</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sectPr>
      </w:pPr>
    </w:p>
    <w:bookmarkStart w:id="2" w:name="page3"/>
    <w:bookmarkEnd w:id="2"/>
    <w:p>
      <w:pPr>
        <w:ind w:firstLine="518"/>
        <w:spacing w:after="0" w:line="255" w:lineRule="auto"/>
        <w:rPr>
          <w:sz w:val="20"/>
          <w:szCs w:val="20"/>
          <w:color w:val="auto"/>
        </w:rPr>
      </w:pPr>
      <w:r>
        <w:rPr>
          <w:rFonts w:ascii="Times New Roman" w:cs="Times New Roman" w:eastAsia="Times New Roman" w:hAnsi="Times New Roman"/>
          <w:sz w:val="18"/>
          <w:szCs w:val="18"/>
          <w:color w:val="auto"/>
        </w:rPr>
        <w:t>All forward-looking statements are based on information available to us on the date of this Quarterly Report on Form 10-Q and we will not update any of the forward-looking statements after the date of this Quarterly Report on Form 10-Q, except as required by law. Our actual results could differ materially from those discussed in this Quarterly Report on Form 10-Q. The forward-looking statements contained in this Quarterly Report on Form 10-Q, and other written and oral forward-looking statements made by us from time to time, are subject to certain risks and uncertainties that could cause actual results to differ materially from those anticipated in the forward-looking statements, and you should not regard these statements as a representation or warranty by us or any other person that we will achieve our objectives and plans in any specified time frame, or at all. Factors that might cause such a difference include, but are not limited to, those discussed in the following discussion and within the section of this Quarterly Report on Form 10-Q titled “Part II, Item 1A — Risk Factors”.</w:t>
      </w:r>
    </w:p>
    <w:p>
      <w:pPr>
        <w:spacing w:after="0" w:line="81"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Quarterly Report on Form 10-Q,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w:t>
      </w:r>
    </w:p>
    <w:p>
      <w:pPr>
        <w:spacing w:after="0" w:line="182" w:lineRule="exact"/>
        <w:rPr>
          <w:sz w:val="20"/>
          <w:szCs w:val="20"/>
          <w:color w:val="auto"/>
        </w:rPr>
      </w:pPr>
    </w:p>
    <w:p>
      <w:pPr>
        <w:ind w:right="140" w:firstLine="518"/>
        <w:spacing w:after="0" w:line="284" w:lineRule="auto"/>
        <w:rPr>
          <w:sz w:val="20"/>
          <w:szCs w:val="20"/>
          <w:color w:val="auto"/>
        </w:rPr>
      </w:pPr>
      <w:r>
        <w:rPr>
          <w:rFonts w:ascii="Times New Roman" w:cs="Times New Roman" w:eastAsia="Times New Roman" w:hAnsi="Times New Roman"/>
          <w:sz w:val="18"/>
          <w:szCs w:val="18"/>
          <w:i w:val="1"/>
          <w:iCs w:val="1"/>
          <w:color w:val="auto"/>
        </w:rPr>
        <w:t>All brand names or trademarks appearing in this report are the property of their respective holders. Unless the context requires otherwise, references in this report to “Kodiak” the “Company,” “we,” “us,” and “our” refer to Kodiak Sciences Inc</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460" w:type="dxa"/>
            <w:vAlign w:val="bottom"/>
            <w:gridSpan w:val="19"/>
            <w:vMerge w:val="restart"/>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FINANCIAL INFORMATION</w:t>
              </w:r>
            </w:hyperlink>
          </w:p>
        </w:tc>
        <w:tc>
          <w:tcPr>
            <w:tcW w:w="80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83"/>
        </w:trPr>
        <w:tc>
          <w:tcPr>
            <w:tcW w:w="1160" w:type="dxa"/>
            <w:vAlign w:val="bottom"/>
            <w:gridSpan w:val="2"/>
            <w:vMerge w:val="continue"/>
          </w:tcPr>
          <w:p>
            <w:pPr>
              <w:spacing w:after="0"/>
              <w:rPr>
                <w:sz w:val="15"/>
                <w:szCs w:val="15"/>
                <w:color w:val="auto"/>
              </w:rPr>
            </w:pPr>
          </w:p>
        </w:tc>
        <w:tc>
          <w:tcPr>
            <w:tcW w:w="9460" w:type="dxa"/>
            <w:vAlign w:val="bottom"/>
            <w:gridSpan w:val="19"/>
            <w:vMerge w:val="continue"/>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460" w:type="dxa"/>
            <w:vAlign w:val="bottom"/>
            <w:gridSpan w:val="19"/>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Financial Statements (Unaudited)</w:t>
              </w:r>
            </w:hyperlink>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60" w:type="dxa"/>
            <w:vAlign w:val="bottom"/>
            <w:gridSpan w:val="19"/>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Condensed Consolidated Balance Sheets</w:t>
              </w:r>
            </w:hyperlink>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54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Condensed Consolidated Statements of Operations and Comprehensive Loss</w:t>
              </w:r>
            </w:hyperlink>
          </w:p>
        </w:tc>
        <w:tc>
          <w:tcPr>
            <w:tcW w:w="3920" w:type="dxa"/>
            <w:vAlign w:val="bottom"/>
            <w:gridSpan w:val="2"/>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60" w:type="dxa"/>
            <w:vAlign w:val="bottom"/>
            <w:gridSpan w:val="19"/>
          </w:tcPr>
          <w:p>
            <w:pPr>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Condensed Consolidated Statements of Stockholders’ Equity (Deficit)</w:t>
              </w:r>
            </w:hyperlink>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60" w:type="dxa"/>
            <w:vAlign w:val="bottom"/>
            <w:tcBorders>
              <w:top w:val="single" w:sz="8" w:color="0000EE"/>
            </w:tcBorders>
            <w:gridSpan w:val="16"/>
          </w:tcPr>
          <w:p>
            <w:pPr>
              <w:spacing w:after="0"/>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Condensed Consolidated Statements of Cash Flows</w:t>
              </w:r>
            </w:hyperlink>
          </w:p>
        </w:tc>
        <w:tc>
          <w:tcPr>
            <w:tcW w:w="4400" w:type="dxa"/>
            <w:vAlign w:val="bottom"/>
            <w:gridSpan w:val="3"/>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w:anchor="page9">
              <w:r>
                <w:rPr>
                  <w:rFonts w:ascii="Times New Roman" w:cs="Times New Roman" w:eastAsia="Times New Roman" w:hAnsi="Times New Roman"/>
                  <w:sz w:val="18"/>
                  <w:szCs w:val="18"/>
                  <w:color w:val="0000EE"/>
                  <w:w w:val="99"/>
                </w:rPr>
                <w:t>Notes to Unaudited Condensed Consolidated Financial Statements</w:t>
              </w:r>
            </w:hyperlink>
          </w:p>
        </w:tc>
        <w:tc>
          <w:tcPr>
            <w:tcW w:w="4660" w:type="dxa"/>
            <w:vAlign w:val="bottom"/>
            <w:gridSpan w:val="4"/>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460" w:type="dxa"/>
            <w:vAlign w:val="bottom"/>
            <w:gridSpan w:val="19"/>
          </w:tcPr>
          <w:p>
            <w:pPr>
              <w:spacing w:after="0"/>
              <w:rPr>
                <w:rFonts w:ascii="Times New Roman" w:cs="Times New Roman" w:eastAsia="Times New Roman" w:hAnsi="Times New Roman"/>
                <w:sz w:val="18"/>
                <w:szCs w:val="18"/>
                <w:color w:val="0000EE"/>
              </w:rPr>
            </w:pPr>
            <w:hyperlink w:anchor="page16">
              <w:r>
                <w:rPr>
                  <w:rFonts w:ascii="Times New Roman" w:cs="Times New Roman" w:eastAsia="Times New Roman" w:hAnsi="Times New Roman"/>
                  <w:sz w:val="18"/>
                  <w:szCs w:val="18"/>
                  <w:color w:val="0000EE"/>
                </w:rPr>
                <w:t>Management’s Discussion and Analysis of Financial Condition and Results of Operations</w:t>
              </w:r>
            </w:hyperlink>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80" w:type="dxa"/>
            <w:vAlign w:val="bottom"/>
            <w:tcBorders>
              <w:top w:val="single" w:sz="8" w:color="0000EE"/>
              <w:bottom w:val="single" w:sz="8" w:color="0000EE"/>
            </w:tcBorders>
            <w:gridSpan w:val="14"/>
          </w:tcPr>
          <w:p>
            <w:pPr>
              <w:spacing w:after="0"/>
              <w:rPr>
                <w:rFonts w:ascii="Times New Roman" w:cs="Times New Roman" w:eastAsia="Times New Roman" w:hAnsi="Times New Roman"/>
                <w:sz w:val="18"/>
                <w:szCs w:val="18"/>
                <w:color w:val="0000EE"/>
                <w:w w:val="99"/>
              </w:rPr>
            </w:pPr>
            <w:hyperlink w:anchor="page23">
              <w:r>
                <w:rPr>
                  <w:rFonts w:ascii="Times New Roman" w:cs="Times New Roman" w:eastAsia="Times New Roman" w:hAnsi="Times New Roman"/>
                  <w:sz w:val="18"/>
                  <w:szCs w:val="18"/>
                  <w:color w:val="0000EE"/>
                  <w:w w:val="99"/>
                </w:rPr>
                <w:t>Quantitative and Qualitative Disclosures About Market Risk</w:t>
              </w:r>
            </w:hyperlink>
          </w:p>
        </w:tc>
        <w:tc>
          <w:tcPr>
            <w:tcW w:w="2080" w:type="dxa"/>
            <w:vAlign w:val="bottom"/>
            <w:tcBorders>
              <w:top w:val="single" w:sz="8" w:color="0000EE"/>
            </w:tcBorders>
            <w:gridSpan w:val="4"/>
          </w:tcPr>
          <w:p>
            <w:pPr>
              <w:spacing w:after="0"/>
              <w:rPr>
                <w:sz w:val="18"/>
                <w:szCs w:val="18"/>
                <w:color w:val="auto"/>
              </w:rPr>
            </w:pPr>
          </w:p>
        </w:tc>
        <w:tc>
          <w:tcPr>
            <w:tcW w:w="30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80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Controls and Procedures</w:t>
              </w:r>
            </w:hyperlink>
          </w:p>
        </w:tc>
        <w:tc>
          <w:tcPr>
            <w:tcW w:w="7660" w:type="dxa"/>
            <w:vAlign w:val="bottom"/>
            <w:gridSpan w:val="13"/>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190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8"/>
              </w:rPr>
            </w:pPr>
            <w:hyperlink w:anchor="page24">
              <w:r>
                <w:rPr>
                  <w:rFonts w:ascii="Times New Roman" w:cs="Times New Roman" w:eastAsia="Times New Roman" w:hAnsi="Times New Roman"/>
                  <w:sz w:val="18"/>
                  <w:szCs w:val="18"/>
                  <w:color w:val="0000EE"/>
                  <w:w w:val="98"/>
                </w:rPr>
                <w:t>OTHER INFORMATION</w:t>
              </w:r>
            </w:hyperlink>
          </w:p>
        </w:tc>
        <w:tc>
          <w:tcPr>
            <w:tcW w:w="7560" w:type="dxa"/>
            <w:vAlign w:val="bottom"/>
            <w:gridSpan w:val="12"/>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460" w:type="dxa"/>
            <w:vAlign w:val="bottom"/>
            <w:gridSpan w:val="19"/>
          </w:tcPr>
          <w:p>
            <w:pPr>
              <w:spacing w:after="0"/>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Legal Proceedings</w:t>
              </w:r>
            </w:hyperlink>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000EE"/>
              <w:bottom w:val="single" w:sz="8" w:color="0000EE"/>
            </w:tcBorders>
            <w:gridSpan w:val="2"/>
          </w:tcPr>
          <w:p>
            <w:pPr>
              <w:spacing w:after="0"/>
              <w:rPr>
                <w:rFonts w:ascii="Times New Roman" w:cs="Times New Roman" w:eastAsia="Times New Roman" w:hAnsi="Times New Roman"/>
                <w:sz w:val="18"/>
                <w:szCs w:val="18"/>
                <w:color w:val="0000EE"/>
                <w:w w:val="99"/>
              </w:rPr>
            </w:pPr>
            <w:hyperlink w:anchor="page24">
              <w:r>
                <w:rPr>
                  <w:rFonts w:ascii="Times New Roman" w:cs="Times New Roman" w:eastAsia="Times New Roman" w:hAnsi="Times New Roman"/>
                  <w:sz w:val="18"/>
                  <w:szCs w:val="18"/>
                  <w:color w:val="0000EE"/>
                  <w:w w:val="99"/>
                </w:rPr>
                <w:t>Risk Factors</w:t>
              </w:r>
            </w:hyperlink>
          </w:p>
        </w:tc>
        <w:tc>
          <w:tcPr>
            <w:tcW w:w="420" w:type="dxa"/>
            <w:vAlign w:val="bottom"/>
            <w:tcBorders>
              <w:top w:val="single" w:sz="8" w:color="0000EE"/>
            </w:tcBorders>
            <w:gridSpan w:val="2"/>
          </w:tcPr>
          <w:p>
            <w:pPr>
              <w:spacing w:after="0"/>
              <w:rPr>
                <w:sz w:val="18"/>
                <w:szCs w:val="18"/>
                <w:color w:val="auto"/>
              </w:rPr>
            </w:pPr>
          </w:p>
        </w:tc>
        <w:tc>
          <w:tcPr>
            <w:tcW w:w="8120" w:type="dxa"/>
            <w:vAlign w:val="bottom"/>
            <w:gridSpan w:val="15"/>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w:anchor="page60">
              <w:r>
                <w:rPr>
                  <w:rFonts w:ascii="Times New Roman" w:cs="Times New Roman" w:eastAsia="Times New Roman" w:hAnsi="Times New Roman"/>
                  <w:sz w:val="18"/>
                  <w:szCs w:val="18"/>
                  <w:color w:val="0000EE"/>
                  <w:w w:val="99"/>
                </w:rPr>
                <w:t>Unregistered Sales of Equity Securities and Use of Proceeds</w:t>
              </w:r>
            </w:hyperlink>
          </w:p>
        </w:tc>
        <w:tc>
          <w:tcPr>
            <w:tcW w:w="5100" w:type="dxa"/>
            <w:vAlign w:val="bottom"/>
            <w:gridSpan w:val="6"/>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234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w:anchor="page60">
              <w:r>
                <w:rPr>
                  <w:rFonts w:ascii="Times New Roman" w:cs="Times New Roman" w:eastAsia="Times New Roman" w:hAnsi="Times New Roman"/>
                  <w:sz w:val="18"/>
                  <w:szCs w:val="18"/>
                  <w:color w:val="0000EE"/>
                  <w:w w:val="99"/>
                </w:rPr>
                <w:t>Defaults Upon Senior Securities</w:t>
              </w:r>
            </w:hyperlink>
          </w:p>
        </w:tc>
        <w:tc>
          <w:tcPr>
            <w:tcW w:w="7120" w:type="dxa"/>
            <w:vAlign w:val="bottom"/>
            <w:gridSpan w:val="10"/>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w:anchor="page60">
              <w:r>
                <w:rPr>
                  <w:rFonts w:ascii="Times New Roman" w:cs="Times New Roman" w:eastAsia="Times New Roman" w:hAnsi="Times New Roman"/>
                  <w:sz w:val="18"/>
                  <w:szCs w:val="18"/>
                  <w:color w:val="0000EE"/>
                  <w:w w:val="99"/>
                </w:rPr>
                <w:t>Mine Safety Disclosures</w:t>
              </w:r>
            </w:hyperlink>
          </w:p>
        </w:tc>
        <w:tc>
          <w:tcPr>
            <w:tcW w:w="7680" w:type="dxa"/>
            <w:vAlign w:val="bottom"/>
            <w:gridSpan w:val="14"/>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9460" w:type="dxa"/>
            <w:vAlign w:val="bottom"/>
            <w:gridSpan w:val="19"/>
          </w:tcPr>
          <w:p>
            <w:pPr>
              <w:spacing w:after="0"/>
              <w:rPr>
                <w:rFonts w:ascii="Times New Roman" w:cs="Times New Roman" w:eastAsia="Times New Roman" w:hAnsi="Times New Roman"/>
                <w:sz w:val="18"/>
                <w:szCs w:val="18"/>
                <w:color w:val="0000EE"/>
              </w:rPr>
            </w:pPr>
            <w:hyperlink w:anchor="page60">
              <w:r>
                <w:rPr>
                  <w:rFonts w:ascii="Times New Roman" w:cs="Times New Roman" w:eastAsia="Times New Roman" w:hAnsi="Times New Roman"/>
                  <w:sz w:val="18"/>
                  <w:szCs w:val="18"/>
                  <w:color w:val="0000EE"/>
                </w:rPr>
                <w:t>Other Information</w:t>
              </w:r>
            </w:hyperlink>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1320" w:type="dxa"/>
            <w:vAlign w:val="bottom"/>
            <w:tcBorders>
              <w:top w:val="single" w:sz="8" w:color="0000EE"/>
            </w:tcBorders>
            <w:gridSpan w:val="3"/>
          </w:tcPr>
          <w:p>
            <w:pPr>
              <w:spacing w:after="0"/>
              <w:rPr>
                <w:rFonts w:ascii="Times New Roman" w:cs="Times New Roman" w:eastAsia="Times New Roman" w:hAnsi="Times New Roman"/>
                <w:sz w:val="18"/>
                <w:szCs w:val="18"/>
                <w:color w:val="0000EE"/>
              </w:rPr>
            </w:pPr>
            <w:hyperlink w:anchor="page61">
              <w:r>
                <w:rPr>
                  <w:rFonts w:ascii="Times New Roman" w:cs="Times New Roman" w:eastAsia="Times New Roman" w:hAnsi="Times New Roman"/>
                  <w:sz w:val="18"/>
                  <w:szCs w:val="18"/>
                  <w:color w:val="0000EE"/>
                </w:rPr>
                <w:t>Exhibits</w:t>
              </w:r>
            </w:hyperlink>
          </w:p>
        </w:tc>
        <w:tc>
          <w:tcPr>
            <w:tcW w:w="8140" w:type="dxa"/>
            <w:vAlign w:val="bottom"/>
            <w:gridSpan w:val="16"/>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rFonts w:ascii="Times New Roman" w:cs="Times New Roman" w:eastAsia="Times New Roman" w:hAnsi="Times New Roman"/>
                <w:sz w:val="18"/>
                <w:szCs w:val="18"/>
                <w:color w:val="0000EE"/>
              </w:rPr>
            </w:pPr>
            <w:hyperlink w:anchor="page62">
              <w:r>
                <w:rPr>
                  <w:rFonts w:ascii="Times New Roman" w:cs="Times New Roman" w:eastAsia="Times New Roman" w:hAnsi="Times New Roman"/>
                  <w:sz w:val="18"/>
                  <w:szCs w:val="18"/>
                  <w:color w:val="0000EE"/>
                </w:rPr>
                <w:t>Signatures</w:t>
              </w:r>
            </w:hyperlink>
          </w:p>
        </w:tc>
        <w:tc>
          <w:tcPr>
            <w:tcW w:w="600" w:type="dxa"/>
            <w:vAlign w:val="bottom"/>
            <w:tcBorders>
              <w:top w:val="single" w:sz="8" w:color="0000EE"/>
            </w:tcBorders>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7780" w:type="dxa"/>
            <w:vAlign w:val="bottom"/>
          </w:tcPr>
          <w:p>
            <w:pPr>
              <w:jc w:val="center"/>
              <w:ind w:left="3570"/>
              <w:spacing w:after="0"/>
              <w:rPr>
                <w:sz w:val="20"/>
                <w:szCs w:val="20"/>
                <w:color w:val="auto"/>
              </w:rPr>
            </w:pPr>
            <w:r>
              <w:rPr>
                <w:rFonts w:ascii="Times New Roman" w:cs="Times New Roman" w:eastAsia="Times New Roman" w:hAnsi="Times New Roman"/>
                <w:sz w:val="18"/>
                <w:szCs w:val="18"/>
                <w:b w:val="1"/>
                <w:bCs w:val="1"/>
                <w:color w:val="auto"/>
                <w:w w:val="99"/>
              </w:rPr>
              <w:t>PART I—FINANCIAL INFORMATION</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7780" w:type="dxa"/>
            <w:vAlign w:val="bottom"/>
          </w:tcPr>
          <w:p>
            <w:pPr>
              <w:jc w:val="center"/>
              <w:ind w:left="3570"/>
              <w:spacing w:after="0"/>
              <w:rPr>
                <w:sz w:val="20"/>
                <w:szCs w:val="20"/>
                <w:color w:val="auto"/>
              </w:rPr>
            </w:pPr>
            <w:r>
              <w:rPr>
                <w:rFonts w:ascii="Times New Roman" w:cs="Times New Roman" w:eastAsia="Times New Roman" w:hAnsi="Times New Roman"/>
                <w:sz w:val="18"/>
                <w:szCs w:val="18"/>
                <w:b w:val="1"/>
                <w:bCs w:val="1"/>
                <w:color w:val="auto"/>
              </w:rPr>
              <w:t>Kodiak Sciences Inc.</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780" w:type="dxa"/>
            <w:vAlign w:val="bottom"/>
          </w:tcPr>
          <w:p>
            <w:pPr>
              <w:jc w:val="center"/>
              <w:ind w:left="355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jc w:val="center"/>
              <w:ind w:left="355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and per share amounts)</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780" w:type="dxa"/>
            <w:vAlign w:val="bottom"/>
          </w:tcPr>
          <w:p>
            <w:pPr>
              <w:jc w:val="center"/>
              <w:ind w:left="355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7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8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778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8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44,967</w:t>
            </w:r>
          </w:p>
        </w:tc>
        <w:tc>
          <w:tcPr>
            <w:tcW w:w="28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45"/>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88,254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Marketable securities</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23,134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7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current assets</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70,492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77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4,424</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80" w:type="dxa"/>
            <w:vAlign w:val="bottom"/>
            <w:tcBorders>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assets</w:t>
            </w:r>
          </w:p>
        </w:tc>
        <w:tc>
          <w:tcPr>
            <w:tcW w:w="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78,275</w:t>
            </w:r>
          </w:p>
        </w:tc>
        <w:tc>
          <w:tcPr>
            <w:tcW w:w="2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92,189</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2,529</w:t>
            </w:r>
          </w:p>
        </w:tc>
        <w:tc>
          <w:tcPr>
            <w:tcW w:w="280" w:type="dxa"/>
            <w:vAlign w:val="bottom"/>
          </w:tcPr>
          <w:p>
            <w:pPr>
              <w:spacing w:after="0"/>
              <w:rPr>
                <w:sz w:val="19"/>
                <w:szCs w:val="19"/>
                <w:color w:val="auto"/>
              </w:rPr>
            </w:pPr>
          </w:p>
        </w:tc>
        <w:tc>
          <w:tcPr>
            <w:tcW w:w="180" w:type="dxa"/>
            <w:vAlign w:val="bottom"/>
            <w:gridSpan w:val="2"/>
          </w:tcPr>
          <w:p>
            <w:pPr>
              <w:jc w:val="right"/>
              <w:ind w:right="45"/>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7780" w:type="dxa"/>
            <w:vAlign w:val="bottom"/>
            <w:tcBorders>
              <w:top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6,214</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4,826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8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liabilities</w:t>
            </w: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8,256</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6)</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Common stock, $0.0001 par value, 490,000,000 shares authorized at</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June 30, 2019 and December 31, 2018; 36,931,141 and 36,829,857</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shares issued and outstanding at June 30, 2019 and</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8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December 31, 2018, respectively</w:t>
            </w:r>
          </w:p>
        </w:tc>
        <w:tc>
          <w:tcPr>
            <w:tcW w:w="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200,138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197,595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(130,135)</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(110,766)</w:t>
            </w:r>
          </w:p>
        </w:tc>
        <w:tc>
          <w:tcPr>
            <w:tcW w:w="0" w:type="dxa"/>
            <w:vAlign w:val="bottom"/>
          </w:tcPr>
          <w:p>
            <w:pPr>
              <w:spacing w:after="0"/>
              <w:rPr>
                <w:sz w:val="1"/>
                <w:szCs w:val="1"/>
                <w:color w:val="auto"/>
              </w:rPr>
            </w:pPr>
          </w:p>
        </w:tc>
      </w:tr>
      <w:tr>
        <w:trPr>
          <w:trHeight w:val="223"/>
        </w:trPr>
        <w:tc>
          <w:tcPr>
            <w:tcW w:w="7780" w:type="dxa"/>
            <w:vAlign w:val="bottom"/>
            <w:tcBorders>
              <w:top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70,019</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86,833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78,275</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Kodiak 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8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Pr>
          <w:p>
            <w:pPr>
              <w:spacing w:after="0"/>
              <w:rPr>
                <w:sz w:val="18"/>
                <w:szCs w:val="18"/>
                <w:color w:val="auto"/>
              </w:rPr>
            </w:pPr>
          </w:p>
        </w:tc>
        <w:tc>
          <w:tcPr>
            <w:tcW w:w="2460" w:type="dxa"/>
            <w:vAlign w:val="bottom"/>
            <w:gridSpan w:val="6"/>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38"/>
        </w:trPr>
        <w:tc>
          <w:tcPr>
            <w:tcW w:w="59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2018</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2019</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8,838</w:t>
            </w:r>
          </w:p>
        </w:tc>
        <w:tc>
          <w:tcPr>
            <w:tcW w:w="2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3,591</w:t>
            </w:r>
          </w:p>
        </w:tc>
        <w:tc>
          <w:tcPr>
            <w:tcW w:w="2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14,561</w:t>
            </w:r>
          </w:p>
        </w:tc>
        <w:tc>
          <w:tcPr>
            <w:tcW w:w="160" w:type="dxa"/>
            <w:vAlign w:val="bottom"/>
          </w:tcPr>
          <w:p>
            <w:pPr>
              <w:spacing w:after="0"/>
              <w:rPr>
                <w:sz w:val="19"/>
                <w:szCs w:val="19"/>
                <w:color w:val="auto"/>
              </w:rPr>
            </w:pPr>
          </w:p>
        </w:tc>
        <w:tc>
          <w:tcPr>
            <w:tcW w:w="380" w:type="dxa"/>
            <w:vAlign w:val="bottom"/>
            <w:gridSpan w:val="2"/>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2,976</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1,499</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11,814</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5,090</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20,274</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(11,814)</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(5,090)</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(20,274)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9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expense (includes $1,005 and $1,867 attributable</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 related parties for the three and six months</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9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ended June 30, 2018, respectively)</w:t>
            </w:r>
          </w:p>
        </w:tc>
        <w:tc>
          <w:tcPr>
            <w:tcW w:w="20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(1,877)</w:t>
            </w:r>
          </w:p>
        </w:tc>
        <w:tc>
          <w:tcPr>
            <w:tcW w:w="22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(3,347)</w:t>
            </w:r>
          </w:p>
        </w:tc>
        <w:tc>
          <w:tcPr>
            <w:tcW w:w="0" w:type="dxa"/>
            <w:vAlign w:val="bottom"/>
          </w:tcPr>
          <w:p>
            <w:pPr>
              <w:spacing w:after="0"/>
              <w:rPr>
                <w:sz w:val="1"/>
                <w:szCs w:val="1"/>
                <w:color w:val="auto"/>
              </w:rPr>
            </w:pPr>
          </w:p>
        </w:tc>
      </w:tr>
      <w:tr>
        <w:trPr>
          <w:trHeight w:val="211"/>
        </w:trPr>
        <w:tc>
          <w:tcPr>
            <w:tcW w:w="5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income (expense), net (includes $191 and $1,585</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expense attributable to related parties for the</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three and six months ended June 30, 2018, respectively)</w:t>
            </w:r>
          </w:p>
        </w:tc>
        <w:tc>
          <w:tcPr>
            <w:tcW w:w="20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(518)</w:t>
            </w:r>
          </w:p>
        </w:tc>
        <w:tc>
          <w:tcPr>
            <w:tcW w:w="22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(2,469)</w:t>
            </w:r>
          </w:p>
        </w:tc>
        <w:tc>
          <w:tcPr>
            <w:tcW w:w="0" w:type="dxa"/>
            <w:vAlign w:val="bottom"/>
          </w:tcPr>
          <w:p>
            <w:pPr>
              <w:spacing w:after="0"/>
              <w:rPr>
                <w:sz w:val="1"/>
                <w:szCs w:val="1"/>
                <w:color w:val="auto"/>
              </w:rPr>
            </w:pPr>
          </w:p>
        </w:tc>
      </w:tr>
      <w:tr>
        <w:trPr>
          <w:trHeight w:val="223"/>
        </w:trPr>
        <w:tc>
          <w:tcPr>
            <w:tcW w:w="59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(11,385)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(7,409)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(19,369)</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(16,329)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2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FF0FC"/>
            </w:tcBorders>
            <w:vMerge w:val="continue"/>
          </w:tcPr>
          <w:p>
            <w:pPr>
              <w:spacing w:after="0"/>
              <w:rPr>
                <w:sz w:val="21"/>
                <w:szCs w:val="21"/>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240" w:type="dxa"/>
            <w:vAlign w:val="bottom"/>
            <w:tcBorders>
              <w:bottom w:val="single" w:sz="8" w:color="CFF0FC"/>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(0.96)</w:t>
            </w:r>
          </w:p>
        </w:tc>
        <w:tc>
          <w:tcPr>
            <w:tcW w:w="240" w:type="dxa"/>
            <w:vAlign w:val="bottom"/>
            <w:tcBorders>
              <w:bottom w:val="single" w:sz="8" w:color="CFF0FC"/>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16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5960" w:type="dxa"/>
            <w:vAlign w:val="bottom"/>
            <w:shd w:val="clear" w:color="auto" w:fill="CFF0FC"/>
          </w:tcPr>
          <w:p>
            <w:pPr>
              <w:spacing w:after="0" w:line="192" w:lineRule="exact"/>
              <w:rPr>
                <w:sz w:val="20"/>
                <w:szCs w:val="20"/>
                <w:color w:val="auto"/>
              </w:rPr>
            </w:pPr>
            <w:r>
              <w:rPr>
                <w:rFonts w:ascii="Times New Roman" w:cs="Times New Roman" w:eastAsia="Times New Roman" w:hAnsi="Times New Roman"/>
                <w:sz w:val="18"/>
                <w:szCs w:val="18"/>
                <w:color w:val="auto"/>
              </w:rPr>
              <w:t>Weighted-average common shares outstanding used in</w:t>
            </w:r>
          </w:p>
        </w:tc>
        <w:tc>
          <w:tcPr>
            <w:tcW w:w="2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9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computing net loss per common share, basic and diluted</w:t>
            </w:r>
          </w:p>
        </w:tc>
        <w:tc>
          <w:tcPr>
            <w:tcW w:w="20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37,294,853</w:t>
            </w:r>
          </w:p>
        </w:tc>
        <w:tc>
          <w:tcPr>
            <w:tcW w:w="2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7,757,081</w:t>
            </w:r>
          </w:p>
        </w:tc>
        <w:tc>
          <w:tcPr>
            <w:tcW w:w="2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37,271,638</w:t>
            </w:r>
          </w:p>
        </w:tc>
        <w:tc>
          <w:tcPr>
            <w:tcW w:w="1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7,720,967</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9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Change in unrealized gains related to available-for-sale</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9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debt securities, net of tax</w:t>
            </w:r>
          </w:p>
        </w:tc>
        <w:tc>
          <w:tcPr>
            <w:tcW w:w="20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other comprehensive income</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59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20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(11,379)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(7,409)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(19,357)</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(16,329)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Kodiak 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0" w:type="dxa"/>
            <w:vAlign w:val="bottom"/>
          </w:tcPr>
          <w:p>
            <w:pPr>
              <w:spacing w:after="0"/>
              <w:rPr>
                <w:sz w:val="13"/>
                <w:szCs w:val="13"/>
                <w:color w:val="auto"/>
              </w:rPr>
            </w:pPr>
          </w:p>
        </w:tc>
        <w:tc>
          <w:tcPr>
            <w:tcW w:w="212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20" w:type="dxa"/>
            <w:vAlign w:val="bottom"/>
            <w:shd w:val="clear" w:color="auto" w:fill="000000"/>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3"/>
                <w:szCs w:val="13"/>
                <w:color w:val="auto"/>
              </w:rPr>
            </w:pPr>
          </w:p>
        </w:tc>
        <w:tc>
          <w:tcPr>
            <w:tcW w:w="90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800" w:type="dxa"/>
            <w:vAlign w:val="bottom"/>
          </w:tcPr>
          <w:p>
            <w:pPr>
              <w:spacing w:after="0"/>
              <w:rPr>
                <w:sz w:val="12"/>
                <w:szCs w:val="12"/>
                <w:color w:val="auto"/>
              </w:rPr>
            </w:pPr>
          </w:p>
        </w:tc>
        <w:tc>
          <w:tcPr>
            <w:tcW w:w="2120" w:type="dxa"/>
            <w:vAlign w:val="bottom"/>
            <w:gridSpan w:val="5"/>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20" w:type="dxa"/>
            <w:vAlign w:val="bottom"/>
            <w:shd w:val="clear" w:color="auto" w:fill="000000"/>
          </w:tcPr>
          <w:p>
            <w:pPr>
              <w:spacing w:after="0"/>
              <w:rPr>
                <w:sz w:val="12"/>
                <w:szCs w:val="12"/>
                <w:color w:val="auto"/>
              </w:rPr>
            </w:pPr>
          </w:p>
        </w:tc>
        <w:tc>
          <w:tcPr>
            <w:tcW w:w="1800" w:type="dxa"/>
            <w:vAlign w:val="bottom"/>
            <w:gridSpan w:val="3"/>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2"/>
                <w:szCs w:val="12"/>
                <w:color w:val="auto"/>
              </w:rPr>
            </w:pPr>
          </w:p>
        </w:tc>
        <w:tc>
          <w:tcPr>
            <w:tcW w:w="10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3"/>
        </w:trPr>
        <w:tc>
          <w:tcPr>
            <w:tcW w:w="2800" w:type="dxa"/>
            <w:vAlign w:val="bottom"/>
          </w:tcPr>
          <w:p>
            <w:pPr>
              <w:spacing w:after="0"/>
              <w:rPr>
                <w:sz w:val="15"/>
                <w:szCs w:val="15"/>
                <w:color w:val="auto"/>
              </w:rPr>
            </w:pPr>
          </w:p>
        </w:tc>
        <w:tc>
          <w:tcPr>
            <w:tcW w:w="212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20" w:type="dxa"/>
            <w:vAlign w:val="bottom"/>
            <w:shd w:val="clear" w:color="auto" w:fill="000000"/>
          </w:tcPr>
          <w:p>
            <w:pPr>
              <w:spacing w:after="0"/>
              <w:rPr>
                <w:sz w:val="15"/>
                <w:szCs w:val="15"/>
                <w:color w:val="auto"/>
              </w:rPr>
            </w:pPr>
          </w:p>
        </w:tc>
        <w:tc>
          <w:tcPr>
            <w:tcW w:w="18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200" w:type="dxa"/>
            <w:vAlign w:val="bottom"/>
          </w:tcPr>
          <w:p>
            <w:pPr>
              <w:spacing w:after="0"/>
              <w:rPr>
                <w:sz w:val="15"/>
                <w:szCs w:val="15"/>
                <w:color w:val="auto"/>
              </w:rPr>
            </w:pPr>
          </w:p>
        </w:tc>
        <w:tc>
          <w:tcPr>
            <w:tcW w:w="106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56"/>
        </w:trPr>
        <w:tc>
          <w:tcPr>
            <w:tcW w:w="2800" w:type="dxa"/>
            <w:vAlign w:val="bottom"/>
          </w:tcPr>
          <w:p>
            <w:pPr>
              <w:spacing w:after="0"/>
              <w:rPr>
                <w:sz w:val="13"/>
                <w:szCs w:val="13"/>
                <w:color w:val="auto"/>
              </w:rPr>
            </w:pPr>
          </w:p>
        </w:tc>
        <w:tc>
          <w:tcPr>
            <w:tcW w:w="860" w:type="dxa"/>
            <w:vAlign w:val="bottom"/>
            <w:tcBorders>
              <w:top w:val="single" w:sz="8" w:color="auto"/>
            </w:tcBorders>
          </w:tcPr>
          <w:p>
            <w:pPr>
              <w:jc w:val="right"/>
              <w:ind w:right="168"/>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108"/>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3"/>
                <w:szCs w:val="13"/>
                <w:color w:val="auto"/>
              </w:rPr>
            </w:pPr>
          </w:p>
        </w:tc>
        <w:tc>
          <w:tcPr>
            <w:tcW w:w="20" w:type="dxa"/>
            <w:vAlign w:val="bottom"/>
            <w:tcBorders>
              <w:top w:val="single" w:sz="8" w:color="auto"/>
            </w:tcBorders>
            <w:shd w:val="clear" w:color="auto" w:fill="000000"/>
          </w:tcPr>
          <w:p>
            <w:pPr>
              <w:spacing w:after="0"/>
              <w:rPr>
                <w:sz w:val="13"/>
                <w:szCs w:val="13"/>
                <w:color w:val="auto"/>
              </w:rPr>
            </w:pPr>
          </w:p>
        </w:tc>
        <w:tc>
          <w:tcPr>
            <w:tcW w:w="1120" w:type="dxa"/>
            <w:vAlign w:val="bottom"/>
            <w:tcBorders>
              <w:top w:val="single" w:sz="8" w:color="auto"/>
            </w:tcBorders>
            <w:gridSpan w:val="2"/>
          </w:tcPr>
          <w:p>
            <w:pPr>
              <w:ind w:left="28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6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tcPr>
          <w:p>
            <w:pPr>
              <w:jc w:val="center"/>
              <w:ind w:right="320"/>
              <w:spacing w:after="0" w:line="155" w:lineRule="exact"/>
              <w:rPr>
                <w:sz w:val="20"/>
                <w:szCs w:val="20"/>
                <w:color w:val="auto"/>
              </w:rPr>
            </w:pPr>
            <w:r>
              <w:rPr>
                <w:rFonts w:ascii="Times New Roman" w:cs="Times New Roman" w:eastAsia="Times New Roman" w:hAnsi="Times New Roman"/>
                <w:sz w:val="14"/>
                <w:szCs w:val="14"/>
                <w:b w:val="1"/>
                <w:bCs w:val="1"/>
                <w:color w:val="auto"/>
              </w:rPr>
              <w:t>Capital</w:t>
            </w:r>
          </w:p>
        </w:tc>
        <w:tc>
          <w:tcPr>
            <w:tcW w:w="980" w:type="dxa"/>
            <w:vAlign w:val="bottom"/>
            <w:gridSpan w:val="2"/>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right"/>
              <w:ind w:right="440"/>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3"/>
                <w:szCs w:val="13"/>
                <w:color w:val="auto"/>
              </w:rPr>
            </w:pPr>
          </w:p>
        </w:tc>
        <w:tc>
          <w:tcPr>
            <w:tcW w:w="880" w:type="dxa"/>
            <w:vAlign w:val="bottom"/>
            <w:gridSpan w:val="2"/>
          </w:tcPr>
          <w:p>
            <w:pPr>
              <w:jc w:val="center"/>
              <w:ind w:right="260"/>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56"/>
        </w:trPr>
        <w:tc>
          <w:tcPr>
            <w:tcW w:w="2800" w:type="dxa"/>
            <w:vAlign w:val="bottom"/>
            <w:tcBorders>
              <w:top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Balances at December 31, 2018</w:t>
            </w:r>
          </w:p>
        </w:tc>
        <w:tc>
          <w:tcPr>
            <w:tcW w:w="86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auto"/>
            </w:tcBorders>
            <w:shd w:val="clear" w:color="auto" w:fill="000000"/>
          </w:tcPr>
          <w:p>
            <w:pPr>
              <w:spacing w:after="0"/>
              <w:rPr>
                <w:sz w:val="13"/>
                <w:szCs w:val="13"/>
                <w:color w:val="auto"/>
              </w:rPr>
            </w:pPr>
          </w:p>
        </w:tc>
        <w:tc>
          <w:tcPr>
            <w:tcW w:w="920" w:type="dxa"/>
            <w:vAlign w:val="bottom"/>
            <w:tcBorders>
              <w:top w:val="single" w:sz="8" w:color="auto"/>
              <w:left w:val="single" w:sz="8" w:color="CFF0FC"/>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36,829,857</w:t>
            </w:r>
          </w:p>
        </w:tc>
        <w:tc>
          <w:tcPr>
            <w:tcW w:w="200" w:type="dxa"/>
            <w:vAlign w:val="bottom"/>
            <w:tcBorders>
              <w:top w:val="single" w:sz="8" w:color="CFF0FC"/>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jc w:val="right"/>
              <w:ind w:right="5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w:t>
            </w: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197,595</w:t>
            </w:r>
          </w:p>
        </w:tc>
        <w:tc>
          <w:tcPr>
            <w:tcW w:w="2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(110,766)</w:t>
            </w:r>
          </w:p>
        </w:tc>
        <w:tc>
          <w:tcPr>
            <w:tcW w:w="2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86,833</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800" w:type="dxa"/>
            <w:vAlign w:val="bottom"/>
          </w:tcPr>
          <w:p>
            <w:pPr>
              <w:ind w:left="260"/>
              <w:spacing w:after="0" w:line="139" w:lineRule="exact"/>
              <w:rPr>
                <w:sz w:val="20"/>
                <w:szCs w:val="20"/>
                <w:color w:val="auto"/>
              </w:rPr>
            </w:pPr>
            <w:r>
              <w:rPr>
                <w:rFonts w:ascii="Times New Roman" w:cs="Times New Roman" w:eastAsia="Times New Roman" w:hAnsi="Times New Roman"/>
                <w:sz w:val="14"/>
                <w:szCs w:val="14"/>
                <w:color w:val="auto"/>
              </w:rPr>
              <w:t>Issuance of common stock upon</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80,000</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8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8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9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800" w:type="dxa"/>
            <w:vAlign w:val="bottom"/>
            <w:shd w:val="clear" w:color="auto" w:fill="CFF0FC"/>
          </w:tcPr>
          <w:p>
            <w:pPr>
              <w:ind w:left="260"/>
              <w:spacing w:after="0" w:line="139" w:lineRule="exact"/>
              <w:rPr>
                <w:sz w:val="20"/>
                <w:szCs w:val="20"/>
                <w:color w:val="auto"/>
              </w:rPr>
            </w:pPr>
            <w:r>
              <w:rPr>
                <w:rFonts w:ascii="Times New Roman" w:cs="Times New Roman" w:eastAsia="Times New Roman" w:hAnsi="Times New Roman"/>
                <w:sz w:val="14"/>
                <w:szCs w:val="14"/>
                <w:color w:val="auto"/>
              </w:rPr>
              <w:t>Stock-based compensation</w:t>
            </w: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4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1120" w:type="dxa"/>
            <w:vAlign w:val="bottom"/>
            <w:tcBorders>
              <w:left w:val="single" w:sz="8" w:color="CFF0FC"/>
            </w:tcBorders>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spacing w:after="0"/>
              <w:rPr>
                <w:sz w:val="12"/>
                <w:szCs w:val="12"/>
                <w:color w:val="auto"/>
              </w:rPr>
            </w:pPr>
          </w:p>
        </w:tc>
        <w:tc>
          <w:tcPr>
            <w:tcW w:w="38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1,157</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1,157</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8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4"/>
                <w:szCs w:val="14"/>
                <w:color w:val="auto"/>
              </w:rPr>
              <w:t>expense</w:t>
            </w:r>
          </w:p>
        </w:tc>
        <w:tc>
          <w:tcPr>
            <w:tcW w:w="86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gridSpan w:val="2"/>
            <w:vMerge w:val="continue"/>
            <w:shd w:val="clear" w:color="auto" w:fill="CFF0FC"/>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1120" w:type="dxa"/>
            <w:vAlign w:val="bottom"/>
            <w:tcBorders>
              <w:left w:val="single" w:sz="8" w:color="CFF0FC"/>
            </w:tcBorders>
            <w:gridSpan w:val="2"/>
            <w:vMerge w:val="continue"/>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38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2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spacing w:after="0"/>
              <w:rPr>
                <w:sz w:val="14"/>
                <w:szCs w:val="14"/>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Net loss</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4"/>
                <w:szCs w:val="14"/>
                <w:color w:val="auto"/>
              </w:rPr>
            </w:pPr>
          </w:p>
        </w:tc>
        <w:tc>
          <w:tcPr>
            <w:tcW w:w="1120" w:type="dxa"/>
            <w:vAlign w:val="bottom"/>
            <w:tcBorders>
              <w:lef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spacing w:after="0"/>
              <w:rPr>
                <w:sz w:val="14"/>
                <w:szCs w:val="14"/>
                <w:color w:val="auto"/>
              </w:rPr>
            </w:pPr>
          </w:p>
        </w:tc>
        <w:tc>
          <w:tcPr>
            <w:tcW w:w="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(7,984)</w:t>
            </w:r>
          </w:p>
        </w:tc>
        <w:tc>
          <w:tcPr>
            <w:tcW w:w="1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(7,984)</w:t>
            </w:r>
          </w:p>
        </w:tc>
        <w:tc>
          <w:tcPr>
            <w:tcW w:w="0" w:type="dxa"/>
            <w:vAlign w:val="bottom"/>
          </w:tcPr>
          <w:p>
            <w:pPr>
              <w:spacing w:after="0"/>
              <w:rPr>
                <w:sz w:val="1"/>
                <w:szCs w:val="1"/>
                <w:color w:val="auto"/>
              </w:rPr>
            </w:pPr>
          </w:p>
        </w:tc>
      </w:tr>
      <w:tr>
        <w:trPr>
          <w:trHeight w:val="156"/>
        </w:trPr>
        <w:tc>
          <w:tcPr>
            <w:tcW w:w="280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Balances at March 31, 2019</w:t>
            </w:r>
          </w:p>
        </w:tc>
        <w:tc>
          <w:tcPr>
            <w:tcW w:w="8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3"/>
                <w:szCs w:val="13"/>
                <w:color w:val="auto"/>
              </w:rPr>
            </w:pPr>
          </w:p>
        </w:tc>
        <w:tc>
          <w:tcPr>
            <w:tcW w:w="20" w:type="dxa"/>
            <w:vAlign w:val="bottom"/>
            <w:tcBorders>
              <w:top w:val="single" w:sz="8" w:color="auto"/>
            </w:tcBorders>
            <w:shd w:val="clear" w:color="auto" w:fill="000000"/>
          </w:tcPr>
          <w:p>
            <w:pPr>
              <w:spacing w:after="0"/>
              <w:rPr>
                <w:sz w:val="13"/>
                <w:szCs w:val="13"/>
                <w:color w:val="auto"/>
              </w:rPr>
            </w:pPr>
          </w:p>
        </w:tc>
        <w:tc>
          <w:tcPr>
            <w:tcW w:w="9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36,909,857</w:t>
            </w:r>
          </w:p>
        </w:tc>
        <w:tc>
          <w:tcPr>
            <w:tcW w:w="20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w:t>
            </w: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198,835</w:t>
            </w:r>
          </w:p>
        </w:tc>
        <w:tc>
          <w:tcPr>
            <w:tcW w:w="2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w:t>
            </w:r>
          </w:p>
        </w:tc>
        <w:tc>
          <w:tcPr>
            <w:tcW w:w="2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(118,750)</w:t>
            </w:r>
          </w:p>
        </w:tc>
        <w:tc>
          <w:tcPr>
            <w:tcW w:w="2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80,095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800" w:type="dxa"/>
            <w:vAlign w:val="bottom"/>
            <w:shd w:val="clear" w:color="auto" w:fill="CFF0FC"/>
          </w:tcPr>
          <w:p>
            <w:pPr>
              <w:ind w:left="260"/>
              <w:spacing w:after="0" w:line="139" w:lineRule="exact"/>
              <w:rPr>
                <w:sz w:val="20"/>
                <w:szCs w:val="20"/>
                <w:color w:val="auto"/>
              </w:rPr>
            </w:pPr>
            <w:r>
              <w:rPr>
                <w:rFonts w:ascii="Times New Roman" w:cs="Times New Roman" w:eastAsia="Times New Roman" w:hAnsi="Times New Roman"/>
                <w:sz w:val="14"/>
                <w:szCs w:val="14"/>
                <w:color w:val="auto"/>
              </w:rPr>
              <w:t>Issuance of common stock upon</w:t>
            </w: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4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920" w:type="dxa"/>
            <w:vAlign w:val="bottom"/>
            <w:tcBorders>
              <w:lef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21,284</w:t>
            </w: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38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8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86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gridSpan w:val="2"/>
            <w:vMerge w:val="continue"/>
            <w:shd w:val="clear" w:color="auto" w:fill="CFF0FC"/>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920" w:type="dxa"/>
            <w:vAlign w:val="bottom"/>
            <w:tcBorders>
              <w:left w:val="single" w:sz="8" w:color="CFF0FC"/>
            </w:tcBorders>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38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2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800" w:type="dxa"/>
            <w:vAlign w:val="bottom"/>
          </w:tcPr>
          <w:p>
            <w:pPr>
              <w:ind w:left="260"/>
              <w:spacing w:after="0" w:line="139" w:lineRule="exact"/>
              <w:rPr>
                <w:sz w:val="20"/>
                <w:szCs w:val="20"/>
                <w:color w:val="auto"/>
              </w:rPr>
            </w:pPr>
            <w:r>
              <w:rPr>
                <w:rFonts w:ascii="Times New Roman" w:cs="Times New Roman" w:eastAsia="Times New Roman" w:hAnsi="Times New Roman"/>
                <w:sz w:val="14"/>
                <w:szCs w:val="14"/>
                <w:color w:val="auto"/>
              </w:rPr>
              <w:t>Stock-based compensation</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11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spacing w:after="0"/>
              <w:rPr>
                <w:sz w:val="12"/>
                <w:szCs w:val="12"/>
                <w:color w:val="auto"/>
              </w:rPr>
            </w:pPr>
          </w:p>
        </w:tc>
        <w:tc>
          <w:tcPr>
            <w:tcW w:w="3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1,244</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1,244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8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expense</w:t>
            </w:r>
          </w:p>
        </w:tc>
        <w:tc>
          <w:tcPr>
            <w:tcW w:w="8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4"/>
                <w:szCs w:val="14"/>
                <w:color w:val="auto"/>
              </w:rPr>
            </w:pPr>
          </w:p>
        </w:tc>
        <w:tc>
          <w:tcPr>
            <w:tcW w:w="1120" w:type="dxa"/>
            <w:vAlign w:val="bottom"/>
            <w:tcBorders>
              <w:lef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spacing w:after="0"/>
              <w:rPr>
                <w:sz w:val="14"/>
                <w:szCs w:val="14"/>
                <w:color w:val="auto"/>
              </w:rPr>
            </w:pPr>
          </w:p>
        </w:tc>
        <w:tc>
          <w:tcPr>
            <w:tcW w:w="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loss</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spacing w:after="0"/>
              <w:rPr>
                <w:sz w:val="14"/>
                <w:szCs w:val="14"/>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(11,385)</w:t>
            </w:r>
          </w:p>
        </w:tc>
        <w:tc>
          <w:tcPr>
            <w:tcW w:w="120" w:type="dxa"/>
            <w:vAlign w:val="bottom"/>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(11,385)</w:t>
            </w:r>
          </w:p>
        </w:tc>
        <w:tc>
          <w:tcPr>
            <w:tcW w:w="0" w:type="dxa"/>
            <w:vAlign w:val="bottom"/>
          </w:tcPr>
          <w:p>
            <w:pPr>
              <w:spacing w:after="0"/>
              <w:rPr>
                <w:sz w:val="1"/>
                <w:szCs w:val="1"/>
                <w:color w:val="auto"/>
              </w:rPr>
            </w:pPr>
          </w:p>
        </w:tc>
      </w:tr>
      <w:tr>
        <w:trPr>
          <w:trHeight w:val="156"/>
        </w:trPr>
        <w:tc>
          <w:tcPr>
            <w:tcW w:w="280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Balances at June 30, 2019</w:t>
            </w:r>
          </w:p>
        </w:tc>
        <w:tc>
          <w:tcPr>
            <w:tcW w:w="8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20" w:type="dxa"/>
            <w:vAlign w:val="bottom"/>
            <w:tcBorders>
              <w:top w:val="single" w:sz="8" w:color="auto"/>
              <w:bottom w:val="single" w:sz="8" w:color="auto"/>
            </w:tcBorders>
            <w:shd w:val="clear" w:color="auto" w:fill="000000"/>
          </w:tcPr>
          <w:p>
            <w:pPr>
              <w:spacing w:after="0"/>
              <w:rPr>
                <w:sz w:val="13"/>
                <w:szCs w:val="13"/>
                <w:color w:val="auto"/>
              </w:rPr>
            </w:pPr>
          </w:p>
        </w:tc>
        <w:tc>
          <w:tcPr>
            <w:tcW w:w="920" w:type="dxa"/>
            <w:vAlign w:val="bottom"/>
            <w:tcBorders>
              <w:top w:val="single" w:sz="8" w:color="auto"/>
              <w:left w:val="single" w:sz="8" w:color="CFF0FC"/>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36,931,141</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680" w:type="dxa"/>
            <w:vAlign w:val="bottom"/>
            <w:tcBorders>
              <w:top w:val="single" w:sz="8" w:color="auto"/>
              <w:bottom w:val="single" w:sz="8" w:color="auto"/>
            </w:tcBorders>
            <w:shd w:val="clear" w:color="auto" w:fill="CFF0FC"/>
          </w:tcPr>
          <w:p>
            <w:pPr>
              <w:jc w:val="right"/>
              <w:ind w:right="5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200,138</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12</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(130,135)</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70,019</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800" w:type="dxa"/>
            <w:vAlign w:val="bottom"/>
          </w:tcPr>
          <w:p>
            <w:pPr>
              <w:spacing w:after="0"/>
              <w:rPr>
                <w:sz w:val="12"/>
                <w:szCs w:val="12"/>
                <w:color w:val="auto"/>
              </w:rPr>
            </w:pPr>
          </w:p>
        </w:tc>
        <w:tc>
          <w:tcPr>
            <w:tcW w:w="2120" w:type="dxa"/>
            <w:vAlign w:val="bottom"/>
            <w:gridSpan w:val="5"/>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2"/>
                <w:szCs w:val="12"/>
                <w:color w:val="auto"/>
              </w:rPr>
            </w:pPr>
          </w:p>
        </w:tc>
        <w:tc>
          <w:tcPr>
            <w:tcW w:w="90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37"/>
        </w:trPr>
        <w:tc>
          <w:tcPr>
            <w:tcW w:w="2800" w:type="dxa"/>
            <w:vAlign w:val="bottom"/>
          </w:tcPr>
          <w:p>
            <w:pPr>
              <w:spacing w:after="0"/>
              <w:rPr>
                <w:sz w:val="11"/>
                <w:szCs w:val="11"/>
                <w:color w:val="auto"/>
              </w:rPr>
            </w:pPr>
          </w:p>
        </w:tc>
        <w:tc>
          <w:tcPr>
            <w:tcW w:w="2120" w:type="dxa"/>
            <w:vAlign w:val="bottom"/>
            <w:gridSpan w:val="5"/>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800" w:type="dxa"/>
            <w:vAlign w:val="bottom"/>
          </w:tcPr>
          <w:p>
            <w:pPr>
              <w:spacing w:after="0"/>
              <w:rPr>
                <w:sz w:val="12"/>
                <w:szCs w:val="12"/>
                <w:color w:val="auto"/>
              </w:rPr>
            </w:pPr>
          </w:p>
        </w:tc>
        <w:tc>
          <w:tcPr>
            <w:tcW w:w="2120" w:type="dxa"/>
            <w:vAlign w:val="bottom"/>
            <w:gridSpan w:val="5"/>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20" w:type="dxa"/>
            <w:vAlign w:val="bottom"/>
            <w:shd w:val="clear" w:color="auto" w:fill="000000"/>
          </w:tcPr>
          <w:p>
            <w:pPr>
              <w:spacing w:after="0"/>
              <w:rPr>
                <w:sz w:val="12"/>
                <w:szCs w:val="12"/>
                <w:color w:val="auto"/>
              </w:rPr>
            </w:pPr>
          </w:p>
        </w:tc>
        <w:tc>
          <w:tcPr>
            <w:tcW w:w="1800" w:type="dxa"/>
            <w:vAlign w:val="bottom"/>
            <w:gridSpan w:val="3"/>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2"/>
                <w:szCs w:val="12"/>
                <w:color w:val="auto"/>
              </w:rPr>
            </w:pPr>
          </w:p>
        </w:tc>
        <w:tc>
          <w:tcPr>
            <w:tcW w:w="10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3"/>
        </w:trPr>
        <w:tc>
          <w:tcPr>
            <w:tcW w:w="2800" w:type="dxa"/>
            <w:vAlign w:val="bottom"/>
          </w:tcPr>
          <w:p>
            <w:pPr>
              <w:spacing w:after="0"/>
              <w:rPr>
                <w:sz w:val="15"/>
                <w:szCs w:val="15"/>
                <w:color w:val="auto"/>
              </w:rPr>
            </w:pPr>
          </w:p>
        </w:tc>
        <w:tc>
          <w:tcPr>
            <w:tcW w:w="212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20" w:type="dxa"/>
            <w:vAlign w:val="bottom"/>
            <w:shd w:val="clear" w:color="auto" w:fill="000000"/>
          </w:tcPr>
          <w:p>
            <w:pPr>
              <w:spacing w:after="0"/>
              <w:rPr>
                <w:sz w:val="15"/>
                <w:szCs w:val="15"/>
                <w:color w:val="auto"/>
              </w:rPr>
            </w:pPr>
          </w:p>
        </w:tc>
        <w:tc>
          <w:tcPr>
            <w:tcW w:w="18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200" w:type="dxa"/>
            <w:vAlign w:val="bottom"/>
          </w:tcPr>
          <w:p>
            <w:pPr>
              <w:spacing w:after="0"/>
              <w:rPr>
                <w:sz w:val="15"/>
                <w:szCs w:val="15"/>
                <w:color w:val="auto"/>
              </w:rPr>
            </w:pPr>
          </w:p>
        </w:tc>
        <w:tc>
          <w:tcPr>
            <w:tcW w:w="106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56"/>
        </w:trPr>
        <w:tc>
          <w:tcPr>
            <w:tcW w:w="2800" w:type="dxa"/>
            <w:vAlign w:val="bottom"/>
          </w:tcPr>
          <w:p>
            <w:pPr>
              <w:spacing w:after="0"/>
              <w:rPr>
                <w:sz w:val="13"/>
                <w:szCs w:val="13"/>
                <w:color w:val="auto"/>
              </w:rPr>
            </w:pPr>
          </w:p>
        </w:tc>
        <w:tc>
          <w:tcPr>
            <w:tcW w:w="860" w:type="dxa"/>
            <w:vAlign w:val="bottom"/>
            <w:tcBorders>
              <w:top w:val="single" w:sz="8" w:color="auto"/>
            </w:tcBorders>
          </w:tcPr>
          <w:p>
            <w:pPr>
              <w:jc w:val="right"/>
              <w:ind w:right="168"/>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108"/>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3"/>
                <w:szCs w:val="13"/>
                <w:color w:val="auto"/>
              </w:rPr>
            </w:pPr>
          </w:p>
        </w:tc>
        <w:tc>
          <w:tcPr>
            <w:tcW w:w="20" w:type="dxa"/>
            <w:vAlign w:val="bottom"/>
            <w:tcBorders>
              <w:top w:val="single" w:sz="8" w:color="auto"/>
            </w:tcBorders>
            <w:shd w:val="clear" w:color="auto" w:fill="000000"/>
          </w:tcPr>
          <w:p>
            <w:pPr>
              <w:spacing w:after="0"/>
              <w:rPr>
                <w:sz w:val="13"/>
                <w:szCs w:val="13"/>
                <w:color w:val="auto"/>
              </w:rPr>
            </w:pPr>
          </w:p>
        </w:tc>
        <w:tc>
          <w:tcPr>
            <w:tcW w:w="1120" w:type="dxa"/>
            <w:vAlign w:val="bottom"/>
            <w:tcBorders>
              <w:top w:val="single" w:sz="8" w:color="auto"/>
            </w:tcBorders>
            <w:gridSpan w:val="2"/>
          </w:tcPr>
          <w:p>
            <w:pPr>
              <w:ind w:left="28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6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tcPr>
          <w:p>
            <w:pPr>
              <w:jc w:val="center"/>
              <w:ind w:right="320"/>
              <w:spacing w:after="0" w:line="155" w:lineRule="exact"/>
              <w:rPr>
                <w:sz w:val="20"/>
                <w:szCs w:val="20"/>
                <w:color w:val="auto"/>
              </w:rPr>
            </w:pPr>
            <w:r>
              <w:rPr>
                <w:rFonts w:ascii="Times New Roman" w:cs="Times New Roman" w:eastAsia="Times New Roman" w:hAnsi="Times New Roman"/>
                <w:sz w:val="14"/>
                <w:szCs w:val="14"/>
                <w:b w:val="1"/>
                <w:bCs w:val="1"/>
                <w:color w:val="auto"/>
              </w:rPr>
              <w:t>Capital</w:t>
            </w:r>
          </w:p>
        </w:tc>
        <w:tc>
          <w:tcPr>
            <w:tcW w:w="980" w:type="dxa"/>
            <w:vAlign w:val="bottom"/>
            <w:gridSpan w:val="2"/>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right"/>
              <w:ind w:right="440"/>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3"/>
                <w:szCs w:val="13"/>
                <w:color w:val="auto"/>
              </w:rPr>
            </w:pPr>
          </w:p>
        </w:tc>
        <w:tc>
          <w:tcPr>
            <w:tcW w:w="880" w:type="dxa"/>
            <w:vAlign w:val="bottom"/>
            <w:gridSpan w:val="2"/>
          </w:tcPr>
          <w:p>
            <w:pPr>
              <w:jc w:val="center"/>
              <w:ind w:right="260"/>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56"/>
        </w:trPr>
        <w:tc>
          <w:tcPr>
            <w:tcW w:w="2800" w:type="dxa"/>
            <w:vAlign w:val="bottom"/>
            <w:tcBorders>
              <w:top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Balances at December 31, 2017</w:t>
            </w:r>
          </w:p>
        </w:tc>
        <w:tc>
          <w:tcPr>
            <w:tcW w:w="86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12,385,154</w:t>
            </w:r>
          </w:p>
        </w:tc>
        <w:tc>
          <w:tcPr>
            <w:tcW w:w="2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50,017</w:t>
            </w:r>
          </w:p>
        </w:tc>
        <w:tc>
          <w:tcPr>
            <w:tcW w:w="22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auto"/>
            </w:tcBorders>
            <w:shd w:val="clear" w:color="auto" w:fill="000000"/>
          </w:tcPr>
          <w:p>
            <w:pPr>
              <w:spacing w:after="0"/>
              <w:rPr>
                <w:sz w:val="13"/>
                <w:szCs w:val="13"/>
                <w:color w:val="auto"/>
              </w:rPr>
            </w:pPr>
          </w:p>
        </w:tc>
        <w:tc>
          <w:tcPr>
            <w:tcW w:w="920" w:type="dxa"/>
            <w:vAlign w:val="bottom"/>
            <w:tcBorders>
              <w:top w:val="single" w:sz="8" w:color="auto"/>
              <w:left w:val="single" w:sz="8" w:color="CFF0FC"/>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7,936,434</w:t>
            </w:r>
          </w:p>
        </w:tc>
        <w:tc>
          <w:tcPr>
            <w:tcW w:w="200" w:type="dxa"/>
            <w:vAlign w:val="bottom"/>
            <w:tcBorders>
              <w:top w:val="single" w:sz="8" w:color="CFF0FC"/>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jc w:val="right"/>
              <w:ind w:right="5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w:t>
            </w: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584</w:t>
            </w:r>
          </w:p>
        </w:tc>
        <w:tc>
          <w:tcPr>
            <w:tcW w:w="2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(69,323)</w:t>
            </w:r>
          </w:p>
        </w:tc>
        <w:tc>
          <w:tcPr>
            <w:tcW w:w="2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(68,738)</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800" w:type="dxa"/>
            <w:vAlign w:val="bottom"/>
          </w:tcPr>
          <w:p>
            <w:pPr>
              <w:ind w:left="260"/>
              <w:spacing w:after="0" w:line="139" w:lineRule="exact"/>
              <w:rPr>
                <w:sz w:val="20"/>
                <w:szCs w:val="20"/>
                <w:color w:val="auto"/>
              </w:rPr>
            </w:pPr>
            <w:r>
              <w:rPr>
                <w:rFonts w:ascii="Times New Roman" w:cs="Times New Roman" w:eastAsia="Times New Roman" w:hAnsi="Times New Roman"/>
                <w:sz w:val="14"/>
                <w:szCs w:val="14"/>
                <w:color w:val="auto"/>
              </w:rPr>
              <w:t>Issuance of common stock upon</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2"/>
                <w:szCs w:val="12"/>
                <w:color w:val="auto"/>
              </w:rPr>
            </w:pPr>
          </w:p>
        </w:tc>
        <w:tc>
          <w:tcPr>
            <w:tcW w:w="9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8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8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9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800" w:type="dxa"/>
            <w:vAlign w:val="bottom"/>
            <w:shd w:val="clear" w:color="auto" w:fill="CFF0FC"/>
          </w:tcPr>
          <w:p>
            <w:pPr>
              <w:ind w:left="260"/>
              <w:spacing w:after="0" w:line="139" w:lineRule="exact"/>
              <w:rPr>
                <w:sz w:val="20"/>
                <w:szCs w:val="20"/>
                <w:color w:val="auto"/>
              </w:rPr>
            </w:pPr>
            <w:r>
              <w:rPr>
                <w:rFonts w:ascii="Times New Roman" w:cs="Times New Roman" w:eastAsia="Times New Roman" w:hAnsi="Times New Roman"/>
                <w:sz w:val="14"/>
                <w:szCs w:val="14"/>
                <w:color w:val="auto"/>
              </w:rPr>
              <w:t>Stock-based compensation</w:t>
            </w: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4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1120" w:type="dxa"/>
            <w:vAlign w:val="bottom"/>
            <w:tcBorders>
              <w:left w:val="single" w:sz="8" w:color="CFF0FC"/>
            </w:tcBorders>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spacing w:after="0"/>
              <w:rPr>
                <w:sz w:val="12"/>
                <w:szCs w:val="12"/>
                <w:color w:val="auto"/>
              </w:rPr>
            </w:pPr>
          </w:p>
        </w:tc>
        <w:tc>
          <w:tcPr>
            <w:tcW w:w="38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8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4"/>
                <w:szCs w:val="14"/>
                <w:color w:val="auto"/>
              </w:rPr>
              <w:t>expense</w:t>
            </w:r>
          </w:p>
        </w:tc>
        <w:tc>
          <w:tcPr>
            <w:tcW w:w="86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gridSpan w:val="2"/>
            <w:vMerge w:val="continue"/>
            <w:shd w:val="clear" w:color="auto" w:fill="CFF0FC"/>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1120" w:type="dxa"/>
            <w:vAlign w:val="bottom"/>
            <w:tcBorders>
              <w:left w:val="single" w:sz="8" w:color="CFF0FC"/>
            </w:tcBorders>
            <w:gridSpan w:val="2"/>
            <w:vMerge w:val="continue"/>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38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2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loss</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spacing w:after="0"/>
              <w:rPr>
                <w:sz w:val="14"/>
                <w:szCs w:val="14"/>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(8,920)</w:t>
            </w:r>
          </w:p>
        </w:tc>
        <w:tc>
          <w:tcPr>
            <w:tcW w:w="120" w:type="dxa"/>
            <w:vAlign w:val="bottom"/>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(8,920)</w:t>
            </w:r>
          </w:p>
        </w:tc>
        <w:tc>
          <w:tcPr>
            <w:tcW w:w="0" w:type="dxa"/>
            <w:vAlign w:val="bottom"/>
          </w:tcPr>
          <w:p>
            <w:pPr>
              <w:spacing w:after="0"/>
              <w:rPr>
                <w:sz w:val="1"/>
                <w:szCs w:val="1"/>
                <w:color w:val="auto"/>
              </w:rPr>
            </w:pPr>
          </w:p>
        </w:tc>
      </w:tr>
      <w:tr>
        <w:trPr>
          <w:trHeight w:val="156"/>
        </w:trPr>
        <w:tc>
          <w:tcPr>
            <w:tcW w:w="2800" w:type="dxa"/>
            <w:vAlign w:val="bottom"/>
            <w:tcBorders>
              <w:top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Balances at March 31, 2018</w:t>
            </w:r>
          </w:p>
        </w:tc>
        <w:tc>
          <w:tcPr>
            <w:tcW w:w="86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12,385,154</w:t>
            </w:r>
          </w:p>
        </w:tc>
        <w:tc>
          <w:tcPr>
            <w:tcW w:w="2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50,017</w:t>
            </w:r>
          </w:p>
        </w:tc>
        <w:tc>
          <w:tcPr>
            <w:tcW w:w="22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auto"/>
            </w:tcBorders>
            <w:shd w:val="clear" w:color="auto" w:fill="000000"/>
          </w:tcPr>
          <w:p>
            <w:pPr>
              <w:spacing w:after="0"/>
              <w:rPr>
                <w:sz w:val="13"/>
                <w:szCs w:val="13"/>
                <w:color w:val="auto"/>
              </w:rPr>
            </w:pPr>
          </w:p>
        </w:tc>
        <w:tc>
          <w:tcPr>
            <w:tcW w:w="920" w:type="dxa"/>
            <w:vAlign w:val="bottom"/>
            <w:tcBorders>
              <w:top w:val="single" w:sz="8" w:color="auto"/>
              <w:left w:val="single" w:sz="8" w:color="CFF0FC"/>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7,936,734</w:t>
            </w:r>
          </w:p>
        </w:tc>
        <w:tc>
          <w:tcPr>
            <w:tcW w:w="200" w:type="dxa"/>
            <w:vAlign w:val="bottom"/>
            <w:tcBorders>
              <w:top w:val="single" w:sz="8" w:color="CFF0FC"/>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w:t>
            </w: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676</w:t>
            </w:r>
          </w:p>
        </w:tc>
        <w:tc>
          <w:tcPr>
            <w:tcW w:w="2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9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(78,243)</w:t>
            </w:r>
          </w:p>
        </w:tc>
        <w:tc>
          <w:tcPr>
            <w:tcW w:w="2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(77,566)</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8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Issuance of restricted stock awards</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27,500</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9"/>
        </w:trPr>
        <w:tc>
          <w:tcPr>
            <w:tcW w:w="2800" w:type="dxa"/>
            <w:vAlign w:val="bottom"/>
            <w:shd w:val="clear" w:color="auto" w:fill="CFF0FC"/>
          </w:tcPr>
          <w:p>
            <w:pPr>
              <w:ind w:left="260"/>
              <w:spacing w:after="0" w:line="139" w:lineRule="exact"/>
              <w:rPr>
                <w:sz w:val="20"/>
                <w:szCs w:val="20"/>
                <w:color w:val="auto"/>
              </w:rPr>
            </w:pPr>
            <w:r>
              <w:rPr>
                <w:rFonts w:ascii="Times New Roman" w:cs="Times New Roman" w:eastAsia="Times New Roman" w:hAnsi="Times New Roman"/>
                <w:sz w:val="14"/>
                <w:szCs w:val="14"/>
                <w:color w:val="auto"/>
              </w:rPr>
              <w:t>Stock-based compensation</w:t>
            </w: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4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1120" w:type="dxa"/>
            <w:vAlign w:val="bottom"/>
            <w:tcBorders>
              <w:left w:val="single" w:sz="8" w:color="CFF0FC"/>
            </w:tcBorders>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spacing w:after="0"/>
              <w:rPr>
                <w:sz w:val="12"/>
                <w:szCs w:val="12"/>
                <w:color w:val="auto"/>
              </w:rPr>
            </w:pPr>
          </w:p>
        </w:tc>
        <w:tc>
          <w:tcPr>
            <w:tcW w:w="38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748</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748</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8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4"/>
                <w:szCs w:val="14"/>
                <w:color w:val="auto"/>
              </w:rPr>
              <w:t>expense</w:t>
            </w:r>
          </w:p>
        </w:tc>
        <w:tc>
          <w:tcPr>
            <w:tcW w:w="86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gridSpan w:val="2"/>
            <w:vMerge w:val="continue"/>
            <w:shd w:val="clear" w:color="auto" w:fill="CFF0FC"/>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1120" w:type="dxa"/>
            <w:vAlign w:val="bottom"/>
            <w:tcBorders>
              <w:left w:val="single" w:sz="8" w:color="CFF0FC"/>
            </w:tcBorders>
            <w:gridSpan w:val="2"/>
            <w:vMerge w:val="continue"/>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38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2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loss</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spacing w:after="0"/>
              <w:rPr>
                <w:sz w:val="14"/>
                <w:szCs w:val="14"/>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(7,409)</w:t>
            </w:r>
          </w:p>
        </w:tc>
        <w:tc>
          <w:tcPr>
            <w:tcW w:w="120" w:type="dxa"/>
            <w:vAlign w:val="bottom"/>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(7,409)</w:t>
            </w:r>
          </w:p>
        </w:tc>
        <w:tc>
          <w:tcPr>
            <w:tcW w:w="0" w:type="dxa"/>
            <w:vAlign w:val="bottom"/>
          </w:tcPr>
          <w:p>
            <w:pPr>
              <w:spacing w:after="0"/>
              <w:rPr>
                <w:sz w:val="1"/>
                <w:szCs w:val="1"/>
                <w:color w:val="auto"/>
              </w:rPr>
            </w:pPr>
          </w:p>
        </w:tc>
      </w:tr>
      <w:tr>
        <w:trPr>
          <w:trHeight w:val="156"/>
        </w:trPr>
        <w:tc>
          <w:tcPr>
            <w:tcW w:w="280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Balances at June 30, 2018</w:t>
            </w:r>
          </w:p>
        </w:tc>
        <w:tc>
          <w:tcPr>
            <w:tcW w:w="8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12,385,154</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50,017</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20" w:type="dxa"/>
            <w:vAlign w:val="bottom"/>
            <w:tcBorders>
              <w:top w:val="single" w:sz="8" w:color="auto"/>
              <w:bottom w:val="single" w:sz="8" w:color="auto"/>
            </w:tcBorders>
            <w:shd w:val="clear" w:color="auto" w:fill="000000"/>
          </w:tcPr>
          <w:p>
            <w:pPr>
              <w:spacing w:after="0"/>
              <w:rPr>
                <w:sz w:val="13"/>
                <w:szCs w:val="13"/>
                <w:color w:val="auto"/>
              </w:rPr>
            </w:pPr>
          </w:p>
        </w:tc>
        <w:tc>
          <w:tcPr>
            <w:tcW w:w="920" w:type="dxa"/>
            <w:vAlign w:val="bottom"/>
            <w:tcBorders>
              <w:top w:val="single" w:sz="8" w:color="auto"/>
              <w:left w:val="single" w:sz="8" w:color="CFF0FC"/>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7,964,234</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680" w:type="dxa"/>
            <w:vAlign w:val="bottom"/>
            <w:tcBorders>
              <w:top w:val="single" w:sz="8" w:color="auto"/>
              <w:bottom w:val="single" w:sz="8" w:color="auto"/>
            </w:tcBorders>
            <w:shd w:val="clear" w:color="auto" w:fill="CFF0FC"/>
          </w:tcPr>
          <w:p>
            <w:pPr>
              <w:jc w:val="right"/>
              <w:ind w:right="5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1,424</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(85,652)</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(84,227)</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Kodiak 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6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9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ind w:right="315"/>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Borders>
              <w:bottom w:val="single" w:sz="8" w:color="CFF0FC"/>
            </w:tcBorders>
          </w:tcPr>
          <w:p>
            <w:pPr>
              <w:spacing w:after="0"/>
              <w:rPr>
                <w:sz w:val="19"/>
                <w:szCs w:val="19"/>
                <w:color w:val="auto"/>
              </w:rPr>
            </w:pPr>
          </w:p>
        </w:tc>
        <w:tc>
          <w:tcPr>
            <w:tcW w:w="90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60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88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(19,369)</w:t>
            </w:r>
          </w:p>
        </w:tc>
        <w:tc>
          <w:tcPr>
            <w:tcW w:w="700" w:type="dxa"/>
            <w:vAlign w:val="bottom"/>
            <w:gridSpan w:val="2"/>
          </w:tcPr>
          <w:p>
            <w:pPr>
              <w:jc w:val="right"/>
              <w:ind w:right="41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(16,329)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9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w:t>
            </w:r>
          </w:p>
        </w:tc>
        <w:tc>
          <w:tcPr>
            <w:tcW w:w="9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Non-cash interest expense and amortization of debt discount and issuance cost</w:t>
            </w:r>
          </w:p>
        </w:tc>
        <w:tc>
          <w:tcPr>
            <w:tcW w:w="9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 in fair value of redeemable convertible preferred stock warrant liability</w:t>
            </w:r>
          </w:p>
        </w:tc>
        <w:tc>
          <w:tcPr>
            <w:tcW w:w="9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Change in fair value of derivative instrument</w:t>
            </w:r>
          </w:p>
        </w:tc>
        <w:tc>
          <w:tcPr>
            <w:tcW w:w="9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Stock-based compensation</w:t>
            </w:r>
          </w:p>
        </w:tc>
        <w:tc>
          <w:tcPr>
            <w:tcW w:w="9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Accretion of discount on available-for-sale securities</w:t>
            </w:r>
          </w:p>
        </w:tc>
        <w:tc>
          <w:tcPr>
            <w:tcW w:w="9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9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9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Other assets</w:t>
            </w:r>
          </w:p>
        </w:tc>
        <w:tc>
          <w:tcPr>
            <w:tcW w:w="9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(4,059)</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Accounts payable</w:t>
            </w:r>
          </w:p>
        </w:tc>
        <w:tc>
          <w:tcPr>
            <w:tcW w:w="9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9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(459)</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(4,085)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9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Other liabilities</w:t>
            </w:r>
          </w:p>
        </w:tc>
        <w:tc>
          <w:tcPr>
            <w:tcW w:w="9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Borders>
              <w:bottom w:val="single" w:sz="8" w:color="CFF0FC"/>
            </w:tcBorders>
          </w:tcPr>
          <w:p>
            <w:pPr>
              <w:ind w:left="7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00" w:type="dxa"/>
            <w:vAlign w:val="bottom"/>
            <w:tcBorders>
              <w:bottom w:val="single" w:sz="8" w:color="CFF0FC"/>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(20,157)</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(15,707)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9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9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 of available-for-sale securities</w:t>
            </w:r>
          </w:p>
        </w:tc>
        <w:tc>
          <w:tcPr>
            <w:tcW w:w="9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(35,066)</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maturities of available-for-sale securities</w:t>
            </w:r>
          </w:p>
        </w:tc>
        <w:tc>
          <w:tcPr>
            <w:tcW w:w="9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Borders>
              <w:top w:val="single" w:sz="8" w:color="CFF0FC"/>
            </w:tcBorders>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0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4"/>
              </w:rPr>
              <w:t>(23,192)</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issuance of convertible notes (includes $9,560 from related</w:t>
            </w:r>
          </w:p>
        </w:tc>
        <w:tc>
          <w:tcPr>
            <w:tcW w:w="9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parties for the six months ended June 30, 2018)</w:t>
            </w:r>
          </w:p>
        </w:tc>
        <w:tc>
          <w:tcPr>
            <w:tcW w:w="90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33,000</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Deferred offering costs</w:t>
            </w:r>
          </w:p>
        </w:tc>
        <w:tc>
          <w:tcPr>
            <w:tcW w:w="9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Debt issuance cost</w:t>
            </w:r>
          </w:p>
        </w:tc>
        <w:tc>
          <w:tcPr>
            <w:tcW w:w="9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9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Principal payments of capital lease</w:t>
            </w:r>
          </w:p>
        </w:tc>
        <w:tc>
          <w:tcPr>
            <w:tcW w:w="9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Principal payments of tenant improvement allowance payable</w:t>
            </w:r>
          </w:p>
        </w:tc>
        <w:tc>
          <w:tcPr>
            <w:tcW w:w="9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Borders>
              <w:top w:val="single" w:sz="8" w:color="CFF0FC"/>
            </w:tcBorders>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0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31,991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9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(43,287)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90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88,394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900" w:type="dxa"/>
            <w:vAlign w:val="bottom"/>
          </w:tcPr>
          <w:p>
            <w:pPr>
              <w:spacing w:after="0"/>
              <w:rPr>
                <w:sz w:val="22"/>
                <w:szCs w:val="22"/>
                <w:color w:val="auto"/>
              </w:rPr>
            </w:pPr>
          </w:p>
        </w:tc>
        <w:tc>
          <w:tcPr>
            <w:tcW w:w="98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45,107</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17,781</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940" w:type="dxa"/>
            <w:vAlign w:val="bottom"/>
            <w:tcBorders>
              <w:top w:val="single" w:sz="8" w:color="CFF0FC"/>
            </w:tcBorders>
            <w:shd w:val="clear" w:color="auto" w:fill="CFF0FC"/>
          </w:tcPr>
          <w:p>
            <w:pPr>
              <w:spacing w:after="0" w:line="192" w:lineRule="exact"/>
              <w:rPr>
                <w:sz w:val="20"/>
                <w:szCs w:val="20"/>
                <w:color w:val="auto"/>
              </w:rPr>
            </w:pPr>
            <w:r>
              <w:rPr>
                <w:rFonts w:ascii="Times New Roman" w:cs="Times New Roman" w:eastAsia="Times New Roman" w:hAnsi="Times New Roman"/>
                <w:sz w:val="18"/>
                <w:szCs w:val="18"/>
                <w:color w:val="auto"/>
              </w:rPr>
              <w:t>Reconciliation of cash, cash equivalents and restricted cash to statement of financial</w:t>
            </w:r>
          </w:p>
        </w:tc>
        <w:tc>
          <w:tcPr>
            <w:tcW w:w="900" w:type="dxa"/>
            <w:vAlign w:val="bottom"/>
            <w:tcBorders>
              <w:top w:val="single" w:sz="8" w:color="CFF0FC"/>
            </w:tcBorders>
            <w:shd w:val="clear" w:color="auto" w:fill="CFF0FC"/>
          </w:tcPr>
          <w:p>
            <w:pPr>
              <w:spacing w:after="0"/>
              <w:rPr>
                <w:sz w:val="16"/>
                <w:szCs w:val="16"/>
                <w:color w:val="auto"/>
              </w:rPr>
            </w:pPr>
          </w:p>
        </w:tc>
        <w:tc>
          <w:tcPr>
            <w:tcW w:w="980" w:type="dxa"/>
            <w:vAlign w:val="bottom"/>
            <w:tcBorders>
              <w:top w:val="single" w:sz="8" w:color="auto"/>
            </w:tcBorders>
            <w:shd w:val="clear" w:color="auto" w:fill="CFF0FC"/>
          </w:tcPr>
          <w:p>
            <w:pPr>
              <w:spacing w:after="0"/>
              <w:rPr>
                <w:sz w:val="16"/>
                <w:szCs w:val="16"/>
                <w:color w:val="auto"/>
              </w:rPr>
            </w:pPr>
          </w:p>
        </w:tc>
        <w:tc>
          <w:tcPr>
            <w:tcW w:w="60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580" w:type="dxa"/>
            <w:vAlign w:val="bottom"/>
            <w:tcBorders>
              <w:top w:val="single" w:sz="8" w:color="auto"/>
            </w:tcBorders>
            <w:shd w:val="clear" w:color="auto" w:fill="CFF0FC"/>
          </w:tcPr>
          <w:p>
            <w:pPr>
              <w:spacing w:after="0"/>
              <w:rPr>
                <w:sz w:val="16"/>
                <w:szCs w:val="16"/>
                <w:color w:val="auto"/>
              </w:rPr>
            </w:pPr>
          </w:p>
        </w:tc>
        <w:tc>
          <w:tcPr>
            <w:tcW w:w="100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position</w:t>
            </w:r>
          </w:p>
        </w:tc>
        <w:tc>
          <w:tcPr>
            <w:tcW w:w="90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8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44,967</w:t>
            </w:r>
          </w:p>
        </w:tc>
        <w:tc>
          <w:tcPr>
            <w:tcW w:w="160" w:type="dxa"/>
            <w:vAlign w:val="bottom"/>
          </w:tcPr>
          <w:p>
            <w:pPr>
              <w:spacing w:after="0"/>
              <w:rPr>
                <w:sz w:val="19"/>
                <w:szCs w:val="19"/>
                <w:color w:val="auto"/>
              </w:rPr>
            </w:pPr>
          </w:p>
        </w:tc>
        <w:tc>
          <w:tcPr>
            <w:tcW w:w="700" w:type="dxa"/>
            <w:vAlign w:val="bottom"/>
            <w:gridSpan w:val="2"/>
          </w:tcPr>
          <w:p>
            <w:pPr>
              <w:jc w:val="right"/>
              <w:ind w:right="41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90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in statement of financial position</w:t>
            </w:r>
          </w:p>
        </w:tc>
        <w:tc>
          <w:tcPr>
            <w:tcW w:w="900" w:type="dxa"/>
            <w:vAlign w:val="bottom"/>
          </w:tcPr>
          <w:p>
            <w:pPr>
              <w:spacing w:after="0"/>
              <w:rPr>
                <w:sz w:val="22"/>
                <w:szCs w:val="22"/>
                <w:color w:val="auto"/>
              </w:rPr>
            </w:pPr>
          </w:p>
        </w:tc>
        <w:tc>
          <w:tcPr>
            <w:tcW w:w="98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45,107</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17,781</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4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non-cash investing and financing information:</w:t>
            </w:r>
          </w:p>
        </w:tc>
        <w:tc>
          <w:tcPr>
            <w:tcW w:w="9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 of property and equipment under accounts payable</w:t>
            </w:r>
          </w:p>
        </w:tc>
        <w:tc>
          <w:tcPr>
            <w:tcW w:w="1880" w:type="dxa"/>
            <w:vAlign w:val="bottom"/>
            <w:gridSpan w:val="2"/>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41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Issuance of derivative instrument related to convertible notes payable</w:t>
            </w:r>
          </w:p>
        </w:tc>
        <w:tc>
          <w:tcPr>
            <w:tcW w:w="188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41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Unpaid offering costs</w:t>
            </w:r>
          </w:p>
        </w:tc>
        <w:tc>
          <w:tcPr>
            <w:tcW w:w="1880" w:type="dxa"/>
            <w:vAlign w:val="bottom"/>
            <w:gridSpan w:val="2"/>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FF0FC"/>
          </w:tcPr>
          <w:p>
            <w:pPr>
              <w:jc w:val="right"/>
              <w:ind w:right="41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Deferred offering costs paid in restricted stock awards</w:t>
            </w:r>
          </w:p>
        </w:tc>
        <w:tc>
          <w:tcPr>
            <w:tcW w:w="188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41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Kodiak Sciences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The Company</w:t>
      </w:r>
    </w:p>
    <w:p>
      <w:pPr>
        <w:spacing w:after="0" w:line="121" w:lineRule="exact"/>
        <w:rPr>
          <w:sz w:val="20"/>
          <w:szCs w:val="20"/>
          <w:color w:val="auto"/>
        </w:rPr>
      </w:pPr>
    </w:p>
    <w:p>
      <w:pPr>
        <w:ind w:right="360" w:firstLine="518"/>
        <w:spacing w:after="0" w:line="266" w:lineRule="auto"/>
        <w:rPr>
          <w:sz w:val="20"/>
          <w:szCs w:val="20"/>
          <w:color w:val="auto"/>
        </w:rPr>
      </w:pPr>
      <w:r>
        <w:rPr>
          <w:rFonts w:ascii="Times New Roman" w:cs="Times New Roman" w:eastAsia="Times New Roman" w:hAnsi="Times New Roman"/>
          <w:sz w:val="18"/>
          <w:szCs w:val="18"/>
          <w:color w:val="auto"/>
        </w:rPr>
        <w:t>Kodiak Sciences Inc. (the “Company”) is a clinical-stage biopharmaceutical company specializing in novel therapeutics to treat high-prevalence ophthalmic diseases. The Company devotes substantially all of its time and efforts to performing research and development, raising capital and recruiting personnel.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19"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 xml:space="preserve">In accordance with Accounting Standards Codification (“ASC”) 205-40, </w:t>
      </w:r>
      <w:r>
        <w:rPr>
          <w:rFonts w:ascii="Times New Roman" w:cs="Times New Roman" w:eastAsia="Times New Roman" w:hAnsi="Times New Roman"/>
          <w:sz w:val="18"/>
          <w:szCs w:val="18"/>
          <w:i w:val="1"/>
          <w:iCs w:val="1"/>
          <w:color w:val="auto"/>
        </w:rPr>
        <w:t>Going Concern</w:t>
      </w:r>
      <w:r>
        <w:rPr>
          <w:rFonts w:ascii="Times New Roman" w:cs="Times New Roman" w:eastAsia="Times New Roman" w:hAnsi="Times New Roman"/>
          <w:sz w:val="18"/>
          <w:szCs w:val="18"/>
          <w:color w:val="auto"/>
        </w:rPr>
        <w:t>, the Company has evaluated whether there are conditions and events, considered in the aggregate, that raise substantial doubt about the Company’s ability to continue as a going concern within one year after the date the financial statements are issued. The Company has incurred significant losses and negative cash flows from operations since inception and had an accumulated deficit of $130.1 million as of June 30, 2019. The Company had $68.1 million in cash and cash equivalents and marketable securities as of June 30, 2019. The Company has historically financed its operations primarily through the sale of redeemable convertible preferred stock, convertible notes, warrants and the sale of common stock in its initial public offering (“IPO”). To date, none of the Company’s product candidates have been approved for sale and therefore, the Company has not generated any revenue from product sales. Management expects operating losses to continue for the foreseeable future. The Company currently plans to raise additional funding as required based on the status of its development programs and projected cash flows, and the Company believes that its cash and cash equivalents and marketable securities as of June 30, 2019 are sufficient to fund its existing operational commitments and objectives at least through the first half of 2020. If the Company is unable to obtain other financing, the Company would be forced to delay, reduce or terminate some or all of its development programs and clinical trials or sell or license rights to its product candidates in certain territories or indications to others that may not be favorable to the Company.</w:t>
      </w:r>
    </w:p>
    <w:p>
      <w:pPr>
        <w:spacing w:after="0" w:line="85" w:lineRule="exact"/>
        <w:rPr>
          <w:sz w:val="20"/>
          <w:szCs w:val="20"/>
          <w:color w:val="auto"/>
        </w:rPr>
      </w:pPr>
    </w:p>
    <w:p>
      <w:pPr>
        <w:ind w:right="60" w:firstLine="518"/>
        <w:spacing w:after="0" w:line="266" w:lineRule="auto"/>
        <w:rPr>
          <w:sz w:val="20"/>
          <w:szCs w:val="20"/>
          <w:color w:val="auto"/>
        </w:rPr>
      </w:pPr>
      <w:r>
        <w:rPr>
          <w:rFonts w:ascii="Times New Roman" w:cs="Times New Roman" w:eastAsia="Times New Roman" w:hAnsi="Times New Roman"/>
          <w:sz w:val="18"/>
          <w:szCs w:val="18"/>
          <w:color w:val="auto"/>
        </w:rPr>
        <w:t>The uncertainties inherent in the Company’s future operations and in its ability to obtain additional funding raise substantial doubt about its ability to continue as a going concern beyond one year from the date these financial statements are issued. The financial statements do not include any adjustments that might result from the outcome of this uncertainty.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21" w:lineRule="exact"/>
        <w:rPr>
          <w:sz w:val="20"/>
          <w:szCs w:val="20"/>
          <w:color w:val="auto"/>
        </w:rPr>
      </w:pPr>
    </w:p>
    <w:p>
      <w:pPr>
        <w:ind w:right="520" w:firstLine="518"/>
        <w:spacing w:after="0" w:line="26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are unaudited and have been prepared in accordance with accounting principles generally accepted in the United States (“GAAP”) applicable to interim periods and, in the opinion of management, include all normal and recurring adjustments which are necessary to present fairly the Company's financial position and results of operations for the reported periods.</w:t>
      </w:r>
    </w:p>
    <w:p>
      <w:pPr>
        <w:spacing w:after="0" w:line="68"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These condensed consolidated financial statements have been prepared on a basis substantially consistent with, and should be read in conjunction with, the audited financial statements for the year ended December 31, 2018 and notes thereto, included in the Company’s Annual Report on Form 10-K filed with the Securities and Exchange Commission (“SEC”) on March 27, 2019. The year-end condensed balance sheet data was derived from audited financial statements, but does not include all disclosures required by GAAP. Certain information and note disclosures normally included in the audited financial statements prepared in accordance with GAAP have been condensed or omitted from this report, as is permitted by such rules and regulations. The results of operations for any interim period are not necessarily indicative of the results for the year ending December 31, 2019, or for any future period.</w:t>
      </w:r>
    </w:p>
    <w:p>
      <w:pPr>
        <w:spacing w:after="0" w:line="80" w:lineRule="exact"/>
        <w:rPr>
          <w:sz w:val="20"/>
          <w:szCs w:val="20"/>
          <w:color w:val="auto"/>
        </w:rPr>
      </w:pPr>
    </w:p>
    <w:p>
      <w:pPr>
        <w:ind w:right="700" w:firstLine="518"/>
        <w:spacing w:after="0" w:line="282"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reflect the operations of the Company and its wholly-owned subsidiaries. All intercompany accounts and transactions have been eliminated.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120" w:firstLine="518"/>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disclosure of contingent assets and liabilities as of the date of the condensed consolidated financial statements and expenses during the reporting period. Actual results could differ from those estimates.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Significant Accounting Policies</w:t>
      </w:r>
    </w:p>
    <w:p>
      <w:pPr>
        <w:spacing w:after="0" w:line="121" w:lineRule="exact"/>
        <w:rPr>
          <w:sz w:val="20"/>
          <w:szCs w:val="20"/>
          <w:color w:val="auto"/>
        </w:rPr>
      </w:pPr>
    </w:p>
    <w:p>
      <w:pPr>
        <w:jc w:val="both"/>
        <w:ind w:right="180" w:firstLine="518"/>
        <w:spacing w:after="0" w:line="261" w:lineRule="auto"/>
        <w:rPr>
          <w:sz w:val="20"/>
          <w:szCs w:val="20"/>
          <w:color w:val="auto"/>
        </w:rPr>
      </w:pPr>
      <w:r>
        <w:rPr>
          <w:rFonts w:ascii="Times New Roman" w:cs="Times New Roman" w:eastAsia="Times New Roman" w:hAnsi="Times New Roman"/>
          <w:sz w:val="18"/>
          <w:szCs w:val="18"/>
          <w:color w:val="auto"/>
        </w:rPr>
        <w:t>The significant accounting policies used in preparation of these condensed consolidated financial statements for the three and six months ended June 30, 2019 are consistent with those discussed in Note 2 to the consolidated financial statements in the Company’s Annual Report on Form 10-K for the year ended December 31, 2018, except as noted below with respect to the Company’s lease and marketable securities accounting policies and as noted within the “Recent Accounting Pronouncements – Recently Adopted Accounting Pronouncements” section.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9" w:name="page10"/>
    <w:bookmarkEnd w:id="9"/>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Kodiak Sciences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The Company determines if an arrangement is, or contains, a lease at inception and then classifies the lease as operating or financing based on the underlying terms and conditions of the contract. Leases with terms greater than one year are initially recognized on the balance sheet as right-of-use assets and lease liabilities based on the present value of lease payments over the expected lease term. The interest rate implicit in lease contracts is typically not readily determinable. As such, the Company utilizes the incremental borrowing rate, which is the rate incurred to borrow, on a collateralized basis, an amount equal to the lease payments over a similar term and in a similar economic environment. The Company has elected not to recognize leases with terms of one year or less on the balance sheet.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121" w:lineRule="exact"/>
        <w:rPr>
          <w:sz w:val="20"/>
          <w:szCs w:val="20"/>
          <w:color w:val="auto"/>
        </w:rPr>
      </w:pPr>
    </w:p>
    <w:p>
      <w:pPr>
        <w:ind w:right="60" w:firstLine="518"/>
        <w:spacing w:after="0" w:line="256" w:lineRule="auto"/>
        <w:rPr>
          <w:sz w:val="20"/>
          <w:szCs w:val="20"/>
          <w:color w:val="auto"/>
        </w:rPr>
      </w:pPr>
      <w:r>
        <w:rPr>
          <w:rFonts w:ascii="Times New Roman" w:cs="Times New Roman" w:eastAsia="Times New Roman" w:hAnsi="Times New Roman"/>
          <w:sz w:val="18"/>
          <w:szCs w:val="18"/>
          <w:color w:val="auto"/>
        </w:rPr>
        <w:t>The Company invests excess cash balances in short-term marketable securities. The investments in marketable securities are classified as either held-to-maturity or available-for-sale based on facts and circumstances present at the time of purchase. Debt securities are carried at fair value with the unrealized gains and losses included in other comprehensive income (loss) as a component of stockholders’ equity until realized. Any premium or discount arising at purchase is amortized and/or accreted to interest income and/or expensed over the life of the instrument. Equity securities with readily determinable fair values are also carried at fair value with unrealized gains and losses included in other income (expense), net. Realized gains and losses on both debt and equity securities are determined using the specific identification method and are included in other income (expense), net.</w:t>
      </w:r>
    </w:p>
    <w:p>
      <w:pPr>
        <w:spacing w:after="0" w:line="80" w:lineRule="exact"/>
        <w:rPr>
          <w:sz w:val="20"/>
          <w:szCs w:val="20"/>
          <w:color w:val="auto"/>
        </w:rPr>
      </w:pPr>
    </w:p>
    <w:p>
      <w:pPr>
        <w:ind w:right="340" w:firstLine="518"/>
        <w:spacing w:after="0" w:line="266" w:lineRule="auto"/>
        <w:rPr>
          <w:sz w:val="20"/>
          <w:szCs w:val="20"/>
          <w:color w:val="auto"/>
        </w:rPr>
      </w:pPr>
      <w:r>
        <w:rPr>
          <w:rFonts w:ascii="Times New Roman" w:cs="Times New Roman" w:eastAsia="Times New Roman" w:hAnsi="Times New Roman"/>
          <w:sz w:val="18"/>
          <w:szCs w:val="18"/>
          <w:color w:val="auto"/>
        </w:rPr>
        <w:t>If any adjustment to fair value reflects a decline in value of the investment, the Company considers all available evidence to evaluate the extent to which the decline is “other-than-temporary” and, if so, marks the investment to market through a charge to the Company’s statement of operations and comprehensive loss.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ind w:right="500" w:firstLine="518"/>
        <w:spacing w:after="0" w:line="282"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(“FASB”), under its ASC or other standard setting bodies, and adopted by the Company as of the specified effective date, unless otherwise discussed below.</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117"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 xml:space="preserve">In February 2016, the FASB issued ASU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xml:space="preserve">, which set out the principles for the recognition, measurement, presentation and disclosure of leases for both parties to a contract (i.e. lessees and lessors). In July 2018, the FASB issued ASU 2018-10, </w:t>
      </w:r>
      <w:r>
        <w:rPr>
          <w:rFonts w:ascii="Times New Roman" w:cs="Times New Roman" w:eastAsia="Times New Roman" w:hAnsi="Times New Roman"/>
          <w:sz w:val="18"/>
          <w:szCs w:val="18"/>
          <w:i w:val="1"/>
          <w:iCs w:val="1"/>
          <w:color w:val="auto"/>
        </w:rPr>
        <w:t>Leases (Topic 842), Codification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Improvements</w:t>
      </w:r>
      <w:r>
        <w:rPr>
          <w:rFonts w:ascii="Times New Roman" w:cs="Times New Roman" w:eastAsia="Times New Roman" w:hAnsi="Times New Roman"/>
          <w:sz w:val="18"/>
          <w:szCs w:val="18"/>
          <w:color w:val="auto"/>
        </w:rPr>
        <w:t>, and ASU 2018-11,</w:t>
      </w:r>
      <w:r>
        <w:rPr>
          <w:rFonts w:ascii="Times New Roman" w:cs="Times New Roman" w:eastAsia="Times New Roman" w:hAnsi="Times New Roman"/>
          <w:sz w:val="18"/>
          <w:szCs w:val="18"/>
          <w:i w:val="1"/>
          <w:iCs w:val="1"/>
          <w:color w:val="auto"/>
        </w:rPr>
        <w:t xml:space="preserve"> Leases (Topic 842), Targeted Improvements</w:t>
      </w:r>
      <w:r>
        <w:rPr>
          <w:rFonts w:ascii="Times New Roman" w:cs="Times New Roman" w:eastAsia="Times New Roman" w:hAnsi="Times New Roman"/>
          <w:sz w:val="18"/>
          <w:szCs w:val="18"/>
          <w:color w:val="auto"/>
        </w:rPr>
        <w:t>. ASU 2018-10 clarified certain provisions and corrected unintended applications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 the guidance such as the application of implicit rate, lessee reassessment of lease classification, and certain transition adjustments that should be recognized to earnings rather than to stockholders' equity. ASU 2018-11 provided an alternative transition method and practical expedient for separating contract components for the adoption of Topic 842. ASU 2016-02, ASU 2018-10, and ASU 2018-11 (collectively, "the new lease standards") superseded the previous leases standard, ASC 840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ind w:right="60" w:firstLine="518"/>
        <w:spacing w:after="0" w:line="256" w:lineRule="auto"/>
        <w:rPr>
          <w:sz w:val="20"/>
          <w:szCs w:val="20"/>
          <w:color w:val="auto"/>
        </w:rPr>
      </w:pPr>
      <w:r>
        <w:rPr>
          <w:rFonts w:ascii="Times New Roman" w:cs="Times New Roman" w:eastAsia="Times New Roman" w:hAnsi="Times New Roman"/>
          <w:sz w:val="18"/>
          <w:szCs w:val="18"/>
          <w:color w:val="auto"/>
        </w:rPr>
        <w:t>The Company adopted the new lease standards as of January 1, 2019 using the modified retrospective approach to recognize a cumulative-effect adjustment on the effective date and to not adjust financial information and disclosures required under the new lease standards for comparative prior periods. The Company did not elect for the package of practical expedients and assessed all contracts at the transition date. The Company did not utilize the practical expedient which allows the use of hindsight in determining lease term and assessing impairment in right-of-use assets. The Company elected to apply the practical expedient and accounted for each lease component and related non-lease component as one single component. The Company elected not to recognize leases with terms of one year or less on the balance sheet.</w:t>
      </w:r>
    </w:p>
    <w:p>
      <w:pPr>
        <w:spacing w:after="0" w:line="80" w:lineRule="exact"/>
        <w:rPr>
          <w:sz w:val="20"/>
          <w:szCs w:val="20"/>
          <w:color w:val="auto"/>
        </w:rPr>
      </w:pPr>
    </w:p>
    <w:p>
      <w:pPr>
        <w:ind w:right="60" w:firstLine="518"/>
        <w:spacing w:after="0" w:line="266" w:lineRule="auto"/>
        <w:rPr>
          <w:sz w:val="20"/>
          <w:szCs w:val="20"/>
          <w:color w:val="auto"/>
        </w:rPr>
      </w:pPr>
      <w:r>
        <w:rPr>
          <w:rFonts w:ascii="Times New Roman" w:cs="Times New Roman" w:eastAsia="Times New Roman" w:hAnsi="Times New Roman"/>
          <w:sz w:val="18"/>
          <w:szCs w:val="18"/>
          <w:color w:val="auto"/>
        </w:rPr>
        <w:t>The adoption of the new lease standards on January 1, 2019 resulted in the initial recognition of right-of-use asset of $2.2 million and operating lease liability of $2.3 million related to the operating lease for the Company’s office and laboratory space in Palo Alto, California on the consolidated balance sheets with no material impact to the consolidated statements of operations, stockholders’ equity or cash flows. Refer to Note 6.</w:t>
      </w:r>
    </w:p>
    <w:p>
      <w:pPr>
        <w:spacing w:after="0" w:line="66" w:lineRule="exact"/>
        <w:rPr>
          <w:sz w:val="20"/>
          <w:szCs w:val="20"/>
          <w:color w:val="auto"/>
        </w:rPr>
      </w:pPr>
    </w:p>
    <w:p>
      <w:pPr>
        <w:ind w:right="120" w:firstLine="518"/>
        <w:spacing w:after="0" w:line="254" w:lineRule="auto"/>
        <w:rPr>
          <w:sz w:val="20"/>
          <w:szCs w:val="20"/>
          <w:color w:val="auto"/>
        </w:rPr>
      </w:pPr>
      <w:r>
        <w:rPr>
          <w:rFonts w:ascii="Times New Roman" w:cs="Times New Roman" w:eastAsia="Times New Roman" w:hAnsi="Times New Roman"/>
          <w:sz w:val="18"/>
          <w:szCs w:val="18"/>
          <w:color w:val="auto"/>
        </w:rPr>
        <w:t xml:space="preserve">In July 2017, the FASB issued ASU 2017-11, </w:t>
      </w:r>
      <w:r>
        <w:rPr>
          <w:rFonts w:ascii="Times New Roman" w:cs="Times New Roman" w:eastAsia="Times New Roman" w:hAnsi="Times New Roman"/>
          <w:sz w:val="18"/>
          <w:szCs w:val="18"/>
          <w:i w:val="1"/>
          <w:iCs w:val="1"/>
          <w:color w:val="auto"/>
        </w:rPr>
        <w:t>Earnings Per Share (Topic 260) Distinguishing Liabilities from Equity (Topic 480) Derivatives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Hedging (Topic 815) (Part I) Accounting for Certain Financial Instruments with Down Round Features, (Part II) Replacement of the Indefinite Deferral for Mandatorily Redeemable Financial Instruments of Certain Nonpublic Entities and Certain Mandatorily Redeemable Noncontrolling Interests with a Scope Exception</w:t>
      </w:r>
      <w:r>
        <w:rPr>
          <w:rFonts w:ascii="Times New Roman" w:cs="Times New Roman" w:eastAsia="Times New Roman" w:hAnsi="Times New Roman"/>
          <w:sz w:val="18"/>
          <w:szCs w:val="18"/>
          <w:color w:val="auto"/>
        </w:rPr>
        <w:t>. This update simplifies the accounting for certain financial instruments with down round features, a provision in an equity-linked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instrument (or embedded feature) that provides a downward adjustment of the current exercise price based on the price of future equity offerings. Down round features are common in warrants, preferred shares, and convertible debt instruments issued by private companies and early-stage public companies. This update requires companies to disregard the down round feature when assessing whether the instrument is indexed to its own stock, for purposes of determining liability or equity classification. ASU 2017-11 is effective for interim and annual periods beginning after December 15, 2018. The Company adopted this new guidance as of January 1, 2019, which did not result in a material impact on its consolidated financial statements and related disclosures.</w:t>
      </w:r>
    </w:p>
    <w:p>
      <w:pPr>
        <w:spacing w:after="0" w:line="1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17" w:right="299" w:bottom="1440" w:gutter="0" w:footer="0" w:header="0"/>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Kodiak Sciences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313" w:lineRule="exact"/>
        <w:rPr>
          <w:sz w:val="20"/>
          <w:szCs w:val="20"/>
          <w:color w:val="auto"/>
        </w:rPr>
      </w:pPr>
    </w:p>
    <w:p>
      <w:pPr>
        <w:ind w:right="160" w:firstLine="518"/>
        <w:spacing w:after="0" w:line="273" w:lineRule="auto"/>
        <w:rPr>
          <w:sz w:val="20"/>
          <w:szCs w:val="20"/>
          <w:color w:val="auto"/>
        </w:rPr>
      </w:pPr>
      <w:r>
        <w:rPr>
          <w:rFonts w:ascii="Times New Roman" w:cs="Times New Roman" w:eastAsia="Times New Roman" w:hAnsi="Times New Roman"/>
          <w:sz w:val="17"/>
          <w:szCs w:val="17"/>
          <w:color w:val="auto"/>
        </w:rPr>
        <w:t xml:space="preserve">In June 2018, the FASB issued ASU 2018-07, </w:t>
      </w:r>
      <w:r>
        <w:rPr>
          <w:rFonts w:ascii="Times New Roman" w:cs="Times New Roman" w:eastAsia="Times New Roman" w:hAnsi="Times New Roman"/>
          <w:sz w:val="17"/>
          <w:szCs w:val="17"/>
          <w:i w:val="1"/>
          <w:iCs w:val="1"/>
          <w:color w:val="auto"/>
        </w:rPr>
        <w:t>Compensation — Stock Compensation (Topic 718): Improvements to Nonemployee Share-Based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Payment Accounting</w:t>
      </w:r>
      <w:r>
        <w:rPr>
          <w:rFonts w:ascii="Times New Roman" w:cs="Times New Roman" w:eastAsia="Times New Roman" w:hAnsi="Times New Roman"/>
          <w:sz w:val="17"/>
          <w:szCs w:val="17"/>
          <w:color w:val="auto"/>
        </w:rPr>
        <w:t>, which expands the scope of Topic 718 to include all share-based payment transactions for acquiring goods and services from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nonemployees. ASU 2018-07 specifies that Topic 718 applies to all share-based payment transactions in which the grantor acquires goods and services to be used or consumed in its own operations by issuing share-based payment awards. ASU 2018-07 also clarifies that Topic 718 does not apply to share-based payments used to effectively provide (1) financing to the issuer or (2) awards granted in conjunction with selling goods or services to customers as part of a contract accounted for under ASC 606. ASU 2018-07 is effective for interim and annual periods beginning after December 15, 2018. The Company adopted this new guidance as of January 1, 2019, which did not result in a material impact on its consolidated financial statements and related disclosures.</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New Accounting Pronouncements Not Yet Adopted</w:t>
      </w:r>
    </w:p>
    <w:p>
      <w:pPr>
        <w:spacing w:after="0" w:line="117" w:lineRule="exact"/>
        <w:rPr>
          <w:sz w:val="20"/>
          <w:szCs w:val="20"/>
          <w:color w:val="auto"/>
        </w:rPr>
      </w:pPr>
    </w:p>
    <w:p>
      <w:pPr>
        <w:ind w:right="100" w:firstLine="518"/>
        <w:spacing w:after="0" w:line="261" w:lineRule="auto"/>
        <w:rPr>
          <w:sz w:val="20"/>
          <w:szCs w:val="20"/>
          <w:color w:val="auto"/>
        </w:rPr>
      </w:pPr>
      <w:r>
        <w:rPr>
          <w:rFonts w:ascii="Times New Roman" w:cs="Times New Roman" w:eastAsia="Times New Roman" w:hAnsi="Times New Roman"/>
          <w:sz w:val="18"/>
          <w:szCs w:val="18"/>
          <w:color w:val="auto"/>
        </w:rPr>
        <w:t xml:space="preserve">In June 2016, the FASB issued ASU 2016-13, </w:t>
      </w:r>
      <w:r>
        <w:rPr>
          <w:rFonts w:ascii="Times New Roman" w:cs="Times New Roman" w:eastAsia="Times New Roman" w:hAnsi="Times New Roman"/>
          <w:sz w:val="18"/>
          <w:szCs w:val="18"/>
          <w:i w:val="1"/>
          <w:iCs w:val="1"/>
          <w:color w:val="auto"/>
        </w:rPr>
        <w:t>Financial Instruments - Credit Losses (Topic 362): Measurement of Credit Losses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Statements</w:t>
      </w:r>
      <w:r>
        <w:rPr>
          <w:rFonts w:ascii="Times New Roman" w:cs="Times New Roman" w:eastAsia="Times New Roman" w:hAnsi="Times New Roman"/>
          <w:sz w:val="18"/>
          <w:szCs w:val="18"/>
          <w:color w:val="auto"/>
        </w:rPr>
        <w:t>, which intends to improve financial reporting by requiring earlier recognition of credit losses on certain financial assets, such as available-for-sale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debt securities. The standard is effective for interim and annual periods after December 15, 2019. Early adoption is permitted. The Company is currently evaluating the impact of adopting this guidance on its consolidated financial statements and related disclosures.</w:t>
      </w:r>
    </w:p>
    <w:p>
      <w:pPr>
        <w:spacing w:after="0" w:line="72" w:lineRule="exact"/>
        <w:rPr>
          <w:sz w:val="20"/>
          <w:szCs w:val="20"/>
          <w:color w:val="auto"/>
        </w:rPr>
      </w:pPr>
    </w:p>
    <w:p>
      <w:pPr>
        <w:ind w:right="180" w:firstLine="518"/>
        <w:spacing w:after="0" w:line="259" w:lineRule="auto"/>
        <w:rPr>
          <w:sz w:val="20"/>
          <w:szCs w:val="20"/>
          <w:color w:val="auto"/>
        </w:rPr>
      </w:pPr>
      <w:r>
        <w:rPr>
          <w:rFonts w:ascii="Times New Roman" w:cs="Times New Roman" w:eastAsia="Times New Roman" w:hAnsi="Times New Roman"/>
          <w:sz w:val="18"/>
          <w:szCs w:val="18"/>
          <w:color w:val="auto"/>
        </w:rPr>
        <w:t xml:space="preserve">In August 2018, the FASB issued ASU 2018-13, </w:t>
      </w:r>
      <w:r>
        <w:rPr>
          <w:rFonts w:ascii="Times New Roman" w:cs="Times New Roman" w:eastAsia="Times New Roman" w:hAnsi="Times New Roman"/>
          <w:sz w:val="18"/>
          <w:szCs w:val="18"/>
          <w:i w:val="1"/>
          <w:iCs w:val="1"/>
          <w:color w:val="auto"/>
        </w:rPr>
        <w:t>Disclosure Framework - Changes to the Disclosure Requirements for Fair Value Measurements</w:t>
      </w:r>
      <w:r>
        <w:rPr>
          <w:rFonts w:ascii="Times New Roman" w:cs="Times New Roman" w:eastAsia="Times New Roman" w:hAnsi="Times New Roman"/>
          <w:sz w:val="18"/>
          <w:szCs w:val="18"/>
          <w:color w:val="auto"/>
        </w:rPr>
        <w:t>, which eliminates, adds and modifies certain disclosure requirements for fair value measurements as part of the FASB’s disclosure framework project. The standard is effective for interim and annual periods beginning after December 15, 2019. The standard specifies certain amendments which should be applied prospectively while all other amendments should be applied retrospectively. Early adoption is permitted. The Company is currently evaluating the impact of adopting this guidance on its consolidated financial statements and related disclosures.</w:t>
      </w:r>
    </w:p>
    <w:p>
      <w:pPr>
        <w:spacing w:after="0" w:line="72" w:lineRule="exact"/>
        <w:rPr>
          <w:sz w:val="20"/>
          <w:szCs w:val="20"/>
          <w:color w:val="auto"/>
        </w:rPr>
      </w:pPr>
    </w:p>
    <w:p>
      <w:pPr>
        <w:ind w:right="80" w:firstLine="518"/>
        <w:spacing w:after="0" w:line="259" w:lineRule="auto"/>
        <w:rPr>
          <w:sz w:val="20"/>
          <w:szCs w:val="20"/>
          <w:color w:val="auto"/>
        </w:rPr>
      </w:pPr>
      <w:r>
        <w:rPr>
          <w:rFonts w:ascii="Times New Roman" w:cs="Times New Roman" w:eastAsia="Times New Roman" w:hAnsi="Times New Roman"/>
          <w:sz w:val="18"/>
          <w:szCs w:val="18"/>
          <w:color w:val="auto"/>
        </w:rPr>
        <w:t xml:space="preserve">In August 2018, the FASB issued ASU 2018-15, </w:t>
      </w:r>
      <w:r>
        <w:rPr>
          <w:rFonts w:ascii="Times New Roman" w:cs="Times New Roman" w:eastAsia="Times New Roman" w:hAnsi="Times New Roman"/>
          <w:sz w:val="18"/>
          <w:szCs w:val="18"/>
          <w:i w:val="1"/>
          <w:iCs w:val="1"/>
          <w:color w:val="auto"/>
        </w:rPr>
        <w:t>Intangibles-Goodwill and Other-Internal-Use Software (Subtopic 350-40): Customer’s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for Implementation Costs Incurred in a Cloud Computing Arrangement That Is a Service Contract, </w:t>
      </w:r>
      <w:r>
        <w:rPr>
          <w:rFonts w:ascii="Times New Roman" w:cs="Times New Roman" w:eastAsia="Times New Roman" w:hAnsi="Times New Roman"/>
          <w:sz w:val="18"/>
          <w:szCs w:val="18"/>
          <w:color w:val="auto"/>
        </w:rPr>
        <w:t>which clarifies the accounting for implementation, set-up,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other upfront costs incurred in cloud computing arrangements. The standard is effective for interim and annual periods beginning after December 15, 2019. Early adoption is permitted. The Company is currently evaluating the impact of adopting this guidance on its consolidated financial statements and related disclosures.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Accrued and Other Current Liabilities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and other current liabilities consist of the following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320" w:type="dxa"/>
            <w:vAlign w:val="bottom"/>
          </w:tcPr>
          <w:p>
            <w:pPr>
              <w:spacing w:after="0"/>
              <w:rPr>
                <w:sz w:val="20"/>
                <w:szCs w:val="20"/>
                <w:color w:val="auto"/>
              </w:rPr>
            </w:pPr>
          </w:p>
        </w:tc>
        <w:tc>
          <w:tcPr>
            <w:tcW w:w="46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3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research and development</w:t>
            </w:r>
          </w:p>
        </w:tc>
        <w:tc>
          <w:tcPr>
            <w:tcW w:w="35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1,524</w:t>
            </w:r>
          </w:p>
        </w:tc>
        <w:tc>
          <w:tcPr>
            <w:tcW w:w="2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Accrued salaries and benefits</w:t>
            </w:r>
          </w:p>
        </w:tc>
        <w:tc>
          <w:tcPr>
            <w:tcW w:w="35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1,425</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legal fees</w:t>
            </w:r>
          </w:p>
        </w:tc>
        <w:tc>
          <w:tcPr>
            <w:tcW w:w="35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35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other liabilities</w:t>
            </w:r>
          </w:p>
        </w:tc>
        <w:tc>
          <w:tcPr>
            <w:tcW w:w="3540" w:type="dxa"/>
            <w:vAlign w:val="bottom"/>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Total accrued and other current liabilities</w:t>
            </w:r>
          </w:p>
        </w:tc>
        <w:tc>
          <w:tcPr>
            <w:tcW w:w="3540" w:type="dxa"/>
            <w:vAlign w:val="bottom"/>
          </w:tcPr>
          <w:p>
            <w:pPr>
              <w:spacing w:after="0"/>
              <w:rPr>
                <w:sz w:val="19"/>
                <w:szCs w:val="19"/>
                <w:color w:val="auto"/>
              </w:rPr>
            </w:pPr>
          </w:p>
        </w:tc>
        <w:tc>
          <w:tcPr>
            <w:tcW w:w="1140" w:type="dxa"/>
            <w:vAlign w:val="bottom"/>
            <w:tcBorders>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3,277</w:t>
            </w:r>
          </w:p>
        </w:tc>
        <w:tc>
          <w:tcPr>
            <w:tcW w:w="280" w:type="dxa"/>
            <w:vAlign w:val="bottom"/>
          </w:tcPr>
          <w:p>
            <w:pPr>
              <w:spacing w:after="0"/>
              <w:rPr>
                <w:sz w:val="19"/>
                <w:szCs w:val="19"/>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3540" w:type="dxa"/>
            <w:vAlign w:val="bottom"/>
            <w:vMerge w:val="restart"/>
          </w:tcPr>
          <w:p>
            <w:pPr>
              <w:jc w:val="right"/>
              <w:ind w:right="2010"/>
              <w:spacing w:after="0"/>
              <w:rPr>
                <w:sz w:val="20"/>
                <w:szCs w:val="20"/>
                <w:color w:val="auto"/>
              </w:rPr>
            </w:pPr>
            <w:r>
              <w:rPr>
                <w:rFonts w:ascii="Times New Roman" w:cs="Times New Roman" w:eastAsia="Times New Roman" w:hAnsi="Times New Roman"/>
                <w:sz w:val="18"/>
                <w:szCs w:val="18"/>
                <w:color w:val="auto"/>
              </w:rPr>
              <w:t>7</w:t>
            </w: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4320" w:type="dxa"/>
            <w:vAlign w:val="bottom"/>
          </w:tcPr>
          <w:p>
            <w:pPr>
              <w:spacing w:after="0"/>
              <w:rPr>
                <w:sz w:val="24"/>
                <w:szCs w:val="24"/>
                <w:color w:val="auto"/>
              </w:rPr>
            </w:pPr>
          </w:p>
        </w:tc>
        <w:tc>
          <w:tcPr>
            <w:tcW w:w="354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20" w:type="dxa"/>
            <w:vAlign w:val="bottom"/>
            <w:tcBorders>
              <w:bottom w:val="single" w:sz="8" w:color="9A9A9A"/>
            </w:tcBorders>
          </w:tcPr>
          <w:p>
            <w:pPr>
              <w:spacing w:after="0"/>
              <w:rPr>
                <w:sz w:val="10"/>
                <w:szCs w:val="10"/>
                <w:color w:val="auto"/>
              </w:rPr>
            </w:pPr>
          </w:p>
        </w:tc>
        <w:tc>
          <w:tcPr>
            <w:tcW w:w="35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7" w:right="21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Kodiak 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tables present the Company’s fair value hierarchy for assets measured at fair value on a recurring basis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400" w:type="dxa"/>
            <w:vAlign w:val="bottom"/>
            <w:tcBorders>
              <w:bottom w:val="single" w:sz="8" w:color="auto"/>
            </w:tcBorders>
            <w:gridSpan w:val="10"/>
          </w:tcPr>
          <w:p>
            <w:pPr>
              <w:jc w:val="right"/>
              <w:ind w:right="185"/>
              <w:spacing w:after="0"/>
              <w:rPr>
                <w:sz w:val="20"/>
                <w:szCs w:val="20"/>
                <w:color w:val="auto"/>
              </w:rPr>
            </w:pPr>
            <w:r>
              <w:rPr>
                <w:rFonts w:ascii="Times New Roman" w:cs="Times New Roman" w:eastAsia="Times New Roman" w:hAnsi="Times New Roman"/>
                <w:sz w:val="18"/>
                <w:szCs w:val="18"/>
                <w:b w:val="1"/>
                <w:bCs w:val="1"/>
                <w:color w:val="auto"/>
              </w:rPr>
              <w:t>Fair Value Measurements at June 30, 2019</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1"/>
        </w:trPr>
        <w:tc>
          <w:tcPr>
            <w:tcW w:w="5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400"/>
              <w:spacing w:after="0" w:line="201" w:lineRule="exact"/>
              <w:rPr>
                <w:sz w:val="20"/>
                <w:szCs w:val="20"/>
                <w:color w:val="auto"/>
              </w:rPr>
            </w:pPr>
            <w:r>
              <w:rPr>
                <w:rFonts w:ascii="Times New Roman" w:cs="Times New Roman" w:eastAsia="Times New Roman" w:hAnsi="Times New Roman"/>
                <w:sz w:val="18"/>
                <w:szCs w:val="18"/>
                <w:b w:val="1"/>
                <w:bCs w:val="1"/>
                <w:color w:val="auto"/>
                <w:w w:val="98"/>
              </w:rPr>
              <w:t>Quoted</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2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140" w:type="dxa"/>
            <w:vAlign w:val="bottom"/>
          </w:tcPr>
          <w:p>
            <w:pPr>
              <w:spacing w:after="0"/>
              <w:rPr>
                <w:sz w:val="18"/>
                <w:szCs w:val="18"/>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in Active</w:t>
            </w:r>
          </w:p>
        </w:tc>
        <w:tc>
          <w:tcPr>
            <w:tcW w:w="12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142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Markets</w:t>
            </w:r>
          </w:p>
        </w:tc>
        <w:tc>
          <w:tcPr>
            <w:tcW w:w="12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40" w:type="dxa"/>
            <w:vAlign w:val="bottom"/>
          </w:tcPr>
          <w:p>
            <w:pPr>
              <w:spacing w:after="0"/>
              <w:rPr>
                <w:sz w:val="18"/>
                <w:szCs w:val="18"/>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Inputs</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5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0" w:type="dxa"/>
            <w:vAlign w:val="bottom"/>
          </w:tcPr>
          <w:p>
            <w:pPr>
              <w:spacing w:after="0"/>
              <w:rPr>
                <w:sz w:val="20"/>
                <w:szCs w:val="20"/>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40" w:type="dxa"/>
            <w:vAlign w:val="bottom"/>
          </w:tcPr>
          <w:p>
            <w:pPr>
              <w:spacing w:after="0"/>
              <w:rPr>
                <w:sz w:val="20"/>
                <w:szCs w:val="20"/>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59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Money market funds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44,785</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20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44,785</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 paper</w:t>
            </w:r>
          </w:p>
        </w:tc>
        <w:tc>
          <w:tcPr>
            <w:tcW w:w="14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13,082</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13,082</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Corporate notes</w:t>
            </w: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10,052</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10,052</w:t>
            </w:r>
          </w:p>
        </w:tc>
        <w:tc>
          <w:tcPr>
            <w:tcW w:w="100" w:type="dxa"/>
            <w:vAlign w:val="bottom"/>
            <w:shd w:val="clear" w:color="auto" w:fill="CFF0FC"/>
          </w:tcPr>
          <w:p>
            <w:pPr>
              <w:spacing w:after="0"/>
              <w:rPr>
                <w:sz w:val="19"/>
                <w:szCs w:val="19"/>
                <w:color w:val="auto"/>
              </w:rPr>
            </w:pPr>
          </w:p>
        </w:tc>
      </w:tr>
      <w:tr>
        <w:trPr>
          <w:trHeight w:val="223"/>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44,785</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23,134</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205"/>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67,919</w:t>
            </w:r>
          </w:p>
        </w:tc>
        <w:tc>
          <w:tcPr>
            <w:tcW w:w="100" w:type="dxa"/>
            <w:vAlign w:val="bottom"/>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2"/>
        </w:trPr>
        <w:tc>
          <w:tcPr>
            <w:tcW w:w="59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gridSpan w:val="10"/>
          </w:tcPr>
          <w:p>
            <w:pPr>
              <w:jc w:val="right"/>
              <w:spacing w:after="0"/>
              <w:rPr>
                <w:sz w:val="20"/>
                <w:szCs w:val="20"/>
                <w:color w:val="auto"/>
              </w:rPr>
            </w:pPr>
            <w:r>
              <w:rPr>
                <w:rFonts w:ascii="Times New Roman" w:cs="Times New Roman" w:eastAsia="Times New Roman" w:hAnsi="Times New Roman"/>
                <w:sz w:val="18"/>
                <w:szCs w:val="18"/>
                <w:b w:val="1"/>
                <w:bCs w:val="1"/>
                <w:color w:val="auto"/>
              </w:rPr>
              <w:t>Fair Value Measurements at December 31, 2018</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1"/>
        </w:trPr>
        <w:tc>
          <w:tcPr>
            <w:tcW w:w="5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400"/>
              <w:spacing w:after="0" w:line="201" w:lineRule="exact"/>
              <w:rPr>
                <w:sz w:val="20"/>
                <w:szCs w:val="20"/>
                <w:color w:val="auto"/>
              </w:rPr>
            </w:pPr>
            <w:r>
              <w:rPr>
                <w:rFonts w:ascii="Times New Roman" w:cs="Times New Roman" w:eastAsia="Times New Roman" w:hAnsi="Times New Roman"/>
                <w:sz w:val="18"/>
                <w:szCs w:val="18"/>
                <w:b w:val="1"/>
                <w:bCs w:val="1"/>
                <w:color w:val="auto"/>
                <w:w w:val="98"/>
              </w:rPr>
              <w:t>Quoted</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2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140" w:type="dxa"/>
            <w:vAlign w:val="bottom"/>
          </w:tcPr>
          <w:p>
            <w:pPr>
              <w:spacing w:after="0"/>
              <w:rPr>
                <w:sz w:val="18"/>
                <w:szCs w:val="18"/>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in Active</w:t>
            </w:r>
          </w:p>
        </w:tc>
        <w:tc>
          <w:tcPr>
            <w:tcW w:w="12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142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Markets</w:t>
            </w:r>
          </w:p>
        </w:tc>
        <w:tc>
          <w:tcPr>
            <w:tcW w:w="12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40" w:type="dxa"/>
            <w:vAlign w:val="bottom"/>
          </w:tcPr>
          <w:p>
            <w:pPr>
              <w:spacing w:after="0"/>
              <w:rPr>
                <w:sz w:val="18"/>
                <w:szCs w:val="18"/>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Inputs</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5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0" w:type="dxa"/>
            <w:vAlign w:val="bottom"/>
          </w:tcPr>
          <w:p>
            <w:pPr>
              <w:spacing w:after="0"/>
              <w:rPr>
                <w:sz w:val="20"/>
                <w:szCs w:val="20"/>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40" w:type="dxa"/>
            <w:vAlign w:val="bottom"/>
          </w:tcPr>
          <w:p>
            <w:pPr>
              <w:spacing w:after="0"/>
              <w:rPr>
                <w:sz w:val="20"/>
                <w:szCs w:val="20"/>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59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Money market funds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87,957</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20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87,957</w:t>
            </w:r>
          </w:p>
        </w:tc>
        <w:tc>
          <w:tcPr>
            <w:tcW w:w="100" w:type="dxa"/>
            <w:vAlign w:val="bottom"/>
          </w:tcPr>
          <w:p>
            <w:pPr>
              <w:spacing w:after="0"/>
              <w:rPr>
                <w:sz w:val="19"/>
                <w:szCs w:val="19"/>
                <w:color w:val="auto"/>
              </w:rPr>
            </w:pPr>
          </w:p>
        </w:tc>
      </w:tr>
      <w:tr>
        <w:trPr>
          <w:trHeight w:val="223"/>
        </w:trPr>
        <w:tc>
          <w:tcPr>
            <w:tcW w:w="5960" w:type="dxa"/>
            <w:vAlign w:val="bottom"/>
            <w:tcBorders>
              <w:top w:val="single" w:sz="8" w:color="CFF0FC"/>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87,957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205"/>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87,957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Marketable Securities</w:t>
      </w:r>
    </w:p>
    <w:p>
      <w:pPr>
        <w:spacing w:after="0" w:line="121" w:lineRule="exact"/>
        <w:rPr>
          <w:sz w:val="20"/>
          <w:szCs w:val="20"/>
          <w:color w:val="auto"/>
        </w:rPr>
      </w:pPr>
    </w:p>
    <w:p>
      <w:pPr>
        <w:ind w:right="20" w:firstLine="518"/>
        <w:spacing w:after="0" w:line="266" w:lineRule="auto"/>
        <w:rPr>
          <w:sz w:val="20"/>
          <w:szCs w:val="20"/>
          <w:color w:val="auto"/>
        </w:rPr>
      </w:pPr>
      <w:r>
        <w:rPr>
          <w:rFonts w:ascii="Times New Roman" w:cs="Times New Roman" w:eastAsia="Times New Roman" w:hAnsi="Times New Roman"/>
          <w:sz w:val="18"/>
          <w:szCs w:val="18"/>
          <w:color w:val="auto"/>
        </w:rPr>
        <w:t>The marketable securities are classified as available-for-sale and consist of corporate notes and commercial paper. The fair value measurement data for marketable securities is obtained from independent pricing services. The Company validates the prices provided by the third-party pricing services by understanding the valuation methods and data sources used and analyzing the pricing data in certain instances.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marketable securities held at June 30, 2019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2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2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Fair</w:t>
            </w:r>
          </w:p>
        </w:tc>
      </w:tr>
      <w:tr>
        <w:trPr>
          <w:trHeight w:val="238"/>
        </w:trPr>
        <w:tc>
          <w:tcPr>
            <w:tcW w:w="5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20" w:type="dxa"/>
            <w:vAlign w:val="bottom"/>
          </w:tcPr>
          <w:p>
            <w:pPr>
              <w:spacing w:after="0"/>
              <w:rPr>
                <w:sz w:val="20"/>
                <w:szCs w:val="20"/>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120" w:type="dxa"/>
            <w:vAlign w:val="bottom"/>
          </w:tcPr>
          <w:p>
            <w:pPr>
              <w:spacing w:after="0"/>
              <w:rPr>
                <w:sz w:val="20"/>
                <w:szCs w:val="20"/>
                <w:color w:val="auto"/>
              </w:rPr>
            </w:pPr>
          </w:p>
        </w:tc>
        <w:tc>
          <w:tcPr>
            <w:tcW w:w="10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23"/>
        </w:trPr>
        <w:tc>
          <w:tcPr>
            <w:tcW w:w="59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13,082</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13,082</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9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Corporate notes</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10,040</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w w:val="99"/>
              </w:rPr>
              <w:t>12</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10,052</w:t>
            </w:r>
          </w:p>
        </w:tc>
        <w:tc>
          <w:tcPr>
            <w:tcW w:w="100" w:type="dxa"/>
            <w:vAlign w:val="bottom"/>
            <w:tcBorders>
              <w:bottom w:val="single" w:sz="8" w:color="CFF0FC"/>
            </w:tcBorders>
          </w:tcPr>
          <w:p>
            <w:pPr>
              <w:spacing w:after="0"/>
              <w:rPr>
                <w:sz w:val="19"/>
                <w:szCs w:val="19"/>
                <w:color w:val="auto"/>
              </w:rPr>
            </w:pPr>
          </w:p>
        </w:tc>
      </w:tr>
      <w:tr>
        <w:trPr>
          <w:trHeight w:val="223"/>
        </w:trPr>
        <w:tc>
          <w:tcPr>
            <w:tcW w:w="5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23,122</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w w:val="99"/>
              </w:rPr>
              <w:t>12</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23,134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0" w:lineRule="exact"/>
        <w:rPr>
          <w:sz w:val="20"/>
          <w:szCs w:val="20"/>
          <w:color w:val="auto"/>
        </w:rPr>
      </w:pPr>
    </w:p>
    <w:p>
      <w:pPr>
        <w:ind w:right="120" w:firstLine="518"/>
        <w:spacing w:after="0" w:line="289" w:lineRule="auto"/>
        <w:rPr>
          <w:sz w:val="20"/>
          <w:szCs w:val="20"/>
          <w:color w:val="auto"/>
        </w:rPr>
      </w:pPr>
      <w:r>
        <w:rPr>
          <w:rFonts w:ascii="Times New Roman" w:cs="Times New Roman" w:eastAsia="Times New Roman" w:hAnsi="Times New Roman"/>
          <w:sz w:val="17"/>
          <w:szCs w:val="17"/>
          <w:color w:val="auto"/>
        </w:rPr>
        <w:t>All marketable securities held at June 30, 2019 had contractual maturities of less than one year. There were no realized gains or losses recognized on the sale or maturity of available-for-sale debt securities during the six months ended June 30, 2019 and as a result, the Company did not reclassify any amounts out of accumulated comprehensive loss. There were no impairment charges related to marketable securities for the six months ended June 30, 2019.</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right="60" w:firstLine="518"/>
        <w:spacing w:after="0" w:line="266" w:lineRule="auto"/>
        <w:rPr>
          <w:sz w:val="20"/>
          <w:szCs w:val="20"/>
          <w:color w:val="auto"/>
        </w:rPr>
      </w:pPr>
      <w:r>
        <w:rPr>
          <w:rFonts w:ascii="Times New Roman" w:cs="Times New Roman" w:eastAsia="Times New Roman" w:hAnsi="Times New Roman"/>
          <w:sz w:val="18"/>
          <w:szCs w:val="18"/>
          <w:color w:val="auto"/>
        </w:rPr>
        <w:t>In January 2013, the Company executed a non-cancellable lease agreement for office and laboratory space in Palo Alto, California. The lease began in October 2013 and would expire in October 2018. In March 2016, the Company executed a lease amendment which was effective March 2016 and extended the lease term until October 2023.</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Kodiak 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315" w:lineRule="exact"/>
        <w:rPr>
          <w:sz w:val="20"/>
          <w:szCs w:val="20"/>
          <w:color w:val="auto"/>
        </w:rPr>
      </w:pPr>
    </w:p>
    <w:p>
      <w:pPr>
        <w:jc w:val="both"/>
        <w:ind w:right="80" w:firstLine="518"/>
        <w:spacing w:after="0" w:line="261" w:lineRule="auto"/>
        <w:rPr>
          <w:sz w:val="20"/>
          <w:szCs w:val="20"/>
          <w:color w:val="auto"/>
        </w:rPr>
      </w:pPr>
      <w:r>
        <w:rPr>
          <w:rFonts w:ascii="Times New Roman" w:cs="Times New Roman" w:eastAsia="Times New Roman" w:hAnsi="Times New Roman"/>
          <w:sz w:val="18"/>
          <w:szCs w:val="18"/>
          <w:color w:val="auto"/>
        </w:rPr>
        <w:t>The Company recognized an operating lease right-of-use asset and corresponding liability on January 1, 2019 based on the present value of remaining lease payments discounted at the Company’s estimated incremental borrowing rate of 8.5% over the remaining lease term of 4.83 years. For the three and six months ended June 30, 2019, the operating lease cost was $0.1 million and $0.3 million, respectively. The operating cash flows used for operating leases was $0.3 million for the six months ended June 30, 2019. The short-term lease costs were immaterial for the three and six months ended June 30, 2019.</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tables summarize the Company’s future payments under the non-cancellable operating lease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20" w:type="dxa"/>
            <w:vAlign w:val="bottom"/>
            <w:gridSpan w:val="2"/>
          </w:tcPr>
          <w:p>
            <w:pPr>
              <w:jc w:val="right"/>
              <w:ind w:right="118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38"/>
        </w:trPr>
        <w:tc>
          <w:tcPr>
            <w:tcW w:w="8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400" w:type="dxa"/>
            <w:vAlign w:val="bottom"/>
          </w:tcPr>
          <w:p>
            <w:pPr>
              <w:spacing w:after="0"/>
              <w:rPr>
                <w:sz w:val="20"/>
                <w:szCs w:val="20"/>
                <w:color w:val="auto"/>
              </w:rPr>
            </w:pPr>
          </w:p>
        </w:tc>
        <w:tc>
          <w:tcPr>
            <w:tcW w:w="222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June 30, 2019</w:t>
            </w:r>
          </w:p>
        </w:tc>
      </w:tr>
      <w:tr>
        <w:trPr>
          <w:trHeight w:val="223"/>
        </w:trPr>
        <w:tc>
          <w:tcPr>
            <w:tcW w:w="88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2019 (excluding the six months ended June 30, 2019)</w:t>
            </w:r>
          </w:p>
        </w:tc>
        <w:tc>
          <w:tcPr>
            <w:tcW w:w="400" w:type="dxa"/>
            <w:vAlign w:val="bottom"/>
            <w:tcBorders>
              <w:top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40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20" w:type="dxa"/>
            <w:vAlign w:val="bottom"/>
          </w:tcPr>
          <w:p>
            <w:pPr>
              <w:spacing w:after="0"/>
              <w:rPr>
                <w:sz w:val="19"/>
                <w:szCs w:val="19"/>
                <w:color w:val="auto"/>
              </w:rPr>
            </w:pPr>
          </w:p>
        </w:tc>
      </w:tr>
      <w:tr>
        <w:trPr>
          <w:trHeight w:val="230"/>
        </w:trPr>
        <w:tc>
          <w:tcPr>
            <w:tcW w:w="8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2021</w:t>
            </w:r>
          </w:p>
        </w:tc>
        <w:tc>
          <w:tcPr>
            <w:tcW w:w="400" w:type="dxa"/>
            <w:vAlign w:val="bottom"/>
            <w:shd w:val="clear" w:color="auto" w:fill="CFF0FC"/>
          </w:tcPr>
          <w:p>
            <w:pPr>
              <w:spacing w:after="0"/>
              <w:rPr>
                <w:sz w:val="19"/>
                <w:szCs w:val="19"/>
                <w:color w:val="auto"/>
              </w:rPr>
            </w:pPr>
          </w:p>
        </w:tc>
        <w:tc>
          <w:tcPr>
            <w:tcW w:w="2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20" w:type="dxa"/>
            <w:vAlign w:val="bottom"/>
            <w:shd w:val="clear" w:color="auto" w:fill="CFF0FC"/>
          </w:tcPr>
          <w:p>
            <w:pPr>
              <w:spacing w:after="0"/>
              <w:rPr>
                <w:sz w:val="19"/>
                <w:szCs w:val="19"/>
                <w:color w:val="auto"/>
              </w:rPr>
            </w:pPr>
          </w:p>
        </w:tc>
      </w:tr>
      <w:tr>
        <w:trPr>
          <w:trHeight w:val="230"/>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40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20" w:type="dxa"/>
            <w:vAlign w:val="bottom"/>
          </w:tcPr>
          <w:p>
            <w:pPr>
              <w:spacing w:after="0"/>
              <w:rPr>
                <w:sz w:val="19"/>
                <w:szCs w:val="19"/>
                <w:color w:val="auto"/>
              </w:rPr>
            </w:pPr>
          </w:p>
        </w:tc>
      </w:tr>
      <w:tr>
        <w:trPr>
          <w:trHeight w:val="230"/>
        </w:trPr>
        <w:tc>
          <w:tcPr>
            <w:tcW w:w="8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2023</w:t>
            </w:r>
          </w:p>
        </w:tc>
        <w:tc>
          <w:tcPr>
            <w:tcW w:w="400" w:type="dxa"/>
            <w:vAlign w:val="bottom"/>
            <w:tcBorders>
              <w:bottom w:val="single" w:sz="8" w:color="auto"/>
            </w:tcBorders>
            <w:shd w:val="clear" w:color="auto" w:fill="CFF0FC"/>
          </w:tcPr>
          <w:p>
            <w:pPr>
              <w:spacing w:after="0"/>
              <w:rPr>
                <w:sz w:val="19"/>
                <w:szCs w:val="19"/>
                <w:color w:val="auto"/>
              </w:rPr>
            </w:pPr>
          </w:p>
        </w:tc>
        <w:tc>
          <w:tcPr>
            <w:tcW w:w="2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20" w:type="dxa"/>
            <w:vAlign w:val="bottom"/>
            <w:shd w:val="clear" w:color="auto" w:fill="CFF0FC"/>
          </w:tcPr>
          <w:p>
            <w:pPr>
              <w:spacing w:after="0"/>
              <w:rPr>
                <w:sz w:val="19"/>
                <w:szCs w:val="19"/>
                <w:color w:val="auto"/>
              </w:rPr>
            </w:pPr>
          </w:p>
        </w:tc>
      </w:tr>
      <w:tr>
        <w:trPr>
          <w:trHeight w:val="223"/>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40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2,558</w:t>
            </w:r>
          </w:p>
        </w:tc>
        <w:tc>
          <w:tcPr>
            <w:tcW w:w="120" w:type="dxa"/>
            <w:vAlign w:val="bottom"/>
          </w:tcPr>
          <w:p>
            <w:pPr>
              <w:spacing w:after="0"/>
              <w:rPr>
                <w:sz w:val="19"/>
                <w:szCs w:val="19"/>
                <w:color w:val="auto"/>
              </w:rPr>
            </w:pPr>
          </w:p>
        </w:tc>
      </w:tr>
      <w:tr>
        <w:trPr>
          <w:trHeight w:val="230"/>
        </w:trPr>
        <w:tc>
          <w:tcPr>
            <w:tcW w:w="8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400" w:type="dxa"/>
            <w:vAlign w:val="bottom"/>
            <w:shd w:val="clear" w:color="auto" w:fill="CFF0FC"/>
          </w:tcPr>
          <w:p>
            <w:pPr>
              <w:spacing w:after="0"/>
              <w:rPr>
                <w:sz w:val="19"/>
                <w:szCs w:val="19"/>
                <w:color w:val="auto"/>
              </w:rPr>
            </w:pPr>
          </w:p>
        </w:tc>
        <w:tc>
          <w:tcPr>
            <w:tcW w:w="2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(425)</w:t>
            </w:r>
          </w:p>
        </w:tc>
      </w:tr>
      <w:tr>
        <w:trPr>
          <w:trHeight w:val="223"/>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2,133</w:t>
            </w:r>
          </w:p>
        </w:tc>
        <w:tc>
          <w:tcPr>
            <w:tcW w:w="120" w:type="dxa"/>
            <w:vAlign w:val="bottom"/>
          </w:tcPr>
          <w:p>
            <w:pPr>
              <w:spacing w:after="0"/>
              <w:rPr>
                <w:sz w:val="19"/>
                <w:szCs w:val="19"/>
                <w:color w:val="auto"/>
              </w:rPr>
            </w:pPr>
          </w:p>
        </w:tc>
      </w:tr>
      <w:tr>
        <w:trPr>
          <w:trHeight w:val="20"/>
        </w:trPr>
        <w:tc>
          <w:tcPr>
            <w:tcW w:w="88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13" w:lineRule="exact"/>
        <w:rPr>
          <w:sz w:val="20"/>
          <w:szCs w:val="20"/>
          <w:color w:val="auto"/>
        </w:rPr>
      </w:pPr>
    </w:p>
    <w:p>
      <w:pPr>
        <w:sectPr>
          <w:pgSz w:w="11900" w:h="16838" w:orient="portrait"/>
          <w:cols w:equalWidth="0" w:num="1">
            <w:col w:w="11420"/>
          </w:cols>
          <w:pgMar w:left="240" w:top="117" w:right="239" w:bottom="1440" w:gutter="0" w:footer="0" w:header="0"/>
        </w:sect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Year ending December 31,</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2019</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2020</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payments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00" w:type="dxa"/>
            <w:vAlign w:val="bottom"/>
          </w:tcPr>
          <w:p>
            <w:pPr>
              <w:spacing w:after="0"/>
              <w:rPr>
                <w:sz w:val="18"/>
                <w:szCs w:val="18"/>
                <w:color w:val="auto"/>
              </w:rPr>
            </w:pPr>
          </w:p>
        </w:tc>
        <w:tc>
          <w:tcPr>
            <w:tcW w:w="2200" w:type="dxa"/>
            <w:vAlign w:val="bottom"/>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38"/>
        </w:trPr>
        <w:tc>
          <w:tcPr>
            <w:tcW w:w="30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December 31, 2018</w:t>
            </w:r>
          </w:p>
        </w:tc>
      </w:tr>
      <w:tr>
        <w:trPr>
          <w:trHeight w:val="218"/>
        </w:trPr>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r>
      <w:tr>
        <w:trPr>
          <w:trHeight w:val="230"/>
        </w:trPr>
        <w:tc>
          <w:tcPr>
            <w:tcW w:w="30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w:t>
            </w:r>
          </w:p>
        </w:tc>
      </w:tr>
      <w:tr>
        <w:trPr>
          <w:trHeight w:val="230"/>
        </w:trPr>
        <w:tc>
          <w:tcPr>
            <w:tcW w:w="30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w:t>
            </w:r>
          </w:p>
        </w:tc>
      </w:tr>
      <w:tr>
        <w:trPr>
          <w:trHeight w:val="230"/>
        </w:trPr>
        <w:tc>
          <w:tcPr>
            <w:tcW w:w="30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r>
      <w:tr>
        <w:trPr>
          <w:trHeight w:val="234"/>
        </w:trPr>
        <w:tc>
          <w:tcPr>
            <w:tcW w:w="30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w:t>
            </w:r>
          </w:p>
        </w:tc>
      </w:tr>
      <w:tr>
        <w:trPr>
          <w:trHeight w:val="223"/>
        </w:trPr>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2,885</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-5582285</wp:posOffset>
            </wp:positionH>
            <wp:positionV relativeFrom="paragraph">
              <wp:posOffset>-916940</wp:posOffset>
            </wp:positionV>
            <wp:extent cx="724662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-616585</wp:posOffset>
            </wp:positionV>
            <wp:extent cx="724662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-325120</wp:posOffset>
            </wp:positionV>
            <wp:extent cx="7246620"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080" w:space="720"/>
            <w:col w:w="2620"/>
          </w:cols>
          <w:pgMar w:left="240" w:top="117" w:right="2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ind w:right="80" w:firstLine="518"/>
        <w:spacing w:after="0" w:line="261" w:lineRule="auto"/>
        <w:rPr>
          <w:sz w:val="20"/>
          <w:szCs w:val="20"/>
          <w:color w:val="auto"/>
        </w:rPr>
      </w:pPr>
      <w:r>
        <w:rPr>
          <w:rFonts w:ascii="Times New Roman" w:cs="Times New Roman" w:eastAsia="Times New Roman" w:hAnsi="Times New Roman"/>
          <w:sz w:val="18"/>
          <w:szCs w:val="18"/>
          <w:color w:val="auto"/>
        </w:rPr>
        <w:t>From time to time, the Company may become involved in legal proceedings arising from the ordinary course of its business. Management is currently not aware of any matters that could have a material adverse effect on the Company’s financial position, results of operations or cash flows. The Company records a legal liability when it believes that it is both probable that a liability may be imputed, and the amount of the liability can be reasonably estimated. Significant judgment by the Company is required to determine both probability and the estimated amount.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121"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color w:val="auto"/>
        </w:rPr>
        <w:t>To the extent permitted under Delaware law, the Company has agreed to indemnify its directors and officers for certain events or occurrences while the director or officer is, or was serving, at the Company’s request in such capacity. The indemnification period covers all pertinent events and occurrences during the director’s or officer’s service. The maximum potential amount of future payments the Company could be required to make under these indemnification agreements is not specified in the agreements; however, the Company has director and officer insurance coverage that reduces its exposure and enables the Company to recover a portion of any future amounts paid. The Company believes the estimated fair value of these indemnification agreements in excess of applicable insurance coverage is minimal.</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Stock-based Compensation</w:t>
      </w:r>
    </w:p>
    <w:p>
      <w:pPr>
        <w:spacing w:after="0" w:line="121" w:lineRule="exact"/>
        <w:rPr>
          <w:sz w:val="20"/>
          <w:szCs w:val="20"/>
          <w:color w:val="auto"/>
        </w:rPr>
      </w:pPr>
    </w:p>
    <w:p>
      <w:pPr>
        <w:ind w:right="160" w:firstLine="518"/>
        <w:spacing w:after="0" w:line="282" w:lineRule="auto"/>
        <w:rPr>
          <w:sz w:val="20"/>
          <w:szCs w:val="20"/>
          <w:color w:val="auto"/>
        </w:rPr>
      </w:pPr>
      <w:r>
        <w:rPr>
          <w:rFonts w:ascii="Times New Roman" w:cs="Times New Roman" w:eastAsia="Times New Roman" w:hAnsi="Times New Roman"/>
          <w:sz w:val="18"/>
          <w:szCs w:val="18"/>
          <w:color w:val="auto"/>
        </w:rPr>
        <w:t>In January 2019, the number of shares of common stock available for issuance under the 2018 Equity Incentive Plan was increased by approximately 1.5 million shares as a result of the automatic increase provision in the 2018 Plan.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type w:val="continuous"/>
        </w:sectPr>
      </w:pPr>
    </w:p>
    <w:bookmarkStart w:id="13" w:name="page14"/>
    <w:bookmarkEnd w:id="1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Kodiak Sciences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Stock option activity under the 2018 Plan and 2015 Equity Incentive Plan is summarized as follows (in thousands, except share and per share data).</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ind w:left="320"/>
              <w:spacing w:after="0"/>
              <w:rPr>
                <w:sz w:val="20"/>
                <w:szCs w:val="20"/>
                <w:color w:val="auto"/>
              </w:rPr>
            </w:pPr>
            <w:r>
              <w:rPr>
                <w:rFonts w:ascii="Times New Roman" w:cs="Times New Roman" w:eastAsia="Times New Roman" w:hAnsi="Times New Roman"/>
                <w:sz w:val="18"/>
                <w:szCs w:val="18"/>
                <w:b w:val="1"/>
                <w:bCs w:val="1"/>
                <w:color w:val="auto"/>
              </w:rPr>
              <w:t>Outstanding Awards</w:t>
            </w:r>
          </w:p>
        </w:tc>
        <w:tc>
          <w:tcPr>
            <w:tcW w:w="12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5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100" w:type="dxa"/>
            <w:vAlign w:val="bottom"/>
          </w:tcPr>
          <w:p>
            <w:pPr>
              <w:spacing w:after="0"/>
              <w:rPr>
                <w:sz w:val="18"/>
                <w:szCs w:val="18"/>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100" w:type="dxa"/>
            <w:vAlign w:val="bottom"/>
          </w:tcPr>
          <w:p>
            <w:pPr>
              <w:spacing w:after="0"/>
              <w:rPr>
                <w:sz w:val="18"/>
                <w:szCs w:val="18"/>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0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5"/>
              </w:rPr>
              <w:t>Available</w:t>
            </w: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00" w:type="dxa"/>
            <w:vAlign w:val="bottom"/>
          </w:tcPr>
          <w:p>
            <w:pPr>
              <w:spacing w:after="0"/>
              <w:rPr>
                <w:sz w:val="18"/>
                <w:szCs w:val="18"/>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Term</w:t>
            </w:r>
          </w:p>
        </w:tc>
        <w:tc>
          <w:tcPr>
            <w:tcW w:w="10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Intrinsic</w:t>
            </w:r>
          </w:p>
        </w:tc>
        <w:tc>
          <w:tcPr>
            <w:tcW w:w="0" w:type="dxa"/>
            <w:vAlign w:val="bottom"/>
          </w:tcPr>
          <w:p>
            <w:pPr>
              <w:spacing w:after="0"/>
              <w:rPr>
                <w:sz w:val="1"/>
                <w:szCs w:val="1"/>
                <w:color w:val="auto"/>
              </w:rPr>
            </w:pPr>
          </w:p>
        </w:tc>
      </w:tr>
      <w:tr>
        <w:trPr>
          <w:trHeight w:val="238"/>
        </w:trPr>
        <w:tc>
          <w:tcPr>
            <w:tcW w:w="5280" w:type="dxa"/>
            <w:vAlign w:val="bottom"/>
          </w:tcPr>
          <w:p>
            <w:pPr>
              <w:spacing w:after="0"/>
              <w:rPr>
                <w:sz w:val="20"/>
                <w:szCs w:val="20"/>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for Grant</w:t>
            </w: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00" w:type="dxa"/>
            <w:vAlign w:val="bottom"/>
          </w:tcPr>
          <w:p>
            <w:pPr>
              <w:spacing w:after="0"/>
              <w:rPr>
                <w:sz w:val="20"/>
                <w:szCs w:val="20"/>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 years)</w:t>
            </w:r>
          </w:p>
        </w:tc>
        <w:tc>
          <w:tcPr>
            <w:tcW w:w="100" w:type="dxa"/>
            <w:vAlign w:val="bottom"/>
          </w:tcPr>
          <w:p>
            <w:pPr>
              <w:spacing w:after="0"/>
              <w:rPr>
                <w:sz w:val="20"/>
                <w:szCs w:val="20"/>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December 31, 2018</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3,024,404</w:t>
            </w:r>
          </w:p>
        </w:tc>
        <w:tc>
          <w:tcPr>
            <w:tcW w:w="24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5,135,267</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2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10,681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Shares authorized</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1,473,194</w:t>
            </w:r>
          </w:p>
        </w:tc>
        <w:tc>
          <w:tcPr>
            <w:tcW w:w="24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(80,000)</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Balance, March 31, 2019</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4,497,598</w:t>
            </w:r>
          </w:p>
        </w:tc>
        <w:tc>
          <w:tcPr>
            <w:tcW w:w="24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5,055,267</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(449,988)</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449,988</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Options forfeited or canceled</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15,804</w:t>
            </w:r>
          </w:p>
        </w:tc>
        <w:tc>
          <w:tcPr>
            <w:tcW w:w="2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(15,804)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(21,284)</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Balance, June 30, 2019</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4,063,414</w:t>
            </w:r>
          </w:p>
        </w:tc>
        <w:tc>
          <w:tcPr>
            <w:tcW w:w="24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5,468,167</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Stock-based compensation is classified in the condensed consolidated statements of operations and comprehensive loss as follows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5"/>
          </w:tcPr>
          <w:p>
            <w:pPr>
              <w:ind w:left="34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59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3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5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Pr>
          <w:p>
            <w:pPr>
              <w:spacing w:after="0"/>
              <w:rPr>
                <w:sz w:val="19"/>
                <w:szCs w:val="19"/>
                <w:color w:val="auto"/>
              </w:rPr>
            </w:pPr>
          </w:p>
        </w:tc>
      </w:tr>
      <w:tr>
        <w:trPr>
          <w:trHeight w:val="223"/>
        </w:trPr>
        <w:tc>
          <w:tcPr>
            <w:tcW w:w="59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Borders>
              <w:top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24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2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9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24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20" w:type="dxa"/>
            <w:vAlign w:val="bottom"/>
            <w:tcBorders>
              <w:bottom w:val="single" w:sz="8" w:color="CFF0FC"/>
            </w:tcBorders>
          </w:tcPr>
          <w:p>
            <w:pPr>
              <w:spacing w:after="0"/>
              <w:rPr>
                <w:sz w:val="19"/>
                <w:szCs w:val="19"/>
                <w:color w:val="auto"/>
              </w:rPr>
            </w:pPr>
          </w:p>
        </w:tc>
      </w:tr>
      <w:tr>
        <w:trPr>
          <w:trHeight w:val="223"/>
        </w:trPr>
        <w:tc>
          <w:tcPr>
            <w:tcW w:w="5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24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24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2,401</w:t>
            </w:r>
          </w:p>
        </w:tc>
        <w:tc>
          <w:tcPr>
            <w:tcW w:w="2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3" w:lineRule="exact"/>
        <w:rPr>
          <w:sz w:val="20"/>
          <w:szCs w:val="20"/>
          <w:color w:val="auto"/>
        </w:rPr>
      </w:pPr>
    </w:p>
    <w:p>
      <w:pPr>
        <w:jc w:val="both"/>
        <w:ind w:right="140" w:firstLine="518"/>
        <w:spacing w:after="0" w:line="282" w:lineRule="auto"/>
        <w:rPr>
          <w:sz w:val="20"/>
          <w:szCs w:val="20"/>
          <w:color w:val="auto"/>
        </w:rPr>
      </w:pPr>
      <w:r>
        <w:rPr>
          <w:rFonts w:ascii="Times New Roman" w:cs="Times New Roman" w:eastAsia="Times New Roman" w:hAnsi="Times New Roman"/>
          <w:sz w:val="18"/>
          <w:szCs w:val="18"/>
          <w:color w:val="auto"/>
        </w:rPr>
        <w:t>As of June 30, 2019, the unrecognized stock-based compensation of unvested employee options and unvested RSAs and RSUs was $14.9 million and it is expected to be recognized over a weighted-average period of 2.48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Net Loss per Share Attributable to Common Stockholders</w:t>
      </w:r>
    </w:p>
    <w:p>
      <w:pPr>
        <w:spacing w:after="0" w:line="121" w:lineRule="exact"/>
        <w:rPr>
          <w:sz w:val="20"/>
          <w:szCs w:val="20"/>
          <w:color w:val="auto"/>
        </w:rPr>
      </w:pPr>
    </w:p>
    <w:p>
      <w:pPr>
        <w:ind w:right="500" w:firstLine="51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share attributable to common stockholders which excludes shares which are legally outstanding, but subject to repurchase by the Company (in thousands, except share and per share data):</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8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Pr>
          <w:p>
            <w:pPr>
              <w:spacing w:after="0"/>
              <w:rPr>
                <w:sz w:val="18"/>
                <w:szCs w:val="18"/>
                <w:color w:val="auto"/>
              </w:rPr>
            </w:pPr>
          </w:p>
        </w:tc>
        <w:tc>
          <w:tcPr>
            <w:tcW w:w="2460" w:type="dxa"/>
            <w:vAlign w:val="bottom"/>
            <w:gridSpan w:val="6"/>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9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900" w:type="dxa"/>
            <w:vAlign w:val="bottom"/>
            <w:tcBorders>
              <w:bottom w:val="single" w:sz="8" w:color="CFF0FC"/>
            </w:tcBorders>
          </w:tcPr>
          <w:p>
            <w:pPr>
              <w:spacing w:after="0"/>
              <w:rPr>
                <w:sz w:val="19"/>
                <w:szCs w:val="19"/>
                <w:color w:val="auto"/>
              </w:rPr>
            </w:pPr>
          </w:p>
        </w:tc>
        <w:tc>
          <w:tcPr>
            <w:tcW w:w="10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(11,385)</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(7,409)</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(19,369)</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(16,329)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49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06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37,314,540</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7,946,102</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37,295,858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7,941,430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Less: weighted-average unvested restricted shares and</w:t>
            </w:r>
          </w:p>
        </w:tc>
        <w:tc>
          <w:tcPr>
            <w:tcW w:w="10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9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shares subject to repurchase</w:t>
            </w:r>
          </w:p>
        </w:tc>
        <w:tc>
          <w:tcPr>
            <w:tcW w:w="10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(19,687)</w:t>
            </w:r>
          </w:p>
        </w:tc>
        <w:tc>
          <w:tcPr>
            <w:tcW w:w="30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(189,021)</w:t>
            </w:r>
          </w:p>
        </w:tc>
        <w:tc>
          <w:tcPr>
            <w:tcW w:w="22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(24,220)</w:t>
            </w: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(220,463)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49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Weighted-average common shares outstanding used in</w:t>
            </w:r>
          </w:p>
        </w:tc>
        <w:tc>
          <w:tcPr>
            <w:tcW w:w="10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4"/>
        </w:trPr>
        <w:tc>
          <w:tcPr>
            <w:tcW w:w="490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computing net loss per common share, basic and diluted</w:t>
            </w:r>
          </w:p>
        </w:tc>
        <w:tc>
          <w:tcPr>
            <w:tcW w:w="1060" w:type="dxa"/>
            <w:vAlign w:val="bottom"/>
            <w:tcBorders>
              <w:bottom w:val="single" w:sz="8" w:color="CFF0FC"/>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37,294,853</w:t>
            </w:r>
          </w:p>
        </w:tc>
        <w:tc>
          <w:tcPr>
            <w:tcW w:w="240" w:type="dxa"/>
            <w:vAlign w:val="bottom"/>
            <w:tcBorders>
              <w:bottom w:val="single" w:sz="8" w:color="CFF0FC"/>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7,757,081</w:t>
            </w:r>
          </w:p>
        </w:tc>
        <w:tc>
          <w:tcPr>
            <w:tcW w:w="240" w:type="dxa"/>
            <w:vAlign w:val="bottom"/>
            <w:tcBorders>
              <w:bottom w:val="single" w:sz="8" w:color="CFF0FC"/>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37,271,638</w:t>
            </w:r>
          </w:p>
        </w:tc>
        <w:tc>
          <w:tcPr>
            <w:tcW w:w="160" w:type="dxa"/>
            <w:vAlign w:val="bottom"/>
            <w:tcBorders>
              <w:bottom w:val="single" w:sz="8" w:color="CFF0FC"/>
            </w:tcBorders>
          </w:tcPr>
          <w:p>
            <w:pPr>
              <w:spacing w:after="0"/>
              <w:rPr>
                <w:sz w:val="23"/>
                <w:szCs w:val="23"/>
                <w:color w:val="auto"/>
              </w:rPr>
            </w:pPr>
          </w:p>
        </w:tc>
        <w:tc>
          <w:tcPr>
            <w:tcW w:w="100" w:type="dxa"/>
            <w:vAlign w:val="bottom"/>
            <w:tcBorders>
              <w:bottom w:val="single" w:sz="8" w:color="CFF0FC"/>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7,720,967</w:t>
            </w:r>
          </w:p>
        </w:tc>
        <w:tc>
          <w:tcPr>
            <w:tcW w:w="100" w:type="dxa"/>
            <w:vAlign w:val="bottom"/>
            <w:tcBorders>
              <w:bottom w:val="single" w:sz="8" w:color="CFF0FC"/>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2"/>
        </w:trPr>
        <w:tc>
          <w:tcPr>
            <w:tcW w:w="4900" w:type="dxa"/>
            <w:vAlign w:val="bottom"/>
            <w:shd w:val="clear" w:color="auto" w:fill="CFF0FC"/>
          </w:tcPr>
          <w:p>
            <w:pPr>
              <w:spacing w:after="0" w:line="192" w:lineRule="exact"/>
              <w:rPr>
                <w:sz w:val="20"/>
                <w:szCs w:val="20"/>
                <w:color w:val="auto"/>
              </w:rPr>
            </w:pPr>
            <w:r>
              <w:rPr>
                <w:rFonts w:ascii="Times New Roman" w:cs="Times New Roman" w:eastAsia="Times New Roman" w:hAnsi="Times New Roman"/>
                <w:sz w:val="18"/>
                <w:szCs w:val="18"/>
                <w:color w:val="auto"/>
              </w:rPr>
              <w:t>Net loss per share attributable to common stockholders,</w:t>
            </w:r>
          </w:p>
        </w:tc>
        <w:tc>
          <w:tcPr>
            <w:tcW w:w="10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basic and diluted</w:t>
            </w: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(0.31)</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(0.96)</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(0.52)</w:t>
            </w:r>
          </w:p>
        </w:tc>
        <w:tc>
          <w:tcPr>
            <w:tcW w:w="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0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CFF0FC"/>
              <w:bottom w:val="single" w:sz="8" w:color="CFF0FC"/>
            </w:tcBorders>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4900" w:type="dxa"/>
            <w:vAlign w:val="bottom"/>
          </w:tcPr>
          <w:p>
            <w:pPr>
              <w:spacing w:after="0"/>
              <w:rPr>
                <w:sz w:val="24"/>
                <w:szCs w:val="24"/>
                <w:color w:val="auto"/>
              </w:rPr>
            </w:pPr>
          </w:p>
        </w:tc>
        <w:tc>
          <w:tcPr>
            <w:tcW w:w="10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7" w:right="21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Kodiak 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7" w:lineRule="exact"/>
        <w:rPr>
          <w:sz w:val="20"/>
          <w:szCs w:val="20"/>
          <w:color w:val="auto"/>
        </w:rPr>
      </w:pPr>
    </w:p>
    <w:p>
      <w:pPr>
        <w:ind w:right="120" w:firstLine="518"/>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securities, presented on an as-converted to common stock basis, were excluded from the computation of diluted net loss per share attributable to common stockholders for the period presented because including them would have been antidilutive:</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840" w:type="dxa"/>
            <w:vAlign w:val="bottom"/>
          </w:tcPr>
          <w:p>
            <w:pPr>
              <w:spacing w:after="0"/>
              <w:rPr>
                <w:sz w:val="20"/>
                <w:szCs w:val="20"/>
                <w:color w:val="auto"/>
              </w:rPr>
            </w:pPr>
          </w:p>
        </w:tc>
        <w:tc>
          <w:tcPr>
            <w:tcW w:w="2360" w:type="dxa"/>
            <w:vAlign w:val="bottom"/>
            <w:tcBorders>
              <w:bottom w:val="single" w:sz="8" w:color="auto"/>
            </w:tcBorders>
            <w:gridSpan w:val="3"/>
          </w:tcPr>
          <w:p>
            <w:pPr>
              <w:ind w:left="1180"/>
              <w:spacing w:after="0"/>
              <w:rPr>
                <w:sz w:val="20"/>
                <w:szCs w:val="20"/>
                <w:color w:val="auto"/>
              </w:rPr>
            </w:pPr>
            <w:r>
              <w:rPr>
                <w:rFonts w:ascii="Times New Roman" w:cs="Times New Roman" w:eastAsia="Times New Roman" w:hAnsi="Times New Roman"/>
                <w:sz w:val="18"/>
                <w:szCs w:val="18"/>
                <w:b w:val="1"/>
                <w:bCs w:val="1"/>
                <w:color w:val="auto"/>
              </w:rPr>
              <w:t>As of June 30,</w:t>
            </w:r>
          </w:p>
        </w:tc>
        <w:tc>
          <w:tcPr>
            <w:tcW w:w="10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Pr>
          <w:p>
            <w:pPr>
              <w:spacing w:after="0"/>
              <w:rPr>
                <w:sz w:val="19"/>
                <w:szCs w:val="19"/>
                <w:color w:val="auto"/>
              </w:rPr>
            </w:pPr>
          </w:p>
        </w:tc>
        <w:tc>
          <w:tcPr>
            <w:tcW w:w="15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8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8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5,468,167</w:t>
            </w:r>
          </w:p>
        </w:tc>
        <w:tc>
          <w:tcPr>
            <w:tcW w:w="2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3,383,478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Redeemable convertible preferred stock</w:t>
            </w:r>
          </w:p>
        </w:tc>
        <w:tc>
          <w:tcPr>
            <w:tcW w:w="2360" w:type="dxa"/>
            <w:vAlign w:val="bottom"/>
            <w:gridSpan w:val="3"/>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12,385,154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2017 convertible notes </w:t>
            </w:r>
            <w:r>
              <w:rPr>
                <w:rFonts w:ascii="Times New Roman" w:cs="Times New Roman" w:eastAsia="Times New Roman" w:hAnsi="Times New Roman"/>
                <w:sz w:val="15"/>
                <w:szCs w:val="15"/>
                <w:color w:val="auto"/>
              </w:rPr>
              <w:t>(1)</w:t>
            </w:r>
          </w:p>
        </w:tc>
        <w:tc>
          <w:tcPr>
            <w:tcW w:w="2360" w:type="dxa"/>
            <w:vAlign w:val="bottom"/>
            <w:gridSpan w:val="3"/>
            <w:shd w:val="clear" w:color="auto" w:fill="CFF0FC"/>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2,497,722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2018 convertible notes </w:t>
            </w:r>
            <w:r>
              <w:rPr>
                <w:rFonts w:ascii="Times New Roman" w:cs="Times New Roman" w:eastAsia="Times New Roman" w:hAnsi="Times New Roman"/>
                <w:sz w:val="15"/>
                <w:szCs w:val="15"/>
                <w:color w:val="auto"/>
              </w:rPr>
              <w:t>(2)</w:t>
            </w:r>
          </w:p>
        </w:tc>
        <w:tc>
          <w:tcPr>
            <w:tcW w:w="2360" w:type="dxa"/>
            <w:vAlign w:val="bottom"/>
            <w:gridSpan w:val="3"/>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4,226,243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Redeemable convertible preferred stock warrants</w:t>
            </w:r>
          </w:p>
        </w:tc>
        <w:tc>
          <w:tcPr>
            <w:tcW w:w="2360" w:type="dxa"/>
            <w:vAlign w:val="bottom"/>
            <w:gridSpan w:val="3"/>
            <w:shd w:val="clear" w:color="auto" w:fill="CFF0FC"/>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Unvested restricted stock awards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16,320</w:t>
            </w: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early exercised common stock options</w:t>
            </w:r>
          </w:p>
        </w:tc>
        <w:tc>
          <w:tcPr>
            <w:tcW w:w="2360" w:type="dxa"/>
            <w:vAlign w:val="bottom"/>
            <w:gridSpan w:val="3"/>
            <w:shd w:val="clear" w:color="auto" w:fill="CFF0FC"/>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5,484,487</w:t>
            </w:r>
          </w:p>
        </w:tc>
        <w:tc>
          <w:tcPr>
            <w:tcW w:w="280" w:type="dxa"/>
            <w:vAlign w:val="bottom"/>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23,159,433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520" w:right="120" w:hanging="512"/>
        <w:spacing w:after="0" w:line="261" w:lineRule="auto"/>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as $10.0 million in principal and $2.5 million in accrued but unpaid interest as of June 30, 2018, convertible at $5.00 per share of common stock.</w:t>
      </w:r>
    </w:p>
    <w:p>
      <w:pPr>
        <w:ind w:left="520" w:right="60" w:hanging="512"/>
        <w:spacing w:after="0" w:line="261" w:lineRule="auto"/>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as $33.0 million in principal and $0.8 million in accrued but unpaid interest as of June 30, 2018, convertible at 80% of the $10.00 per share of common stock from the Company’s IPO.</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100" w:firstLine="518"/>
        <w:spacing w:after="0" w:line="255"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unaudited condensed consolidated financial statements and the related notes included elsewhere in this report and with our audited financial statements and related notes thereto and management’s discussion and analysis of financial condition and results of operations for the year ended December 31, 2018, included in our Annual Report on Form 10-K filed with the Securities and Exchange Commission, or the SEC, on March 27, 2019. This discussion and analysis and other parts of this report contain forward-looking statements based upon current beliefs, plans and expectations related to future events and our future financial performance that involve risks, uncertainties and assumptions, such as statements regarding our intentions, plans, objectives, expectations, forecasts and projections. Our actual results and the timing of selected events could differ materially from those anticipated in these forward-looking statements as a result of several factors, including those set forth under the section of this report titled “Part II, Item 1A — Risk Factors” and elsewhere in this report.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280" w:firstLine="518"/>
        <w:spacing w:after="0" w:line="255" w:lineRule="auto"/>
        <w:rPr>
          <w:sz w:val="20"/>
          <w:szCs w:val="20"/>
          <w:color w:val="auto"/>
        </w:rPr>
      </w:pPr>
      <w:r>
        <w:rPr>
          <w:rFonts w:ascii="Times New Roman" w:cs="Times New Roman" w:eastAsia="Times New Roman" w:hAnsi="Times New Roman"/>
          <w:sz w:val="18"/>
          <w:szCs w:val="18"/>
          <w:color w:val="auto"/>
        </w:rPr>
        <w:t>We are a clinical-stage biopharmaceutical company specializing in novel therapeutics to treat chronic, high-prevalence retinal diseases. Our most advanced product candidate is KSI-301, a biologic therapy built with our antibody biopolymer conjugate platform, or ABC Platform, which is designed to maintain potent and effective drug levels in ocular tissues. We believe that KSI-301, if approved, has the potential to become an important anti-vascular endothelial growth factor, or anti-VEGF, therapy in wet age-related macular degeneration, or wet AMD, diabetic retinopathy, or DR, including diabetic macular edema, or DME, macular edema due to retinal vein occlusion, or RVO, and other retinal vascular diseases. KSI-301 and our ABC Platform were developed at Kodiak, and we own worldwide rights to those assets, including composition of matter patent protection with respect to KSI-301. We have applied our ABC Platform to develop additional product candidates beyond KSI-301, including KSI-501, our bispecific anti-IL-6/VEGF bioconjugate. We intend to progress these and other product candidates to address high-prevalence ophthalmic diseases.</w:t>
      </w:r>
    </w:p>
    <w:p>
      <w:pPr>
        <w:spacing w:after="0" w:line="77" w:lineRule="exact"/>
        <w:rPr>
          <w:sz w:val="20"/>
          <w:szCs w:val="20"/>
          <w:color w:val="auto"/>
        </w:rPr>
      </w:pPr>
    </w:p>
    <w:p>
      <w:pPr>
        <w:jc w:val="both"/>
        <w:ind w:right="340" w:firstLine="518"/>
        <w:spacing w:after="0" w:line="266" w:lineRule="auto"/>
        <w:rPr>
          <w:sz w:val="20"/>
          <w:szCs w:val="20"/>
          <w:color w:val="auto"/>
        </w:rPr>
      </w:pPr>
      <w:r>
        <w:rPr>
          <w:rFonts w:ascii="Times New Roman" w:cs="Times New Roman" w:eastAsia="Times New Roman" w:hAnsi="Times New Roman"/>
          <w:sz w:val="18"/>
          <w:szCs w:val="18"/>
          <w:color w:val="auto"/>
        </w:rPr>
        <w:t>We initiated our first-in-human, single ascending dose Phase 1a clinical study of KSI-301 in the United States in nine patients with severe DME in July 2018. We successfully dosed all patients at the pre-planned dose levels and reached the 12-week last visit in November 2018. The last visit (twelve-week) data demonstrated safety and durability of responses following the single dose of KSI-301. Notably:</w:t>
      </w:r>
    </w:p>
    <w:p>
      <w:pPr>
        <w:spacing w:after="0" w:line="68" w:lineRule="exact"/>
        <w:rPr>
          <w:sz w:val="20"/>
          <w:szCs w:val="20"/>
          <w:color w:val="auto"/>
        </w:rPr>
      </w:pPr>
    </w:p>
    <w:p>
      <w:pPr>
        <w:ind w:left="640" w:hanging="119"/>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Rapid high-magnitude and durable treatment responses were seen at all dose levels tested in a heavily pre-treated Phase 1 patient population.</w:t>
      </w:r>
    </w:p>
    <w:p>
      <w:pPr>
        <w:spacing w:after="0" w:line="117" w:lineRule="exact"/>
        <w:rPr>
          <w:rFonts w:ascii="Times New Roman" w:cs="Times New Roman" w:eastAsia="Times New Roman" w:hAnsi="Times New Roman"/>
          <w:sz w:val="18"/>
          <w:szCs w:val="18"/>
          <w:color w:val="auto"/>
        </w:rPr>
      </w:pPr>
    </w:p>
    <w:p>
      <w:pPr>
        <w:ind w:left="640" w:right="840" w:hanging="119"/>
        <w:spacing w:after="0" w:line="282" w:lineRule="auto"/>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Twelve weeks after a single dose, median vision improvement from baseline of almost two lines of vision (9 eye chart letters) and median improvement in retinal edema of 121 microns were achieved across all three dose levels tested.</w:t>
      </w:r>
    </w:p>
    <w:p>
      <w:pPr>
        <w:spacing w:after="0" w:line="53"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dose-limiting toxicities, drug-related adverse events, or intraocular inflammation were observed through each patients' last visit at 12 weeks.</w:t>
      </w:r>
    </w:p>
    <w:p>
      <w:pPr>
        <w:spacing w:after="0" w:line="117"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In the fourth quarter of 2018, we initiated an open-label, multiple-dose Phase 1b study of KSI-301 in the United States in patients with anti-VEGF treatment-naïve neovascular wet AMD, DME, and RVO. Based on strong investigator support, we elected to increase the targeted number of patients from 50 to 90. This study is designed to provide additional scientific and clinical understanding of the safety, efficacy and durability of KSI-301 in retinal vascular disease.</w:t>
      </w:r>
    </w:p>
    <w:p>
      <w:pPr>
        <w:spacing w:after="0" w:line="72"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On July 27, 2019, we presented interim data from the ongoing Phase 1b study of KSI-301 at the 2019 Annual Meeting of the American Society of Retina Specialists, or ASRS. Across all three diseases under study, strong improvements in vision and retinal anatomy were observed over 12 weeks. Vision is measured as change in best corrected visual acuity, or BCVA, on a standardized eye chart, and retinal anatomy is measured as change in retinal central subfield thickness, or CST, using optical coherence tomography, or OCT, imaging. The efficacy data presented at ASRS included outcomes from 35 patients in the study who had reached the Week 12 visit. In the study, patients are being treated with three monthly doses of either 2.5 mg or 5 mg KSI-301 and followed for 7 months thereafter, with additional treatments according to protocol-specified retreatment criteria. To date, we have observed efficacy in all three diseases tested.</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results were observed at Week 12*:</w:t>
      </w:r>
    </w:p>
    <w:p>
      <w:pPr>
        <w:spacing w:after="0" w:line="129" w:lineRule="exact"/>
        <w:rPr>
          <w:sz w:val="20"/>
          <w:szCs w:val="20"/>
          <w:color w:val="auto"/>
        </w:rPr>
      </w:pPr>
    </w:p>
    <w:tbl>
      <w:tblPr>
        <w:tblLayout w:type="fixed"/>
        <w:tblInd w:w="10" w:type="dxa"/>
        <w:tblCellMar>
          <w:top w:w="0" w:type="dxa"/>
          <w:left w:w="0" w:type="dxa"/>
          <w:bottom w:w="0" w:type="dxa"/>
          <w:right w:w="0" w:type="dxa"/>
        </w:tblCellMar>
      </w:tblPr>
      <w:tr>
        <w:trPr>
          <w:trHeight w:val="221"/>
        </w:trPr>
        <w:tc>
          <w:tcPr>
            <w:tcW w:w="2320" w:type="dxa"/>
            <w:vAlign w:val="bottom"/>
            <w:tcBorders>
              <w:top w:val="single" w:sz="8" w:color="auto"/>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Disease</w:t>
            </w:r>
          </w:p>
        </w:tc>
        <w:tc>
          <w:tcPr>
            <w:tcW w:w="228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Median Baseline BCVA,</w:t>
            </w:r>
          </w:p>
        </w:tc>
        <w:tc>
          <w:tcPr>
            <w:tcW w:w="228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Median Baseline</w:t>
            </w:r>
          </w:p>
        </w:tc>
        <w:tc>
          <w:tcPr>
            <w:tcW w:w="228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Change in Median BCVA at</w:t>
            </w:r>
          </w:p>
        </w:tc>
        <w:tc>
          <w:tcPr>
            <w:tcW w:w="226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Change in Median OCT</w:t>
            </w:r>
          </w:p>
        </w:tc>
      </w:tr>
      <w:tr>
        <w:trPr>
          <w:trHeight w:val="238"/>
        </w:trPr>
        <w:tc>
          <w:tcPr>
            <w:tcW w:w="23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(number of patients)</w:t>
            </w:r>
          </w:p>
        </w:tc>
        <w:tc>
          <w:tcPr>
            <w:tcW w:w="22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letters</w:t>
            </w:r>
          </w:p>
        </w:tc>
        <w:tc>
          <w:tcPr>
            <w:tcW w:w="22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OCT CST, microns</w:t>
            </w:r>
          </w:p>
        </w:tc>
        <w:tc>
          <w:tcPr>
            <w:tcW w:w="22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Week 12, letters</w:t>
            </w:r>
          </w:p>
        </w:tc>
        <w:tc>
          <w:tcPr>
            <w:tcW w:w="2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CST at Week 12, microns</w:t>
            </w:r>
          </w:p>
        </w:tc>
      </w:tr>
      <w:tr>
        <w:trPr>
          <w:trHeight w:val="223"/>
        </w:trPr>
        <w:tc>
          <w:tcPr>
            <w:tcW w:w="23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Wet AMD (n=17)</w:t>
            </w:r>
          </w:p>
        </w:tc>
        <w:tc>
          <w:tcPr>
            <w:tcW w:w="22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66</w:t>
            </w:r>
          </w:p>
        </w:tc>
        <w:tc>
          <w:tcPr>
            <w:tcW w:w="22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380</w:t>
            </w:r>
          </w:p>
        </w:tc>
        <w:tc>
          <w:tcPr>
            <w:tcW w:w="22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8</w:t>
            </w:r>
          </w:p>
        </w:tc>
        <w:tc>
          <w:tcPr>
            <w:tcW w:w="2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-96</w:t>
            </w:r>
          </w:p>
        </w:tc>
      </w:tr>
      <w:tr>
        <w:trPr>
          <w:trHeight w:val="223"/>
        </w:trPr>
        <w:tc>
          <w:tcPr>
            <w:tcW w:w="23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DME (n=8)</w:t>
            </w:r>
          </w:p>
        </w:tc>
        <w:tc>
          <w:tcPr>
            <w:tcW w:w="22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69.5</w:t>
            </w:r>
          </w:p>
        </w:tc>
        <w:tc>
          <w:tcPr>
            <w:tcW w:w="22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491</w:t>
            </w:r>
          </w:p>
        </w:tc>
        <w:tc>
          <w:tcPr>
            <w:tcW w:w="22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9.5</w:t>
            </w:r>
          </w:p>
        </w:tc>
        <w:tc>
          <w:tcPr>
            <w:tcW w:w="2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-197</w:t>
            </w:r>
          </w:p>
        </w:tc>
      </w:tr>
      <w:tr>
        <w:trPr>
          <w:trHeight w:val="223"/>
        </w:trPr>
        <w:tc>
          <w:tcPr>
            <w:tcW w:w="23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RVO (n=10)</w:t>
            </w:r>
          </w:p>
        </w:tc>
        <w:tc>
          <w:tcPr>
            <w:tcW w:w="22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52.5</w:t>
            </w:r>
          </w:p>
        </w:tc>
        <w:tc>
          <w:tcPr>
            <w:tcW w:w="22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513</w:t>
            </w:r>
          </w:p>
        </w:tc>
        <w:tc>
          <w:tcPr>
            <w:tcW w:w="22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26.5</w:t>
            </w:r>
          </w:p>
        </w:tc>
        <w:tc>
          <w:tcPr>
            <w:tcW w:w="2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-209</w:t>
            </w:r>
          </w:p>
        </w:tc>
      </w:tr>
    </w:tbl>
    <w:p>
      <w:pPr>
        <w:spacing w:after="0" w:line="10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*Includes patients who reached Week 12 visit by July 24, 2019 ASRS data cutoff date; 2.5 &amp; 5 mg doses pooled.</w:t>
      </w:r>
    </w:p>
    <w:p>
      <w:pPr>
        <w:spacing w:after="0" w:line="2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16" w:name="page17"/>
    <w:bookmarkEnd w:id="16"/>
    <w:p>
      <w:pPr>
        <w:jc w:val="both"/>
        <w:ind w:right="20" w:firstLine="518"/>
        <w:spacing w:after="0" w:line="258" w:lineRule="auto"/>
        <w:rPr>
          <w:sz w:val="20"/>
          <w:szCs w:val="20"/>
          <w:color w:val="auto"/>
        </w:rPr>
      </w:pPr>
      <w:r>
        <w:rPr>
          <w:rFonts w:ascii="Times New Roman" w:cs="Times New Roman" w:eastAsia="Times New Roman" w:hAnsi="Times New Roman"/>
          <w:sz w:val="18"/>
          <w:szCs w:val="18"/>
          <w:color w:val="auto"/>
        </w:rPr>
        <w:t>More than 200 injections with KSI-301 have been given to date across the Phase 1a and Phase 1b program with no intraocular inflammation or ocular serious adverse events reported. As of July 24, 2019, 77 patients were enrolled in the Phase 1b study, and we expect to complete enrollment of these planned cohorts of patients in 2019. Based on the data observed to date, we are planning for supplemental cohorts in the Phase 1b program to continue exploring KSI-301 and its use for the treatment of retinal diseases. We will continue to present ongoing safety, efficacy and emerging durability data from the Phase 1b study at medical and investor meetings.</w:t>
      </w:r>
    </w:p>
    <w:p>
      <w:pPr>
        <w:spacing w:after="0" w:line="76" w:lineRule="exact"/>
        <w:rPr>
          <w:sz w:val="20"/>
          <w:szCs w:val="20"/>
          <w:color w:val="auto"/>
        </w:rPr>
      </w:pPr>
    </w:p>
    <w:p>
      <w:pPr>
        <w:ind w:right="440" w:firstLine="518"/>
        <w:spacing w:after="0" w:line="282" w:lineRule="auto"/>
        <w:rPr>
          <w:sz w:val="20"/>
          <w:szCs w:val="20"/>
          <w:color w:val="auto"/>
        </w:rPr>
      </w:pPr>
      <w:r>
        <w:rPr>
          <w:rFonts w:ascii="Times New Roman" w:cs="Times New Roman" w:eastAsia="Times New Roman" w:hAnsi="Times New Roman"/>
          <w:sz w:val="18"/>
          <w:szCs w:val="18"/>
          <w:color w:val="auto"/>
        </w:rPr>
        <w:t>Having successfully demonstrated early safety and tolerability in the Phase 1a and now Phase 1b studies, with the additional observations around efficacy and durability, we plan to further evaluate the highest dose tested of KSI-301, 5 mg, in a series of phase 2 studies in retinal vascular diseases.</w:t>
      </w:r>
    </w:p>
    <w:p>
      <w:pPr>
        <w:spacing w:after="0" w:line="54"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We expect to be enrolling patients in a global Phase 2 study of KSI-301 in treatment-naïve wet AMD in the third quarter of 2019. This study, called the DAZZLE study, is intended to evaluate the non-inferiority of intravitreal KSI-301 dosed on an every 12-, 16- or 20-week regimen compared to standard of care aflibercept dosed every 8 weeks. We believe this profile, with all patients on an every 12-week or longer dose regimen, can be meaningfully differentiated from that of other marketed and in-development anti-VEGF biological agents. The FDA indicated that this study, if successful, can be supportive of a marketing application for KSI-301, and we are designing and intend to execute this Phase 2 study as a pivotal study that can form part of a biologics licensing application, or BLA. A primary data readout is anticipated in 2021, or 2022, depending on enrollment rates. Further information about the DAZZLE study can be found at https://clinicaltrials.gov/ct2/show/NCT04049266.</w:t>
      </w:r>
    </w:p>
    <w:p>
      <w:pPr>
        <w:spacing w:after="0" w:line="81" w:lineRule="exact"/>
        <w:rPr>
          <w:sz w:val="20"/>
          <w:szCs w:val="20"/>
          <w:color w:val="auto"/>
        </w:rPr>
      </w:pPr>
    </w:p>
    <w:p>
      <w:pPr>
        <w:ind w:right="520" w:firstLine="518"/>
        <w:spacing w:after="0" w:line="282" w:lineRule="auto"/>
        <w:rPr>
          <w:sz w:val="20"/>
          <w:szCs w:val="20"/>
          <w:color w:val="auto"/>
        </w:rPr>
      </w:pPr>
      <w:r>
        <w:rPr>
          <w:rFonts w:ascii="Times New Roman" w:cs="Times New Roman" w:eastAsia="Times New Roman" w:hAnsi="Times New Roman"/>
          <w:sz w:val="18"/>
          <w:szCs w:val="18"/>
          <w:color w:val="auto"/>
        </w:rPr>
        <w:t>We additionally are exploring the initiation of two Phase 2/3 studies of KSI-301 in treatment-naïve RVO patients with an intention to begin dual registrational studies in 2020 and to achieve primary data readouts as early as year-end 2021 to support an initial BLA.</w:t>
      </w:r>
    </w:p>
    <w:p>
      <w:pPr>
        <w:spacing w:after="0" w:line="54" w:lineRule="exact"/>
        <w:rPr>
          <w:sz w:val="20"/>
          <w:szCs w:val="20"/>
          <w:color w:val="auto"/>
        </w:rPr>
      </w:pPr>
    </w:p>
    <w:p>
      <w:pPr>
        <w:ind w:right="80" w:firstLine="518"/>
        <w:spacing w:after="0" w:line="258" w:lineRule="auto"/>
        <w:rPr>
          <w:sz w:val="20"/>
          <w:szCs w:val="20"/>
          <w:color w:val="auto"/>
        </w:rPr>
      </w:pPr>
      <w:r>
        <w:rPr>
          <w:rFonts w:ascii="Times New Roman" w:cs="Times New Roman" w:eastAsia="Times New Roman" w:hAnsi="Times New Roman"/>
          <w:sz w:val="18"/>
          <w:szCs w:val="18"/>
          <w:color w:val="auto"/>
        </w:rPr>
        <w:t>We additionally plan to initiate Phase 2 clinical studies in China, and we are planning for these studies to have the same clinical design frameworks as our U.S. and EU studies. We held our China pre-investigational new drug, or IND, meeting for KSI-301 with the China Center for Drug Evaluation, or CDE, in the second quarter of 2019. Based on this supportive meeting, we intend to submit one or more INDs for KSI-301 in China in the second half of 2019. The disease indications we explored in our pre-IND meeting included wet AMD, DME, and DR. We plan to run our China studies as dual-use studies which can support regulatory requirements both in China and in the U.S./EU.</w:t>
      </w:r>
    </w:p>
    <w:p>
      <w:pPr>
        <w:spacing w:after="0" w:line="76" w:lineRule="exact"/>
        <w:rPr>
          <w:sz w:val="20"/>
          <w:szCs w:val="20"/>
          <w:color w:val="auto"/>
        </w:rPr>
      </w:pPr>
    </w:p>
    <w:p>
      <w:pPr>
        <w:ind w:right="120" w:firstLine="518"/>
        <w:spacing w:after="0" w:line="256" w:lineRule="auto"/>
        <w:rPr>
          <w:sz w:val="20"/>
          <w:szCs w:val="20"/>
          <w:color w:val="auto"/>
        </w:rPr>
      </w:pPr>
      <w:r>
        <w:rPr>
          <w:rFonts w:ascii="Times New Roman" w:cs="Times New Roman" w:eastAsia="Times New Roman" w:hAnsi="Times New Roman"/>
          <w:sz w:val="18"/>
          <w:szCs w:val="18"/>
          <w:color w:val="auto"/>
        </w:rPr>
        <w:t>Since inception in June 2009, we have devoted substantially all of our resources to discovering and developing product candidates and manufacturing processes, building our ABC Platform and assembling our core capabilities in drug development for ophthalmic disease. We plan to continue to use third-party contract research organizations, or CROs, to carry out our preclinical and clinical development. We rely on third-party contract manufacturing organizations, or CMOs, to manufacture and supply our preclinical and clinical materials to be used during the development of our product candidates. We currently do not need commercial manufacturing capacity. We do not have any products approved for sale and have not generated any product revenue since inception.</w:t>
      </w:r>
    </w:p>
    <w:p>
      <w:pPr>
        <w:spacing w:after="0" w:line="80" w:lineRule="exact"/>
        <w:rPr>
          <w:sz w:val="20"/>
          <w:szCs w:val="20"/>
          <w:color w:val="auto"/>
        </w:rPr>
      </w:pPr>
    </w:p>
    <w:p>
      <w:pPr>
        <w:ind w:right="500" w:firstLine="518"/>
        <w:spacing w:after="0" w:line="282" w:lineRule="auto"/>
        <w:rPr>
          <w:sz w:val="20"/>
          <w:szCs w:val="20"/>
          <w:color w:val="auto"/>
        </w:rPr>
      </w:pPr>
      <w:r>
        <w:rPr>
          <w:rFonts w:ascii="Times New Roman" w:cs="Times New Roman" w:eastAsia="Times New Roman" w:hAnsi="Times New Roman"/>
          <w:sz w:val="18"/>
          <w:szCs w:val="18"/>
          <w:color w:val="auto"/>
        </w:rPr>
        <w:t>We have funded our operations primarily through the sale and issuance of equity securities, convertible notes and warrants. In October 2018, we completed our initial public offering, or IPO.</w:t>
      </w:r>
    </w:p>
    <w:p>
      <w:pPr>
        <w:spacing w:after="0" w:line="54" w:lineRule="exact"/>
        <w:rPr>
          <w:sz w:val="20"/>
          <w:szCs w:val="20"/>
          <w:color w:val="auto"/>
        </w:rPr>
      </w:pPr>
    </w:p>
    <w:p>
      <w:pPr>
        <w:ind w:right="80" w:firstLine="518"/>
        <w:spacing w:after="0" w:line="256" w:lineRule="auto"/>
        <w:rPr>
          <w:sz w:val="20"/>
          <w:szCs w:val="20"/>
          <w:color w:val="auto"/>
        </w:rPr>
      </w:pPr>
      <w:r>
        <w:rPr>
          <w:rFonts w:ascii="Times New Roman" w:cs="Times New Roman" w:eastAsia="Times New Roman" w:hAnsi="Times New Roman"/>
          <w:sz w:val="18"/>
          <w:szCs w:val="18"/>
          <w:color w:val="auto"/>
        </w:rPr>
        <w:t>We have incurred significant operating losses to date and expect that our operating losses will increase significantly as we advance our product candidates, particularly KSI-301, through preclinical and clinical development, seek regulatory approval, prepare for and, if approved, proceed to commercialization; broaden and improve our platform; acquire, discover, validate and develop additional product candidates; obtain, maintain, protect and enforce our intellectual property portfolio; and hire additional personnel. In addition, we expect to incur additional costs associated with operating as a public company. Our net loss was $11.4 million and $19.4 million for the three and six months ended June 30, 2019, respectively. As of June 30, 2019, we had an accumulated deficit of $130.1 million.</w:t>
      </w:r>
    </w:p>
    <w:p>
      <w:pPr>
        <w:spacing w:after="0" w:line="80" w:lineRule="exact"/>
        <w:rPr>
          <w:sz w:val="20"/>
          <w:szCs w:val="20"/>
          <w:color w:val="auto"/>
        </w:rPr>
      </w:pPr>
    </w:p>
    <w:p>
      <w:pPr>
        <w:ind w:right="160" w:firstLine="518"/>
        <w:spacing w:after="0" w:line="256" w:lineRule="auto"/>
        <w:rPr>
          <w:sz w:val="20"/>
          <w:szCs w:val="20"/>
          <w:color w:val="auto"/>
        </w:rPr>
      </w:pPr>
      <w:r>
        <w:rPr>
          <w:rFonts w:ascii="Times New Roman" w:cs="Times New Roman" w:eastAsia="Times New Roman" w:hAnsi="Times New Roman"/>
          <w:sz w:val="18"/>
          <w:szCs w:val="18"/>
          <w:color w:val="auto"/>
        </w:rPr>
        <w:t>Our ability to generate product revenue will depend on the successful development and eventual commercialization of one or more of our product candidates. Until such time as we can generate significant revenue from sales of our product candidates, if ever, we expect to finance our operations through the sale of equity, debt financings or other capital sources, including potential collaborations with other companies or other strategic transactions. Adequate funding may not be available to us on acceptable terms, or at all. If we fail to raise capital or enter into such agreements as, and when, needed, we may have to significantly delay, scale back, or discontinue the development and commercialization of KSI-301 for wet AMD or DME/DR or RVO or delay our efforts to advance and expand our product pipeline.</w:t>
      </w:r>
    </w:p>
    <w:p>
      <w:pPr>
        <w:spacing w:after="0" w:line="80" w:lineRule="exact"/>
        <w:rPr>
          <w:sz w:val="20"/>
          <w:szCs w:val="20"/>
          <w:color w:val="auto"/>
        </w:rPr>
      </w:pPr>
    </w:p>
    <w:p>
      <w:pPr>
        <w:ind w:right="80" w:firstLine="518"/>
        <w:spacing w:after="0" w:line="282" w:lineRule="auto"/>
        <w:rPr>
          <w:sz w:val="20"/>
          <w:szCs w:val="20"/>
          <w:color w:val="auto"/>
        </w:rPr>
      </w:pPr>
      <w:r>
        <w:rPr>
          <w:rFonts w:ascii="Times New Roman" w:cs="Times New Roman" w:eastAsia="Times New Roman" w:hAnsi="Times New Roman"/>
          <w:sz w:val="18"/>
          <w:szCs w:val="18"/>
          <w:color w:val="auto"/>
        </w:rPr>
        <w:t>As of June 30, 2019, we had cash and cash equivalents and marketable securities of $68.1 million. Refer to the going concern evaluation under Note 1 to our unaudited condensed consolidated financial statements included in this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Operating Results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Substantially all of our research and development expenses consist of expenses incurred in connection with the development of our ABC Platform and product candidates. These expenses include certain payroll and personnel expenses, including stock-based compensation, for our research and product development employees; laboratory supplies and facility costs; consulting costs; contract manufacturing and fees paid to CROs to conduct certain research and development activities on our behalf; and allocated overhead,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7" w:name="page18"/>
    <w:bookmarkEnd w:id="17"/>
    <w:p>
      <w:pPr>
        <w:ind w:right="60"/>
        <w:spacing w:after="0" w:line="261" w:lineRule="auto"/>
        <w:rPr>
          <w:sz w:val="20"/>
          <w:szCs w:val="20"/>
          <w:color w:val="auto"/>
        </w:rPr>
      </w:pPr>
      <w:r>
        <w:rPr>
          <w:rFonts w:ascii="Times New Roman" w:cs="Times New Roman" w:eastAsia="Times New Roman" w:hAnsi="Times New Roman"/>
          <w:sz w:val="18"/>
          <w:szCs w:val="18"/>
          <w:color w:val="auto"/>
        </w:rPr>
        <w:t>including rent, equipment, depreciation and utilities. We expense both internal and external research and development expenses as they are incurred. Costs of certain activities, such as manufacturing and preclinical and clinical studies, are generally recognized based on an evaluation of the progress to completion of specific tasks. Nonrefundable payments made prior to the receipt of goods or services that will be used or rendered for future research and development activities are deferred and capitalized. The capitalized amounts are recognized as expense as the goods are delivered or the related services are performed.</w:t>
      </w:r>
    </w:p>
    <w:p>
      <w:pPr>
        <w:spacing w:after="0" w:line="72"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We are focusing substantially all of our resources and development efforts on the development of our product candidates, in particular KSI-301. We expect our research and development expenses to increase substantially during the next few years, as we seek to initiate our Phase 2 studies, complete our clinical programs, pursue regulatory approval of our drug candidates and prepare for a possible commercial launch. Predicting the timing or the final cost to complete our clinical program or validation of our commercial manufacturing and supply processes is difficult and delays may occur because of many factors, including factors outside of our control. For example, if the FDA or other regulatory authorities were to require us to conduct clinical trials beyond those that we currently anticipate, or if we experience significant delays in enrollment in any of our clinical trials or our manufacturing activities, we could be required to expend significant additional financial resources and time on the completion of clinical development and launch-related manufacturing activities. Furthermore, we are unable to predict when or if our drug candidates will receive regulatory approval with any certainty.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jc w:val="both"/>
        <w:ind w:right="100" w:firstLine="518"/>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principally of payroll and personnel expenses, including stock-based compensation; professional fees for legal, consulting, accounting and tax services; allocated overhead, including rent, equipment, depreciation and utilities; and other general operating expenses not otherwise classified as research and development expenses.</w:t>
      </w:r>
    </w:p>
    <w:p>
      <w:pPr>
        <w:spacing w:after="0" w:line="68"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We anticipate that our general and administrative expenses will increase as a result of increased personnel costs, including stock-based compensation, expanded infrastructure and higher consulting, legal and accounting services associated with maintaining compliance with requirements of the stock exchange listing and the SEC, investor relations costs and director and officer insurance premiums associated with being a public company.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Interest income consists of interest income earned on investments for the three and six months ended June 30, 2019 and 2018.</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19" w:lineRule="exact"/>
        <w:rPr>
          <w:sz w:val="20"/>
          <w:szCs w:val="20"/>
          <w:color w:val="auto"/>
        </w:rPr>
      </w:pPr>
    </w:p>
    <w:p>
      <w:pPr>
        <w:ind w:firstLine="518"/>
        <w:spacing w:after="0" w:line="282" w:lineRule="auto"/>
        <w:rPr>
          <w:sz w:val="20"/>
          <w:szCs w:val="20"/>
          <w:color w:val="auto"/>
        </w:rPr>
      </w:pPr>
      <w:r>
        <w:rPr>
          <w:rFonts w:ascii="Times New Roman" w:cs="Times New Roman" w:eastAsia="Times New Roman" w:hAnsi="Times New Roman"/>
          <w:sz w:val="18"/>
          <w:szCs w:val="18"/>
          <w:color w:val="auto"/>
        </w:rPr>
        <w:t>Interest expense consists primarily of interest expense related to our convertible notes, including amortization of debt discount and debt issuance costs, for the three and six months ended June 30, 2018. The convertible notes converted into shares of common stock upon the closing of our IPO.</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119" w:lineRule="exact"/>
        <w:rPr>
          <w:sz w:val="20"/>
          <w:szCs w:val="20"/>
          <w:color w:val="auto"/>
        </w:rPr>
      </w:pPr>
    </w:p>
    <w:p>
      <w:pPr>
        <w:ind w:right="220" w:firstLine="518"/>
        <w:spacing w:after="0" w:line="282" w:lineRule="auto"/>
        <w:rPr>
          <w:sz w:val="20"/>
          <w:szCs w:val="20"/>
          <w:color w:val="auto"/>
        </w:rPr>
      </w:pPr>
      <w:r>
        <w:rPr>
          <w:rFonts w:ascii="Times New Roman" w:cs="Times New Roman" w:eastAsia="Times New Roman" w:hAnsi="Times New Roman"/>
          <w:sz w:val="18"/>
          <w:szCs w:val="18"/>
          <w:color w:val="auto"/>
        </w:rPr>
        <w:t>Other income (expense), net consists of changes in the fair value of preferred stock warrants and derivative instruments for the three and six months ended June 30, 2018. The preferred stock warrants converted into common stock warrants and the derivative liability was extinguished upon our IPO.</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8"/>
        </w:trPr>
        <w:tc>
          <w:tcPr>
            <w:tcW w:w="4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24"/>
        </w:trPr>
        <w:tc>
          <w:tcPr>
            <w:tcW w:w="8140" w:type="dxa"/>
            <w:vAlign w:val="bottom"/>
            <w:gridSpan w:val="13"/>
          </w:tcPr>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results of our operations for the periods indicated, in thousands:</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9"/>
        </w:trPr>
        <w:tc>
          <w:tcPr>
            <w:tcW w:w="4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20" w:type="dxa"/>
            <w:vAlign w:val="bottom"/>
            <w:gridSpan w:val="5"/>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60" w:type="dxa"/>
            <w:vAlign w:val="bottom"/>
            <w:gridSpan w:val="5"/>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4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6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6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3"/>
        </w:trPr>
        <w:tc>
          <w:tcPr>
            <w:tcW w:w="42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5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8,838</w:t>
            </w:r>
          </w:p>
        </w:tc>
        <w:tc>
          <w:tcPr>
            <w:tcW w:w="220" w:type="dxa"/>
            <w:vAlign w:val="bottom"/>
          </w:tcPr>
          <w:p>
            <w:pPr>
              <w:spacing w:after="0"/>
              <w:rPr>
                <w:sz w:val="19"/>
                <w:szCs w:val="19"/>
                <w:color w:val="auto"/>
              </w:rPr>
            </w:pP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3,591</w:t>
            </w:r>
          </w:p>
        </w:tc>
        <w:tc>
          <w:tcPr>
            <w:tcW w:w="1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14,561</w:t>
            </w:r>
          </w:p>
        </w:tc>
        <w:tc>
          <w:tcPr>
            <w:tcW w:w="220" w:type="dxa"/>
            <w:vAlign w:val="bottom"/>
          </w:tcPr>
          <w:p>
            <w:pPr>
              <w:spacing w:after="0"/>
              <w:rPr>
                <w:sz w:val="19"/>
                <w:szCs w:val="19"/>
                <w:color w:val="auto"/>
              </w:rPr>
            </w:pP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7,233</w:t>
            </w:r>
          </w:p>
        </w:tc>
        <w:tc>
          <w:tcPr>
            <w:tcW w:w="22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7,328</w:t>
            </w:r>
          </w:p>
        </w:tc>
        <w:tc>
          <w:tcPr>
            <w:tcW w:w="100" w:type="dxa"/>
            <w:vAlign w:val="bottom"/>
          </w:tcPr>
          <w:p>
            <w:pPr>
              <w:spacing w:after="0"/>
              <w:rPr>
                <w:sz w:val="19"/>
                <w:szCs w:val="19"/>
                <w:color w:val="auto"/>
              </w:rPr>
            </w:pPr>
          </w:p>
        </w:tc>
      </w:tr>
      <w:tr>
        <w:trPr>
          <w:trHeight w:val="230"/>
        </w:trPr>
        <w:tc>
          <w:tcPr>
            <w:tcW w:w="42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2,976</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1,477</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5,713</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3,404</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2,309</w:t>
            </w:r>
          </w:p>
        </w:tc>
        <w:tc>
          <w:tcPr>
            <w:tcW w:w="100" w:type="dxa"/>
            <w:vAlign w:val="bottom"/>
            <w:shd w:val="clear" w:color="auto" w:fill="CFF0FC"/>
          </w:tcPr>
          <w:p>
            <w:pPr>
              <w:spacing w:after="0"/>
              <w:rPr>
                <w:sz w:val="19"/>
                <w:szCs w:val="19"/>
                <w:color w:val="auto"/>
              </w:rPr>
            </w:pPr>
          </w:p>
        </w:tc>
      </w:tr>
      <w:tr>
        <w:trPr>
          <w:trHeight w:val="223"/>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(20,274)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(10,637)</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(9,637)</w:t>
            </w:r>
          </w:p>
        </w:tc>
        <w:tc>
          <w:tcPr>
            <w:tcW w:w="100" w:type="dxa"/>
            <w:vAlign w:val="bottom"/>
          </w:tcPr>
          <w:p>
            <w:pPr>
              <w:spacing w:after="0"/>
              <w:rPr>
                <w:sz w:val="19"/>
                <w:szCs w:val="19"/>
                <w:color w:val="auto"/>
              </w:rPr>
            </w:pPr>
          </w:p>
        </w:tc>
      </w:tr>
      <w:tr>
        <w:trPr>
          <w:trHeight w:val="230"/>
        </w:trPr>
        <w:tc>
          <w:tcPr>
            <w:tcW w:w="4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income</w:t>
            </w:r>
          </w:p>
        </w:tc>
        <w:tc>
          <w:tcPr>
            <w:tcW w:w="5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100" w:type="dxa"/>
            <w:vAlign w:val="bottom"/>
            <w:shd w:val="clear" w:color="auto" w:fill="CFF0FC"/>
          </w:tcPr>
          <w:p>
            <w:pPr>
              <w:spacing w:after="0"/>
              <w:rPr>
                <w:sz w:val="19"/>
                <w:szCs w:val="19"/>
                <w:color w:val="auto"/>
              </w:rPr>
            </w:pPr>
          </w:p>
        </w:tc>
      </w:tr>
      <w:tr>
        <w:trPr>
          <w:trHeight w:val="211"/>
        </w:trPr>
        <w:tc>
          <w:tcPr>
            <w:tcW w:w="4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expense (includes $1,005 and $1,867</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attributable to related parties for the</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three and six months</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ended June 30, 2018, respectively)</w:t>
            </w: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(1,877)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(3,347)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3,341</w:t>
            </w:r>
          </w:p>
        </w:tc>
        <w:tc>
          <w:tcPr>
            <w:tcW w:w="100" w:type="dxa"/>
            <w:vAlign w:val="bottom"/>
          </w:tcPr>
          <w:p>
            <w:pPr>
              <w:spacing w:after="0"/>
              <w:rPr>
                <w:sz w:val="20"/>
                <w:szCs w:val="20"/>
                <w:color w:val="auto"/>
              </w:rPr>
            </w:pPr>
          </w:p>
        </w:tc>
      </w:tr>
      <w:tr>
        <w:trPr>
          <w:trHeight w:val="211"/>
        </w:trPr>
        <w:tc>
          <w:tcPr>
            <w:tcW w:w="4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income (expense), net (includes</w:t>
            </w:r>
          </w:p>
        </w:tc>
        <w:tc>
          <w:tcPr>
            <w:tcW w:w="5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2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$191 and $1,585 other expense attributable</w:t>
            </w:r>
          </w:p>
        </w:tc>
        <w:tc>
          <w:tcPr>
            <w:tcW w:w="5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2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 related parties for the three and six months</w:t>
            </w:r>
          </w:p>
        </w:tc>
        <w:tc>
          <w:tcPr>
            <w:tcW w:w="5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42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ended June 30, 2018, respectively)</w:t>
            </w:r>
          </w:p>
        </w:tc>
        <w:tc>
          <w:tcPr>
            <w:tcW w:w="5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(518)</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(2,469)</w:t>
            </w: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2,469</w:t>
            </w:r>
          </w:p>
        </w:tc>
        <w:tc>
          <w:tcPr>
            <w:tcW w:w="100" w:type="dxa"/>
            <w:vAlign w:val="bottom"/>
            <w:shd w:val="clear" w:color="auto" w:fill="CFF0FC"/>
          </w:tcPr>
          <w:p>
            <w:pPr>
              <w:spacing w:after="0"/>
              <w:rPr>
                <w:sz w:val="20"/>
                <w:szCs w:val="20"/>
                <w:color w:val="auto"/>
              </w:rPr>
            </w:pPr>
          </w:p>
        </w:tc>
      </w:tr>
      <w:tr>
        <w:trPr>
          <w:trHeight w:val="223"/>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5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(11,385</w:t>
            </w: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(19,369</w:t>
            </w: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(16,329</w:t>
            </w: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(3,040)</w:t>
            </w:r>
          </w:p>
        </w:tc>
        <w:tc>
          <w:tcPr>
            <w:tcW w:w="100" w:type="dxa"/>
            <w:vAlign w:val="bottom"/>
          </w:tcPr>
          <w:p>
            <w:pPr>
              <w:spacing w:after="0"/>
              <w:rPr>
                <w:sz w:val="19"/>
                <w:szCs w:val="19"/>
                <w:color w:val="auto"/>
              </w:rPr>
            </w:pPr>
          </w:p>
        </w:tc>
      </w:tr>
      <w:tr>
        <w:trPr>
          <w:trHeight w:val="20"/>
        </w:trPr>
        <w:tc>
          <w:tcPr>
            <w:tcW w:w="4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the periods indicated,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gridSpan w:val="4"/>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7"/>
          </w:tcPr>
          <w:p>
            <w:pPr>
              <w:ind w:left="12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7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6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6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80" w:type="dxa"/>
            <w:vAlign w:val="bottom"/>
          </w:tcPr>
          <w:p>
            <w:pPr>
              <w:spacing w:after="0"/>
              <w:rPr>
                <w:sz w:val="19"/>
                <w:szCs w:val="19"/>
                <w:color w:val="auto"/>
              </w:rPr>
            </w:pPr>
          </w:p>
        </w:tc>
        <w:tc>
          <w:tcPr>
            <w:tcW w:w="7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3"/>
        </w:trPr>
        <w:tc>
          <w:tcPr>
            <w:tcW w:w="47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ABC Platform external expenses </w:t>
            </w:r>
            <w:r>
              <w:rPr>
                <w:rFonts w:ascii="Times New Roman" w:cs="Times New Roman" w:eastAsia="Times New Roman" w:hAnsi="Times New Roman"/>
                <w:sz w:val="15"/>
                <w:szCs w:val="15"/>
                <w:color w:val="auto"/>
              </w:rPr>
              <w:t>(1)</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KSI-301 program external expenses </w:t>
            </w:r>
            <w:r>
              <w:rPr>
                <w:rFonts w:ascii="Times New Roman" w:cs="Times New Roman" w:eastAsia="Times New Roman" w:hAnsi="Times New Roman"/>
                <w:sz w:val="15"/>
                <w:szCs w:val="15"/>
                <w:color w:val="auto"/>
              </w:rPr>
              <w:t>(2)</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2,395</w:t>
            </w:r>
          </w:p>
        </w:tc>
        <w:tc>
          <w:tcPr>
            <w:tcW w:w="100" w:type="dxa"/>
            <w:vAlign w:val="bottom"/>
          </w:tcPr>
          <w:p>
            <w:pPr>
              <w:spacing w:after="0"/>
              <w:rPr>
                <w:sz w:val="19"/>
                <w:szCs w:val="19"/>
                <w:color w:val="auto"/>
              </w:rPr>
            </w:pPr>
          </w:p>
        </w:tc>
      </w:tr>
      <w:tr>
        <w:trPr>
          <w:trHeight w:val="230"/>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KSI-501 program external expenses </w:t>
            </w:r>
            <w:r>
              <w:rPr>
                <w:rFonts w:ascii="Times New Roman" w:cs="Times New Roman" w:eastAsia="Times New Roman" w:hAnsi="Times New Roman"/>
                <w:sz w:val="15"/>
                <w:szCs w:val="15"/>
                <w:color w:val="auto"/>
              </w:rPr>
              <w:t>(3)</w:t>
            </w: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100" w:type="dxa"/>
            <w:vAlign w:val="bottom"/>
            <w:shd w:val="clear" w:color="auto" w:fill="CFF0FC"/>
          </w:tcPr>
          <w:p>
            <w:pPr>
              <w:spacing w:after="0"/>
              <w:rPr>
                <w:sz w:val="19"/>
                <w:szCs w:val="19"/>
                <w:color w:val="auto"/>
              </w:rPr>
            </w:pPr>
          </w:p>
        </w:tc>
      </w:tr>
      <w:tr>
        <w:trPr>
          <w:trHeight w:val="230"/>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Payroll and personnel expenses </w:t>
            </w:r>
            <w:r>
              <w:rPr>
                <w:rFonts w:ascii="Times New Roman" w:cs="Times New Roman" w:eastAsia="Times New Roman" w:hAnsi="Times New Roman"/>
                <w:sz w:val="15"/>
                <w:szCs w:val="15"/>
                <w:color w:val="auto"/>
              </w:rPr>
              <w:t>(4)</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3,106</w:t>
            </w:r>
          </w:p>
        </w:tc>
        <w:tc>
          <w:tcPr>
            <w:tcW w:w="100" w:type="dxa"/>
            <w:vAlign w:val="bottom"/>
          </w:tcPr>
          <w:p>
            <w:pPr>
              <w:spacing w:after="0"/>
              <w:rPr>
                <w:sz w:val="19"/>
                <w:szCs w:val="19"/>
                <w:color w:val="auto"/>
              </w:rPr>
            </w:pPr>
          </w:p>
        </w:tc>
      </w:tr>
      <w:tr>
        <w:trPr>
          <w:trHeight w:val="230"/>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Other research and development expenses </w:t>
            </w:r>
            <w:r>
              <w:rPr>
                <w:rFonts w:ascii="Times New Roman" w:cs="Times New Roman" w:eastAsia="Times New Roman" w:hAnsi="Times New Roman"/>
                <w:sz w:val="15"/>
                <w:szCs w:val="15"/>
                <w:color w:val="auto"/>
              </w:rPr>
              <w:t>(5)</w:t>
            </w:r>
          </w:p>
        </w:tc>
        <w:tc>
          <w:tcPr>
            <w:tcW w:w="1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FF0FC"/>
          </w:tcPr>
          <w:p>
            <w:pPr>
              <w:spacing w:after="0"/>
              <w:rPr>
                <w:sz w:val="19"/>
                <w:szCs w:val="19"/>
                <w:color w:val="auto"/>
              </w:rPr>
            </w:pPr>
          </w:p>
        </w:tc>
      </w:tr>
      <w:tr>
        <w:trPr>
          <w:trHeight w:val="223"/>
        </w:trPr>
        <w:tc>
          <w:tcPr>
            <w:tcW w:w="4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8,838</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3,591</w:t>
            </w:r>
          </w:p>
        </w:tc>
        <w:tc>
          <w:tcPr>
            <w:tcW w:w="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5,247</w:t>
            </w:r>
          </w:p>
        </w:tc>
        <w:tc>
          <w:tcPr>
            <w:tcW w:w="220" w:type="dxa"/>
            <w:vAlign w:val="bottom"/>
          </w:tcPr>
          <w:p>
            <w:pPr>
              <w:spacing w:after="0"/>
              <w:rPr>
                <w:sz w:val="19"/>
                <w:szCs w:val="19"/>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14,561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7,328</w:t>
            </w:r>
          </w:p>
        </w:tc>
        <w:tc>
          <w:tcPr>
            <w:tcW w:w="100" w:type="dxa"/>
            <w:vAlign w:val="bottom"/>
          </w:tcPr>
          <w:p>
            <w:pPr>
              <w:spacing w:after="0"/>
              <w:rPr>
                <w:sz w:val="19"/>
                <w:szCs w:val="19"/>
                <w:color w:val="auto"/>
              </w:rPr>
            </w:pPr>
          </w:p>
        </w:tc>
      </w:tr>
      <w:tr>
        <w:trPr>
          <w:trHeight w:val="20"/>
        </w:trPr>
        <w:tc>
          <w:tcPr>
            <w:tcW w:w="4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3" w:lineRule="exact"/>
        <w:rPr>
          <w:sz w:val="20"/>
          <w:szCs w:val="20"/>
          <w:color w:val="auto"/>
        </w:rPr>
      </w:pPr>
    </w:p>
    <w:p>
      <w:pPr>
        <w:ind w:left="520" w:right="520" w:hanging="512"/>
        <w:spacing w:after="0" w:line="261" w:lineRule="auto"/>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ABC Platform external expenses primarily relates to manufacturing of biopolymer intermediate drug substance which can be used with multiple product candidates. These expenses are primarily for services provided by CMOs and CROs.</w:t>
      </w:r>
    </w:p>
    <w:p>
      <w:pPr>
        <w:ind w:left="520" w:right="100" w:hanging="512"/>
        <w:spacing w:after="0" w:line="250" w:lineRule="auto"/>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KSI-301 program external expenses relates to development of KSI-301, including manufacturing and clinical trial costs. These expenses are primarily for services provided by CMOs and CROs.</w:t>
      </w:r>
    </w:p>
    <w:p>
      <w:pPr>
        <w:ind w:left="520" w:hanging="512"/>
        <w:spacing w:after="0"/>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KSI-501 program external expenses relates to research and development of KSI-501.</w:t>
      </w:r>
    </w:p>
    <w:p>
      <w:pPr>
        <w:spacing w:after="0" w:line="9" w:lineRule="exact"/>
        <w:rPr>
          <w:rFonts w:ascii="Times New Roman" w:cs="Times New Roman" w:eastAsia="Times New Roman" w:hAnsi="Times New Roman"/>
          <w:sz w:val="18"/>
          <w:szCs w:val="18"/>
          <w:color w:val="auto"/>
        </w:rPr>
      </w:pPr>
    </w:p>
    <w:p>
      <w:pPr>
        <w:ind w:left="520" w:right="440" w:hanging="512"/>
        <w:spacing w:after="0" w:line="265" w:lineRule="auto"/>
        <w:tabs>
          <w:tab w:leader="none" w:pos="5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Payroll and personnel expenses includes salaries, benefits and stock-based compensation for our personnel involved in research and development activities. These expenses are separately classified and not allocated to specific programs because these expenses relate to multiple programs.</w:t>
      </w:r>
    </w:p>
    <w:p>
      <w:pPr>
        <w:ind w:left="520" w:hanging="512"/>
        <w:spacing w:after="0"/>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research and development expenses includes direct costs related to research and development activities other than those listed above.</w:t>
      </w:r>
    </w:p>
    <w:p>
      <w:pPr>
        <w:spacing w:after="0" w:line="99" w:lineRule="exact"/>
        <w:rPr>
          <w:sz w:val="20"/>
          <w:szCs w:val="20"/>
          <w:color w:val="auto"/>
        </w:rPr>
      </w:pPr>
    </w:p>
    <w:p>
      <w:pPr>
        <w:ind w:right="620" w:firstLine="518"/>
        <w:spacing w:after="0" w:line="282" w:lineRule="auto"/>
        <w:rPr>
          <w:sz w:val="20"/>
          <w:szCs w:val="20"/>
          <w:color w:val="auto"/>
        </w:rPr>
      </w:pPr>
      <w:r>
        <w:rPr>
          <w:rFonts w:ascii="Times New Roman" w:cs="Times New Roman" w:eastAsia="Times New Roman" w:hAnsi="Times New Roman"/>
          <w:sz w:val="18"/>
          <w:szCs w:val="18"/>
          <w:color w:val="auto"/>
        </w:rPr>
        <w:t>ABC Platform external expenses increased $0.5 million and $0.9 million during the three and six months ended June 30, 2019, respectively, as compared to 2018. The increase was primarily driven by manufacturing runs to support our product candidate pipeline.</w:t>
      </w:r>
    </w:p>
    <w:p>
      <w:pPr>
        <w:spacing w:after="0" w:line="54" w:lineRule="exact"/>
        <w:rPr>
          <w:sz w:val="20"/>
          <w:szCs w:val="20"/>
          <w:color w:val="auto"/>
        </w:rPr>
      </w:pPr>
    </w:p>
    <w:p>
      <w:pPr>
        <w:ind w:right="380" w:firstLine="518"/>
        <w:spacing w:after="0" w:line="282" w:lineRule="auto"/>
        <w:rPr>
          <w:sz w:val="20"/>
          <w:szCs w:val="20"/>
          <w:color w:val="auto"/>
        </w:rPr>
      </w:pPr>
      <w:r>
        <w:rPr>
          <w:rFonts w:ascii="Times New Roman" w:cs="Times New Roman" w:eastAsia="Times New Roman" w:hAnsi="Times New Roman"/>
          <w:sz w:val="18"/>
          <w:szCs w:val="18"/>
          <w:color w:val="auto"/>
        </w:rPr>
        <w:t>KSI-301 program external expenses increased $2.8 million and $2.4 million during the three and six months ended June 30, 2019, respectively, as compared to 2018. The increase was primarily due to clinical trial costs as well as manufacturing runs for KSI-301.</w:t>
      </w:r>
    </w:p>
    <w:p>
      <w:pPr>
        <w:spacing w:after="0" w:line="54" w:lineRule="exact"/>
        <w:rPr>
          <w:sz w:val="20"/>
          <w:szCs w:val="20"/>
          <w:color w:val="auto"/>
        </w:rPr>
      </w:pPr>
    </w:p>
    <w:p>
      <w:pPr>
        <w:ind w:right="100" w:firstLine="518"/>
        <w:spacing w:after="0" w:line="282" w:lineRule="auto"/>
        <w:rPr>
          <w:sz w:val="20"/>
          <w:szCs w:val="20"/>
          <w:color w:val="auto"/>
        </w:rPr>
      </w:pPr>
      <w:r>
        <w:rPr>
          <w:rFonts w:ascii="Times New Roman" w:cs="Times New Roman" w:eastAsia="Times New Roman" w:hAnsi="Times New Roman"/>
          <w:sz w:val="18"/>
          <w:szCs w:val="18"/>
          <w:color w:val="auto"/>
        </w:rPr>
        <w:t>KSI-501 program external expenses increased $0.4 million and $0.8 million during the three and six months ended June 30, 2019, respectively, due to ongoing research and development of KSI-501.</w:t>
      </w:r>
    </w:p>
    <w:p>
      <w:pPr>
        <w:spacing w:after="0" w:line="54" w:lineRule="exact"/>
        <w:rPr>
          <w:sz w:val="20"/>
          <w:szCs w:val="20"/>
          <w:color w:val="auto"/>
        </w:rPr>
      </w:pPr>
    </w:p>
    <w:p>
      <w:pPr>
        <w:ind w:right="720" w:firstLine="518"/>
        <w:spacing w:after="0" w:line="282" w:lineRule="auto"/>
        <w:rPr>
          <w:sz w:val="20"/>
          <w:szCs w:val="20"/>
          <w:color w:val="auto"/>
        </w:rPr>
      </w:pPr>
      <w:r>
        <w:rPr>
          <w:rFonts w:ascii="Times New Roman" w:cs="Times New Roman" w:eastAsia="Times New Roman" w:hAnsi="Times New Roman"/>
          <w:sz w:val="18"/>
          <w:szCs w:val="18"/>
          <w:color w:val="auto"/>
        </w:rPr>
        <w:t>Payroll and personnel expenses increased $1.5 million and $3.1 million during the three and six months ended June 30, 2019, respectively, as compared to 2018. The increase was a result of increased headcount and stock-based compensation expense.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19" w:name="page20"/>
    <w:bookmarkEnd w:id="19"/>
    <w:p>
      <w:pPr>
        <w:jc w:val="both"/>
        <w:ind w:firstLine="518"/>
        <w:spacing w:after="0" w:line="282" w:lineRule="auto"/>
        <w:rPr>
          <w:sz w:val="20"/>
          <w:szCs w:val="20"/>
          <w:color w:val="auto"/>
        </w:rPr>
      </w:pPr>
      <w:r>
        <w:rPr>
          <w:rFonts w:ascii="Times New Roman" w:cs="Times New Roman" w:eastAsia="Times New Roman" w:hAnsi="Times New Roman"/>
          <w:sz w:val="18"/>
          <w:szCs w:val="18"/>
          <w:color w:val="auto"/>
        </w:rPr>
        <w:t>Other research and development expenses remained relatively constant during the three and six months ended June 30, 2019 as compared to 2018. Our other research and development expenses may fluctuate in future periods as we elect to develop other product candidates.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increased $1.5 million during the three months ended June 30, 2019 as compared to 2018. The increase in general and administrative expenses was primarily attributable to increases of $0.3 million in salaries, including stock-based compensation, $0.3 million in insurance fees, and $0.9 million in professional services and costs associated with operating as a public company.</w:t>
      </w:r>
    </w:p>
    <w:p>
      <w:pPr>
        <w:spacing w:after="0" w:line="68" w:lineRule="exact"/>
        <w:rPr>
          <w:sz w:val="20"/>
          <w:szCs w:val="20"/>
          <w:color w:val="auto"/>
        </w:rPr>
      </w:pPr>
    </w:p>
    <w:p>
      <w:pPr>
        <w:jc w:val="both"/>
        <w:ind w:right="80" w:firstLine="518"/>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increased $2.3 million during the six months ended June 30, 2019 as compared to 2018. The increase in general and administrative expenses was primarily attributable to increases of $0.9 million in salaries, including stock-based compensation, $0.5 million in insurance fees, and $0.9 million in professional services and costs associated with operating as a public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 Plan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ind w:right="240" w:firstLine="518"/>
        <w:spacing w:after="0" w:line="282" w:lineRule="auto"/>
        <w:rPr>
          <w:sz w:val="20"/>
          <w:szCs w:val="20"/>
          <w:color w:val="auto"/>
        </w:rPr>
      </w:pPr>
      <w:r>
        <w:rPr>
          <w:rFonts w:ascii="Times New Roman" w:cs="Times New Roman" w:eastAsia="Times New Roman" w:hAnsi="Times New Roman"/>
          <w:sz w:val="18"/>
          <w:szCs w:val="18"/>
          <w:color w:val="auto"/>
        </w:rPr>
        <w:t>We have funded our operations primarily through the sale and issuance of common stock, redeemable convertible preferred stock, convertible notes and warrants. In October 2018, we completed our IPO.</w:t>
      </w:r>
    </w:p>
    <w:p>
      <w:pPr>
        <w:spacing w:after="0" w:line="54" w:lineRule="exact"/>
        <w:rPr>
          <w:sz w:val="20"/>
          <w:szCs w:val="20"/>
          <w:color w:val="auto"/>
        </w:rPr>
      </w:pPr>
    </w:p>
    <w:p>
      <w:pPr>
        <w:ind w:right="240" w:firstLine="518"/>
        <w:spacing w:after="0" w:line="266" w:lineRule="auto"/>
        <w:rPr>
          <w:sz w:val="20"/>
          <w:szCs w:val="20"/>
          <w:color w:val="auto"/>
        </w:rPr>
      </w:pPr>
      <w:r>
        <w:rPr>
          <w:rFonts w:ascii="Times New Roman" w:cs="Times New Roman" w:eastAsia="Times New Roman" w:hAnsi="Times New Roman"/>
          <w:sz w:val="18"/>
          <w:szCs w:val="18"/>
          <w:color w:val="auto"/>
        </w:rPr>
        <w:t>As of June 30, 2019, we had cash and cash equivalents and marketable securities of $68.1 million. Cash in excess of immediate requirements is invested in accordance with our investment policy, primarily with a view to liquidity and capital preservation. As of June 30, 2019, our funds are primarily held in corporate notes, commercial paper and money market accounts.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Funding Requirements</w:t>
      </w:r>
    </w:p>
    <w:p>
      <w:pPr>
        <w:spacing w:after="0" w:line="121" w:lineRule="exact"/>
        <w:rPr>
          <w:sz w:val="20"/>
          <w:szCs w:val="20"/>
          <w:color w:val="auto"/>
        </w:rPr>
      </w:pPr>
    </w:p>
    <w:p>
      <w:pPr>
        <w:ind w:right="20" w:firstLine="518"/>
        <w:spacing w:after="0" w:line="266" w:lineRule="auto"/>
        <w:rPr>
          <w:sz w:val="20"/>
          <w:szCs w:val="20"/>
          <w:color w:val="auto"/>
        </w:rPr>
      </w:pPr>
      <w:r>
        <w:rPr>
          <w:rFonts w:ascii="Times New Roman" w:cs="Times New Roman" w:eastAsia="Times New Roman" w:hAnsi="Times New Roman"/>
          <w:sz w:val="18"/>
          <w:szCs w:val="18"/>
          <w:color w:val="auto"/>
        </w:rPr>
        <w:t>We have incurred net losses since our inception. For the three and six months ended June 30, 2019, we had net loss of $11.4 million and $19.4 million, respectively, and we expect to continue to incur additional losses in future periods. As of June 30, 2019, we had an accumulated deficit of $130.1 million. Refer to the going concern evaluation under Note 1 to our unaudited condensed consolidated financial statements included in this report.</w:t>
      </w:r>
    </w:p>
    <w:p>
      <w:pPr>
        <w:spacing w:after="0" w:line="68" w:lineRule="exact"/>
        <w:rPr>
          <w:sz w:val="20"/>
          <w:szCs w:val="20"/>
          <w:color w:val="auto"/>
        </w:rPr>
      </w:pPr>
    </w:p>
    <w:p>
      <w:pPr>
        <w:ind w:right="100" w:firstLine="518"/>
        <w:spacing w:after="0" w:line="261" w:lineRule="auto"/>
        <w:rPr>
          <w:sz w:val="20"/>
          <w:szCs w:val="20"/>
          <w:color w:val="auto"/>
        </w:rPr>
      </w:pPr>
      <w:r>
        <w:rPr>
          <w:rFonts w:ascii="Times New Roman" w:cs="Times New Roman" w:eastAsia="Times New Roman" w:hAnsi="Times New Roman"/>
          <w:sz w:val="18"/>
          <w:szCs w:val="18"/>
          <w:color w:val="auto"/>
        </w:rPr>
        <w:t>We have based these estimates on assumptions that may prove to be wrong, and we could deplete our available capital resources sooner than we expect. Because of the risks and uncertainties associated with research, development and commercialization of product candidates, we are unable to estimate the exact amount of our working capital requirements. Our future funding requirements will depend on and could increase significantly as a result of many factors.</w:t>
      </w:r>
    </w:p>
    <w:p>
      <w:pPr>
        <w:spacing w:after="0" w:line="72" w:lineRule="exact"/>
        <w:rPr>
          <w:sz w:val="20"/>
          <w:szCs w:val="20"/>
          <w:color w:val="auto"/>
        </w:rPr>
      </w:pPr>
    </w:p>
    <w:p>
      <w:pPr>
        <w:ind w:right="40" w:firstLine="518"/>
        <w:spacing w:after="0" w:line="256" w:lineRule="auto"/>
        <w:rPr>
          <w:sz w:val="20"/>
          <w:szCs w:val="20"/>
          <w:color w:val="auto"/>
        </w:rPr>
      </w:pPr>
      <w:r>
        <w:rPr>
          <w:rFonts w:ascii="Times New Roman" w:cs="Times New Roman" w:eastAsia="Times New Roman" w:hAnsi="Times New Roman"/>
          <w:sz w:val="18"/>
          <w:szCs w:val="18"/>
          <w:color w:val="auto"/>
        </w:rPr>
        <w:t>To date, we have not generated any product revenue. We do not expect to generate any product revenue unless and until we obtain regulatory approval of and commercialize any of our product candidates or enter into collaborative agreements with third parties, and we do not know when, or if, either will occur. We expect to continue to incur significant losses for the foreseeable future, and we expect our losses to increase as we continue the development of, and seek regulatory approvals for, our product candidates, and begin to commercialize any approved products. We are subject to all of the risks typically related to the development of new product candidates, and we may encounter unforeseen expenses, difficulties, complications, delays and other unknown factors that may adversely affect our business. Moreover, we expect to incur additional costs associated with operating as a public company.</w:t>
      </w:r>
    </w:p>
    <w:p>
      <w:pPr>
        <w:spacing w:after="0" w:line="80" w:lineRule="exact"/>
        <w:rPr>
          <w:sz w:val="20"/>
          <w:szCs w:val="20"/>
          <w:color w:val="auto"/>
        </w:rPr>
      </w:pPr>
    </w:p>
    <w:p>
      <w:pPr>
        <w:ind w:right="440" w:firstLine="518"/>
        <w:spacing w:after="0" w:line="282" w:lineRule="auto"/>
        <w:rPr>
          <w:sz w:val="20"/>
          <w:szCs w:val="20"/>
          <w:color w:val="auto"/>
        </w:rPr>
      </w:pPr>
      <w:r>
        <w:rPr>
          <w:rFonts w:ascii="Times New Roman" w:cs="Times New Roman" w:eastAsia="Times New Roman" w:hAnsi="Times New Roman"/>
          <w:sz w:val="18"/>
          <w:szCs w:val="18"/>
          <w:color w:val="auto"/>
        </w:rPr>
        <w:t>We have based our estimates on assumptions that may prove to be wrong, and we could deplete our capital resources sooner than we expect. The timing and amount of our operating expenditures and capital requirements will depend on many factors, including:</w:t>
      </w:r>
    </w:p>
    <w:p>
      <w:pPr>
        <w:spacing w:after="0" w:line="54" w:lineRule="exact"/>
        <w:rPr>
          <w:sz w:val="20"/>
          <w:szCs w:val="20"/>
          <w:color w:val="auto"/>
        </w:rPr>
      </w:pPr>
    </w:p>
    <w:p>
      <w:pPr>
        <w:ind w:left="640" w:right="320" w:hanging="119"/>
        <w:spacing w:after="0" w:line="282" w:lineRule="auto"/>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timing, rate of progress and costs of our drug discovery, preclinical development activities, laboratory testing and clinical trials for our product candidates;</w:t>
      </w:r>
    </w:p>
    <w:p>
      <w:pPr>
        <w:spacing w:after="0" w:line="53"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clinical programs we decide to pursue;</w:t>
      </w:r>
    </w:p>
    <w:p>
      <w:pPr>
        <w:spacing w:after="0" w:line="117"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and costs of manufacturing development and commercial manufacturing activities;</w:t>
      </w:r>
    </w:p>
    <w:p>
      <w:pPr>
        <w:spacing w:after="0" w:line="117"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product candidates and technologies;</w:t>
      </w:r>
    </w:p>
    <w:p>
      <w:pPr>
        <w:spacing w:after="0" w:line="117"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timing and outcome of regulatory review of our product candidates;</w:t>
      </w:r>
    </w:p>
    <w:p>
      <w:pPr>
        <w:spacing w:after="0" w:line="117" w:lineRule="exact"/>
        <w:rPr>
          <w:rFonts w:ascii="Times New Roman" w:cs="Times New Roman" w:eastAsia="Times New Roman" w:hAnsi="Times New Roman"/>
          <w:sz w:val="18"/>
          <w:szCs w:val="18"/>
          <w:color w:val="auto"/>
        </w:rPr>
      </w:pPr>
    </w:p>
    <w:p>
      <w:pPr>
        <w:ind w:left="640" w:hanging="119"/>
        <w:spacing w:after="0" w:line="282" w:lineRule="auto"/>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property-related claims;</w:t>
      </w:r>
    </w:p>
    <w:p>
      <w:pPr>
        <w:spacing w:after="0" w:line="53"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collaborations on favorable terms, if at all;</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20" w:name="page21"/>
    <w:bookmarkEnd w:id="20"/>
    <w:p>
      <w:pPr>
        <w:ind w:left="640" w:right="840" w:hanging="119"/>
        <w:spacing w:after="0" w:line="282" w:lineRule="auto"/>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efforts to enhance operational systems and our ability to attract, hire and retain qualified personnel, including personnel to support the development of our product candidates;</w:t>
      </w:r>
    </w:p>
    <w:p>
      <w:pPr>
        <w:spacing w:after="0" w:line="53"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being a public company; and</w:t>
      </w:r>
    </w:p>
    <w:p>
      <w:pPr>
        <w:spacing w:after="0" w:line="117"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associated with commercializing our product candidates, if they receive marketing approval.</w:t>
      </w:r>
    </w:p>
    <w:p>
      <w:pPr>
        <w:spacing w:after="0" w:line="117"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A change in the outcome of any of these or other variables with respect to the development of any of our product candidates could significantly change the costs and timing associated with the development of that product candidate. Furthermore, our operating plans may change in the future, and we will continue to require additional capital to meet operational needs and capital requirements associated with such operating plans. If we raise additional funds by issuing equity securities, our stockholders may experience dilution. Any future debt financing into which we enter may impose upon us additional covenants that restrict our operations, including limitations on our ability to incur liens or additional debt, pay dividends, repurchase our common stock, make certain investments and engage in certain merger, consolidation or asset sale transactions. Any debt financing or additional equity that we raise may contain terms that are not favorable to us or our stockholders. If we are unable to raise additional funds when needed, we may be required to delay, reduce, or terminate some or all of our development programs and clinical trials. We may also be required to sell or license rights to our product candidates in certain territories or indications to others that we would prefer to develop and commercialize ourselves.</w:t>
      </w:r>
    </w:p>
    <w:p>
      <w:pPr>
        <w:spacing w:after="0" w:line="81" w:lineRule="exact"/>
        <w:rPr>
          <w:sz w:val="20"/>
          <w:szCs w:val="20"/>
          <w:color w:val="auto"/>
        </w:rPr>
      </w:pPr>
    </w:p>
    <w:p>
      <w:pPr>
        <w:jc w:val="both"/>
        <w:ind w:right="400" w:firstLine="518"/>
        <w:spacing w:after="0" w:line="266" w:lineRule="auto"/>
        <w:rPr>
          <w:sz w:val="20"/>
          <w:szCs w:val="20"/>
          <w:color w:val="auto"/>
        </w:rPr>
      </w:pPr>
      <w:r>
        <w:rPr>
          <w:rFonts w:ascii="Times New Roman" w:cs="Times New Roman" w:eastAsia="Times New Roman" w:hAnsi="Times New Roman"/>
          <w:sz w:val="18"/>
          <w:szCs w:val="18"/>
          <w:color w:val="auto"/>
        </w:rPr>
        <w:t>Adequate additional funding may not be available to us on acceptable terms or at all. Our failure to raise capital as and when needed could have a negative impact on our financial condition and our ability to pursue our business strategies. See the section of this report titled “Part II, Item 1A — Risk Factors” for additional risks associated with our substantial capital requirements.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Statement of Cash Flows</w:t>
      </w:r>
    </w:p>
    <w:p>
      <w:pPr>
        <w:spacing w:after="0" w:line="121" w:lineRule="exact"/>
        <w:rPr>
          <w:sz w:val="20"/>
          <w:szCs w:val="20"/>
          <w:color w:val="auto"/>
        </w:rPr>
      </w:pPr>
    </w:p>
    <w:p>
      <w:pPr>
        <w:jc w:val="both"/>
        <w:ind w:right="260" w:firstLine="51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primary sources and uses of cash and cash equivalents and marketable securities for each of the periods presented below, in thousands:</w:t>
      </w:r>
    </w:p>
    <w:p>
      <w:pPr>
        <w:spacing w:after="0" w:line="77"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00" w:type="dxa"/>
            <w:vAlign w:val="bottom"/>
            <w:gridSpan w:val="6"/>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59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5980" w:type="dxa"/>
            <w:vAlign w:val="bottom"/>
            <w:tcBorders>
              <w:bottom w:val="single" w:sz="8" w:color="CFF0FC"/>
            </w:tcBorders>
          </w:tcPr>
          <w:p>
            <w:pPr>
              <w:spacing w:after="0"/>
              <w:rPr>
                <w:sz w:val="19"/>
                <w:szCs w:val="19"/>
                <w:color w:val="auto"/>
              </w:rPr>
            </w:pPr>
          </w:p>
        </w:tc>
        <w:tc>
          <w:tcPr>
            <w:tcW w:w="1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Borders>
              <w:bottom w:val="single" w:sz="8" w:color="CFF0FC"/>
            </w:tcBorders>
          </w:tcPr>
          <w:p>
            <w:pPr>
              <w:spacing w:after="0"/>
              <w:rPr>
                <w:sz w:val="19"/>
                <w:szCs w:val="19"/>
                <w:color w:val="auto"/>
              </w:rPr>
            </w:pPr>
          </w:p>
        </w:tc>
      </w:tr>
      <w:tr>
        <w:trPr>
          <w:trHeight w:val="223"/>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provided by:</w:t>
            </w:r>
          </w:p>
        </w:tc>
        <w:tc>
          <w:tcPr>
            <w:tcW w:w="1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140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(20,157)</w:t>
            </w:r>
          </w:p>
        </w:tc>
        <w:tc>
          <w:tcPr>
            <w:tcW w:w="4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(15,707)</w:t>
            </w:r>
          </w:p>
        </w:tc>
      </w:tr>
      <w:tr>
        <w:trPr>
          <w:trHeight w:val="230"/>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1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(23,192)</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(38)</w:t>
            </w:r>
          </w:p>
        </w:tc>
      </w:tr>
      <w:tr>
        <w:trPr>
          <w:trHeight w:val="230"/>
        </w:trPr>
        <w:tc>
          <w:tcPr>
            <w:tcW w:w="59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1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31,991</w:t>
            </w:r>
          </w:p>
        </w:tc>
        <w:tc>
          <w:tcPr>
            <w:tcW w:w="120" w:type="dxa"/>
            <w:vAlign w:val="bottom"/>
            <w:tcBorders>
              <w:bottom w:val="single" w:sz="8" w:color="CFF0FC"/>
            </w:tcBorders>
          </w:tcPr>
          <w:p>
            <w:pPr>
              <w:spacing w:after="0"/>
              <w:rPr>
                <w:sz w:val="19"/>
                <w:szCs w:val="19"/>
                <w:color w:val="auto"/>
              </w:rPr>
            </w:pPr>
          </w:p>
        </w:tc>
      </w:tr>
      <w:tr>
        <w:trPr>
          <w:trHeight w:val="223"/>
        </w:trPr>
        <w:tc>
          <w:tcPr>
            <w:tcW w:w="5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11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(43,287)</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16,246</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p>
      <w:pPr>
        <w:spacing w:after="0" w:line="121" w:lineRule="exact"/>
        <w:rPr>
          <w:sz w:val="20"/>
          <w:szCs w:val="20"/>
          <w:color w:val="auto"/>
        </w:rPr>
      </w:pPr>
    </w:p>
    <w:p>
      <w:pPr>
        <w:ind w:right="60" w:firstLine="518"/>
        <w:spacing w:after="0" w:line="282" w:lineRule="auto"/>
        <w:rPr>
          <w:sz w:val="20"/>
          <w:szCs w:val="20"/>
          <w:color w:val="auto"/>
        </w:rPr>
      </w:pPr>
      <w:r>
        <w:rPr>
          <w:rFonts w:ascii="Times New Roman" w:cs="Times New Roman" w:eastAsia="Times New Roman" w:hAnsi="Times New Roman"/>
          <w:sz w:val="18"/>
          <w:szCs w:val="18"/>
          <w:color w:val="auto"/>
        </w:rPr>
        <w:t>The $4.5 million increase in cash used in operating activities for the six months ended June 30, 2019 as compared to 2018 was primarily driven by the change in other assets due to long-term advance payments for clinical trials.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p>
      <w:pPr>
        <w:spacing w:after="0" w:line="121" w:lineRule="exact"/>
        <w:rPr>
          <w:sz w:val="20"/>
          <w:szCs w:val="20"/>
          <w:color w:val="auto"/>
        </w:rPr>
      </w:pPr>
    </w:p>
    <w:p>
      <w:pPr>
        <w:ind w:right="440" w:firstLine="518"/>
        <w:spacing w:after="0" w:line="282" w:lineRule="auto"/>
        <w:rPr>
          <w:sz w:val="20"/>
          <w:szCs w:val="20"/>
          <w:color w:val="auto"/>
        </w:rPr>
      </w:pPr>
      <w:r>
        <w:rPr>
          <w:rFonts w:ascii="Times New Roman" w:cs="Times New Roman" w:eastAsia="Times New Roman" w:hAnsi="Times New Roman"/>
          <w:sz w:val="18"/>
          <w:szCs w:val="18"/>
          <w:color w:val="auto"/>
        </w:rPr>
        <w:t>The $23.2 million increase in cash used in investing activities for the six months ended June 30, 2019 as compared to 2018 was driven by the net purchase of marketable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p>
      <w:pPr>
        <w:spacing w:after="0" w:line="121" w:lineRule="exact"/>
        <w:rPr>
          <w:sz w:val="20"/>
          <w:szCs w:val="20"/>
          <w:color w:val="auto"/>
        </w:rPr>
      </w:pPr>
    </w:p>
    <w:p>
      <w:pPr>
        <w:ind w:right="540" w:firstLine="518"/>
        <w:spacing w:after="0" w:line="282" w:lineRule="auto"/>
        <w:rPr>
          <w:sz w:val="20"/>
          <w:szCs w:val="20"/>
          <w:color w:val="auto"/>
        </w:rPr>
      </w:pPr>
      <w:r>
        <w:rPr>
          <w:rFonts w:ascii="Times New Roman" w:cs="Times New Roman" w:eastAsia="Times New Roman" w:hAnsi="Times New Roman"/>
          <w:sz w:val="18"/>
          <w:szCs w:val="18"/>
          <w:color w:val="auto"/>
        </w:rPr>
        <w:t>The $31.9 million decrease in cash provided by financing activities for the six months ended June 30, 2019 as compared to 2018 was due to the issuance of convertible debt in February 2018 offset by an increase in cash used for deferred offering costs related to our IPO.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21" w:lineRule="exact"/>
        <w:rPr>
          <w:sz w:val="20"/>
          <w:szCs w:val="20"/>
          <w:color w:val="auto"/>
        </w:rPr>
      </w:pPr>
    </w:p>
    <w:p>
      <w:pPr>
        <w:jc w:val="both"/>
        <w:ind w:right="280" w:firstLine="518"/>
        <w:spacing w:after="0" w:line="266" w:lineRule="auto"/>
        <w:rPr>
          <w:sz w:val="20"/>
          <w:szCs w:val="20"/>
          <w:color w:val="auto"/>
        </w:rPr>
      </w:pPr>
      <w:r>
        <w:rPr>
          <w:rFonts w:ascii="Times New Roman" w:cs="Times New Roman" w:eastAsia="Times New Roman" w:hAnsi="Times New Roman"/>
          <w:sz w:val="18"/>
          <w:szCs w:val="18"/>
          <w:color w:val="auto"/>
        </w:rPr>
        <w:t>The disclosure of our contractual obligations and commitments is set forth under the heading “Management’s Discussion and Analysis of Financial Condition and Results of Operations — Contractual Obligations” in our Annual Report on Form 10-K for the year ended December 31, 2018. There have been no material changes in our contractual obligations and commitments since December 31, 2018.</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Significant Judgments and Use of Estimates</w:t>
      </w:r>
    </w:p>
    <w:p>
      <w:pPr>
        <w:spacing w:after="0" w:line="121"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Our consolidated financial statements have been prepared in accordance with U.S. generally accepted accounting principles, or GAAP. The preparation of these consolidated financial statements requires us to make estimates and assumptions that affect the reported amounts of assets and liabilities, the disclosure of contingent assets and liabilities at the date of the consolidated financial statements, as well as the reported expenses incurred during the reporting periods. Our estimates are based on our historical experience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21" w:name="page22"/>
    <w:bookmarkEnd w:id="21"/>
    <w:p>
      <w:pPr>
        <w:ind w:right="280"/>
        <w:spacing w:after="0" w:line="261" w:lineRule="auto"/>
        <w:rPr>
          <w:sz w:val="20"/>
          <w:szCs w:val="20"/>
          <w:color w:val="auto"/>
        </w:rPr>
      </w:pPr>
      <w:r>
        <w:rPr>
          <w:rFonts w:ascii="Times New Roman" w:cs="Times New Roman" w:eastAsia="Times New Roman" w:hAnsi="Times New Roman"/>
          <w:sz w:val="18"/>
          <w:szCs w:val="18"/>
          <w:color w:val="auto"/>
        </w:rPr>
        <w:t>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We believe that the accounting policies discussed below are critical to understanding our historical and future performance, as these policies relate to the more significant areas involving management’s judgments and estimates.</w:t>
      </w:r>
    </w:p>
    <w:p>
      <w:pPr>
        <w:spacing w:after="0" w:line="72" w:lineRule="exact"/>
        <w:rPr>
          <w:sz w:val="20"/>
          <w:szCs w:val="20"/>
          <w:color w:val="auto"/>
        </w:rPr>
      </w:pPr>
    </w:p>
    <w:p>
      <w:pPr>
        <w:ind w:right="180" w:firstLine="518"/>
        <w:spacing w:after="0" w:line="266" w:lineRule="auto"/>
        <w:rPr>
          <w:sz w:val="20"/>
          <w:szCs w:val="20"/>
          <w:color w:val="auto"/>
        </w:rPr>
      </w:pPr>
      <w:r>
        <w:rPr>
          <w:rFonts w:ascii="Times New Roman" w:cs="Times New Roman" w:eastAsia="Times New Roman" w:hAnsi="Times New Roman"/>
          <w:sz w:val="18"/>
          <w:szCs w:val="18"/>
          <w:color w:val="auto"/>
        </w:rPr>
        <w:t>During the three and six months ended June 30, 2019, there were no material changes to our critical accounting policies as reported in our Annual Report on Form 10-K for the year ended December 31, 2018, which was filed with the SEC on March 27, 2019, except as otherwise described in Note 2 to our unaudited condensed consolidated financial statements included in this report.</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believe that of our critical accounting policies, the following accounting policies involve the most judgment and complexity:</w:t>
      </w:r>
    </w:p>
    <w:p>
      <w:pPr>
        <w:spacing w:after="0" w:line="117" w:lineRule="exact"/>
        <w:rPr>
          <w:sz w:val="20"/>
          <w:szCs w:val="20"/>
          <w:color w:val="auto"/>
        </w:rPr>
      </w:pPr>
    </w:p>
    <w:p>
      <w:pPr>
        <w:ind w:left="640" w:hanging="119"/>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research and development;</w:t>
      </w:r>
    </w:p>
    <w:p>
      <w:pPr>
        <w:spacing w:after="0" w:line="117"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 expense; and</w:t>
      </w:r>
    </w:p>
    <w:p>
      <w:pPr>
        <w:spacing w:after="0" w:line="117"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Since our inception, we have not engaged in any off-balance sheet arrangements, as defined in the rules and regulations of the SEC.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JOBS Act Accounting Election</w:t>
      </w:r>
    </w:p>
    <w:p>
      <w:pPr>
        <w:spacing w:after="0" w:line="121"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The JOBS Act permits an “emerging growth company” such as us to take advantage of an extended transition period to comply with new or revised accounting standards applicable to public companies until such pronouncements are made applicable to private companies, unless we otherwise irrevocably elect not to avail ourselves of this exemption. However, we have chosen to irrevocably “opt out” of such extended transition period, and as a result, we will comply with new or revised accounting standards on the relevant dates on which adoption of such standards is required for non-emerging growth companies. Section 107 of the JOBS Act provides that our decision to not take advantage of the extended transition period for complying with new or revised accounting standards is irrevocable.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140" w:firstLine="518"/>
        <w:spacing w:after="0" w:line="282"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and results of operations is discussed under Note 2 to our unaudited condensed consolidated financial statements included in this report.</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445"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140" w:firstLine="518"/>
        <w:spacing w:after="0" w:line="258"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primarily related to interest rate and foreign currency sensitivities. Our investment portfolio is used to preserve capital until it is required to fund operations, including research and development activities, and consists of money market funds, commercial paper, and corporate notes which would be affected by changes in the general level of U.S. interest rates. Due to the short-term maturities and low-risk profile of our investment portfolio, an immediate 100 basis point change in interest rates would not have a material effect on the fair value of our investments.</w:t>
      </w:r>
    </w:p>
    <w:p>
      <w:pPr>
        <w:spacing w:after="0" w:line="76" w:lineRule="exact"/>
        <w:rPr>
          <w:sz w:val="20"/>
          <w:szCs w:val="20"/>
          <w:color w:val="auto"/>
        </w:rPr>
      </w:pPr>
    </w:p>
    <w:p>
      <w:pPr>
        <w:ind w:right="220" w:firstLine="518"/>
        <w:spacing w:after="0" w:line="282" w:lineRule="auto"/>
        <w:rPr>
          <w:sz w:val="20"/>
          <w:szCs w:val="20"/>
          <w:color w:val="auto"/>
        </w:rPr>
      </w:pPr>
      <w:r>
        <w:rPr>
          <w:rFonts w:ascii="Times New Roman" w:cs="Times New Roman" w:eastAsia="Times New Roman" w:hAnsi="Times New Roman"/>
          <w:sz w:val="18"/>
          <w:szCs w:val="18"/>
          <w:color w:val="auto"/>
        </w:rPr>
        <w:t>We do not believe that inflation and fluctuations in interest rates and foreign exchange rates had a significant impact on our results of operations for any period presented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Management’s Evaluation of our Disclosure Controls and Procedures</w:t>
      </w:r>
    </w:p>
    <w:p>
      <w:pPr>
        <w:spacing w:after="0" w:line="119" w:lineRule="exact"/>
        <w:rPr>
          <w:sz w:val="20"/>
          <w:szCs w:val="20"/>
          <w:color w:val="auto"/>
        </w:rPr>
      </w:pPr>
    </w:p>
    <w:p>
      <w:pPr>
        <w:ind w:right="80" w:firstLine="518"/>
        <w:spacing w:after="0" w:line="255"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Exchange Act,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and principal financial officers, or persons performing similar functions,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disclosure controls and procedures are designed to provide reasonable assurance of achieving their control objectives.</w:t>
      </w:r>
    </w:p>
    <w:p>
      <w:pPr>
        <w:spacing w:after="0" w:line="81" w:lineRule="exact"/>
        <w:rPr>
          <w:sz w:val="20"/>
          <w:szCs w:val="20"/>
          <w:color w:val="auto"/>
        </w:rPr>
      </w:pPr>
    </w:p>
    <w:p>
      <w:pPr>
        <w:ind w:right="100" w:firstLine="518"/>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evaluated the effectiveness of our disclosure controls and procedures at the end of the period covered by this report. Based upon such evaluation, our principal executive officer and principal financial officer have concluded that our disclosure controls and procedures were effective at the reasonable assurance level as of such date.</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19"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2019, we implemented certain internal controls as a result of our adoption of the new lease standards on January 1, 2019. There were no other changes in our internal control over financial reporting that occurred during the period covered by this report that have materially affected, or are reasonably likely to materially affect, our internal control over financial reporting.</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3" w:right="279" w:bottom="1440" w:gutter="0" w:footer="0" w:header="0"/>
        </w:sectPr>
      </w:pPr>
    </w:p>
    <w:bookmarkStart w:id="23" w:name="page24"/>
    <w:bookmarkEnd w:id="2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140" w:firstLine="518"/>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litigation relating to claims arising from the ordinary course of business. As of the date of this report, there are no claims or actions pending against us, the ultimate disposition of which could have a material adverse effect on our results of operations or financial condition.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60" w:firstLine="518"/>
        <w:spacing w:after="0" w:line="256" w:lineRule="auto"/>
        <w:rPr>
          <w:sz w:val="20"/>
          <w:szCs w:val="20"/>
          <w:color w:val="auto"/>
        </w:rPr>
      </w:pPr>
      <w:r>
        <w:rPr>
          <w:rFonts w:ascii="Times New Roman" w:cs="Times New Roman" w:eastAsia="Times New Roman" w:hAnsi="Times New Roman"/>
          <w:sz w:val="18"/>
          <w:szCs w:val="18"/>
          <w:color w:val="auto"/>
        </w:rPr>
        <w:t>You should consider carefully the following risk factors, together with all the other information in this report, including the section of this report titled “Part I, Item 2 — Management’s Discussion and Analysis of Financial Condition and Results of Operations” and our unaudited condensed financial statements and notes thereto. The occurrence of any events described in the following risk factors and the risks described elsewhere in this report could harm our business, operating results, financial condition, and/or growth prospects or cause our actual results to differ materially from those contained in forward-looking statements that we have made in this report and those we may make from time to time. You should consider all of the risk factors described when evaluating our business.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Financial Condition and Capital Requirements</w:t>
      </w:r>
    </w:p>
    <w:p>
      <w:pPr>
        <w:spacing w:after="0" w:line="117"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in the early clinical stage of drug development and have a very limited operating history and no products approved for commercial sale, which may make it difficult to evaluate our current business and predict our future success and viability.</w:t>
      </w:r>
    </w:p>
    <w:p>
      <w:pPr>
        <w:spacing w:after="0" w:line="51"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We are a clinical-stage biopharmaceutical company specializing in novel therapeutics to treat chronic, high-prevalence retinal diseases. We commenced operations in June 2009, have no products approved for commercial sale and have not generated any revenue. Drug development is a highly uncertain undertaking and involves a substantial degree of risk. We completed the Phase 1a single ascending dose clinical trial for our most advanced product candidate, KSI-301, in November 2018, and we continue enrolling patients into the Phase 1b multiple dose clinical trial for KSI-301. We have not initiated clinical trials for any of our other product candidates. To date, we have not completed a pivotal clinical trial, obtained marketing approval for any product candidates, manufactured a commercial scale product or arranged for a third party to do so on our behalf, or conducted sales and marketing activities necessary for successful product commercialization. Our limited operating history as a company and early stage of drug development make any assessment of our future success and viability subject to significant uncertainty. We will encounter risks and difficulties frequently experienced by early-stage biopharmaceutical companies in rapidly evolving fields, and we have not yet demonstrated an ability to successfully overcome such risks and difficulties. If we do not address these risks and difficulties successfully, our business will suffer.</w:t>
      </w:r>
    </w:p>
    <w:p>
      <w:pPr>
        <w:spacing w:after="0" w:line="182"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net losses in each period since our inception and anticipate that we will continue to incur significant and increasing net losses for the foreseeable future.</w:t>
      </w:r>
    </w:p>
    <w:p>
      <w:pPr>
        <w:spacing w:after="0" w:line="51" w:lineRule="exact"/>
        <w:rPr>
          <w:sz w:val="20"/>
          <w:szCs w:val="20"/>
          <w:color w:val="auto"/>
        </w:rPr>
      </w:pPr>
    </w:p>
    <w:p>
      <w:pPr>
        <w:ind w:right="320" w:firstLine="518"/>
        <w:spacing w:after="0" w:line="282" w:lineRule="auto"/>
        <w:rPr>
          <w:sz w:val="20"/>
          <w:szCs w:val="20"/>
          <w:color w:val="auto"/>
        </w:rPr>
      </w:pPr>
      <w:r>
        <w:rPr>
          <w:rFonts w:ascii="Times New Roman" w:cs="Times New Roman" w:eastAsia="Times New Roman" w:hAnsi="Times New Roman"/>
          <w:sz w:val="18"/>
          <w:szCs w:val="18"/>
          <w:color w:val="auto"/>
        </w:rPr>
        <w:t>We have incurred net losses in each reporting period since our inception, including net loss of $11.4 million and $19.4 million for the three and six months ended June 30, 2019, respectively. As of June 30, 2019, we had an accumulated deficit of $130.1 million.</w:t>
      </w:r>
    </w:p>
    <w:p>
      <w:pPr>
        <w:spacing w:after="0" w:line="54"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We have invested significant financial resources in research and development activities, including for our product candidates and our ABC Platform. We do not expect to generate revenue from product sales for several years, if at all. The amount of our future net losses will depend, in part, on the level of our future expenditures and our ability to generate revenue. Moreover, our net losses may fluctuate significantly from quarter to quarter and year to year, such that a period-to-period comparison of our results of operations may not be a good indication of our future performance.</w:t>
      </w:r>
    </w:p>
    <w:p>
      <w:pPr>
        <w:spacing w:after="0" w:line="72" w:lineRule="exact"/>
        <w:rPr>
          <w:sz w:val="20"/>
          <w:szCs w:val="20"/>
          <w:color w:val="auto"/>
        </w:rPr>
      </w:pPr>
    </w:p>
    <w:p>
      <w:pPr>
        <w:ind w:right="400" w:firstLine="518"/>
        <w:spacing w:after="0" w:line="282" w:lineRule="auto"/>
        <w:rPr>
          <w:sz w:val="20"/>
          <w:szCs w:val="20"/>
          <w:color w:val="auto"/>
        </w:rPr>
      </w:pPr>
      <w:r>
        <w:rPr>
          <w:rFonts w:ascii="Times New Roman" w:cs="Times New Roman" w:eastAsia="Times New Roman" w:hAnsi="Times New Roman"/>
          <w:sz w:val="18"/>
          <w:szCs w:val="18"/>
          <w:color w:val="auto"/>
        </w:rPr>
        <w:t>We expect to continue to incur significant and increasingly higher expenses and operating losses for the foreseeable future. We anticipate that our expenses will increase substantially if and as we:</w:t>
      </w:r>
    </w:p>
    <w:p>
      <w:pPr>
        <w:spacing w:after="0" w:line="54" w:lineRule="exact"/>
        <w:rPr>
          <w:sz w:val="20"/>
          <w:szCs w:val="20"/>
          <w:color w:val="auto"/>
        </w:rPr>
      </w:pPr>
    </w:p>
    <w:p>
      <w:pPr>
        <w:ind w:left="640" w:hanging="119"/>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progress our current and any future product candidates through preclinical and clinical development;</w:t>
      </w:r>
    </w:p>
    <w:p>
      <w:pPr>
        <w:spacing w:after="0" w:line="117" w:lineRule="exact"/>
        <w:rPr>
          <w:rFonts w:ascii="Times New Roman" w:cs="Times New Roman" w:eastAsia="Times New Roman" w:hAnsi="Times New Roman"/>
          <w:sz w:val="18"/>
          <w:szCs w:val="18"/>
          <w:color w:val="auto"/>
        </w:rPr>
      </w:pPr>
    </w:p>
    <w:p>
      <w:pPr>
        <w:ind w:left="640" w:right="300" w:hanging="119"/>
        <w:spacing w:after="0" w:line="282" w:lineRule="auto"/>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with our contract manufacturers to scale up the manufacturing processes for our product candidates or, in the future, establish and operate a manufacturing facility;</w:t>
      </w:r>
    </w:p>
    <w:p>
      <w:pPr>
        <w:spacing w:after="0" w:line="53"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research and discovery activities;</w:t>
      </w:r>
    </w:p>
    <w:p>
      <w:pPr>
        <w:spacing w:after="0" w:line="117"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the development of our ABC Platform;</w:t>
      </w:r>
    </w:p>
    <w:p>
      <w:pPr>
        <w:spacing w:after="0" w:line="117"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conduct additional preclinical, clinical or other studies for our product candidates;</w:t>
      </w:r>
    </w:p>
    <w:p>
      <w:pPr>
        <w:spacing w:after="0" w:line="117"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or add additional contract manufacturers or suppliers;</w:t>
      </w:r>
    </w:p>
    <w:p>
      <w:pPr>
        <w:spacing w:after="0" w:line="117"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and marketing authorizations for our product candidates;</w:t>
      </w:r>
    </w:p>
    <w:p>
      <w:pPr>
        <w:spacing w:after="0" w:line="117"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sales, marketing and distribution infrastructure to commercialize any products for which we obtain approval;</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sectPr>
      </w:pPr>
    </w:p>
    <w:bookmarkStart w:id="24" w:name="page25"/>
    <w:bookmarkEnd w:id="24"/>
    <w:p>
      <w:pPr>
        <w:ind w:left="640" w:hanging="119"/>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product candidates, intellectual property and technologies;</w:t>
      </w:r>
    </w:p>
    <w:p>
      <w:pPr>
        <w:spacing w:after="0" w:line="117"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milestone, royalty or other payments due under any current or future collaboration or license agreements;</w:t>
      </w:r>
    </w:p>
    <w:p>
      <w:pPr>
        <w:spacing w:after="0" w:line="117"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maintain, expand, protect and enforce our intellectual property portfolio;</w:t>
      </w:r>
    </w:p>
    <w:p>
      <w:pPr>
        <w:spacing w:after="0" w:line="117"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hire and retain qualified personnel;</w:t>
      </w:r>
    </w:p>
    <w:p>
      <w:pPr>
        <w:spacing w:after="0" w:line="117"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any delays or encounter other issues related to our operations;</w:t>
      </w:r>
    </w:p>
    <w:p>
      <w:pPr>
        <w:spacing w:after="0" w:line="117"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 the requirements and demands of being a public company; and</w:t>
      </w:r>
    </w:p>
    <w:p>
      <w:pPr>
        <w:spacing w:after="0" w:line="117"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defend against any product liability claims or other lawsuits related to our products.</w:t>
      </w:r>
    </w:p>
    <w:p>
      <w:pPr>
        <w:spacing w:after="0" w:line="117" w:lineRule="exact"/>
        <w:rPr>
          <w:sz w:val="20"/>
          <w:szCs w:val="20"/>
          <w:color w:val="auto"/>
        </w:rPr>
      </w:pPr>
    </w:p>
    <w:p>
      <w:pPr>
        <w:ind w:right="120" w:firstLine="518"/>
        <w:spacing w:after="0" w:line="266" w:lineRule="auto"/>
        <w:rPr>
          <w:sz w:val="20"/>
          <w:szCs w:val="20"/>
          <w:color w:val="auto"/>
        </w:rPr>
      </w:pPr>
      <w:r>
        <w:rPr>
          <w:rFonts w:ascii="Times New Roman" w:cs="Times New Roman" w:eastAsia="Times New Roman" w:hAnsi="Times New Roman"/>
          <w:sz w:val="18"/>
          <w:szCs w:val="18"/>
          <w:color w:val="auto"/>
        </w:rPr>
        <w:t>Our prior losses and expected future losses have had and will continue to have an adverse effect on our stockholders’ equity and working capital. In any particular quarter or quarters, our operating results could be below the expectations of securities analysts or investors, which could cause our stock price to decline.</w:t>
      </w:r>
    </w:p>
    <w:p>
      <w:pPr>
        <w:spacing w:after="0" w:line="68" w:lineRule="exact"/>
        <w:rPr>
          <w:sz w:val="20"/>
          <w:szCs w:val="20"/>
          <w:color w:val="auto"/>
        </w:rPr>
      </w:pPr>
    </w:p>
    <w:p>
      <w:pPr>
        <w:ind w:right="40" w:firstLine="518"/>
        <w:spacing w:after="0" w:line="282" w:lineRule="auto"/>
        <w:rPr>
          <w:sz w:val="20"/>
          <w:szCs w:val="20"/>
          <w:color w:val="auto"/>
        </w:rPr>
      </w:pPr>
      <w:r>
        <w:rPr>
          <w:rFonts w:ascii="Times New Roman" w:cs="Times New Roman" w:eastAsia="Times New Roman" w:hAnsi="Times New Roman"/>
          <w:sz w:val="18"/>
          <w:szCs w:val="18"/>
          <w:color w:val="auto"/>
        </w:rPr>
        <w:t>As of June 30, 2019, we had cash and cash equivalents and marketable securities of $68.1 million. Refer to the going concern evaluation under Note 1 to our unaudited condensed consolidated financial statements included in this report.</w:t>
      </w:r>
    </w:p>
    <w:p>
      <w:pPr>
        <w:spacing w:after="0" w:line="158"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Drug development is a highly uncertain undertaking and involves a substantial degree of risk. We have never generated any revenue from product sales, and we may never generate revenue or be profitable.</w:t>
      </w:r>
    </w:p>
    <w:p>
      <w:pPr>
        <w:spacing w:after="0" w:line="51" w:lineRule="exact"/>
        <w:rPr>
          <w:sz w:val="20"/>
          <w:szCs w:val="20"/>
          <w:color w:val="auto"/>
        </w:rPr>
      </w:pPr>
    </w:p>
    <w:p>
      <w:pPr>
        <w:ind w:right="280" w:firstLine="518"/>
        <w:spacing w:after="0" w:line="266" w:lineRule="auto"/>
        <w:rPr>
          <w:sz w:val="20"/>
          <w:szCs w:val="20"/>
          <w:color w:val="auto"/>
        </w:rPr>
      </w:pPr>
      <w:r>
        <w:rPr>
          <w:rFonts w:ascii="Times New Roman" w:cs="Times New Roman" w:eastAsia="Times New Roman" w:hAnsi="Times New Roman"/>
          <w:sz w:val="18"/>
          <w:szCs w:val="18"/>
          <w:color w:val="auto"/>
        </w:rPr>
        <w:t>We have no products approved for commercial sale and have not generated any revenue from product sales. We do not anticipate generating any revenue from product sales until after we have successfully completed clinical development and received regulatory approval for the commercial sale of a product candidate, if ever.</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ability to generate revenue and achieve profitability depends significantly on many factors, including:</w:t>
      </w:r>
    </w:p>
    <w:p>
      <w:pPr>
        <w:spacing w:after="0" w:line="117" w:lineRule="exact"/>
        <w:rPr>
          <w:sz w:val="20"/>
          <w:szCs w:val="20"/>
          <w:color w:val="auto"/>
        </w:rPr>
      </w:pPr>
    </w:p>
    <w:p>
      <w:pPr>
        <w:ind w:left="640" w:hanging="119"/>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completing research and preclinical and clinical development of our product candidates;</w:t>
      </w:r>
    </w:p>
    <w:p>
      <w:pPr>
        <w:spacing w:after="0" w:line="117" w:lineRule="exact"/>
        <w:rPr>
          <w:rFonts w:ascii="Times New Roman" w:cs="Times New Roman" w:eastAsia="Times New Roman" w:hAnsi="Times New Roman"/>
          <w:sz w:val="18"/>
          <w:szCs w:val="18"/>
          <w:color w:val="auto"/>
        </w:rPr>
      </w:pPr>
    </w:p>
    <w:p>
      <w:pPr>
        <w:ind w:left="640" w:right="260" w:hanging="119"/>
        <w:spacing w:after="0" w:line="282" w:lineRule="auto"/>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regulatory approvals and marketing authorizations for product candidates for which we successfully complete clinical development and clinical trials;</w:t>
      </w:r>
    </w:p>
    <w:p>
      <w:pPr>
        <w:spacing w:after="0" w:line="53" w:lineRule="exact"/>
        <w:rPr>
          <w:rFonts w:ascii="Times New Roman" w:cs="Times New Roman" w:eastAsia="Times New Roman" w:hAnsi="Times New Roman"/>
          <w:sz w:val="18"/>
          <w:szCs w:val="18"/>
          <w:color w:val="auto"/>
        </w:rPr>
      </w:pPr>
    </w:p>
    <w:p>
      <w:pPr>
        <w:ind w:left="640" w:hanging="119"/>
        <w:spacing w:after="0" w:line="266" w:lineRule="auto"/>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 sustainable and scalable manufacturing process for our product candidates, as well as establishing and maintaining commercially viable supply relationships with third parties that can provide adequate products and services to support clinical activities and any commercial demand for our product candidates;</w:t>
      </w:r>
    </w:p>
    <w:p>
      <w:pPr>
        <w:spacing w:after="0" w:line="68"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assessing, acquiring and/or developing new product candidates;</w:t>
      </w:r>
    </w:p>
    <w:p>
      <w:pPr>
        <w:spacing w:after="0" w:line="117"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negotiating favorable terms in any collaboration, licensing or other arrangements into which we may enter;</w:t>
      </w:r>
    </w:p>
    <w:p>
      <w:pPr>
        <w:spacing w:after="0" w:line="117" w:lineRule="exact"/>
        <w:rPr>
          <w:rFonts w:ascii="Times New Roman" w:cs="Times New Roman" w:eastAsia="Times New Roman" w:hAnsi="Times New Roman"/>
          <w:sz w:val="18"/>
          <w:szCs w:val="18"/>
          <w:color w:val="auto"/>
        </w:rPr>
      </w:pPr>
    </w:p>
    <w:p>
      <w:pPr>
        <w:ind w:left="640" w:right="40" w:hanging="119"/>
        <w:spacing w:after="0" w:line="282" w:lineRule="auto"/>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and successfully commercializing product candidates for which we obtain regulatory and marketing approval, either by collaborating with a partner or, if launched independently, by establishing a sales, marketing and distribution infrastructure;</w:t>
      </w:r>
    </w:p>
    <w:p>
      <w:pPr>
        <w:spacing w:after="0" w:line="53" w:lineRule="exact"/>
        <w:rPr>
          <w:rFonts w:ascii="Times New Roman" w:cs="Times New Roman" w:eastAsia="Times New Roman" w:hAnsi="Times New Roman"/>
          <w:sz w:val="18"/>
          <w:szCs w:val="18"/>
          <w:color w:val="auto"/>
        </w:rPr>
      </w:pPr>
    </w:p>
    <w:p>
      <w:pPr>
        <w:ind w:left="640" w:right="280" w:hanging="119"/>
        <w:spacing w:after="0" w:line="282" w:lineRule="auto"/>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an adequate price for our product candidates, both in the United States and in foreign countries where our products are commercialized;</w:t>
      </w:r>
    </w:p>
    <w:p>
      <w:pPr>
        <w:spacing w:after="0" w:line="53"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adequate reimbursement for our product candidates from payors;</w:t>
      </w:r>
    </w:p>
    <w:p>
      <w:pPr>
        <w:spacing w:after="0" w:line="117"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market acceptance of our product candidates as viable treatment options;</w:t>
      </w:r>
    </w:p>
    <w:p>
      <w:pPr>
        <w:spacing w:after="0" w:line="117"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any competing technological and market developments;</w:t>
      </w:r>
    </w:p>
    <w:p>
      <w:pPr>
        <w:spacing w:after="0" w:line="117"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protecting, expanding and enforcing our portfolio of intellectual property rights, including patents, trade secrets and know-how; and</w:t>
      </w:r>
    </w:p>
    <w:p>
      <w:pPr>
        <w:spacing w:after="0" w:line="117"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hiring and retaining qualified personnel.</w:t>
      </w:r>
    </w:p>
    <w:p>
      <w:pPr>
        <w:spacing w:after="0" w:line="117" w:lineRule="exact"/>
        <w:rPr>
          <w:sz w:val="20"/>
          <w:szCs w:val="20"/>
          <w:color w:val="auto"/>
        </w:rPr>
      </w:pPr>
    </w:p>
    <w:p>
      <w:pPr>
        <w:ind w:right="100" w:firstLine="518"/>
        <w:spacing w:after="0" w:line="256"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drug development, we are unable to predict the timing or amount of our expenses, or when we will be able to generate any meaningful revenue or achieve or maintain profitability, if ever. In addition, our expenses could increase beyond our current expectations if we are required by the FDA or foreign regulatory agencies, to perform studies in addition to those that we currently anticipate, or if there are any delays in any of our or our future collaborators’ clinical trials or the development of any of our product candidates. Even if one or more of our product candidates is approved for commercial sale, we anticipate incurring significant costs associated with commercializing any approved product candidate and ongoing compliance efforts.</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5" w:right="279" w:bottom="1440" w:gutter="0" w:footer="0" w:header="0"/>
        </w:sectPr>
      </w:pPr>
    </w:p>
    <w:bookmarkStart w:id="25" w:name="page26"/>
    <w:bookmarkEnd w:id="25"/>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Even if we are able to generate revenue from the sale of any approved products, we may not become profitable, and we will need to obtain additional funding through one or more debt or equity financings in order to continue operations. Revenue from the sale of any product candidate for which regulatory approval is obtained will be dependent, in part, upon the size of the markets in the territories for which we gain regulatory approval, the accepted price for the product, the ability to get reimbursement at any price and whether we own the commercial rights for that territory. If the number of addressable patients is not as significant as we anticipate, the indication approved by regulatory authorities is narrower than we expect, or the reasonably accepted population for treatment is narrowed by competition, physician choice or treatment guidelines, we may not generate significant revenue from sales of such products, even if approved. Even if we do achieve profitability, we may not be able to sustain or increase profitability on a quarterly or annual basis.</w:t>
      </w:r>
    </w:p>
    <w:p>
      <w:pPr>
        <w:spacing w:after="0" w:line="81" w:lineRule="exact"/>
        <w:rPr>
          <w:sz w:val="20"/>
          <w:szCs w:val="20"/>
          <w:color w:val="auto"/>
        </w:rPr>
      </w:pPr>
    </w:p>
    <w:p>
      <w:pPr>
        <w:ind w:right="300" w:firstLine="518"/>
        <w:spacing w:after="0" w:line="266" w:lineRule="auto"/>
        <w:rPr>
          <w:sz w:val="20"/>
          <w:szCs w:val="20"/>
          <w:color w:val="auto"/>
        </w:rPr>
      </w:pPr>
      <w:r>
        <w:rPr>
          <w:rFonts w:ascii="Times New Roman" w:cs="Times New Roman" w:eastAsia="Times New Roman" w:hAnsi="Times New Roman"/>
          <w:sz w:val="18"/>
          <w:szCs w:val="18"/>
          <w:color w:val="auto"/>
        </w:rPr>
        <w:t>Our failure to become and remain profitable could decrease the value of our company and could impair our ability to raise capital, expand our business, maintain our research and development efforts, diversify our pipeline of product candidates or continue our operations and cause a decline in the value of our common stock, all or any of which may adversely affect our viability.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obtain additional financing, we may be unable to complete the development and, if approved, commercialization of our product candidates.</w:t>
      </w:r>
    </w:p>
    <w:p>
      <w:pPr>
        <w:spacing w:after="0" w:line="121" w:lineRule="exact"/>
        <w:rPr>
          <w:sz w:val="20"/>
          <w:szCs w:val="20"/>
          <w:color w:val="auto"/>
        </w:rPr>
      </w:pPr>
    </w:p>
    <w:p>
      <w:pPr>
        <w:ind w:right="120" w:firstLine="518"/>
        <w:spacing w:after="0" w:line="261" w:lineRule="auto"/>
        <w:rPr>
          <w:sz w:val="20"/>
          <w:szCs w:val="20"/>
          <w:color w:val="auto"/>
        </w:rPr>
      </w:pPr>
      <w:r>
        <w:rPr>
          <w:rFonts w:ascii="Times New Roman" w:cs="Times New Roman" w:eastAsia="Times New Roman" w:hAnsi="Times New Roman"/>
          <w:sz w:val="18"/>
          <w:szCs w:val="18"/>
          <w:color w:val="auto"/>
        </w:rPr>
        <w:t>Our operations have required substantial amounts of cash since inception. To date, we have financed our operations primarily through the sale of equity securities, including our IPO, convertible notes and warrants. Developing our product candidates is expensive, and we expect to substantially increase our spending as we advance KSI-301 into Phase 2 clinical trials. Even if we are successful in developing our product candidates, obtaining regulatory approvals and launching and commercializing any product candidate will require substantial additional funding.</w:t>
      </w:r>
    </w:p>
    <w:p>
      <w:pPr>
        <w:spacing w:after="0" w:line="72" w:lineRule="exact"/>
        <w:rPr>
          <w:sz w:val="20"/>
          <w:szCs w:val="20"/>
          <w:color w:val="auto"/>
        </w:rPr>
      </w:pPr>
    </w:p>
    <w:p>
      <w:pPr>
        <w:ind w:right="80" w:firstLine="518"/>
        <w:spacing w:after="0" w:line="256" w:lineRule="auto"/>
        <w:rPr>
          <w:sz w:val="20"/>
          <w:szCs w:val="20"/>
          <w:color w:val="auto"/>
        </w:rPr>
      </w:pPr>
      <w:r>
        <w:rPr>
          <w:rFonts w:ascii="Times New Roman" w:cs="Times New Roman" w:eastAsia="Times New Roman" w:hAnsi="Times New Roman"/>
          <w:sz w:val="18"/>
          <w:szCs w:val="18"/>
          <w:color w:val="auto"/>
        </w:rPr>
        <w:t>As of June 30, 2019, we had cash and cash equivalents and marketable securities of $68.1 million. Refer to the going concern evaluation under Note 1 to our unaudited condensed consolidated financial statements included in this report. Our estimate as to how long we expect our existing cash and cash equivalents and marketable securities to be available to fund our operations is based on assumptions that may prove inaccurate, and we could deplete our available capital resources sooner than we currently expect. In addition, changing circumstances may cause us to increase our spending significantly faster than we currently anticipate, and we may need to spend more money than currently expected because of circumstances beyond our control. We may need to raise additional funds sooner than we anticipate if we choose to expand more rapidly than we presently anticipate.</w:t>
      </w:r>
    </w:p>
    <w:p>
      <w:pPr>
        <w:spacing w:after="0" w:line="80"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We will require additional capital for the further development and, if approved, commercialization of our product candidates. Additional capital may not be available when we need it, on terms acceptable to us or at all. We have no committed source of additional capital. If adequate capital is not available to us on a timely basis, we may be required to significantly delay, scale back or discontinue our research and development programs or the commercialization of any product candidates, if approved, or be unable to continue or expand our operations or otherwise capitalize on our business opportunities, as desired, which could materially affect our business, financial condition and results of operations and cause the price of our common stock to decline.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identified conditions and events that raise substantial doubt about our ability to continue as a going concern.</w:t>
      </w:r>
    </w:p>
    <w:p>
      <w:pPr>
        <w:spacing w:after="0" w:line="121" w:lineRule="exact"/>
        <w:rPr>
          <w:sz w:val="20"/>
          <w:szCs w:val="20"/>
          <w:color w:val="auto"/>
        </w:rPr>
      </w:pPr>
    </w:p>
    <w:p>
      <w:pPr>
        <w:ind w:right="80" w:firstLine="518"/>
        <w:spacing w:after="0" w:line="254" w:lineRule="auto"/>
        <w:rPr>
          <w:sz w:val="20"/>
          <w:szCs w:val="20"/>
          <w:color w:val="auto"/>
        </w:rPr>
      </w:pPr>
      <w:r>
        <w:rPr>
          <w:rFonts w:ascii="Times New Roman" w:cs="Times New Roman" w:eastAsia="Times New Roman" w:hAnsi="Times New Roman"/>
          <w:sz w:val="18"/>
          <w:szCs w:val="18"/>
          <w:color w:val="auto"/>
        </w:rPr>
        <w:t>As of June 30, 2019, we had cash and cash equivalents and marketable securities of $68.1 million. We expect these available cash resources to fund our existing operational commitments and objectives at least through the first half of 2020. The uncertainties inherent in our future operations and in our ability to obtain additional funding raise substantial doubt about our ability to continue as a going concern beyond one year from the date of filing this report. If we are unable to obtain sufficient funding, we may be forced to delay or reduce the scope of our development programs and clinical trials, our business, prospects, financial condition and results of operations will be materially and adversely affected, and we may be unable to continue as a going concern. If we are unable to continue as a going concern, we may have to liquidate our assets and may receive less than the value at which those assets are carried on our audited financial statements, and it is likely that investors will lose all or a part of their investment. Future reports from our independent registered public accounting firm may contain statements expressing substantial doubt about our ability to continue as a going concern. If we seek additional financing to fund our business activities in the future and there remains substantial doubt about our ability to continue as a going concern, investors or other financing sources may be unwilling to provide funding to us on commercially reasonable terms, if at all.</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26" w:name="page27"/>
    <w:bookmarkEnd w:id="26"/>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Due to the significant resources required for the development of our product candidates, and depending on our ability to access capital, we must prioritize development of certain product candidates. Moreover, we may expend our limited resources on product candidates that do not yield a successful product and fail to capitalize on product candidates or indications that may be more profitable or for which there is a greater likelihood of success.</w:t>
      </w:r>
    </w:p>
    <w:p>
      <w:pPr>
        <w:spacing w:after="0" w:line="67" w:lineRule="exact"/>
        <w:rPr>
          <w:sz w:val="20"/>
          <w:szCs w:val="20"/>
          <w:color w:val="auto"/>
        </w:rPr>
      </w:pPr>
    </w:p>
    <w:p>
      <w:pPr>
        <w:ind w:right="60" w:firstLine="518"/>
        <w:spacing w:after="0" w:line="253" w:lineRule="auto"/>
        <w:rPr>
          <w:sz w:val="20"/>
          <w:szCs w:val="20"/>
          <w:color w:val="auto"/>
        </w:rPr>
      </w:pPr>
      <w:r>
        <w:rPr>
          <w:rFonts w:ascii="Times New Roman" w:cs="Times New Roman" w:eastAsia="Times New Roman" w:hAnsi="Times New Roman"/>
          <w:sz w:val="18"/>
          <w:szCs w:val="18"/>
          <w:color w:val="auto"/>
        </w:rPr>
        <w:t>Due to the significant resources required for the development of our product candidates, we must decide which product candidates and indications to pursue and advance and the amount of resources to allocate to each. Our decisions concerning the allocation of research, development, collaboration, management and financial resources toward particular product candidates or therapeutic areas may not lead to the development of any viable commercial product and may divert resources away from better opportunities. Similarly, our potential decisions to delay, terminate or collaborate with third parties in respect of certain product candidates may subsequently also prove to be suboptimal and could cause us to miss valuable opportunities. If we make incorrect determinations regarding the viability or market potential of any of our product candidates or misread trends in the biopharmaceutical industry, in particular for retinal diseases, our business, financial condition and results of operations could be materially adversely affected. As a result, we may fail to capitalize on viable commercial products or profitable market opportunities, be required to forego or delay pursuit of opportunities with other product candidates or other diseases and disease pathways that may later prove to have greater commercial potential than those we choose to pursue, or relinquish valuable rights to such product candidates through collaboration, licensing or other royalty arrangements in cases in which it would have been advantageous for us to invest additional resources to retain sole development and commercialization rights.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Discovery, Development and Commercialization of Our Product Candidates</w:t>
      </w:r>
    </w:p>
    <w:p>
      <w:pPr>
        <w:spacing w:after="0" w:line="117"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prospects are heavily dependent on KSI-301, which is in the early stages of clinical development and is the only product candidate that we expect to be in clinical development in the near term.</w:t>
      </w:r>
    </w:p>
    <w:p>
      <w:pPr>
        <w:spacing w:after="0" w:line="51"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KSI-301 is our only product candidate that we expect to be in clinical studies in the near term. We initiated our Phase 1a clinical trial of KSI-301 in July 2018, reached the primary endpoint in September 2018, and completed the last patient visit of that study in November 2018. We continue enrolling patients in our Phase 1b clinical trial of KSI-301. Neither KSI-301 nor any of our other product candidates has been dosed in a pivotal clinical trial, and it may be years before any such trial is completed, if at all. Further, we cannot be certain that either KSI-301 or any of our product candidates will be successful in clinical trials.</w:t>
      </w:r>
    </w:p>
    <w:p>
      <w:pPr>
        <w:spacing w:after="0" w:line="76" w:lineRule="exact"/>
        <w:rPr>
          <w:sz w:val="20"/>
          <w:szCs w:val="20"/>
          <w:color w:val="auto"/>
        </w:rPr>
      </w:pPr>
    </w:p>
    <w:p>
      <w:pPr>
        <w:ind w:right="20" w:firstLine="518"/>
        <w:spacing w:after="0" w:line="253" w:lineRule="auto"/>
        <w:rPr>
          <w:sz w:val="20"/>
          <w:szCs w:val="20"/>
          <w:color w:val="auto"/>
        </w:rPr>
      </w:pPr>
      <w:r>
        <w:rPr>
          <w:rFonts w:ascii="Times New Roman" w:cs="Times New Roman" w:eastAsia="Times New Roman" w:hAnsi="Times New Roman"/>
          <w:sz w:val="18"/>
          <w:szCs w:val="18"/>
          <w:color w:val="auto"/>
        </w:rPr>
        <w:t>Our early encouraging preclinical, Phase 1a, and ongoing Phase 1b clinical trial results for KSI-301 are not necessarily predictive of the results of our ongoing or future discovery programs or clinical studies. Our Phase 1a clinical trial was designed to evaluate safety and tolerability of KSI-301 after single doses, and our ongoing Phase 1b clinical trial was designed to evaluate safety, tolerability, and activity of KSI-301 after multiple doses. Although the trials have yielded early evidence of bioactivity and tolerability, the data derive from a small number of subjects, and we expect that our Phase 2 trials will have materially different design parameters. For example, our Phase 1a and Phase 1b trials do not evaluate durability of KSI-301 across the planned 12-, 16- or 20-week dosing intervals in the same manner that we intend to evaluate in our Phase 2 wet AMD trial. Promising results in preclinical studies and Phase 1 clinical trials of a drug candidate may not be predictive of similar results in later-stage preclinical studies or in humans during late-stage clinical studies. Many companies in the pharmaceutical and biotechnology industries have suffered significant setbacks in late-stage clinical studies after achieving positive results in early-stage development, including early-stage clinical studies, and we cannot be certain that we will not face similar setbacks. These setbacks have been caused by, among other things, preclinical findings made while clinical studies were underway or safety or efficacy observations made in preclinical studies and clinical studies, including previously unreported adverse events.</w:t>
      </w:r>
    </w:p>
    <w:p>
      <w:pPr>
        <w:spacing w:after="0" w:line="85" w:lineRule="exact"/>
        <w:rPr>
          <w:sz w:val="20"/>
          <w:szCs w:val="20"/>
          <w:color w:val="auto"/>
        </w:rPr>
      </w:pPr>
    </w:p>
    <w:p>
      <w:pPr>
        <w:ind w:right="160" w:firstLine="518"/>
        <w:spacing w:after="0" w:line="258" w:lineRule="auto"/>
        <w:rPr>
          <w:sz w:val="20"/>
          <w:szCs w:val="20"/>
          <w:color w:val="auto"/>
        </w:rPr>
      </w:pPr>
      <w:r>
        <w:rPr>
          <w:rFonts w:ascii="Times New Roman" w:cs="Times New Roman" w:eastAsia="Times New Roman" w:hAnsi="Times New Roman"/>
          <w:sz w:val="18"/>
          <w:szCs w:val="18"/>
          <w:color w:val="auto"/>
        </w:rPr>
        <w:t>There can be significant variability in safety or efficacy results between different clinical studies of the same product candidate due to numerous factors, including changes in study procedures set forth in protocols, differences in the size and type of the patient populations, changes in and adherence to the clinical study protocols and the rate of dropout among clinical study participants. Moreover, preclinical and clinical data are often susceptible to varying interpretations and analyses, and many companies that believed their product candidates performed satisfactorily in preclinical studies and clinical studies nonetheless failed to obtain FDA approval.</w:t>
      </w:r>
    </w:p>
    <w:p>
      <w:pPr>
        <w:spacing w:after="0" w:line="76" w:lineRule="exact"/>
        <w:rPr>
          <w:sz w:val="20"/>
          <w:szCs w:val="20"/>
          <w:color w:val="auto"/>
        </w:rPr>
      </w:pPr>
    </w:p>
    <w:p>
      <w:pPr>
        <w:ind w:right="240" w:firstLine="518"/>
        <w:spacing w:after="0" w:line="266" w:lineRule="auto"/>
        <w:rPr>
          <w:sz w:val="20"/>
          <w:szCs w:val="20"/>
          <w:color w:val="auto"/>
        </w:rPr>
      </w:pPr>
      <w:r>
        <w:rPr>
          <w:rFonts w:ascii="Times New Roman" w:cs="Times New Roman" w:eastAsia="Times New Roman" w:hAnsi="Times New Roman"/>
          <w:sz w:val="18"/>
          <w:szCs w:val="18"/>
          <w:color w:val="auto"/>
        </w:rPr>
        <w:t>We may in the future advance product candidates into clinical trials and terminate such trials prior to their completion. While we have certain preclinical programs in development and intend to develop other product candidates, it will take additional investment and time for such programs to reach the same stage of development as KSI-301.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failure of KSI-301 in clinical development may require us to discontinue development of other product candidates based on our ABC Platform.</w:t>
      </w:r>
    </w:p>
    <w:p>
      <w:pPr>
        <w:spacing w:after="0" w:line="121" w:lineRule="exact"/>
        <w:rPr>
          <w:sz w:val="20"/>
          <w:szCs w:val="20"/>
          <w:color w:val="auto"/>
        </w:rPr>
      </w:pPr>
    </w:p>
    <w:p>
      <w:pPr>
        <w:jc w:val="both"/>
        <w:ind w:right="120" w:firstLine="518"/>
        <w:spacing w:after="0" w:line="266" w:lineRule="auto"/>
        <w:rPr>
          <w:sz w:val="20"/>
          <w:szCs w:val="20"/>
          <w:color w:val="auto"/>
        </w:rPr>
      </w:pPr>
      <w:r>
        <w:rPr>
          <w:rFonts w:ascii="Times New Roman" w:cs="Times New Roman" w:eastAsia="Times New Roman" w:hAnsi="Times New Roman"/>
          <w:sz w:val="18"/>
          <w:szCs w:val="18"/>
          <w:color w:val="auto"/>
        </w:rPr>
        <w:t>If KSI-301 fails in development as a result of any underlying problem with our platform, then we may discontinue development of some or all of our product candidates that are based our ABC Platform. If we discontinue development of KSI-301, or if KSI-301 were to fail to receive regulatory approval or were to fail to achieve sufficient market acceptance, we could be prevented from or significantly delayed in achieving profitability.</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49" w:right="259" w:bottom="1440" w:gutter="0" w:footer="0" w:header="0"/>
        </w:sectPr>
      </w:pPr>
    </w:p>
    <w:bookmarkStart w:id="27" w:name="page28"/>
    <w:bookmarkEnd w:id="27"/>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Research and development of biopharmaceutical products is inherently risky. We cannot give any assurance that any of our product candidates will receive regulatory, including marketing, approval, which is necessary before they can be commercialized.</w:t>
      </w:r>
    </w:p>
    <w:p>
      <w:pPr>
        <w:spacing w:after="0" w:line="51" w:lineRule="exact"/>
        <w:rPr>
          <w:sz w:val="20"/>
          <w:szCs w:val="20"/>
          <w:color w:val="auto"/>
        </w:rPr>
      </w:pPr>
    </w:p>
    <w:p>
      <w:pPr>
        <w:ind w:right="300" w:firstLine="518"/>
        <w:spacing w:after="0" w:line="313" w:lineRule="auto"/>
        <w:rPr>
          <w:sz w:val="20"/>
          <w:szCs w:val="20"/>
          <w:color w:val="auto"/>
        </w:rPr>
      </w:pPr>
      <w:r>
        <w:rPr>
          <w:rFonts w:ascii="Times New Roman" w:cs="Times New Roman" w:eastAsia="Times New Roman" w:hAnsi="Times New Roman"/>
          <w:sz w:val="17"/>
          <w:szCs w:val="17"/>
          <w:color w:val="auto"/>
        </w:rPr>
        <w:t>We are at an early stage of development of our product candidates. Our future success is dependent on our ability to successfully develop, obtain regulatory approval for, and then successfully commercialize our product candidates, and we may fail to do so for many reasons, including the following:</w:t>
      </w:r>
    </w:p>
    <w:p>
      <w:pPr>
        <w:spacing w:after="0" w:line="30" w:lineRule="exact"/>
        <w:rPr>
          <w:sz w:val="20"/>
          <w:szCs w:val="20"/>
          <w:color w:val="auto"/>
        </w:rPr>
      </w:pPr>
    </w:p>
    <w:p>
      <w:pPr>
        <w:ind w:left="640" w:hanging="119"/>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not successfully complete preclinical studies or clinical trials;</w:t>
      </w:r>
    </w:p>
    <w:p>
      <w:pPr>
        <w:spacing w:after="0" w:line="117" w:lineRule="exact"/>
        <w:rPr>
          <w:rFonts w:ascii="Times New Roman" w:cs="Times New Roman" w:eastAsia="Times New Roman" w:hAnsi="Times New Roman"/>
          <w:sz w:val="18"/>
          <w:szCs w:val="18"/>
          <w:color w:val="auto"/>
        </w:rPr>
      </w:pPr>
    </w:p>
    <w:p>
      <w:pPr>
        <w:ind w:left="640" w:right="160" w:hanging="119"/>
        <w:spacing w:after="0" w:line="282" w:lineRule="auto"/>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on further study be shown to have harmful side effects or other characteristics that indicate it is unlikely to be effective or otherwise does not meet applicable regulatory criteria;</w:t>
      </w:r>
    </w:p>
    <w:p>
      <w:pPr>
        <w:spacing w:after="0" w:line="53"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may develop therapeutics that render our product candidates obsolete or less attractive;</w:t>
      </w:r>
    </w:p>
    <w:p>
      <w:pPr>
        <w:spacing w:after="0" w:line="117"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may develop platform technologies that render our ABC Platform obsolete or less attractive;</w:t>
      </w:r>
    </w:p>
    <w:p>
      <w:pPr>
        <w:spacing w:after="0" w:line="117" w:lineRule="exact"/>
        <w:rPr>
          <w:rFonts w:ascii="Times New Roman" w:cs="Times New Roman" w:eastAsia="Times New Roman" w:hAnsi="Times New Roman"/>
          <w:sz w:val="18"/>
          <w:szCs w:val="18"/>
          <w:color w:val="auto"/>
        </w:rPr>
      </w:pPr>
    </w:p>
    <w:p>
      <w:pPr>
        <w:ind w:left="640" w:right="380" w:hanging="119"/>
        <w:spacing w:after="0" w:line="282" w:lineRule="auto"/>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candidates and ABC Platform that we develop may not be sufficiently covered by intellectual property for which we hold exclusive rights or may be covered by third party patents or other intellectual property or exclusive rights;</w:t>
      </w:r>
    </w:p>
    <w:p>
      <w:pPr>
        <w:spacing w:after="0" w:line="53" w:lineRule="exact"/>
        <w:rPr>
          <w:rFonts w:ascii="Times New Roman" w:cs="Times New Roman" w:eastAsia="Times New Roman" w:hAnsi="Times New Roman"/>
          <w:sz w:val="18"/>
          <w:szCs w:val="18"/>
          <w:color w:val="auto"/>
        </w:rPr>
      </w:pPr>
    </w:p>
    <w:p>
      <w:pPr>
        <w:ind w:left="640" w:right="40" w:hanging="119"/>
        <w:spacing w:after="0" w:line="282" w:lineRule="auto"/>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for a product candidate may change so that the continued development of that product candidate is no longer reasonable or commercially attractive;</w:t>
      </w:r>
    </w:p>
    <w:p>
      <w:pPr>
        <w:spacing w:after="0" w:line="53"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not be capable of being produced in commercial quantities at an acceptable cost, or at all;</w:t>
      </w:r>
    </w:p>
    <w:p>
      <w:pPr>
        <w:spacing w:after="0" w:line="117" w:lineRule="exact"/>
        <w:rPr>
          <w:rFonts w:ascii="Times New Roman" w:cs="Times New Roman" w:eastAsia="Times New Roman" w:hAnsi="Times New Roman"/>
          <w:sz w:val="18"/>
          <w:szCs w:val="18"/>
          <w:color w:val="auto"/>
        </w:rPr>
      </w:pPr>
    </w:p>
    <w:p>
      <w:pPr>
        <w:ind w:left="640" w:right="460" w:hanging="119"/>
        <w:spacing w:after="0" w:line="282" w:lineRule="auto"/>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product candidate obtains regulatory approval, we may be unable to establish sales and marketing capabilities, or successfully market such approved product candidate, to gain market acceptance; and</w:t>
      </w:r>
    </w:p>
    <w:p>
      <w:pPr>
        <w:spacing w:after="0" w:line="53"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not be accepted as safe and effective by patients, the medical community or third-party payors, if applicable.</w:t>
      </w:r>
    </w:p>
    <w:p>
      <w:pPr>
        <w:spacing w:after="0" w:line="117"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If any of these events occur, we may be forced to abandon our development efforts for a product candidate or candidates, which would have a material adverse effect on our business and could potentially cause us to cease operations. Failure of a product candidate may occur at any stage of preclinical or clinical development, and, because our product candidates and our ABC Platform are in an early stage of development, there is a relatively higher risk of failure and we may never succeed in developing marketable products or generating product revenue.</w:t>
      </w:r>
    </w:p>
    <w:p>
      <w:pPr>
        <w:spacing w:after="0" w:line="72" w:lineRule="exact"/>
        <w:rPr>
          <w:sz w:val="20"/>
          <w:szCs w:val="20"/>
          <w:color w:val="auto"/>
        </w:rPr>
      </w:pPr>
    </w:p>
    <w:p>
      <w:pPr>
        <w:ind w:right="20" w:firstLine="518"/>
        <w:spacing w:after="0" w:line="254" w:lineRule="auto"/>
        <w:rPr>
          <w:sz w:val="20"/>
          <w:szCs w:val="20"/>
          <w:color w:val="auto"/>
        </w:rPr>
      </w:pPr>
      <w:r>
        <w:rPr>
          <w:rFonts w:ascii="Times New Roman" w:cs="Times New Roman" w:eastAsia="Times New Roman" w:hAnsi="Times New Roman"/>
          <w:sz w:val="18"/>
          <w:szCs w:val="18"/>
          <w:color w:val="auto"/>
        </w:rPr>
        <w:t>We may not be successful in our efforts to further develop our ABC Platform and current product candidates. We are not permitted to market or promote any of our product candidates before we receive regulatory approval from the FDA or comparable foreign regulatory authorities, and we may never receive such regulatory approval for any of our product candidates. Each of our product candidates is in the early stages of development and will require significant additional clinical development, management of preclinical, clinical, and manufacturing activities, regulatory approval, adequate manufacturing supply, a commercial organization, and significant marketing efforts before we generate any revenue from product sales, if at all. Any clinical studies that we may conduct may not demonstrate the efficacy and safety necessary to obtain regulatory approval to market our product candidates. If the results of our ongoing or future clinical studies are inconclusive with respect to the efficacy of our product candidates or if we do not meet the clinical endpoints with statistical significance or if there are safety concerns or adverse events associated with our product candidates, we may be prevented or delayed in obtaining marketing approval for our product candidates.</w:t>
      </w:r>
    </w:p>
    <w:p>
      <w:pPr>
        <w:spacing w:after="0" w:line="81"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If any of our product candidates successfully completes clinical trials, we generally plan to seek regulatory approval to market our product candidates in the United States, the EU, and in additional foreign countries where we believe there is a viable commercial opportunity. We have never commenced, compiled or submitted an application seeking regulatory approval to market any product candidate. We may never receive regulatory approval to market any product candidates even if such product candidates successfully complete clinical trials, which would adversely affect our viability. To obtain regulatory approval in countries outside the United States, we must comply with numerous and varying regulatory requirements of such other countries regarding safety, efficacy, chemistry, manufacturing and controls, clinical trials, commercial sales, pricing, and distribution of our product candidates. We may also rely on our collaborators or partners to conduct the required activities to support an application for regulatory approval, and to seek approval, for one or more of our product candidates. We cannot be sure that our collaborators or partners will conduct these activities successfully or do so within the timeframe we desire. Even if we (or our collaborators or partners) are successful in obtaining approval in one jurisdiction, we cannot ensure that we will obtain approval in any other jurisdictions. If we are unable to obtain approval for our product candidates in multiple jurisdictions, our revenue and results of operations could be negatively affected.</w:t>
      </w:r>
    </w:p>
    <w:p>
      <w:pPr>
        <w:spacing w:after="0" w:line="85" w:lineRule="exact"/>
        <w:rPr>
          <w:sz w:val="20"/>
          <w:szCs w:val="20"/>
          <w:color w:val="auto"/>
        </w:rPr>
      </w:pPr>
    </w:p>
    <w:p>
      <w:pPr>
        <w:ind w:right="80" w:firstLine="518"/>
        <w:spacing w:after="0" w:line="255" w:lineRule="auto"/>
        <w:rPr>
          <w:sz w:val="20"/>
          <w:szCs w:val="20"/>
          <w:color w:val="auto"/>
        </w:rPr>
      </w:pPr>
      <w:r>
        <w:rPr>
          <w:rFonts w:ascii="Times New Roman" w:cs="Times New Roman" w:eastAsia="Times New Roman" w:hAnsi="Times New Roman"/>
          <w:sz w:val="18"/>
          <w:szCs w:val="18"/>
          <w:color w:val="auto"/>
        </w:rPr>
        <w:t>Even if we receive regulatory approval to market any of our product candidates, we cannot assure you that any such product candidate will be successfully commercialized, widely accepted in the marketplace or more effective than other commercially available alternatives. That approval may be for indications or patient populations that are not as broad as intended or desired or may require labeling that includes significant use or distribution restrictions or safety warnings. We may also be required to perform additional or unanticipated clinical studies to obtain approval or be subject to additional post-marketing testing requirements to maintain regulatory approval. In addition, regulatory authorities may withdraw their approval of a product or impose restrictions on its distribution, such as in the form of a modified Risk Evaluation and Mitigation Strategy, or REMS. The failure to obtain timely regulatory approval of product candidates, any product marketing limitations or a product withdrawal would negatively impact our business, results of operations and financial condition.</w:t>
      </w:r>
    </w:p>
    <w:p>
      <w:pPr>
        <w:spacing w:after="0" w:line="1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49" w:right="299" w:bottom="1440" w:gutter="0" w:footer="0" w:header="0"/>
        </w:sectPr>
      </w:pPr>
    </w:p>
    <w:bookmarkStart w:id="28" w:name="page29"/>
    <w:bookmarkEnd w:id="28"/>
    <w:p>
      <w:pPr>
        <w:jc w:val="both"/>
        <w:ind w:right="20" w:firstLine="518"/>
        <w:spacing w:after="0" w:line="266" w:lineRule="auto"/>
        <w:rPr>
          <w:sz w:val="20"/>
          <w:szCs w:val="20"/>
          <w:color w:val="auto"/>
        </w:rPr>
      </w:pPr>
      <w:r>
        <w:rPr>
          <w:rFonts w:ascii="Times New Roman" w:cs="Times New Roman" w:eastAsia="Times New Roman" w:hAnsi="Times New Roman"/>
          <w:sz w:val="18"/>
          <w:szCs w:val="18"/>
          <w:color w:val="auto"/>
        </w:rPr>
        <w:t>Investment in biopharmaceutical product development involves significant risk that any product candidate will fail to demonstrate adequate efficacy or an acceptable safety profile, gain regulatory approval, and become commercially viable. We cannot provide any assurance that we will be able to successfully advance any of our product candidates through the development process or, if approved, successfully commercialize any of our product candidates.</w:t>
      </w:r>
    </w:p>
    <w:p>
      <w:pPr>
        <w:spacing w:after="0" w:line="172"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encounter substantial delays in our clinical trials, or may not be able to conduct or complete our clinical trials on the timelines we expect, if at all.</w:t>
      </w:r>
    </w:p>
    <w:p>
      <w:pPr>
        <w:spacing w:after="0" w:line="51" w:lineRule="exact"/>
        <w:rPr>
          <w:sz w:val="20"/>
          <w:szCs w:val="20"/>
          <w:color w:val="auto"/>
        </w:rPr>
      </w:pPr>
    </w:p>
    <w:p>
      <w:pPr>
        <w:ind w:right="120" w:firstLine="518"/>
        <w:spacing w:after="0" w:line="256" w:lineRule="auto"/>
        <w:rPr>
          <w:sz w:val="20"/>
          <w:szCs w:val="20"/>
          <w:color w:val="auto"/>
        </w:rPr>
      </w:pPr>
      <w:r>
        <w:rPr>
          <w:rFonts w:ascii="Times New Roman" w:cs="Times New Roman" w:eastAsia="Times New Roman" w:hAnsi="Times New Roman"/>
          <w:sz w:val="18"/>
          <w:szCs w:val="18"/>
          <w:color w:val="auto"/>
        </w:rPr>
        <w:t>Clinical testing is expensive, time consuming, and subject to uncertainty. We cannot guarantee that any clinical trials will be conducted as planned or completed on schedule, if at all. We cannot be sure that submission of an IND application or a clinical trial application, or CTA, will result in the FDA, European Medicines Agency, or EMA, the China Drug Authority, or CDA, or any other regulatory authority as applicable, allowing clinical trials to begin in a timely manner, if at all. Moreover, even if these trials begin, issues may arise that could suspend or terminate such clinical trials. A failure of one or more clinical trials can occur at any stage of testing, and our future clinical trials may not be successful. Events that may prevent successful or timely initiation or completion of clinical trials include:</w:t>
      </w:r>
    </w:p>
    <w:p>
      <w:pPr>
        <w:spacing w:after="0" w:line="78" w:lineRule="exact"/>
        <w:rPr>
          <w:sz w:val="20"/>
          <w:szCs w:val="20"/>
          <w:color w:val="auto"/>
        </w:rPr>
      </w:pPr>
    </w:p>
    <w:p>
      <w:pPr>
        <w:ind w:left="640" w:hanging="119"/>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inability to generate sufficient preclinical, toxicology, or other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data to support the initiation or continuation of clinical trials;</w:t>
      </w:r>
    </w:p>
    <w:p>
      <w:pPr>
        <w:spacing w:after="0" w:line="119" w:lineRule="exact"/>
        <w:rPr>
          <w:rFonts w:ascii="Times New Roman" w:cs="Times New Roman" w:eastAsia="Times New Roman" w:hAnsi="Times New Roman"/>
          <w:sz w:val="18"/>
          <w:szCs w:val="18"/>
          <w:color w:val="auto"/>
        </w:rPr>
      </w:pPr>
    </w:p>
    <w:p>
      <w:pPr>
        <w:ind w:left="640" w:hanging="119"/>
        <w:spacing w:after="0" w:line="282" w:lineRule="auto"/>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 consensus with regulatory agencies on study design or, in the case of China, the registration category for the drug candidate to be studied in the clinical trial;</w:t>
      </w:r>
    </w:p>
    <w:p>
      <w:pPr>
        <w:spacing w:after="0" w:line="53"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determination by the reviewing regulatory authority to require more costly or lengthy clinical trials than we currently anticipate;</w:t>
      </w:r>
    </w:p>
    <w:p>
      <w:pPr>
        <w:spacing w:after="0" w:line="117" w:lineRule="exact"/>
        <w:rPr>
          <w:rFonts w:ascii="Times New Roman" w:cs="Times New Roman" w:eastAsia="Times New Roman" w:hAnsi="Times New Roman"/>
          <w:sz w:val="18"/>
          <w:szCs w:val="18"/>
          <w:color w:val="auto"/>
        </w:rPr>
      </w:pPr>
    </w:p>
    <w:p>
      <w:pPr>
        <w:ind w:left="640" w:right="480" w:hanging="119"/>
        <w:spacing w:after="0" w:line="282" w:lineRule="auto"/>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agreement on acceptable terms with prospective CROs and clinical trial sites, the terms of which can be subject to extensive negotiation and may vary significantly among different CROs and clinical trial sites;</w:t>
      </w:r>
    </w:p>
    <w:p>
      <w:pPr>
        <w:spacing w:after="0" w:line="53"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identifying, recruiting and training suitable clinical investigators;</w:t>
      </w:r>
    </w:p>
    <w:p>
      <w:pPr>
        <w:spacing w:after="0" w:line="117"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obtaining required Institutional Review Board, or IRB, approval at each clinical trial site;</w:t>
      </w:r>
    </w:p>
    <w:p>
      <w:pPr>
        <w:spacing w:after="0" w:line="117" w:lineRule="exact"/>
        <w:rPr>
          <w:rFonts w:ascii="Times New Roman" w:cs="Times New Roman" w:eastAsia="Times New Roman" w:hAnsi="Times New Roman"/>
          <w:sz w:val="18"/>
          <w:szCs w:val="18"/>
          <w:color w:val="auto"/>
        </w:rPr>
      </w:pPr>
    </w:p>
    <w:p>
      <w:pPr>
        <w:ind w:left="640" w:right="220" w:hanging="119"/>
        <w:spacing w:after="0" w:line="256" w:lineRule="auto"/>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a temporary or permanent clinical hold by regulatory agencies for a number of reasons, including after review of an IND or amendment, CTA or amendment, or equivalent application or amendment; as a result of a new safety finding that presents unreasonable risk to clinical trial participants; a negative finding from an inspection of our clinical trial operations or study sites; developments on trials conducted by competitors for related technology that raises FDA, EMA, CDA or any other regulatory authority concerns about risk to patients of the technology broadly; or if the FDA, EMA, CDA or any other regulatory authority finds that the investigational protocol or plan is clearly deficient to meet its stated objectives;</w:t>
      </w:r>
    </w:p>
    <w:p>
      <w:pPr>
        <w:spacing w:after="0" w:line="79" w:lineRule="exact"/>
        <w:rPr>
          <w:rFonts w:ascii="Times New Roman" w:cs="Times New Roman" w:eastAsia="Times New Roman" w:hAnsi="Times New Roman"/>
          <w:sz w:val="18"/>
          <w:szCs w:val="18"/>
          <w:color w:val="auto"/>
        </w:rPr>
      </w:pPr>
    </w:p>
    <w:p>
      <w:pPr>
        <w:ind w:left="640" w:right="280" w:hanging="119"/>
        <w:spacing w:after="0" w:line="282" w:lineRule="auto"/>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identifying, recruiting and enrolling suitable patients to participate in our clinical trials, and delays caused by patients withdrawing from clinical trials or failing to return for post-treatment follow-up;</w:t>
      </w:r>
    </w:p>
    <w:p>
      <w:pPr>
        <w:spacing w:after="0" w:line="53"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collaborating with patient groups and investigators;</w:t>
      </w:r>
    </w:p>
    <w:p>
      <w:pPr>
        <w:spacing w:after="0" w:line="117"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our CROs, other third parties, or us to adhere to clinical trial requirements;</w:t>
      </w:r>
    </w:p>
    <w:p>
      <w:pPr>
        <w:spacing w:after="0" w:line="117" w:lineRule="exact"/>
        <w:rPr>
          <w:rFonts w:ascii="Times New Roman" w:cs="Times New Roman" w:eastAsia="Times New Roman" w:hAnsi="Times New Roman"/>
          <w:sz w:val="18"/>
          <w:szCs w:val="18"/>
          <w:color w:val="auto"/>
        </w:rPr>
      </w:pPr>
    </w:p>
    <w:p>
      <w:pPr>
        <w:ind w:left="640" w:right="540" w:hanging="119"/>
        <w:spacing w:after="0" w:line="282" w:lineRule="auto"/>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perform in accordance with the FDA’s or any other regulatory authority’s current good clinical practices, or cGCPs, requirements, or applicable EMA, CDA or other regulatory guidelines in other countries;</w:t>
      </w:r>
    </w:p>
    <w:p>
      <w:pPr>
        <w:spacing w:after="0" w:line="53"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 of adverse events associated with the product candidate that are viewed to outweigh its potential benefits;</w:t>
      </w:r>
    </w:p>
    <w:p>
      <w:pPr>
        <w:spacing w:after="0" w:line="117"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and guidance that require amending or submitting new clinical protocols;</w:t>
      </w:r>
    </w:p>
    <w:p>
      <w:pPr>
        <w:spacing w:after="0" w:line="117"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standard of care on which a clinical development plan was based, which may require new or additional trials;</w:t>
      </w:r>
    </w:p>
    <w:p>
      <w:pPr>
        <w:spacing w:after="0" w:line="117"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being greater than we anticipate;</w:t>
      </w:r>
    </w:p>
    <w:p>
      <w:pPr>
        <w:spacing w:after="0" w:line="117" w:lineRule="exact"/>
        <w:rPr>
          <w:rFonts w:ascii="Times New Roman" w:cs="Times New Roman" w:eastAsia="Times New Roman" w:hAnsi="Times New Roman"/>
          <w:sz w:val="18"/>
          <w:szCs w:val="18"/>
          <w:color w:val="auto"/>
        </w:rPr>
      </w:pPr>
    </w:p>
    <w:p>
      <w:pPr>
        <w:ind w:left="640" w:right="260" w:hanging="119"/>
        <w:spacing w:after="0" w:line="282" w:lineRule="auto"/>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product candidates producing negative or inconclusive results, which may result in our deciding, or regulators requiring us, to conduct additional clinical trials or abandon development of such product candidates;</w:t>
      </w:r>
    </w:p>
    <w:p>
      <w:pPr>
        <w:spacing w:after="0" w:line="53" w:lineRule="exact"/>
        <w:rPr>
          <w:rFonts w:ascii="Times New Roman" w:cs="Times New Roman" w:eastAsia="Times New Roman" w:hAnsi="Times New Roman"/>
          <w:sz w:val="18"/>
          <w:szCs w:val="18"/>
          <w:color w:val="auto"/>
        </w:rPr>
      </w:pPr>
    </w:p>
    <w:p>
      <w:pPr>
        <w:ind w:left="640" w:right="520" w:hanging="119"/>
        <w:spacing w:after="0" w:line="282" w:lineRule="auto"/>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of manufacturing processes to larger-scale facilities operated by CMOs or by us, and delays or failure by our CMOs or us to make any necessary changes to such manufacturing process; and</w:t>
      </w:r>
    </w:p>
    <w:p>
      <w:pPr>
        <w:spacing w:after="0" w:line="53" w:lineRule="exact"/>
        <w:rPr>
          <w:rFonts w:ascii="Times New Roman" w:cs="Times New Roman" w:eastAsia="Times New Roman" w:hAnsi="Times New Roman"/>
          <w:sz w:val="18"/>
          <w:szCs w:val="18"/>
          <w:color w:val="auto"/>
        </w:rPr>
      </w:pPr>
    </w:p>
    <w:p>
      <w:pPr>
        <w:ind w:left="640" w:right="80" w:hanging="119"/>
        <w:spacing w:after="0" w:line="282" w:lineRule="auto"/>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manufacturing, testing, releasing, validating, or importing/exporting sufficient stable quantities of our product candidates for use in clinical trials or the inability to do any of the foregoing.</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29" w:name="page30"/>
    <w:bookmarkEnd w:id="29"/>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Any inability to successfully initiate or complete clinical trials could result in additional costs to us or impair our ability to generate revenue. In addition, if we make manufacturing or formulation changes to our product candidates, we may be required to or we may elect to conduct additional studies to bridge our modified product candidates to earlier versions. Clinical trial delays could also shorten any periods during which our products have patent protection and may allow our competitors to bring products to market before we do, which could impair our ability to successfully commercialize our product candidates and may harm our business and results of operations.</w:t>
      </w:r>
    </w:p>
    <w:p>
      <w:pPr>
        <w:spacing w:after="0" w:line="76" w:lineRule="exact"/>
        <w:rPr>
          <w:sz w:val="20"/>
          <w:szCs w:val="20"/>
          <w:color w:val="auto"/>
        </w:rPr>
      </w:pPr>
    </w:p>
    <w:p>
      <w:pPr>
        <w:ind w:right="80" w:firstLine="518"/>
        <w:spacing w:after="0" w:line="255" w:lineRule="auto"/>
        <w:rPr>
          <w:sz w:val="20"/>
          <w:szCs w:val="20"/>
          <w:color w:val="auto"/>
        </w:rPr>
      </w:pPr>
      <w:r>
        <w:rPr>
          <w:rFonts w:ascii="Times New Roman" w:cs="Times New Roman" w:eastAsia="Times New Roman" w:hAnsi="Times New Roman"/>
          <w:sz w:val="18"/>
          <w:szCs w:val="18"/>
          <w:color w:val="auto"/>
        </w:rPr>
        <w:t>We could also encounter delays if a clinical trial is suspended or terminated by us, by the data safety monitoring board for such trial or by the FDA, EMA, CDA or any other regulatory authority, or if the IRBs of the institutions in which such trials are being conducted suspend or terminate the participation of their clinical investigators and sites subject to their review. Such authorities may suspend or terminate a clinical trial due to a number of factors, including failure to conduct the clinical trial in accordance with regulatory requirements or our clinical protocols, inspection of the clinical trial operations or trial site by the FDA, EMA, CDA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w:t>
      </w:r>
    </w:p>
    <w:p>
      <w:pPr>
        <w:spacing w:after="0" w:line="81"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Delays in the commencement or completion of any clinical trial of our product candidates will increase our costs, slow down our product candidate development and approval process and delay or potentially jeopardize our ability to commence product sales and generate revenue. In addition, many of the factors that cause, or lead to, a delay in the commencement or completion of clinical trials may also ultimately lead to the denial of regulatory approval of our product candidates.</w:t>
      </w:r>
    </w:p>
    <w:p>
      <w:pPr>
        <w:spacing w:after="0" w:line="176"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cause undesirable side effects or have other properties that could halt their clinical development, prevent their regulatory approval, limit their commercial potential or result in significant negative consequences.</w:t>
      </w:r>
    </w:p>
    <w:p>
      <w:pPr>
        <w:spacing w:after="0" w:line="51" w:lineRule="exact"/>
        <w:rPr>
          <w:sz w:val="20"/>
          <w:szCs w:val="20"/>
          <w:color w:val="auto"/>
        </w:rPr>
      </w:pPr>
    </w:p>
    <w:p>
      <w:pPr>
        <w:jc w:val="both"/>
        <w:ind w:right="260" w:firstLine="518"/>
        <w:spacing w:after="0" w:line="266" w:lineRule="auto"/>
        <w:rPr>
          <w:sz w:val="20"/>
          <w:szCs w:val="20"/>
          <w:color w:val="auto"/>
        </w:rPr>
      </w:pPr>
      <w:r>
        <w:rPr>
          <w:rFonts w:ascii="Times New Roman" w:cs="Times New Roman" w:eastAsia="Times New Roman" w:hAnsi="Times New Roman"/>
          <w:sz w:val="18"/>
          <w:szCs w:val="18"/>
          <w:color w:val="auto"/>
        </w:rPr>
        <w:t>Adverse events or other undesirable side effects caused by our product candidates could cause us or regulatory authorities to interrupt, delay or halt clinical trials and could result in a more restrictive label or the delay or denial of regulatory approval by the FDA, EMA, CDA or other comparable foreign regulatory authorities.</w:t>
      </w:r>
    </w:p>
    <w:p>
      <w:pPr>
        <w:spacing w:after="0" w:line="68"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During the conduct of clinical trials, patients report changes in their health, including illnesses, injuries, and discomforts, to their study doctor. Often, it is not possible to determine whether or not the product candidate being studied caused these conditions. It is possible that as we test our product candidates in larger, longer and more extensive clinical trials, or as use of these product candidates becomes more widespread if they receive regulatory approval, illnesses, injuries, discomforts and other adverse events that were not observed in earlier trials, as well as conditions that did not occur or went undetected in previous trials, will be reported by patients. Many times, side effects are only detectable after investigational products are tested in large-scale, Phase 3 clinical trials or, in some cases, after they are made available to patients on a commercial scale after approval. If additional clinical experience indicates that any of our product candidates has side effects or causes serious or life-threatening side effects, the development of the product candidate may fail or be delayed, or, if the product candidate has received regulatory approval, such approval may be revoked, which would severely harm our business, prospects, operating results and financial condition.</w:t>
      </w:r>
    </w:p>
    <w:p>
      <w:pPr>
        <w:spacing w:after="0" w:line="81" w:lineRule="exact"/>
        <w:rPr>
          <w:sz w:val="20"/>
          <w:szCs w:val="20"/>
          <w:color w:val="auto"/>
        </w:rPr>
      </w:pPr>
    </w:p>
    <w:p>
      <w:pPr>
        <w:ind w:right="160" w:firstLine="518"/>
        <w:spacing w:after="0" w:line="254" w:lineRule="auto"/>
        <w:rPr>
          <w:sz w:val="20"/>
          <w:szCs w:val="20"/>
          <w:color w:val="auto"/>
        </w:rPr>
      </w:pPr>
      <w:r>
        <w:rPr>
          <w:rFonts w:ascii="Times New Roman" w:cs="Times New Roman" w:eastAsia="Times New Roman" w:hAnsi="Times New Roman"/>
          <w:sz w:val="18"/>
          <w:szCs w:val="18"/>
          <w:color w:val="auto"/>
        </w:rPr>
        <w:t>Our most advanced product candidate, KSI-301, is an anti-VEGF biologic that we intend to study in wet AMD, DME/DR and RVO. There are some potential side effects associated with intravitreal anti-VEGF therapies such as intraocular hemorrhage, intraocular pressure elevation, retinal detachment, inflammation or infection inside the eye and over-inhibition of VEGF, as well as the potential for potential systemic side effects such as heart attack, stroke, wound healing problems, and high blood pressure. Recent trends in the development of anti-VEGF therapies have favored increased molar dosages, as compared to currently marketed treatments. To date these heightened dosages have not exhibited a safety profile significantly worse than that of current treatments. However, anti-VEGF product candidates featuring higher molar dosages, including KSI-301, may heighten the risk of adverse effects associated with anti-VEGF treatments generally, both in the eye and in the rest of the body. There are risks inherent in the intravitreal injection procedure of drugs like KSI-301 which can cause injury to the eye and other complications including conjunctival hemorrhage, punctate keratitis, eye pain, conjunctival hyperemia, intra-ocular inflammation, and endophthalmitis.</w:t>
      </w:r>
    </w:p>
    <w:p>
      <w:pPr>
        <w:spacing w:after="0" w:line="81"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Drug-related side effects could affect patient recruitment, the ability of enrolled patients to complete the study and/or result in potential product liability claims. We may not be able to maintain insurance coverage at a reasonable cost or in sufficient amounts to protect us against losses due to liability. A successful product liability claim or series of claims brought against us could cause our stock price to decline and, if judgments exceed our insurance coverage, could adversely affect our results of operations and business. In addition, regardless of merit or eventual outcome, product liability claims may result in impairment of our business reputation, withdrawal of clinical trial participants, costs due to related litigation, distraction of management’s attention from our primary business, initiation of investigations by regulators, substantial monetary awards to patients or other claimants, the inability to commercialize our product candidates and decreased demand for our product candidates, if approved for commercial sale.</w:t>
      </w:r>
    </w:p>
    <w:p>
      <w:pPr>
        <w:spacing w:after="0" w:line="81" w:lineRule="exact"/>
        <w:rPr>
          <w:sz w:val="20"/>
          <w:szCs w:val="20"/>
          <w:color w:val="auto"/>
        </w:rPr>
      </w:pPr>
    </w:p>
    <w:p>
      <w:pPr>
        <w:ind w:right="140" w:firstLine="518"/>
        <w:spacing w:after="0" w:line="282" w:lineRule="auto"/>
        <w:rPr>
          <w:sz w:val="20"/>
          <w:szCs w:val="20"/>
          <w:color w:val="auto"/>
        </w:rPr>
      </w:pPr>
      <w:r>
        <w:rPr>
          <w:rFonts w:ascii="Times New Roman" w:cs="Times New Roman" w:eastAsia="Times New Roman" w:hAnsi="Times New Roman"/>
          <w:sz w:val="18"/>
          <w:szCs w:val="18"/>
          <w:color w:val="auto"/>
        </w:rPr>
        <w:t>Additionally, if one or more of our product candidates receives marketing approval, and we or others later identify undesirable side effects or adverse events caused by such products, a number of potentially significant negative consequences could result, including but not limited to:</w:t>
      </w:r>
    </w:p>
    <w:p>
      <w:pPr>
        <w:spacing w:after="0" w:line="54" w:lineRule="exact"/>
        <w:rPr>
          <w:sz w:val="20"/>
          <w:szCs w:val="20"/>
          <w:color w:val="auto"/>
        </w:rPr>
      </w:pPr>
    </w:p>
    <w:p>
      <w:pPr>
        <w:ind w:left="640" w:hanging="119"/>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approvals of such product;</w:t>
      </w:r>
    </w:p>
    <w:p>
      <w:pPr>
        <w:spacing w:after="0" w:line="117"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label;</w:t>
      </w:r>
    </w:p>
    <w:p>
      <w:pPr>
        <w:spacing w:after="0" w:line="117"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the product is administered or conduct additional clinical trials or post-approval studies;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30" w:name="page31"/>
    <w:bookmarkEnd w:id="30"/>
    <w:p>
      <w:pPr>
        <w:ind w:left="640" w:right="20" w:hanging="119"/>
        <w:spacing w:after="0" w:line="282" w:lineRule="auto"/>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Risk Evaluation and Mitigation Strategy plan, which could include a medication guide outlining the risks of such side effects for distribution to patients, a communication plan for healthcare providers and/or other elements to assure safe use;</w:t>
      </w:r>
    </w:p>
    <w:p>
      <w:pPr>
        <w:spacing w:after="0" w:line="53"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 and</w:t>
      </w:r>
    </w:p>
    <w:p>
      <w:pPr>
        <w:spacing w:after="0" w:line="117"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117" w:lineRule="exact"/>
        <w:rPr>
          <w:sz w:val="20"/>
          <w:szCs w:val="20"/>
          <w:color w:val="auto"/>
        </w:rPr>
      </w:pPr>
    </w:p>
    <w:p>
      <w:pPr>
        <w:ind w:right="360" w:firstLine="518"/>
        <w:spacing w:after="0" w:line="282"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the particular product candidate, if approved, and could significantly harm our business, results of operations, and prospects.</w:t>
      </w:r>
    </w:p>
    <w:p>
      <w:pPr>
        <w:spacing w:after="0" w:line="158"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encounter difficulties enrolling patients in our clinical trials, and our clinical development activities could thereby be delayed or otherwise adversely affected.</w:t>
      </w:r>
    </w:p>
    <w:p>
      <w:pPr>
        <w:spacing w:after="0" w:line="51" w:lineRule="exact"/>
        <w:rPr>
          <w:sz w:val="20"/>
          <w:szCs w:val="20"/>
          <w:color w:val="auto"/>
        </w:rPr>
      </w:pPr>
    </w:p>
    <w:p>
      <w:pPr>
        <w:ind w:right="100" w:firstLine="518"/>
        <w:spacing w:after="0" w:line="266" w:lineRule="auto"/>
        <w:rPr>
          <w:sz w:val="20"/>
          <w:szCs w:val="20"/>
          <w:color w:val="auto"/>
        </w:rPr>
      </w:pPr>
      <w:r>
        <w:rPr>
          <w:rFonts w:ascii="Times New Roman" w:cs="Times New Roman" w:eastAsia="Times New Roman" w:hAnsi="Times New Roman"/>
          <w:sz w:val="18"/>
          <w:szCs w:val="18"/>
          <w:color w:val="auto"/>
        </w:rPr>
        <w:t>The timely completion of clinical trials in accordance with their protocols depends, among other things, on our ability to enroll a sufficient number of patients who remain in the trial until its conclusion. We may experience difficulties in patient enrollment in our clinical trials for a variety of reasons, including:</w:t>
      </w:r>
    </w:p>
    <w:p>
      <w:pPr>
        <w:spacing w:after="0" w:line="68" w:lineRule="exact"/>
        <w:rPr>
          <w:sz w:val="20"/>
          <w:szCs w:val="20"/>
          <w:color w:val="auto"/>
        </w:rPr>
      </w:pPr>
    </w:p>
    <w:p>
      <w:pPr>
        <w:ind w:left="640" w:hanging="119"/>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nature of the patient population;</w:t>
      </w:r>
    </w:p>
    <w:p>
      <w:pPr>
        <w:spacing w:after="0" w:line="117" w:lineRule="exact"/>
        <w:rPr>
          <w:rFonts w:ascii="Times New Roman" w:cs="Times New Roman" w:eastAsia="Times New Roman" w:hAnsi="Times New Roman"/>
          <w:sz w:val="18"/>
          <w:szCs w:val="18"/>
          <w:color w:val="auto"/>
        </w:rPr>
      </w:pPr>
    </w:p>
    <w:p>
      <w:pPr>
        <w:ind w:left="640" w:hanging="119"/>
        <w:spacing w:after="0" w:line="266" w:lineRule="auto"/>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eligibility criteria defined in the protocol, including certain highly-specific criteria related to stage of disease progression, which may limit the patient populations eligible for our clinical trials to a greater extent than competing clinical trials for the same indication that do not have such patient eligibility criteria;</w:t>
      </w:r>
    </w:p>
    <w:p>
      <w:pPr>
        <w:spacing w:after="0" w:line="68"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study population required for analysis of the trial’s primary endpoints;</w:t>
      </w:r>
    </w:p>
    <w:p>
      <w:pPr>
        <w:spacing w:after="0" w:line="117"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of patients to a trial site;</w:t>
      </w:r>
    </w:p>
    <w:p>
      <w:pPr>
        <w:spacing w:after="0" w:line="117"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trial;</w:t>
      </w:r>
    </w:p>
    <w:p>
      <w:pPr>
        <w:spacing w:after="0" w:line="117"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clinical trial investigators with the appropriate competencies and experience;</w:t>
      </w:r>
    </w:p>
    <w:p>
      <w:pPr>
        <w:spacing w:after="0" w:line="117"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clinical trials for similar therapies or targeting patient populations meeting our patient eligibility criteria;</w:t>
      </w:r>
    </w:p>
    <w:p>
      <w:pPr>
        <w:spacing w:after="0" w:line="117" w:lineRule="exact"/>
        <w:rPr>
          <w:rFonts w:ascii="Times New Roman" w:cs="Times New Roman" w:eastAsia="Times New Roman" w:hAnsi="Times New Roman"/>
          <w:sz w:val="18"/>
          <w:szCs w:val="18"/>
          <w:color w:val="auto"/>
        </w:rPr>
      </w:pPr>
    </w:p>
    <w:p>
      <w:pPr>
        <w:ind w:left="640" w:right="660" w:hanging="119"/>
        <w:spacing w:after="0" w:line="282" w:lineRule="auto"/>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clinicians’ and patients’ perceptions as to the potential advantages and side effects of the product candidate being studied in relation to other available therapies and product candidates;</w:t>
      </w:r>
    </w:p>
    <w:p>
      <w:pPr>
        <w:spacing w:after="0" w:line="53"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patient consents; and</w:t>
      </w:r>
    </w:p>
    <w:p>
      <w:pPr>
        <w:spacing w:after="0" w:line="117"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patients enrolled in clinical trials will not complete such trials, for any reason.</w:t>
      </w:r>
    </w:p>
    <w:p>
      <w:pPr>
        <w:spacing w:after="0" w:line="117"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For example, because patients with early stages of DR often lack symptoms, it may be challenging to identify and enroll patients at early stages of disease that may be required for a clinical trial. Our inability to enroll a sufficient number of patients for our clinical trials could result in significant delays or may require us to abandon one or more clinical trials altogether. Enrollment delays in our clinical trials may result in increased development costs for our product candidates, delay or halt the development of and approval processes for our product candidates and jeopardize our ability to commence sales of and generate revenues from our product candidates, which may harm our business and results of operation.</w:t>
      </w:r>
    </w:p>
    <w:p>
      <w:pPr>
        <w:spacing w:after="0" w:line="180"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clinical trials may fail to demonstrate substantial evidence of the safety and efficacy or durability of our product candidates, which would prevent, delay or limit the scope of regulatory approval and commercialization.</w:t>
      </w:r>
    </w:p>
    <w:p>
      <w:pPr>
        <w:spacing w:after="0" w:line="51"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Before obtaining regulatory approvals for the commercial sale of any of our product candidates, we must demonstrate through lengthy, complex and expensive preclinical studies and clinical trials that our product candidates are both safe and effective for use in each target indication. For those product candidates that are subject to regulation as biological drug products, we will need to demonstrate that they are safe, pure, and potent for use in their target indications. Each product candidate must demonstrate an adequate risk versus benefit profile in its intended patient population and for its intended use. This is especially true for anti-VEGF biologic agents where Lucentis and EYLEA are established products with accepted safety profiles.</w:t>
      </w:r>
    </w:p>
    <w:p>
      <w:pPr>
        <w:spacing w:after="0" w:line="76"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Clinical testing is expensive and can take many years to complete, and its outcome is inherently uncertain. Failure can occur at any time during the clinical trial process. The results of preclinical studies of our product candidates may not be predictive of the results of early-stage or later-stage clinical trials, and results of early clinical trials of our product candidates may not be predictive of the results of later-stage clinical trials. The results of clinical trials in one set of patients or disease indications may not be predictive of those obtained in another. In some instances, there can be significant variability in safety, efficacy or durability results between different clinical trials of the same product candidate due to numerous factors, including changes in trial procedures set forth in protocols, differences in the size and type of the patient populations, changes in and adherence to the dosing regimen and other clinical trial protocols and the rate of dropout among clinical trial participants. Product candidates in later stages of clinical trials may fail to show the desired safety, efficacy and durability profile despite having progressed through preclinical studies and initial clinical trials. A number of companies in the biopharmaceutical industry have suffered significant setbacks in advanced clinical trials due to lack of efficacy or unacceptable safety issues, notwithstanding promising results in earlier trials. Most product candidates that begin clinical trials are never approved by regulatory authorities for commercialization.</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31" w:name="page32"/>
    <w:bookmarkEnd w:id="31"/>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We may be unable to design and execute clinical trials that support marketing approval. We cannot be certain that our planned clinical trials or any other future clinical trials will be successful. Additionally, any safety concerns observed in any one of our clinical trials in our targeted indications could limit the prospects for regulatory approval of our product candidates in those and other indications, which could have a material adverse effect on our business, financial condition and results of operations.</w:t>
      </w:r>
    </w:p>
    <w:p>
      <w:pPr>
        <w:spacing w:after="0" w:line="72" w:lineRule="exact"/>
        <w:rPr>
          <w:sz w:val="20"/>
          <w:szCs w:val="20"/>
          <w:color w:val="auto"/>
        </w:rPr>
      </w:pPr>
    </w:p>
    <w:p>
      <w:pPr>
        <w:ind w:right="40" w:firstLine="518"/>
        <w:spacing w:after="0" w:line="256" w:lineRule="auto"/>
        <w:rPr>
          <w:sz w:val="20"/>
          <w:szCs w:val="20"/>
          <w:color w:val="auto"/>
        </w:rPr>
      </w:pPr>
      <w:r>
        <w:rPr>
          <w:rFonts w:ascii="Times New Roman" w:cs="Times New Roman" w:eastAsia="Times New Roman" w:hAnsi="Times New Roman"/>
          <w:sz w:val="18"/>
          <w:szCs w:val="18"/>
          <w:color w:val="auto"/>
        </w:rPr>
        <w:t>In addition, even if such clinical trials are successfully completed, we cannot guarantee that the FDA or foreign regulatory authorities will interpret the results as we do, and more trials could be required before we submit our product candidates for approval. To the extent that the results of the trials are not satisfactory to the FDA or foreign regulatory authorities for support of a marketing application, we may be required to expend significant resources, which may not be available to us, to conduct additional trials in support of potential approval of our product candidates. Even if regulatory approval is secured for any of our product candidates, the terms of such approval may limit the scope and use of our product candidate, which may also limit its commercial potential.</w:t>
      </w:r>
    </w:p>
    <w:p>
      <w:pPr>
        <w:spacing w:after="0" w:line="184"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continue to create a pipeline of product candidates or to develop commercially successful products. If we fail to successfully identify and develop additional product candidates, our commercial opportunity may be limited.</w:t>
      </w:r>
    </w:p>
    <w:p>
      <w:pPr>
        <w:spacing w:after="0" w:line="51"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One of our strategies is to identify and pursue clinical development of additional product candidates through our ABC Platform. Our ABC Platform may not produce a pipeline of viable product candidates, or our competitors may develop platform technologies that render our ABC Platform obsolete or less attractive. Our research methodology may be unsuccessful in identifying potential product candidates, or our potential product candidates may be shown to have harmful side effects or may have other characteristics that may make them unmarketable or unlikely to receive marketing approval. Identifying, developing, obtaining regulatory approval and commercializing additional product candidates for the treatment of retinal diseases will require substantial additional funding and is prone to the risks of failure inherent in drug development. If we are unable to successfully identify, acquire, develop and commercialize additional product candidates, our commercial opportunity may be limited.</w:t>
      </w:r>
    </w:p>
    <w:p>
      <w:pPr>
        <w:spacing w:after="0" w:line="185"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in an environment of rapid technological and scientific change, and there is a possibility that our competitors may retain their market share with existing drugs, or achieve regulatory approval before us or develop therapies that are safer, more advanced or more effective than ours, which may negatively impact our ability to successfully market or commercialize any product candidates we may develop and ultimately harm our financial condition.</w:t>
      </w:r>
    </w:p>
    <w:p>
      <w:pPr>
        <w:spacing w:after="0" w:line="73"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The development and commercialization of new drug products is highly competitive. We may face competition with respect to any product candidates that we seek to develop or commercialize in the future from major pharmaceutical companies, specialty 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72" w:lineRule="exact"/>
        <w:rPr>
          <w:sz w:val="20"/>
          <w:szCs w:val="20"/>
          <w:color w:val="auto"/>
        </w:rPr>
      </w:pPr>
    </w:p>
    <w:p>
      <w:pPr>
        <w:ind w:right="60" w:firstLine="518"/>
        <w:spacing w:after="0" w:line="255" w:lineRule="auto"/>
        <w:rPr>
          <w:sz w:val="20"/>
          <w:szCs w:val="20"/>
          <w:color w:val="auto"/>
        </w:rPr>
      </w:pPr>
      <w:r>
        <w:rPr>
          <w:rFonts w:ascii="Times New Roman" w:cs="Times New Roman" w:eastAsia="Times New Roman" w:hAnsi="Times New Roman"/>
          <w:sz w:val="18"/>
          <w:szCs w:val="18"/>
          <w:color w:val="auto"/>
        </w:rPr>
        <w:t>There are a number of large pharmaceutical and biotechnology companies that are currently pursuing the development of products for the treatment of the retinal disease indications for which we have product candidates, including wet AMD and DME/DR. Certain of our competitors have commercially approved products for the treatment of retinal diseases that we are pursuing or may pursue in the future, including Roche and Regeneron for the treatment of wet AMD and DME/DR. These drugs are well established therapies and are widely accepted by physicians, patients and third-party payors, which may make it difficult to convince these parties to switch to KSI-301. Companies that we are aware are developing therapeutics in the retinal disease area include large companies with significant financial resources, such as Roche, Novartis, Bayer and Regeneron, Allergan, Mylan and Momenta. In addition to competition from other companies targeting retinal indications, any products we may develop may also face competition from other types of therapies, such as gene-editing therapies and drug delivery devices.</w:t>
      </w:r>
    </w:p>
    <w:p>
      <w:pPr>
        <w:spacing w:after="0" w:line="77"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Many of our current or potential competitors, either alone or with their strategic partners,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product candidates. Our commercial opportunity could be reduced or eliminated if our competitors develop and commercialize products that are safer, more effective, have fewer or less severe side effects, are more convenient, or are less expensive than any products that we may develop. Furthermore, currently approved products could be discovered to have application for treatment of retinal disease indications, which could give such products significant regulatory and market timing advantages over any of our product candidates. Our competitors also may obtain FDA, EMA, CDA or other regulatory approval for their products more rapidly than we may obtain approval for ours. Additionally, products or technologies developed by our competitors may render our potential product candidates uneconomical or obsolete, and we may not be successful in marketing any product candidates we may develop against competitors.</w:t>
      </w:r>
    </w:p>
    <w:p>
      <w:pPr>
        <w:spacing w:after="0" w:line="81" w:lineRule="exact"/>
        <w:rPr>
          <w:sz w:val="20"/>
          <w:szCs w:val="20"/>
          <w:color w:val="auto"/>
        </w:rPr>
      </w:pPr>
    </w:p>
    <w:p>
      <w:pPr>
        <w:jc w:val="both"/>
        <w:ind w:right="100" w:firstLine="518"/>
        <w:spacing w:after="0" w:line="289" w:lineRule="auto"/>
        <w:rPr>
          <w:sz w:val="20"/>
          <w:szCs w:val="20"/>
          <w:color w:val="auto"/>
        </w:rPr>
      </w:pPr>
      <w:r>
        <w:rPr>
          <w:rFonts w:ascii="Times New Roman" w:cs="Times New Roman" w:eastAsia="Times New Roman" w:hAnsi="Times New Roman"/>
          <w:sz w:val="17"/>
          <w:szCs w:val="17"/>
          <w:color w:val="auto"/>
        </w:rPr>
        <w:t>In addition, we could face litigation or other proceedings with respect to the scope, ownership, validity and/or enforceability of our patents relating to our competitors’ products and our competitors may allege that our products infringe, misappropriate or otherwise violate their intellectual property. For more information regarding potential disputes concerning intellectual property, see the subsection of this report titled “Risks Related to Our Intellectual Property.”</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i w:val="1"/>
          <w:iCs w:val="1"/>
          <w:color w:val="auto"/>
        </w:rPr>
        <w:t>The manufacture of our product candidates is highly complex and requires substantial lead time to produce.</w:t>
      </w:r>
    </w:p>
    <w:p>
      <w:pPr>
        <w:spacing w:after="0" w:line="121" w:lineRule="exact"/>
        <w:rPr>
          <w:sz w:val="20"/>
          <w:szCs w:val="20"/>
          <w:color w:val="auto"/>
        </w:rPr>
      </w:pPr>
    </w:p>
    <w:p>
      <w:pPr>
        <w:ind w:right="140" w:firstLine="518"/>
        <w:spacing w:after="0" w:line="258" w:lineRule="auto"/>
        <w:rPr>
          <w:sz w:val="20"/>
          <w:szCs w:val="20"/>
          <w:color w:val="auto"/>
        </w:rPr>
      </w:pPr>
      <w:r>
        <w:rPr>
          <w:rFonts w:ascii="Times New Roman" w:cs="Times New Roman" w:eastAsia="Times New Roman" w:hAnsi="Times New Roman"/>
          <w:sz w:val="18"/>
          <w:szCs w:val="18"/>
          <w:color w:val="auto"/>
        </w:rPr>
        <w:t>Manufacturing our product candidates involves complex processes, including developing cells or cell systems to produce the biologic, growing large quantities of such cells, and harvesting and purifying the biologic produced by them. These processes require specialized facilities, highly specific raw materials and other production constraints. As a result, the cost to manufacture a biologic is generally far higher than traditional small molecule chemical compounds, and the biologics manufacturing process is less reliable and is difficult to reproduce. Because of the complex nature of our products, we need to oversee manufacture of multiple components that require a diverse knowledge base and specialized personnel.</w:t>
      </w:r>
    </w:p>
    <w:p>
      <w:pPr>
        <w:spacing w:after="0" w:line="76" w:lineRule="exact"/>
        <w:rPr>
          <w:sz w:val="20"/>
          <w:szCs w:val="20"/>
          <w:color w:val="auto"/>
        </w:rPr>
      </w:pPr>
    </w:p>
    <w:p>
      <w:pPr>
        <w:ind w:right="100" w:firstLine="518"/>
        <w:spacing w:after="0" w:line="261" w:lineRule="auto"/>
        <w:rPr>
          <w:sz w:val="20"/>
          <w:szCs w:val="20"/>
          <w:color w:val="auto"/>
        </w:rPr>
      </w:pPr>
      <w:r>
        <w:rPr>
          <w:rFonts w:ascii="Times New Roman" w:cs="Times New Roman" w:eastAsia="Times New Roman" w:hAnsi="Times New Roman"/>
          <w:sz w:val="18"/>
          <w:szCs w:val="18"/>
          <w:color w:val="auto"/>
        </w:rPr>
        <w:t>Moreover, unlike chemical pharmaceuticals, the physical and chemical properties of a biologic such as our product candidates generally cannot be adequately characterized prior to manufacturing the final product. As a result, an assay of the finished product is not sufficient to ensure that the product will perform in the intended manner. Accordingly, we expect to employ multiple steps to attempt to control our manufacturing process to assure that the process works and the product or product candidate is made strictly and consistently in compliance with the process</w:t>
      </w:r>
    </w:p>
    <w:p>
      <w:pPr>
        <w:spacing w:after="0" w:line="72"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Manufacturing biologics is highly susceptible to product loss due to contamination, equipment failure, improper installation or operation of equipment, vendor or operator error, improper storage or transfer, inconsistency in yields and variability in product characteristics. Even minor deviations from normal manufacturing, distribution or storage processes could result in reduced production yields, product defects and other supply disruptions. Some of the raw materials required in our manufacturing process are derived from biological sources. Such raw materials are difficult to procure and may also be subject to contamination or recall. A material shortage, contamination, recall or restriction on the use of biologically derived substances in the manufacture of our product candidates could adversely impact or disrupt commercialization. Production of additional drug substance and drug product for any of our product candidates may require substantial lead time. For example, currently any new large-scale batches of KSI-301 would require at least 12 months to manufacture. In the event of significant product loss and materials shortages, we may be unable to produce adequate amounts of our product candidates or products for our operational needs.</w:t>
      </w:r>
    </w:p>
    <w:p>
      <w:pPr>
        <w:spacing w:after="0" w:line="81" w:lineRule="exact"/>
        <w:rPr>
          <w:sz w:val="20"/>
          <w:szCs w:val="20"/>
          <w:color w:val="auto"/>
        </w:rPr>
      </w:pPr>
    </w:p>
    <w:p>
      <w:pPr>
        <w:ind w:right="220" w:firstLine="518"/>
        <w:spacing w:after="0" w:line="261" w:lineRule="auto"/>
        <w:rPr>
          <w:sz w:val="20"/>
          <w:szCs w:val="20"/>
          <w:color w:val="auto"/>
        </w:rPr>
      </w:pPr>
      <w:r>
        <w:rPr>
          <w:rFonts w:ascii="Times New Roman" w:cs="Times New Roman" w:eastAsia="Times New Roman" w:hAnsi="Times New Roman"/>
          <w:sz w:val="18"/>
          <w:szCs w:val="18"/>
          <w:color w:val="auto"/>
        </w:rPr>
        <w:t>Further, as product candidates are developed through preclinical studies to late-stage clinical trials towards approval and commercialization, it is common that various aspects of the development program, such as manufacturing methods, are altered along the way in an effort to optimize processes and results. Such changes carry the risk that they will not achieve these intended objectives, and any of these changes could cause our product candidates to perform differently and affect the results of planned clinical trials or other future clinical trials.</w:t>
      </w:r>
    </w:p>
    <w:p>
      <w:pPr>
        <w:spacing w:after="0" w:line="72" w:lineRule="exact"/>
        <w:rPr>
          <w:sz w:val="20"/>
          <w:szCs w:val="20"/>
          <w:color w:val="auto"/>
        </w:rPr>
      </w:pPr>
    </w:p>
    <w:p>
      <w:pPr>
        <w:ind w:right="60" w:firstLine="518"/>
        <w:spacing w:after="0" w:line="282" w:lineRule="auto"/>
        <w:rPr>
          <w:sz w:val="20"/>
          <w:szCs w:val="20"/>
          <w:color w:val="auto"/>
        </w:rPr>
      </w:pPr>
      <w:r>
        <w:rPr>
          <w:rFonts w:ascii="Times New Roman" w:cs="Times New Roman" w:eastAsia="Times New Roman" w:hAnsi="Times New Roman"/>
          <w:sz w:val="18"/>
          <w:szCs w:val="18"/>
          <w:color w:val="auto"/>
        </w:rPr>
        <w:t>These challenges are magnified by the international nature of our supply chain, which, for KSI-301, requires drug substance and drug product sourced from single source suppliers from China, Japan, the United Kingdom, and Switzerland.</w:t>
      </w:r>
    </w:p>
    <w:p>
      <w:pPr>
        <w:spacing w:after="0" w:line="158" w:lineRule="exact"/>
        <w:rPr>
          <w:sz w:val="20"/>
          <w:szCs w:val="20"/>
          <w:color w:val="auto"/>
        </w:rPr>
      </w:pPr>
    </w:p>
    <w:p>
      <w:pPr>
        <w:jc w:val="both"/>
        <w:ind w:right="34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We have no experience manufacturing any of our product candidates at a commercial scale. If we or any of our third-party manufacturers encounter difficulties in production, or fail to meet rigorously enforced regulatory standards, our ability to provide supply of our product candidates for clinical trials or our products for patients, if approved, could be delayed or stopped, or we may be unable to establish a commercially viable cost structure.</w:t>
      </w:r>
    </w:p>
    <w:p>
      <w:pPr>
        <w:spacing w:after="0" w:line="49"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In order to conduct clinical trials of our product candidates, or supply commercial products, if approved, we will need to manufacture them in small and large quantities. Our third-party manufacturer has made only a limited number of lots of KSI-301 to date and has not made any commercial lots. The manufacturing processes for KSI-301 have never been tested at commercial scale and the process validation requirement (the requirement to consistently produce the active pharmaceutical ingredient used in KSI-301 in commercial quantities and of specified quality on a repeated basis and document its ability to do so) has not yet been satisfied. Our manufacturing partners may be unable to successfully increase the manufacturing capacity for any of our product candidates in a timely or cost-effective manner, or at all. In addition, quality issues may arise during scale-up activities. If our manufacturing partners are unable to successfully scale up the manufacture of our product candidates in sufficient quality and quantity, the development, testing and clinical trials of our product candidates may be delayed or become infeasible, and regulatory approval or commercial launch of any resulting product may be delayed or not obtained, which could significantly harm our business. The same risks would apply to any internal manufacturing facilities, should we in the future decide to build internal manufacturing capacity.</w:t>
      </w:r>
    </w:p>
    <w:p>
      <w:pPr>
        <w:spacing w:after="0" w:line="78" w:lineRule="exact"/>
        <w:rPr>
          <w:sz w:val="20"/>
          <w:szCs w:val="20"/>
          <w:color w:val="auto"/>
        </w:rPr>
      </w:pPr>
    </w:p>
    <w:p>
      <w:pPr>
        <w:ind w:right="40" w:firstLine="518"/>
        <w:spacing w:after="0" w:line="254" w:lineRule="auto"/>
        <w:rPr>
          <w:sz w:val="20"/>
          <w:szCs w:val="20"/>
          <w:color w:val="auto"/>
        </w:rPr>
      </w:pPr>
      <w:r>
        <w:rPr>
          <w:rFonts w:ascii="Times New Roman" w:cs="Times New Roman" w:eastAsia="Times New Roman" w:hAnsi="Times New Roman"/>
          <w:sz w:val="18"/>
          <w:szCs w:val="18"/>
          <w:color w:val="auto"/>
        </w:rPr>
        <w:t>In addition, the manufacturing process for any products that we may develop is subject to FDA, EMA, CDA and foreign regulatory authority approval processes and continuous oversight. We will need to contract with manufacturers who can meet all applicable FDA, EMA, CDA and foreign regulatory authority requirements, including complying with current good manufacturing practices, or cGMPs, on an ongoing basis. If we or our third-party manufacturers are unable to reliably produce products to specifications acceptable to the FDA, EMA, CDA or other regulatory authorities, we may not obtain or maintain the approvals we need to commercialize such products. Even if we obtain regulatory approval for any of our product candidates, there is no assurance that either we or our CMOs will be able to manufacture the approved product to specifications acceptable to the FDA, EMA, CDA or other regulatory authorities, to produce it in sufficient quantities to meet the requirements for the potential launch of the product, or to meet potential future demand. Any of these challenges could delay completion of clinical trials, require bridging clinical trials or the repetition of one or more clinical trials, increase clinical trial costs, delay approval of our product candidate, impair commercialization efforts, increase our cost of goods, and have an adverse effect on our business, financial condition, results of operations and growth prospects.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49" w:right="259" w:bottom="1440" w:gutter="0" w:footer="0" w:header="0"/>
        </w:sectPr>
      </w:pPr>
    </w:p>
    <w:bookmarkStart w:id="33" w:name="page34"/>
    <w:bookmarkEnd w:id="33"/>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in the future, we are unable to establish sales and marketing capabilities or enter into agreements with third parties to sell and market any product candidates we may develop, we may not be successful in commercializing those product candidates if and when they are approved.</w:t>
      </w:r>
    </w:p>
    <w:p>
      <w:pPr>
        <w:spacing w:after="0" w:line="51" w:lineRule="exact"/>
        <w:rPr>
          <w:sz w:val="20"/>
          <w:szCs w:val="20"/>
          <w:color w:val="auto"/>
        </w:rPr>
      </w:pPr>
    </w:p>
    <w:p>
      <w:pPr>
        <w:ind w:right="100" w:firstLine="518"/>
        <w:spacing w:after="0" w:line="261" w:lineRule="auto"/>
        <w:rPr>
          <w:sz w:val="20"/>
          <w:szCs w:val="20"/>
          <w:color w:val="auto"/>
        </w:rPr>
      </w:pPr>
      <w:r>
        <w:rPr>
          <w:rFonts w:ascii="Times New Roman" w:cs="Times New Roman" w:eastAsia="Times New Roman" w:hAnsi="Times New Roman"/>
          <w:sz w:val="18"/>
          <w:szCs w:val="18"/>
          <w:color w:val="auto"/>
        </w:rPr>
        <w:t>We do not have a sales or marketing infrastructure and have no experience in the sale, marketing or distribution of pharmaceutical products. To achieve commercial success for any approved product for which we retain sales and marketing responsibilities, we must either develop a sales and marketing organization or outsource these functions to third parties. In the future, we may choose to build a focused sales, marketing and commercial support infrastructure to sell, or participate in sales activities with our collaborators for, some of our product candidates if and when they are approved.</w:t>
      </w:r>
    </w:p>
    <w:p>
      <w:pPr>
        <w:spacing w:after="0" w:line="72"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There are risks involved with both establishing our own commercial capabilities and entering into arrangements with third parties to perform these services. For example, recruiting and training a sales force or reimbursement specialists is expensive and time consuming and could delay any product launch. If the commercial launch of a product candidate for which we recruit a sales force and establish marketing and other commercialization capabilities is delayed or does not occur for any reason, we would have prematurely or unnecessarily incurred these commercialization expenses. This may be costly, and our investment would be lost if we cannot retain or reposition our commercialization personnel.</w:t>
      </w:r>
    </w:p>
    <w:p>
      <w:pPr>
        <w:spacing w:after="0" w:line="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Factors that may inhibit our efforts to commercialize any approved product on our own include:</w:t>
      </w:r>
    </w:p>
    <w:p>
      <w:pPr>
        <w:spacing w:after="0" w:line="117" w:lineRule="exact"/>
        <w:rPr>
          <w:sz w:val="20"/>
          <w:szCs w:val="20"/>
          <w:color w:val="auto"/>
        </w:rPr>
      </w:pPr>
    </w:p>
    <w:p>
      <w:pPr>
        <w:ind w:left="640" w:right="60" w:hanging="119"/>
        <w:spacing w:after="0" w:line="282" w:lineRule="auto"/>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and retain adequate numbers of effective sales, marketing, reimbursement, customer service, medical affairs and other support personnel;</w:t>
      </w:r>
    </w:p>
    <w:p>
      <w:pPr>
        <w:spacing w:after="0" w:line="53"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physicians or persuade adequate numbers of physicians to prescribe any future approved products;</w:t>
      </w:r>
    </w:p>
    <w:p>
      <w:pPr>
        <w:spacing w:after="0" w:line="117"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reimbursement professionals to negotiate arrangements for formulary access, reimbursement, and other acceptance by payors;</w:t>
      </w:r>
    </w:p>
    <w:p>
      <w:pPr>
        <w:spacing w:after="0" w:line="117"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price our products at a sufficient price point to ensure an adequate and attractive level of profitability;</w:t>
      </w:r>
    </w:p>
    <w:p>
      <w:pPr>
        <w:spacing w:after="0" w:line="117"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or closed distribution channels that make it difficult to distribute our products to segments of the patient population;</w:t>
      </w:r>
    </w:p>
    <w:p>
      <w:pPr>
        <w:spacing w:after="0" w:line="117" w:lineRule="exact"/>
        <w:rPr>
          <w:rFonts w:ascii="Times New Roman" w:cs="Times New Roman" w:eastAsia="Times New Roman" w:hAnsi="Times New Roman"/>
          <w:sz w:val="18"/>
          <w:szCs w:val="18"/>
          <w:color w:val="auto"/>
        </w:rPr>
      </w:pPr>
    </w:p>
    <w:p>
      <w:pPr>
        <w:ind w:left="640" w:right="360" w:hanging="119"/>
        <w:spacing w:after="0" w:line="282" w:lineRule="auto"/>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 and</w:t>
      </w:r>
    </w:p>
    <w:p>
      <w:pPr>
        <w:spacing w:after="0" w:line="53"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commercialization organization.</w:t>
      </w:r>
    </w:p>
    <w:p>
      <w:pPr>
        <w:spacing w:after="0" w:line="117"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If we enter into arrangements with third parties to perform sales, marketing, commercial support and distribution services, our product revenue or the profitability of product revenue may be lower than if we were to market and sell any products we may develop ourselves. In addition, we may not be successful in entering into arrangements with third parties to commercialize our product candidates or may be unable to do so on terms that are favorable to us. We may have little control over such third parties, and any of them may fail to devote the necessary resources and attention to sell and market our products effectively. If we do not establish commercialization capabilities successfully, either on our own or in collaboration with third parties, we will not be successful in commercializing our product candidates if approved.</w:t>
      </w:r>
    </w:p>
    <w:p>
      <w:pPr>
        <w:spacing w:after="0" w:line="184"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any product candidates we develop receive marketing approval, they may fail to achieve the degree of market acceptance by physicians, patients, healthcare payors and others in the medical community necessary for commercial success.</w:t>
      </w:r>
    </w:p>
    <w:p>
      <w:pPr>
        <w:spacing w:after="0" w:line="51"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The commercial success of any of our product candidates will depend upon its degree of market acceptance by physicians, patients, third-party payors and others in the medical community. Even if any product candidates we may develop receive marketing approval, they may nonetheless fail to gain sufficient market acceptance by physicians, patients, healthcare payors, and others in the medical community. The degree of market acceptance of any product candidates we may develop, if approved for commercial sale, will depend on a number of factors, including:</w:t>
      </w:r>
    </w:p>
    <w:p>
      <w:pPr>
        <w:spacing w:after="0" w:line="72" w:lineRule="exact"/>
        <w:rPr>
          <w:sz w:val="20"/>
          <w:szCs w:val="20"/>
          <w:color w:val="auto"/>
        </w:rPr>
      </w:pPr>
    </w:p>
    <w:p>
      <w:pPr>
        <w:ind w:left="640" w:hanging="119"/>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of such product candidates as demonstrated in pivotal clinical trials and published in peer-reviewed journals;</w:t>
      </w:r>
    </w:p>
    <w:p>
      <w:pPr>
        <w:spacing w:after="0" w:line="117"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compared to alternative treatments;</w:t>
      </w:r>
    </w:p>
    <w:p>
      <w:pPr>
        <w:spacing w:after="0" w:line="117"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offer our products for sale at competitive prices;</w:t>
      </w:r>
    </w:p>
    <w:p>
      <w:pPr>
        <w:spacing w:after="0" w:line="117"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offer appropriate patient access programs, such as co-pay assistance;</w:t>
      </w:r>
    </w:p>
    <w:p>
      <w:pPr>
        <w:spacing w:after="0" w:line="117"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physicians recommend our products to their patients;</w:t>
      </w:r>
    </w:p>
    <w:p>
      <w:pPr>
        <w:spacing w:after="0" w:line="117"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convenience and ease of dosing and administration compared to alternative treatments;</w:t>
      </w:r>
    </w:p>
    <w:p>
      <w:pPr>
        <w:spacing w:after="0" w:line="117"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 candidate is approved by FDA, EMA, CDA or other regulatory agencies;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34" w:name="page35"/>
    <w:bookmarkEnd w:id="34"/>
    <w:p>
      <w:pPr>
        <w:ind w:left="640" w:right="820" w:hanging="119"/>
        <w:spacing w:after="0" w:line="282" w:lineRule="auto"/>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labeling or product insert requirements of the FDA, EMA, CDA or other comparable foreign regulatory authorities, including any limitations, contraindications or warnings contained in a product’s approved labeling;</w:t>
      </w:r>
    </w:p>
    <w:p>
      <w:pPr>
        <w:spacing w:after="0" w:line="53"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how the product is distributed;</w:t>
      </w:r>
    </w:p>
    <w:p>
      <w:pPr>
        <w:spacing w:after="0" w:line="117"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competitive products;</w:t>
      </w:r>
    </w:p>
    <w:p>
      <w:pPr>
        <w:spacing w:after="0" w:line="117"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concerning our products or competing products and treatments;</w:t>
      </w:r>
    </w:p>
    <w:p>
      <w:pPr>
        <w:spacing w:after="0" w:line="117"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and distribution support;</w:t>
      </w:r>
    </w:p>
    <w:p>
      <w:pPr>
        <w:spacing w:after="0" w:line="117"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sufficient third-party coverage or reimbursement; and</w:t>
      </w:r>
    </w:p>
    <w:p>
      <w:pPr>
        <w:spacing w:after="0" w:line="117"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w:t>
      </w:r>
    </w:p>
    <w:p>
      <w:pPr>
        <w:spacing w:after="0" w:line="117" w:lineRule="exact"/>
        <w:rPr>
          <w:sz w:val="20"/>
          <w:szCs w:val="20"/>
          <w:color w:val="auto"/>
        </w:rPr>
      </w:pPr>
    </w:p>
    <w:p>
      <w:pPr>
        <w:ind w:right="200" w:firstLine="518"/>
        <w:spacing w:after="0" w:line="282" w:lineRule="auto"/>
        <w:rPr>
          <w:sz w:val="20"/>
          <w:szCs w:val="20"/>
          <w:color w:val="auto"/>
        </w:rPr>
      </w:pPr>
      <w:r>
        <w:rPr>
          <w:rFonts w:ascii="Times New Roman" w:cs="Times New Roman" w:eastAsia="Times New Roman" w:hAnsi="Times New Roman"/>
          <w:sz w:val="18"/>
          <w:szCs w:val="18"/>
          <w:color w:val="auto"/>
        </w:rPr>
        <w:t>If any product candidates we develop do not achieve an adequate level of acceptance, we may not generate significant product revenue, and we may not become profitable.</w:t>
      </w:r>
    </w:p>
    <w:p>
      <w:pPr>
        <w:spacing w:after="0" w:line="158" w:lineRule="exact"/>
        <w:rPr>
          <w:sz w:val="20"/>
          <w:szCs w:val="20"/>
          <w:color w:val="auto"/>
        </w:rPr>
      </w:pPr>
    </w:p>
    <w:p>
      <w:pPr>
        <w:ind w:right="7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are able to commercialize any product candidates, such products may become subject to unfavorable pricing regulations, third-party reimbursement practices or healthcare reform initiatives, which would harm our business.</w:t>
      </w:r>
    </w:p>
    <w:p>
      <w:pPr>
        <w:spacing w:after="0" w:line="51"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The regulations that govern marketing approvals, pricing and reimbursement for new drugs vary widely from country to country. In the United States, recently enacted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 we are able to generate from the sale of the product in that country. Adverse pricing limitations may hinder our ability to recoup our investment in one or more product candidates, even if any product candidates we may develop obtain marketing approval.</w:t>
      </w:r>
    </w:p>
    <w:p>
      <w:pPr>
        <w:spacing w:after="0" w:line="77"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Our ability to successfully commercialize any products that we may develop also will depend in part on the extent to which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medications. Government authorities currently impose mandatory discounts for certain patient groups, such as Medicare, Medicaid and Veterans Affairs, or VA, hospitals, and may seek to increase such discounts at any time. Future regulation may negatively impact the price of our products, if approved. 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that the level of reimbursement will be sufficient.</w:t>
      </w:r>
    </w:p>
    <w:p>
      <w:pPr>
        <w:spacing w:after="0" w:line="78"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Reimbursement may impact the demand for, or the price of, any product candidate for which we obtain marketing approval. In order to get reimbursement, physicians may need to show that patients have superior treatment outcomes with our products compared to standard of care drugs, including lower-priced generic versions of standard of care drugs. If reimbursement is not available or is available only at limited levels, we may not be able to successfully commercialize any product candidate for which we obtain marketing approval. In the United States, no uniform policy of coverage and reimbursement for products exists among third-party payors and coverage and reimbursement levels for products can differ significantly from payor to payor. As a result, the coverage determination process is often a time consuming and costly process that may require us to provide scientific and clinical support for the use of our products to each payor separately, with no assurance that coverage and adequate reimbursement will be applied consistently or obtained in the first instance.</w:t>
      </w:r>
    </w:p>
    <w:p>
      <w:pPr>
        <w:spacing w:after="0" w:line="77"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There may be significant delays in obtaining reimbursement for newly approved drugs, and coverage may be more limited than the purposes for which the medicine is approved by the FDA, EMA, CDA or other comparable foreign regulatory authorities.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Our inability to promptly obtain coverage and profitable payment rates from both government-funded and private payors for any approved products we may develop could have a material adverse effect on our operating results, our ability to raise capital needed to commercialize product candidates, and our overall financial condition.</w:t>
      </w:r>
    </w:p>
    <w:p>
      <w:pPr>
        <w:spacing w:after="0" w:line="1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35" w:name="page36"/>
    <w:bookmarkEnd w:id="35"/>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for which we intend to seek approval as biologic products may face competition from biological products that are biosimilar to or interchangeable with our product candidates sooner than anticipated.</w:t>
      </w:r>
    </w:p>
    <w:p>
      <w:pPr>
        <w:spacing w:after="0" w:line="51" w:lineRule="exact"/>
        <w:rPr>
          <w:sz w:val="20"/>
          <w:szCs w:val="20"/>
          <w:color w:val="auto"/>
        </w:rPr>
      </w:pPr>
    </w:p>
    <w:p>
      <w:pPr>
        <w:ind w:right="140" w:firstLine="518"/>
        <w:spacing w:after="0" w:line="255" w:lineRule="auto"/>
        <w:rPr>
          <w:sz w:val="20"/>
          <w:szCs w:val="20"/>
          <w:color w:val="auto"/>
        </w:rPr>
      </w:pPr>
      <w:r>
        <w:rPr>
          <w:rFonts w:ascii="Times New Roman" w:cs="Times New Roman" w:eastAsia="Times New Roman" w:hAnsi="Times New Roman"/>
          <w:sz w:val="18"/>
          <w:szCs w:val="18"/>
          <w:color w:val="auto"/>
        </w:rPr>
        <w:t>The Biologics Price Competition and Innovation Act of 2009, or BPCIA,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The law is complex and is still being interpreted and implemented by the FDA. As a result, its ultimate impact, implementation and meaning are subject to uncertainty.</w:t>
      </w:r>
    </w:p>
    <w:p>
      <w:pPr>
        <w:spacing w:after="0" w:line="77"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We believe that any of our product candidates approved as a biological product under a BLA should qualify for the 12-year period of exclusivity. However, there is a risk that this exclusivity could be shortened due to congressional action or otherwise, or that the FDA will not consider our product candidates to be reference products for competing products, potentially creating the opportunity for generic competition sooner than anticipated. Other aspects of the BPCIA, some of which may impact the BPCIA exclusivity provisions, have also been the subject of recent litigation.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w:t>
      </w:r>
    </w:p>
    <w:p>
      <w:pPr>
        <w:spacing w:after="0" w:line="184"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51"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We face an inherent risk of product liability as a result of the clinical testing of our product candidates and will face an even greater risk when and if we commercialize any products. For example, we may be sued if our product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testing and commercialization of our product candidates. Even successful defense would require significant financial and management resources. Regardless of the merits or eventual outcome, liability claims may result in:</w:t>
      </w:r>
    </w:p>
    <w:p>
      <w:pPr>
        <w:spacing w:after="0" w:line="81" w:lineRule="exact"/>
        <w:rPr>
          <w:sz w:val="20"/>
          <w:szCs w:val="20"/>
          <w:color w:val="auto"/>
        </w:rPr>
      </w:pPr>
    </w:p>
    <w:p>
      <w:pPr>
        <w:ind w:left="640" w:hanging="119"/>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or interrupted demand for our products;</w:t>
      </w:r>
    </w:p>
    <w:p>
      <w:pPr>
        <w:spacing w:after="0" w:line="117"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w:t>
      </w:r>
    </w:p>
    <w:p>
      <w:pPr>
        <w:spacing w:after="0" w:line="117"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 and inability to continue clinical trials;</w:t>
      </w:r>
    </w:p>
    <w:p>
      <w:pPr>
        <w:spacing w:after="0" w:line="117"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investigations by regulators;</w:t>
      </w:r>
    </w:p>
    <w:p>
      <w:pPr>
        <w:spacing w:after="0" w:line="117"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defend the related litigation;</w:t>
      </w:r>
    </w:p>
    <w:p>
      <w:pPr>
        <w:spacing w:after="0" w:line="117"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diversion of management’s time and our resources;</w:t>
      </w:r>
    </w:p>
    <w:p>
      <w:pPr>
        <w:spacing w:after="0" w:line="117"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17"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marketing or promotional restrictions;</w:t>
      </w:r>
    </w:p>
    <w:p>
      <w:pPr>
        <w:spacing w:after="0" w:line="117"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17"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exhaustion of any available insurance and our capital resources;</w:t>
      </w:r>
    </w:p>
    <w:p>
      <w:pPr>
        <w:spacing w:after="0" w:line="117"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 candidate; and</w:t>
      </w:r>
    </w:p>
    <w:p>
      <w:pPr>
        <w:spacing w:after="0" w:line="117"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our share price.</w:t>
      </w:r>
    </w:p>
    <w:p>
      <w:pPr>
        <w:spacing w:after="0" w:line="117" w:lineRule="exact"/>
        <w:rPr>
          <w:sz w:val="20"/>
          <w:szCs w:val="20"/>
          <w:color w:val="auto"/>
        </w:rPr>
      </w:pPr>
    </w:p>
    <w:p>
      <w:pPr>
        <w:ind w:right="200" w:firstLine="518"/>
        <w:spacing w:after="0" w:line="256" w:lineRule="auto"/>
        <w:rPr>
          <w:sz w:val="20"/>
          <w:szCs w:val="20"/>
          <w:color w:val="auto"/>
        </w:rPr>
      </w:pPr>
      <w:r>
        <w:rPr>
          <w:rFonts w:ascii="Times New Roman" w:cs="Times New Roman" w:eastAsia="Times New Roman" w:hAnsi="Times New Roman"/>
          <w:sz w:val="18"/>
          <w:szCs w:val="18"/>
          <w:color w:val="auto"/>
        </w:rPr>
        <w:t>Our inability to obtain sufficient product liability insurance at an acceptable cost to protect against potential product liability claims could prevent or inhibit the commercialization of products we develop, alone or with collaborators. Our insurance policies may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Approval and Other Legal Compliance Matters</w:t>
      </w:r>
    </w:p>
    <w:p>
      <w:pPr>
        <w:spacing w:after="0" w:line="117" w:lineRule="exact"/>
        <w:rPr>
          <w:sz w:val="20"/>
          <w:szCs w:val="20"/>
          <w:color w:val="auto"/>
        </w:rPr>
      </w:pPr>
    </w:p>
    <w:p>
      <w:pPr>
        <w:jc w:val="both"/>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FDA, EMA, CDA and comparable foreign regulatory authorities are lengthy, time consuming, and inherently unpredictable. If we are ultimately unable to obtain regulatory approval for our product candidates, we will be unable to generate product revenue and our business will be substantially harmed.</w:t>
      </w:r>
    </w:p>
    <w:p>
      <w:pPr>
        <w:spacing w:after="0" w:line="67"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The time required to obtain approval by the FDA, EMA, CDA and comparable foreign regulatory authorities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studies. We have not submitted for or obtained regulatory approval for any product candidate, and it is possible that none of our existing product candidates or any product candidates we may seek to develop in the future will ever obtain regulatory approval.</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Applications for our product candidates could fail to receive regulatory approval for many reasons, including but not limited to the following:</w:t>
      </w:r>
    </w:p>
    <w:p>
      <w:pPr>
        <w:spacing w:after="0" w:line="117" w:lineRule="exact"/>
        <w:rPr>
          <w:sz w:val="20"/>
          <w:szCs w:val="20"/>
          <w:color w:val="auto"/>
        </w:rPr>
      </w:pPr>
    </w:p>
    <w:p>
      <w:pPr>
        <w:ind w:left="640" w:hanging="119"/>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EMA, CDA or comparable foreign regulatory authorities may disagree with the design, implementation or results of our clinical trials;</w:t>
      </w:r>
    </w:p>
    <w:p>
      <w:pPr>
        <w:spacing w:after="0" w:line="117" w:lineRule="exact"/>
        <w:rPr>
          <w:rFonts w:ascii="Times New Roman" w:cs="Times New Roman" w:eastAsia="Times New Roman" w:hAnsi="Times New Roman"/>
          <w:sz w:val="18"/>
          <w:szCs w:val="18"/>
          <w:color w:val="auto"/>
        </w:rPr>
      </w:pPr>
    </w:p>
    <w:p>
      <w:pPr>
        <w:ind w:left="640" w:right="40" w:hanging="119"/>
        <w:spacing w:after="0" w:line="266" w:lineRule="auto"/>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EMA, CDA or comparable foreign regulatory authorities may determine that our product candidates are not safe and effective, only moderately effective or have undesirable or unintended side effects, toxicities or other characteristics that preclude our obtaining marketing approval or prevent or limit commercial use of our products;</w:t>
      </w:r>
    </w:p>
    <w:p>
      <w:pPr>
        <w:spacing w:after="0" w:line="68" w:lineRule="exact"/>
        <w:rPr>
          <w:rFonts w:ascii="Times New Roman" w:cs="Times New Roman" w:eastAsia="Times New Roman" w:hAnsi="Times New Roman"/>
          <w:sz w:val="18"/>
          <w:szCs w:val="18"/>
          <w:color w:val="auto"/>
        </w:rPr>
      </w:pPr>
    </w:p>
    <w:p>
      <w:pPr>
        <w:ind w:left="640" w:right="160" w:hanging="119"/>
        <w:spacing w:after="0" w:line="282" w:lineRule="auto"/>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population studied in the clinical program may not be sufficiently broad or representative to assure efficacy and safety in the full population for which we seek approval;</w:t>
      </w:r>
    </w:p>
    <w:p>
      <w:pPr>
        <w:spacing w:after="0" w:line="53" w:lineRule="exact"/>
        <w:rPr>
          <w:rFonts w:ascii="Times New Roman" w:cs="Times New Roman" w:eastAsia="Times New Roman" w:hAnsi="Times New Roman"/>
          <w:sz w:val="18"/>
          <w:szCs w:val="18"/>
          <w:color w:val="auto"/>
        </w:rPr>
      </w:pPr>
    </w:p>
    <w:p>
      <w:pPr>
        <w:ind w:left="640" w:right="140" w:hanging="119"/>
        <w:spacing w:after="0" w:line="282" w:lineRule="auto"/>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FDA, EMA, CDA or comparable foreign regulatory authorities that a product candidate’s risk-benefit ratio for its proposed indication, when compared to the standard of care, is acceptable;</w:t>
      </w:r>
    </w:p>
    <w:p>
      <w:pPr>
        <w:spacing w:after="0" w:line="53" w:lineRule="exact"/>
        <w:rPr>
          <w:rFonts w:ascii="Times New Roman" w:cs="Times New Roman" w:eastAsia="Times New Roman" w:hAnsi="Times New Roman"/>
          <w:sz w:val="18"/>
          <w:szCs w:val="18"/>
          <w:color w:val="auto"/>
        </w:rPr>
      </w:pPr>
    </w:p>
    <w:p>
      <w:pPr>
        <w:ind w:left="640" w:right="200" w:hanging="119"/>
        <w:spacing w:after="0" w:line="282" w:lineRule="auto"/>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EMA, CDA or comparable foreign regulatory authorities may disagree with our interpretation of data from preclinical studies or clinical trials;</w:t>
      </w:r>
    </w:p>
    <w:p>
      <w:pPr>
        <w:spacing w:after="0" w:line="53" w:lineRule="exact"/>
        <w:rPr>
          <w:rFonts w:ascii="Times New Roman" w:cs="Times New Roman" w:eastAsia="Times New Roman" w:hAnsi="Times New Roman"/>
          <w:sz w:val="18"/>
          <w:szCs w:val="18"/>
          <w:color w:val="auto"/>
        </w:rPr>
      </w:pPr>
    </w:p>
    <w:p>
      <w:pPr>
        <w:ind w:left="640" w:hanging="119"/>
        <w:spacing w:after="0" w:line="282" w:lineRule="auto"/>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product candidates may not be sufficient to support the submission of an NDA, BLA or other submission or to obtain regulatory approval in the United States or elsewhere;</w:t>
      </w:r>
    </w:p>
    <w:p>
      <w:pPr>
        <w:spacing w:after="0" w:line="53" w:lineRule="exact"/>
        <w:rPr>
          <w:rFonts w:ascii="Times New Roman" w:cs="Times New Roman" w:eastAsia="Times New Roman" w:hAnsi="Times New Roman"/>
          <w:sz w:val="18"/>
          <w:szCs w:val="18"/>
          <w:color w:val="auto"/>
        </w:rPr>
      </w:pPr>
    </w:p>
    <w:p>
      <w:pPr>
        <w:ind w:left="640" w:right="900" w:hanging="119"/>
        <w:spacing w:after="0" w:line="282" w:lineRule="auto"/>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EMA, CDA or comparable foreign regulatory authorities may fail to approve the manufacturing processes, test procedures and specifications, or facilities of third-party manufacturers with which we contract for clinical and commercial supplies; and</w:t>
      </w:r>
    </w:p>
    <w:p>
      <w:pPr>
        <w:spacing w:after="0" w:line="53" w:lineRule="exact"/>
        <w:rPr>
          <w:rFonts w:ascii="Times New Roman" w:cs="Times New Roman" w:eastAsia="Times New Roman" w:hAnsi="Times New Roman"/>
          <w:sz w:val="18"/>
          <w:szCs w:val="18"/>
          <w:color w:val="auto"/>
        </w:rPr>
      </w:pPr>
    </w:p>
    <w:p>
      <w:pPr>
        <w:ind w:left="640" w:right="400" w:hanging="119"/>
        <w:spacing w:after="0" w:line="282" w:lineRule="auto"/>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EMA, CDA or comparable foreign regulatory authorities may significantly change in a manner rendering our clinical data insufficient for approval.</w:t>
      </w:r>
    </w:p>
    <w:p>
      <w:pPr>
        <w:spacing w:after="0" w:line="54" w:lineRule="exact"/>
        <w:rPr>
          <w:sz w:val="20"/>
          <w:szCs w:val="20"/>
          <w:color w:val="auto"/>
        </w:rPr>
      </w:pPr>
    </w:p>
    <w:p>
      <w:pPr>
        <w:ind w:right="140" w:firstLine="518"/>
        <w:spacing w:after="0" w:line="282" w:lineRule="auto"/>
        <w:rPr>
          <w:sz w:val="20"/>
          <w:szCs w:val="20"/>
          <w:color w:val="auto"/>
        </w:rPr>
      </w:pPr>
      <w:r>
        <w:rPr>
          <w:rFonts w:ascii="Times New Roman" w:cs="Times New Roman" w:eastAsia="Times New Roman" w:hAnsi="Times New Roman"/>
          <w:sz w:val="18"/>
          <w:szCs w:val="18"/>
          <w:color w:val="auto"/>
        </w:rPr>
        <w:t>This lengthy approval process, as well as the unpredictability of the results of clinical trials, may result in our failing to obtain regulatory approval to market any of our product candidates, which would significantly harm our business, results of operations, and prospects.</w:t>
      </w:r>
    </w:p>
    <w:p>
      <w:pPr>
        <w:spacing w:after="0" w:line="158"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plan to conduct clinical trials for our product candidates outside the United States, and the FDA, EMA, CDA and applicable foreign regulatory authorities may not accept data from such trials.</w:t>
      </w:r>
    </w:p>
    <w:p>
      <w:pPr>
        <w:spacing w:after="0" w:line="51"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We plan to conduct one or more of our clinical trials outside the United States, including Europe, China and other foreign countries. The acceptance of study data from clinical trials conducted outside the United States or another jurisdiction by the FDA, EMA, CDA or applicable foreign regulatory authority may be subject to certain conditions. In cases where data from foreign clinical trials are intended to serve as the basis for marketing approval in the United States, the FDA will generally not approve the application on the basis of foreign data alone unless (1) the data are applicable to the U.S. population and U.S. medical practice and (2) the trials were performed by clinical investigators of recognized competence and pursuant to cGCP regulations. Additionally, the FDA’s clinical trial requirements, including sufficient size of patient populations and statistical powering, must be met. Many foreign regulatory bodies have similar approval requirements. In addition, such foreign trials would be subject to the applicable local laws of the foreign jurisdictions where the trials are conducted. There can be no assurance that the FDA, EMA, CDA or any applicable foreign regulatory authority will accept data from trials conducted outside of the United States or the applicable jurisdiction, including any trials that we may conduct in China. If the FDA, EMA, CDA or any applicable foreign regulatory authority does not accept such data, it would result in the need for additional trials, which would be costly and time-consuming, would delay aspects of our business plan and which may result in our product candidates not receiving approval or clearance for commercialization in the applicable jurisdiction.</w:t>
      </w:r>
    </w:p>
    <w:p>
      <w:pPr>
        <w:spacing w:after="0" w:line="1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49" w:right="279" w:bottom="1440" w:gutter="0" w:footer="0" w:header="0"/>
        </w:sectPr>
      </w:pPr>
    </w:p>
    <w:bookmarkStart w:id="37" w:name="page38"/>
    <w:bookmarkEnd w:id="37"/>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51"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Obtaining and maintaining regulatory approval of our product candidates in one jurisdiction does not guarantee that we will be able to obtain or maintain regulatory approval in any other jurisdiction, but a failure or delay in obtaining regulatory approval in one jurisdiction may have a negative effect on the regulatory approval process in others. For example, even if the FDA, EMA or CDA grants marketing approval of a product candidate, we would not be permitted to manufacture, market or promote the product candidate in other countries unless and until comparable regulatory authorities in foreign jurisdictions had approved the candidate for use in their countries. Approval procedures vary among jurisdictions and can involve requirements and administrative review periods different from those in the United States, including additional preclinical studies or clinical trials. There can be no assurance that any clinical trials conducted in one jurisdiction will be accepted by regulatory authorities in other jurisdictions.</w:t>
      </w:r>
    </w:p>
    <w:p>
      <w:pPr>
        <w:spacing w:after="0" w:line="81" w:lineRule="exact"/>
        <w:rPr>
          <w:sz w:val="20"/>
          <w:szCs w:val="20"/>
          <w:color w:val="auto"/>
        </w:rPr>
      </w:pPr>
    </w:p>
    <w:p>
      <w:pPr>
        <w:ind w:right="100" w:firstLine="518"/>
        <w:spacing w:after="0" w:line="261" w:lineRule="auto"/>
        <w:rPr>
          <w:sz w:val="20"/>
          <w:szCs w:val="20"/>
          <w:color w:val="auto"/>
        </w:rPr>
      </w:pPr>
      <w:r>
        <w:rPr>
          <w:rFonts w:ascii="Times New Roman" w:cs="Times New Roman" w:eastAsia="Times New Roman" w:hAnsi="Times New Roman"/>
          <w:sz w:val="18"/>
          <w:szCs w:val="18"/>
          <w:color w:val="auto"/>
        </w:rPr>
        <w:t>Obtaining foreign regulatory approvals and compliance with foreign regulatory requirements could result in significant delays, difficulties and costs for us and could delay or prevent the introduction of our products in certain countries. If we or any collaborator we work with fail to comply with the regulatory requirements in international markets or fail to receive applicable marketing approvals, our target market will be reduced and our ability to realize the full market potential of our product candidates will be harmed.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 if we obtain regulatory approval for a product candidate, our products will remain subject to extensive regulatory scrutiny.</w:t>
      </w:r>
    </w:p>
    <w:p>
      <w:pPr>
        <w:spacing w:after="0" w:line="121"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If any of our product candidates are approved, they will be subject to ongoing regulatory requirements for manufacturing, labeling, packaging, storage, advertising, promotion, sampling, record-keeping, conduct of post-marketing studies and submission of safety, efficacy and other post-market information, including both federal and state requirements in the United States and requirements of comparable foreign regulatory authorities.</w:t>
      </w:r>
    </w:p>
    <w:p>
      <w:pPr>
        <w:spacing w:after="0" w:line="68" w:lineRule="exact"/>
        <w:rPr>
          <w:sz w:val="20"/>
          <w:szCs w:val="20"/>
          <w:color w:val="auto"/>
        </w:rPr>
      </w:pPr>
    </w:p>
    <w:p>
      <w:pPr>
        <w:ind w:right="260" w:firstLine="518"/>
        <w:spacing w:after="0" w:line="258" w:lineRule="auto"/>
        <w:rPr>
          <w:sz w:val="20"/>
          <w:szCs w:val="20"/>
          <w:color w:val="auto"/>
        </w:rPr>
      </w:pPr>
      <w:r>
        <w:rPr>
          <w:rFonts w:ascii="Times New Roman" w:cs="Times New Roman" w:eastAsia="Times New Roman" w:hAnsi="Times New Roman"/>
          <w:sz w:val="18"/>
          <w:szCs w:val="18"/>
          <w:color w:val="auto"/>
        </w:rPr>
        <w:t>Manufacturers and manufacturers’ facilities are required to comply with extensive requirements imposed by the FDA, EMA, CDA and comparable foreign regulatory authorities, including ensuring that quality control and manufacturing procedures conform to cGMP regulations. As such, we and our contract manufacturers will be subject to continual review and inspections to assess compliance with cGMP and adherence to commitments made in any NDA, BLA or marketing authorization application, or MAA. Accordingly, we and others with whom we work must continue to expend time, money and effort in all areas of regulatory compliance, including manufacturing, production and quality control.</w:t>
      </w:r>
    </w:p>
    <w:p>
      <w:pPr>
        <w:spacing w:after="0" w:line="76" w:lineRule="exact"/>
        <w:rPr>
          <w:sz w:val="20"/>
          <w:szCs w:val="20"/>
          <w:color w:val="auto"/>
        </w:rPr>
      </w:pPr>
    </w:p>
    <w:p>
      <w:pPr>
        <w:ind w:firstLine="518"/>
        <w:spacing w:after="0" w:line="252" w:lineRule="auto"/>
        <w:rPr>
          <w:sz w:val="20"/>
          <w:szCs w:val="20"/>
          <w:color w:val="auto"/>
        </w:rPr>
      </w:pPr>
      <w:r>
        <w:rPr>
          <w:rFonts w:ascii="Times New Roman" w:cs="Times New Roman" w:eastAsia="Times New Roman" w:hAnsi="Times New Roman"/>
          <w:sz w:val="18"/>
          <w:szCs w:val="18"/>
          <w:color w:val="auto"/>
        </w:rPr>
        <w:t>Any regulatory approvals that we receive for our product candidates will be subject to limitations on the approved indicated uses for which the product may be marketed and promoted or to the conditions of approval (including the requirement to implement a Risk Evaluation and Mitigation Strategy), or contain requirements for potentially costly post-marketing testing. We will be required to report certain adverse reactions and production problems, if any, to the FDA, EMA, CDA and comparable foreign regulatory authorities. Any new legislation addressing drug safety issues could result in delays in product development or commercialization, or increased costs to assure compliance. The FDA and other agencies, including the Department of Justice, closely regulate and monitor the post-approval marketing and promotion of products to ensure that they are manufactured, marketed and distributed only for the approved indications and in accordance with the provisions of the approved labeling. We will have to comply with requirements concerning advertising and promotion for our products. Promotional communications with respect to prescription drugs are subject to a variety of legal and regulatory restrictions and must be consistent with the information in the product’s approved label. As such, we may not promote our products for indications or uses for which they do not have approval. The holder of an approved NDA, BLA or MAA must submit new or supplemental applications and obtain approval for certain changes to the approved product, product labeling or manufacturing process. We could also be asked to conduct post-marketing clinical trials to verify the safety and efficacy of our products in general or in specific patient subsets. If original marketing approval was obtained via the accelerated approval pathway, we could be required to conduct a successful post-marketing clinical trial to confirm clinical benefit for our products. An unsuccessful post-marketing study or failure to complete such a study could result in the withdrawal of marketing approval.</w:t>
      </w:r>
    </w:p>
    <w:p>
      <w:pPr>
        <w:spacing w:after="0" w:line="91" w:lineRule="exact"/>
        <w:rPr>
          <w:sz w:val="20"/>
          <w:szCs w:val="20"/>
          <w:color w:val="auto"/>
        </w:rPr>
      </w:pPr>
    </w:p>
    <w:p>
      <w:pPr>
        <w:ind w:right="100" w:firstLine="518"/>
        <w:spacing w:after="0" w:line="261" w:lineRule="auto"/>
        <w:rPr>
          <w:sz w:val="20"/>
          <w:szCs w:val="20"/>
          <w:color w:val="auto"/>
        </w:rPr>
      </w:pPr>
      <w:r>
        <w:rPr>
          <w:rFonts w:ascii="Times New Roman" w:cs="Times New Roman" w:eastAsia="Times New Roman" w:hAnsi="Times New Roman"/>
          <w:sz w:val="18"/>
          <w:szCs w:val="18"/>
          <w:color w:val="auto"/>
        </w:rPr>
        <w:t>If a regulatory agency discovers previously unknown problems with a product, such as adverse events of unanticipated severity or frequency, or problems with the facility where the product is manufactured, or disagrees with the promotion, marketing or labeling of a product, such regulatory agency may impose restrictions on that product or us, including requiring withdrawal of the product from the market. If we fail to comply with applicable regulatory requirements, a regulatory agency or enforcement authority may, among other things:</w:t>
      </w:r>
    </w:p>
    <w:p>
      <w:pPr>
        <w:spacing w:after="0" w:line="72" w:lineRule="exact"/>
        <w:rPr>
          <w:sz w:val="20"/>
          <w:szCs w:val="20"/>
          <w:color w:val="auto"/>
        </w:rPr>
      </w:pPr>
    </w:p>
    <w:p>
      <w:pPr>
        <w:ind w:left="640" w:hanging="119"/>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warning letters that would result in adverse publicity;</w:t>
      </w:r>
    </w:p>
    <w:p>
      <w:pPr>
        <w:spacing w:after="0" w:line="117"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civil or criminal penalties;</w:t>
      </w:r>
    </w:p>
    <w:p>
      <w:pPr>
        <w:spacing w:after="0" w:line="117"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or withdraw regulatory approvals;</w:t>
      </w:r>
    </w:p>
    <w:p>
      <w:pPr>
        <w:spacing w:after="0" w:line="117"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any of our ongoing clinical trials;</w:t>
      </w:r>
    </w:p>
    <w:p>
      <w:pPr>
        <w:spacing w:after="0" w:line="117"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approve pending applications or supplements to approved applications submitted by us;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49" w:right="259" w:bottom="1440" w:gutter="0" w:footer="0" w:header="0"/>
        </w:sectPr>
      </w:pPr>
    </w:p>
    <w:bookmarkStart w:id="38" w:name="page39"/>
    <w:bookmarkEnd w:id="38"/>
    <w:p>
      <w:pPr>
        <w:ind w:left="640" w:hanging="119"/>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restrictions on our operations, including closing our contract manufacturers’ facilities;</w:t>
      </w:r>
    </w:p>
    <w:p>
      <w:pPr>
        <w:spacing w:after="0" w:line="117"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seize or detain products; or</w:t>
      </w:r>
    </w:p>
    <w:p>
      <w:pPr>
        <w:spacing w:after="0" w:line="117"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 product recall.</w:t>
      </w:r>
    </w:p>
    <w:p>
      <w:pPr>
        <w:spacing w:after="0" w:line="117" w:lineRule="exact"/>
        <w:rPr>
          <w:sz w:val="20"/>
          <w:szCs w:val="20"/>
          <w:color w:val="auto"/>
        </w:rPr>
      </w:pPr>
    </w:p>
    <w:p>
      <w:pPr>
        <w:ind w:right="240" w:firstLine="518"/>
        <w:spacing w:after="0" w:line="261" w:lineRule="auto"/>
        <w:rPr>
          <w:sz w:val="20"/>
          <w:szCs w:val="20"/>
          <w:color w:val="auto"/>
        </w:rPr>
      </w:pPr>
      <w:r>
        <w:rPr>
          <w:rFonts w:ascii="Times New Roman" w:cs="Times New Roman" w:eastAsia="Times New Roman" w:hAnsi="Times New Roman"/>
          <w:sz w:val="18"/>
          <w:szCs w:val="18"/>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products. If regulatory sanctions are applied or if regulatory approval is withdrawn, the value of our company and our operating results will be adversely affected.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legislative measures aimed at reducing healthcare costs may have a material adverse effect on our business and results of operations.</w:t>
      </w:r>
    </w:p>
    <w:p>
      <w:pPr>
        <w:spacing w:after="0" w:line="121"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Third-party payors, whether domestic or foreign, or governmental or commercial, are developing increasingly sophisticated methods of controlling healthcare costs. In both the United States and certain international jurisdictions, there have been a number of legislative and regulatory changes to the health care system that could impact our ability to sell our products profitably. In particular, in 2010, the Affordable Care Act, or ACA, was enacted, which, among other things, subjected biologic products to potential competition by lower-cost biosimilars, addressed a new methodology by which rebates owed by manufacturers under the Medicaid Drug Rebate Program are calculated for drugs that are inhaled, infused, instilled, implanted or injected, increased the minimum Medicaid rebates owed by most manufacturers under the Medicaid Drug Rebate Program, extended the Medicaid Drug Rebate Program to utilization of prescriptions of individuals enrolled in Medicaid managed care organizations, subjected manufacturers to new annual fees and taxes for certain branded prescription drugs, and provided incentives to programs that increase the federal government’s comparative effectiveness research. Recent changes in the U.S. administration could lead to repeal of or changes in some or all of the ACA, and complying with any new legislation or reversing changes implemented under the ACA could be time-intensive and expensive, resulting in a material adverse effect on our business. Until the ACA is fully implemented or there is more certainty concerning the future of the ACA, it will be difficult to predict its full impact and influence on our business.</w:t>
      </w:r>
    </w:p>
    <w:p>
      <w:pPr>
        <w:spacing w:after="0" w:line="85"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in the United States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2% per fiscal year, which went into effect in 2013, and will remain in effect through 2025 unless additional Congressional action is taken. The American Taxpayer Relief Act of 2012 further reduced Medicare payments to several providers, including hospitals and cancer treatment centers, and increased the statute of limitations period for the government to recover overpayments to providers from three to five years.</w:t>
      </w:r>
    </w:p>
    <w:p>
      <w:pPr>
        <w:spacing w:after="0" w:line="81" w:lineRule="exact"/>
        <w:rPr>
          <w:sz w:val="20"/>
          <w:szCs w:val="20"/>
          <w:color w:val="auto"/>
        </w:rPr>
      </w:pPr>
    </w:p>
    <w:p>
      <w:pPr>
        <w:ind w:right="300" w:firstLine="518"/>
        <w:spacing w:after="0" w:line="261" w:lineRule="auto"/>
        <w:rPr>
          <w:sz w:val="20"/>
          <w:szCs w:val="20"/>
          <w:color w:val="auto"/>
        </w:rPr>
      </w:pPr>
      <w:r>
        <w:rPr>
          <w:rFonts w:ascii="Times New Roman" w:cs="Times New Roman" w:eastAsia="Times New Roman" w:hAnsi="Times New Roman"/>
          <w:sz w:val="18"/>
          <w:szCs w:val="18"/>
          <w:color w:val="auto"/>
        </w:rPr>
        <w:t>There have been, and likely will continue to be, legislative and regulatory proposals at the foreign, federal and state levels directed at containing or lowering the cost of healthcare. 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w:t>
      </w:r>
    </w:p>
    <w:p>
      <w:pPr>
        <w:spacing w:after="0" w:line="72" w:lineRule="exact"/>
        <w:rPr>
          <w:sz w:val="20"/>
          <w:szCs w:val="20"/>
          <w:color w:val="auto"/>
        </w:rPr>
      </w:pPr>
    </w:p>
    <w:p>
      <w:pPr>
        <w:ind w:left="640" w:hanging="119"/>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our product candidates, if we obtain regulatory approval;</w:t>
      </w:r>
    </w:p>
    <w:p>
      <w:pPr>
        <w:spacing w:after="0" w:line="117"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receive or set a price that we believe is fair for our products;</w:t>
      </w:r>
    </w:p>
    <w:p>
      <w:pPr>
        <w:spacing w:after="0" w:line="117"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 and achieve or maintain profitability;</w:t>
      </w:r>
    </w:p>
    <w:p>
      <w:pPr>
        <w:spacing w:after="0" w:line="117"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taxes that we are required to pay; and</w:t>
      </w:r>
    </w:p>
    <w:p>
      <w:pPr>
        <w:spacing w:after="0" w:line="117"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w:t>
      </w:r>
    </w:p>
    <w:p>
      <w:pPr>
        <w:spacing w:after="0" w:line="117" w:lineRule="exact"/>
        <w:rPr>
          <w:sz w:val="20"/>
          <w:szCs w:val="20"/>
          <w:color w:val="auto"/>
        </w:rPr>
      </w:pPr>
    </w:p>
    <w:p>
      <w:pPr>
        <w:ind w:right="160" w:firstLine="518"/>
        <w:spacing w:after="0" w:line="258" w:lineRule="auto"/>
        <w:rPr>
          <w:sz w:val="20"/>
          <w:szCs w:val="20"/>
          <w:color w:val="auto"/>
        </w:rPr>
      </w:pPr>
      <w:r>
        <w:rPr>
          <w:rFonts w:ascii="Times New Roman" w:cs="Times New Roman" w:eastAsia="Times New Roman" w:hAnsi="Times New Roman"/>
          <w:sz w:val="18"/>
          <w:szCs w:val="18"/>
          <w:color w:val="auto"/>
        </w:rPr>
        <w:t>We expect that the ACA, as well as other healthcare reform measures that may be adopted in the future, may result in additional reductions in Medicare and other healthcare funding, more rigorous coverage criteria, lower reimbursement and new payment methodologies. This could lower the price that we receive for any approved product. Any denial in coverage or reduction in reimbursement from Medicare or other government-funded programs may result in a similar denial or reduction in payments from private payors, which may prevent us from being able to generate sufficient revenue, attain profitability or commercialize our product candidates, if approved.</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39" w:name="page40"/>
    <w:bookmarkEnd w:id="39"/>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commercial partners and vendors may engage in misconduct or other improper activities, including noncompliance with regulatory standards and requirements.</w:t>
      </w:r>
    </w:p>
    <w:p>
      <w:pPr>
        <w:spacing w:after="0" w:line="51" w:lineRule="exact"/>
        <w:rPr>
          <w:sz w:val="20"/>
          <w:szCs w:val="20"/>
          <w:color w:val="auto"/>
        </w:rPr>
      </w:pPr>
    </w:p>
    <w:p>
      <w:pPr>
        <w:ind w:firstLine="518"/>
        <w:spacing w:after="0" w:line="252" w:lineRule="auto"/>
        <w:rPr>
          <w:sz w:val="20"/>
          <w:szCs w:val="20"/>
          <w:color w:val="auto"/>
        </w:rPr>
      </w:pPr>
      <w:r>
        <w:rPr>
          <w:rFonts w:ascii="Times New Roman" w:cs="Times New Roman" w:eastAsia="Times New Roman" w:hAnsi="Times New Roman"/>
          <w:sz w:val="18"/>
          <w:szCs w:val="18"/>
          <w:color w:val="auto"/>
        </w:rPr>
        <w:t>We are exposed to the risk of fraud, misconduct or other illegal activity by our employees, independent contractors, consultants, commercial partners and vendors. Misconduct by these parties could include intentional, reckless and negligent conduct that fails to: comply with the laws of the FDA, EMA, CDA and other comparable foreign regulatory authorities; provide true, complete and accurate information to the FDA, EMA, CDA and other comparable foreign regulatory authorities; comply with manufacturing standards we have established; comply with healthcare fraud and abuse laws in the United States and similar foreign fraudulent misconduct laws; or report financial information or data accurately or to disclose unauthorized activities to us. If we obtain FDA approval of any of our product candidates and begin commercializing those products in the United States, our potential exposure under such laws will increase significantly, and our costs associated with compliance with such laws are also likely to increase. In particular, research, sales, marketing, education and other business arrangements in the healthcare industry are subject to extensive laws designed to prevent fraud, kickbacks, self-dealing and other abusive practices. These laws and regulations may restrict or prohibit a wide range of pricing, discounting, educating, marketing and promotion, sales and commission, certain customer incentive programs and other business arrangements generally. Activities subject to these laws also involve the improper use of information obtained in the course of patient recruitment for clinical trials, which could result in regulatory sanctions and cause serious harm to our reputation. In connection with our IPO, we adopted a code of business conduct and ethics that applies to all our employees, including management, and our directors. However, it is not always possible to identify and deter misconduct by employees and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191"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healthcare laws, we could face substantial penalties and our business, operations and financial conditions could be adversely affected.</w:t>
      </w:r>
    </w:p>
    <w:p>
      <w:pPr>
        <w:spacing w:after="0" w:line="51" w:lineRule="exact"/>
        <w:rPr>
          <w:sz w:val="20"/>
          <w:szCs w:val="20"/>
          <w:color w:val="auto"/>
        </w:rPr>
      </w:pPr>
    </w:p>
    <w:p>
      <w:pPr>
        <w:ind w:right="280" w:firstLine="518"/>
        <w:spacing w:after="0" w:line="282" w:lineRule="auto"/>
        <w:rPr>
          <w:sz w:val="20"/>
          <w:szCs w:val="20"/>
          <w:color w:val="auto"/>
        </w:rPr>
      </w:pPr>
      <w:r>
        <w:rPr>
          <w:rFonts w:ascii="Times New Roman" w:cs="Times New Roman" w:eastAsia="Times New Roman" w:hAnsi="Times New Roman"/>
          <w:sz w:val="18"/>
          <w:szCs w:val="18"/>
          <w:color w:val="auto"/>
        </w:rPr>
        <w:t>If we obtain FDA approval for any of our product candidates and begin commercializing those products in the United States, our operations will be subject to various federal and state fraud and abuse laws. The laws that may impact our operations include:</w:t>
      </w:r>
    </w:p>
    <w:p>
      <w:pPr>
        <w:spacing w:after="0" w:line="54" w:lineRule="exact"/>
        <w:rPr>
          <w:sz w:val="20"/>
          <w:szCs w:val="20"/>
          <w:color w:val="auto"/>
        </w:rPr>
      </w:pPr>
    </w:p>
    <w:p>
      <w:pPr>
        <w:ind w:left="640" w:right="20" w:hanging="119"/>
        <w:spacing w:after="0" w:line="255" w:lineRule="auto"/>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persons from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does not need to have actual knowledge of the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False Claims Act;</w:t>
      </w:r>
    </w:p>
    <w:p>
      <w:pPr>
        <w:spacing w:after="0" w:line="81" w:lineRule="exact"/>
        <w:rPr>
          <w:rFonts w:ascii="Times New Roman" w:cs="Times New Roman" w:eastAsia="Times New Roman" w:hAnsi="Times New Roman"/>
          <w:sz w:val="18"/>
          <w:szCs w:val="18"/>
          <w:color w:val="auto"/>
        </w:rPr>
      </w:pPr>
    </w:p>
    <w:p>
      <w:pPr>
        <w:ind w:left="640" w:right="80" w:hanging="119"/>
        <w:spacing w:after="0" w:line="256" w:lineRule="auto"/>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civil and criminal false claims laws and civil monetary penalty laws, including the False Claims Act, which impose criminal and civil penalties, including through civil “qui tam” or “whistleblower” actions, against individuals or entities from knowingly presenting, or causing to be presented, claims for payment or approval from Medicare, Medicaid or other third-party payors that are false or fraudulent or knowingly making a false statement to improperly avoid, decrease or conceal an obligation to pay money to the federal government. Similar to the federal Anti-Kickback Statute, a person or entity does not need to have actual knowledge of these statutes or specific intent to violate them in order to have committed a violation;</w:t>
      </w:r>
    </w:p>
    <w:p>
      <w:pPr>
        <w:spacing w:after="0" w:line="79" w:lineRule="exact"/>
        <w:rPr>
          <w:rFonts w:ascii="Times New Roman" w:cs="Times New Roman" w:eastAsia="Times New Roman" w:hAnsi="Times New Roman"/>
          <w:sz w:val="18"/>
          <w:szCs w:val="18"/>
          <w:color w:val="auto"/>
        </w:rPr>
      </w:pPr>
    </w:p>
    <w:p>
      <w:pPr>
        <w:ind w:left="640" w:right="80" w:hanging="119"/>
        <w:spacing w:after="0" w:line="256" w:lineRule="auto"/>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which created new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w:t>
      </w:r>
    </w:p>
    <w:p>
      <w:pPr>
        <w:spacing w:after="0" w:line="79" w:lineRule="exact"/>
        <w:rPr>
          <w:rFonts w:ascii="Times New Roman" w:cs="Times New Roman" w:eastAsia="Times New Roman" w:hAnsi="Times New Roman"/>
          <w:sz w:val="18"/>
          <w:szCs w:val="18"/>
          <w:color w:val="auto"/>
        </w:rPr>
      </w:pPr>
    </w:p>
    <w:p>
      <w:pPr>
        <w:ind w:left="640" w:right="60" w:hanging="119"/>
        <w:spacing w:after="0" w:line="261" w:lineRule="auto"/>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of 2009, or HITECH, and their respective implementing regulations, which impose requirements on certain covered healthcare providers, health plans and healthcare clearinghouses as well as their respective business associates that perform services for them that involve the use, or disclosure of, individually identifiable health information, relating to the privacy, security and transmission of individually identifiable health information without appropriate authorization;</w:t>
      </w:r>
    </w:p>
    <w:p>
      <w:pPr>
        <w:spacing w:after="0" w:line="71" w:lineRule="exact"/>
        <w:rPr>
          <w:rFonts w:ascii="Times New Roman" w:cs="Times New Roman" w:eastAsia="Times New Roman" w:hAnsi="Times New Roman"/>
          <w:sz w:val="18"/>
          <w:szCs w:val="18"/>
          <w:color w:val="auto"/>
        </w:rPr>
      </w:pPr>
    </w:p>
    <w:p>
      <w:pPr>
        <w:ind w:left="640" w:right="160" w:hanging="119"/>
        <w:spacing w:after="0" w:line="258" w:lineRule="auto"/>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 Sunshine Act, created under the ACA, and its implementing regulations, which require manufacturers of drugs, devices, biologicals and medical supplies for which payment is available under Medicare, Medicaid or the Children’s Health Insurance Program to report annually to the U.S. Department of Health and Human Services under the Open Payments Program, information related to payments or other transfers of value made to physicians and teaching hospitals, as well as ownership and investment interests held by physicians and their immediate family members;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40" w:name="page41"/>
    <w:bookmarkEnd w:id="40"/>
    <w:p>
      <w:pPr>
        <w:ind w:left="640" w:right="780" w:hanging="119"/>
        <w:spacing w:after="0" w:line="282" w:lineRule="auto"/>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consumer protection and unfair competition laws, which broadly regulate marketplace activities and activities that potentially harm consumers; and</w:t>
      </w:r>
    </w:p>
    <w:p>
      <w:pPr>
        <w:spacing w:after="0" w:line="53" w:lineRule="exact"/>
        <w:rPr>
          <w:rFonts w:ascii="Times New Roman" w:cs="Times New Roman" w:eastAsia="Times New Roman" w:hAnsi="Times New Roman"/>
          <w:sz w:val="18"/>
          <w:szCs w:val="18"/>
          <w:color w:val="auto"/>
        </w:rPr>
      </w:pPr>
    </w:p>
    <w:p>
      <w:pPr>
        <w:ind w:left="640" w:right="100" w:hanging="119"/>
        <w:spacing w:after="0" w:line="254" w:lineRule="auto"/>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and foreign anti-kickback, false claims, consumer protection and unfair competition laws which may apply to pharmaceutical business practices, including but not limited to, research, distribution, sales and marketing arrangements as well as submitting claims involving healthcare items or services reimbursed by any third-party payor, including commercial insurers; state laws that require pharmaceutical companies to comply with the pharmaceutical industry’s voluntary compliance guidelines and the relevant compliance guidance promulgated by the federal government that otherwise restricts payments that may be made to healthcare providers and other potential referral sources; state laws that require drug manufacturers to file reports with states regarding pricing and marketing information, such as the tracking and reporting of gifts, compensations and other remuneration and items of value provided to healthcare professionals and entities; and state and foreign laws governing the privacy and security of health information in certain circumstances, many of which differ from each other in significant ways and may not have the same effect, thus complicating compliance efforts.</w:t>
      </w:r>
    </w:p>
    <w:p>
      <w:pPr>
        <w:spacing w:after="0" w:line="81" w:lineRule="exact"/>
        <w:rPr>
          <w:sz w:val="20"/>
          <w:szCs w:val="20"/>
          <w:color w:val="auto"/>
        </w:rPr>
      </w:pPr>
    </w:p>
    <w:p>
      <w:pPr>
        <w:ind w:right="60" w:firstLine="518"/>
        <w:spacing w:after="0" w:line="254"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and safe harbors available, it is possible that some of our business activities could, despite our efforts to comply, be subject to challenge under one or more of such laws. Efforts to ensure that our business arrangements will comply with applicable healthcare laws may involve substantial costs. It is possible that governmental and enforcement authorities will conclude that our business practices may not comply with current or future statutes, regulations or case law interpreting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civil, criminal and administrative penalties, damages, disgorgement,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 In addition, the approval and commercialization of any of our product candidates outside the United States will also likely subject us to foreign equivalents of the healthcare laws mentioned above, among other foreign laws.</w:t>
      </w:r>
    </w:p>
    <w:p>
      <w:pPr>
        <w:spacing w:after="0" w:line="182"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any contract manufacturers and suppliers we engage fail to comply with environmental, health, and safety laws and regulations, we could become subject to fines or penalties or incur costs that could have a material adverse effect on the success of our business.</w:t>
      </w:r>
    </w:p>
    <w:p>
      <w:pPr>
        <w:spacing w:after="0" w:line="51" w:lineRule="exact"/>
        <w:rPr>
          <w:sz w:val="20"/>
          <w:szCs w:val="20"/>
          <w:color w:val="auto"/>
        </w:rPr>
      </w:pPr>
    </w:p>
    <w:p>
      <w:pPr>
        <w:ind w:right="120" w:firstLine="518"/>
        <w:spacing w:after="0" w:line="254" w:lineRule="auto"/>
        <w:rPr>
          <w:sz w:val="20"/>
          <w:szCs w:val="20"/>
          <w:color w:val="auto"/>
        </w:rPr>
      </w:pPr>
      <w:r>
        <w:rPr>
          <w:rFonts w:ascii="Times New Roman" w:cs="Times New Roman" w:eastAsia="Times New Roman" w:hAnsi="Times New Roman"/>
          <w:sz w:val="18"/>
          <w:szCs w:val="18"/>
          <w:color w:val="auto"/>
        </w:rPr>
        <w:t>We and any contract manufacturers and suppliers we engage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Our operations involve the use of hazardous and flammable materials, including chemicals and biological and radioactive materials. Our operations also produce hazardous waste.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Under certain environmental laws, we could be held responsible for costs relating to any contamination at our current or past facilities and at third-party facilities. We also could incur significant costs associated with civil or criminal fines and penalties.</w:t>
      </w:r>
    </w:p>
    <w:p>
      <w:pPr>
        <w:spacing w:after="0" w:line="81"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Compliance with applicable environmental laws and regulations may be expensive, and current or future environmental laws and regulations may impair our research, product development and manufacturing efforts. In addition, we cannot entirely eliminate the risk of accidental injury or contamination from these materials or wastes. Although we maintain workers’ compensation insurance to cover us for costs and expenses we may incur due to injuries to our employees resulting from the use of hazardous materials, this insurance may not provide adequate coverage against potential liabilities. We do not carry specific biological or hazardous waste insurance coverage, and our property, casualty, and general liability insurance policies specifically exclude coverage for damages and fines arising from biological or hazardous waste exposure or contamination. Accordingly, in the event of contamination or injury, we could be held liable for damages or be penalized with fines in an amount exceeding our resources, and our clinical trials or regulatory approvals could be suspended, which could have a material adverse effect on our business, financial condition, results of operations, and prospects.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activities may be subject to the Foreign Corrupt Practices Act, or FCPA, and similar anti-bribery and anti-corruption laws.</w:t>
      </w:r>
    </w:p>
    <w:p>
      <w:pPr>
        <w:spacing w:after="0" w:line="121" w:lineRule="exact"/>
        <w:rPr>
          <w:sz w:val="20"/>
          <w:szCs w:val="20"/>
          <w:color w:val="auto"/>
        </w:rPr>
      </w:pPr>
    </w:p>
    <w:p>
      <w:pPr>
        <w:ind w:firstLine="518"/>
        <w:spacing w:after="0" w:line="252" w:lineRule="auto"/>
        <w:rPr>
          <w:sz w:val="20"/>
          <w:szCs w:val="20"/>
          <w:color w:val="auto"/>
        </w:rPr>
      </w:pPr>
      <w:r>
        <w:rPr>
          <w:rFonts w:ascii="Times New Roman" w:cs="Times New Roman" w:eastAsia="Times New Roman" w:hAnsi="Times New Roman"/>
          <w:sz w:val="18"/>
          <w:szCs w:val="18"/>
          <w:color w:val="auto"/>
        </w:rPr>
        <w:t>Our business activities may be subject to the FCPA and similar anti-bribery or anti-corruption laws, regulations or rules of other countries in which we operate or may operate in the future, including the U.K. Bribery Act. The FCPA generally prohibits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the health care providers who prescribe pharmaceuticals are employed by their government, and the purchasers of pharmaceuticals are government entities; therefore, our dealings with these prescribers and purchasers are subject to regulation under the FCPA. Recently the SEC and Department of Justice have increased their FCPA enforcement activities with respect to biotechnology and pharmaceutical companies. There can be no assurance that all of our employees, agents, contractors or collaborators, or those of our affiliates, will comply with all applicable laws and regulations, particularly given the high level of complexity of these laws. Violations of these laws and regulations could result in fines, criminal sanctions against us, our officers, or our employees, the closing down of our facilities,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and could materially damage our reputation, our brand, our ability to attract and retain employees, and our business, prospects, operating results, and financial condition.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117"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rely on third parties to conduct our clinical trials and some aspects of our research and preclinical testing, and those third parties may not perform satisfactorily, including failing to meet deadlines for the completion of such trials, research or testing.</w:t>
      </w:r>
    </w:p>
    <w:p>
      <w:pPr>
        <w:spacing w:after="0" w:line="51" w:lineRule="exact"/>
        <w:rPr>
          <w:sz w:val="20"/>
          <w:szCs w:val="20"/>
          <w:color w:val="auto"/>
        </w:rPr>
      </w:pPr>
    </w:p>
    <w:p>
      <w:pPr>
        <w:ind w:right="440" w:firstLine="518"/>
        <w:spacing w:after="0" w:line="261" w:lineRule="auto"/>
        <w:rPr>
          <w:sz w:val="20"/>
          <w:szCs w:val="20"/>
          <w:color w:val="auto"/>
        </w:rPr>
      </w:pPr>
      <w:r>
        <w:rPr>
          <w:rFonts w:ascii="Times New Roman" w:cs="Times New Roman" w:eastAsia="Times New Roman" w:hAnsi="Times New Roman"/>
          <w:sz w:val="18"/>
          <w:szCs w:val="18"/>
          <w:color w:val="auto"/>
        </w:rPr>
        <w:t>We currently rely and expect to continue to rely on third parties, such as CROs, clinical data management organizations, medical institutions and clinical investigators, to conduct some aspects of our research, preclinical testing and clinical trials. Any of these third parties may terminate their engagements with us or be unable to fulfill their contractual obligations. If we need to enter into alternative arrangements, it would delay our product development activities.</w:t>
      </w:r>
    </w:p>
    <w:p>
      <w:pPr>
        <w:spacing w:after="0" w:line="72" w:lineRule="exact"/>
        <w:rPr>
          <w:sz w:val="20"/>
          <w:szCs w:val="20"/>
          <w:color w:val="auto"/>
        </w:rPr>
      </w:pPr>
    </w:p>
    <w:p>
      <w:pPr>
        <w:ind w:right="80" w:firstLine="518"/>
        <w:spacing w:after="0" w:line="256" w:lineRule="auto"/>
        <w:rPr>
          <w:sz w:val="20"/>
          <w:szCs w:val="20"/>
          <w:color w:val="auto"/>
        </w:rPr>
      </w:pPr>
      <w:r>
        <w:rPr>
          <w:rFonts w:ascii="Times New Roman" w:cs="Times New Roman" w:eastAsia="Times New Roman" w:hAnsi="Times New Roman"/>
          <w:sz w:val="18"/>
          <w:szCs w:val="18"/>
          <w:color w:val="auto"/>
        </w:rPr>
        <w:t>Our reliance on these third parties for research and development activities reduces our control over these activities, but does not relieve us of our responsibilities. For example, we remain responsible for ensuring that each of our clinical trials is conducted in accordance with the general investigational plan and protocols for the trial. Moreover, the FDA requires us to comply with cGCPs for conducting, recording and reporting the results of clinical trials to assure that data and reported results are credible, reproducible and accurate and that the rights, integrity and confidentiality of trial participants are protected. We are also required to register ongoing clinical trials and to post the results of completed clinical trials on a government-sponsored database within certain timeframes. Failure to do so can result in fines, adverse publicity and civil and criminal sanctions.</w:t>
      </w:r>
    </w:p>
    <w:p>
      <w:pPr>
        <w:spacing w:after="0" w:line="80"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any product candidates we may develop and will not be able to, or may be delayed in our efforts to, successfully commercialize our medicines.</w:t>
      </w:r>
    </w:p>
    <w:p>
      <w:pPr>
        <w:spacing w:after="0" w:line="68" w:lineRule="exact"/>
        <w:rPr>
          <w:sz w:val="20"/>
          <w:szCs w:val="20"/>
          <w:color w:val="auto"/>
        </w:rPr>
      </w:pPr>
    </w:p>
    <w:p>
      <w:pPr>
        <w:jc w:val="both"/>
        <w:ind w:right="400" w:firstLine="518"/>
        <w:spacing w:after="0" w:line="266" w:lineRule="auto"/>
        <w:rPr>
          <w:sz w:val="20"/>
          <w:szCs w:val="20"/>
          <w:color w:val="auto"/>
        </w:rPr>
      </w:pPr>
      <w:r>
        <w:rPr>
          <w:rFonts w:ascii="Times New Roman" w:cs="Times New Roman" w:eastAsia="Times New Roman" w:hAnsi="Times New Roman"/>
          <w:sz w:val="18"/>
          <w:szCs w:val="18"/>
          <w:color w:val="auto"/>
        </w:rPr>
        <w:t>We also expect to rely on other third parties to store and distribute drug supplies for our clinical trials. Any performance failure on the part of our distributors could delay clinical development or marketing approval of any product candidates we may develop or commercialization of our medicines, producing additional losses and depriving us of potential product revenue.</w:t>
      </w:r>
    </w:p>
    <w:p>
      <w:pPr>
        <w:spacing w:after="0" w:line="172"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contract with third parties for the manufacture of materials for our product candidates and preclinical studies and clinical trials and for commercialization of any product candidates that we may develop. This reliance on third parties carries and may increase the risk that we will not have sufficient quantities of such materials, product candidates or any medicines that we may develop and commercialize, or that such supply will not be available to us at an acceptable cost, which could delay, prevent or impair our development or commercialization efforts.</w:t>
      </w:r>
    </w:p>
    <w:p>
      <w:pPr>
        <w:spacing w:after="0" w:line="73" w:lineRule="exact"/>
        <w:rPr>
          <w:sz w:val="20"/>
          <w:szCs w:val="20"/>
          <w:color w:val="auto"/>
        </w:rPr>
      </w:pPr>
    </w:p>
    <w:p>
      <w:pPr>
        <w:jc w:val="both"/>
        <w:ind w:right="440" w:firstLine="518"/>
        <w:spacing w:after="0" w:line="266" w:lineRule="auto"/>
        <w:rPr>
          <w:sz w:val="20"/>
          <w:szCs w:val="20"/>
          <w:color w:val="auto"/>
        </w:rPr>
      </w:pPr>
      <w:r>
        <w:rPr>
          <w:rFonts w:ascii="Times New Roman" w:cs="Times New Roman" w:eastAsia="Times New Roman" w:hAnsi="Times New Roman"/>
          <w:sz w:val="18"/>
          <w:szCs w:val="18"/>
          <w:color w:val="auto"/>
        </w:rPr>
        <w:t>We do not have any manufacturing facilities. We currently rely exclusively on a third-party manufacturer, Lonza AG, for the manufacture of our materials for preclinical studies and clinical trials and expect to continue to do so for preclinical studies, clinical trials and for commercial supply of any product candidates that we may develop.</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49" w:right="279" w:bottom="1440" w:gutter="0" w:footer="0" w:header="0"/>
        </w:sectPr>
      </w:pPr>
    </w:p>
    <w:bookmarkStart w:id="42" w:name="page43"/>
    <w:bookmarkEnd w:id="42"/>
    <w:p>
      <w:pPr>
        <w:ind w:right="100" w:firstLine="518"/>
        <w:spacing w:after="0" w:line="282" w:lineRule="auto"/>
        <w:rPr>
          <w:sz w:val="20"/>
          <w:szCs w:val="20"/>
          <w:color w:val="auto"/>
        </w:rPr>
      </w:pPr>
      <w:r>
        <w:rPr>
          <w:rFonts w:ascii="Times New Roman" w:cs="Times New Roman" w:eastAsia="Times New Roman" w:hAnsi="Times New Roman"/>
          <w:sz w:val="18"/>
          <w:szCs w:val="18"/>
          <w:color w:val="auto"/>
        </w:rPr>
        <w:t>We may be unable to establish any further agreements with third-party manufacturers or to do so on acceptable terms. Even if we are able to establish agreements with third-party manufacturers, reliance on third-party manufacturers entails additional risks, including:</w:t>
      </w:r>
    </w:p>
    <w:p>
      <w:pPr>
        <w:spacing w:after="0" w:line="54" w:lineRule="exact"/>
        <w:rPr>
          <w:sz w:val="20"/>
          <w:szCs w:val="20"/>
          <w:color w:val="auto"/>
        </w:rPr>
      </w:pPr>
    </w:p>
    <w:p>
      <w:pPr>
        <w:ind w:left="640" w:hanging="119"/>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of the manufacturing agreement by the third party or us;</w:t>
      </w:r>
    </w:p>
    <w:p>
      <w:pPr>
        <w:spacing w:after="0" w:line="117"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termination or nonrenewal of the agreement by the third party at a time that is costly or inconvenient for us;</w:t>
      </w:r>
    </w:p>
    <w:p>
      <w:pPr>
        <w:spacing w:after="0" w:line="117"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early termination of the agreement by us at a time that requires us to pay a cancellation fee;</w:t>
      </w:r>
    </w:p>
    <w:p>
      <w:pPr>
        <w:spacing w:after="0" w:line="117"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third party for regulatory compliance, quality assurance, safety and pharmacovigilance and related reporting; and</w:t>
      </w:r>
    </w:p>
    <w:p>
      <w:pPr>
        <w:spacing w:after="0" w:line="117"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produce required volume in a timely manner and to quality standards.</w:t>
      </w:r>
    </w:p>
    <w:p>
      <w:pPr>
        <w:spacing w:after="0" w:line="117"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Third-party manufacturers may not be able to comply with cGMP regulations or similar regulatory requirements outside the United States. Our failure, or the failure of our third-party manufacturers, to comply with applicable regulations could result in clinical holds on our trials, sanctions being imposed on us, including fines, injunctions, civil penalties, delays, suspension or withdrawal of approvals, license revocations, seizures or recalls of product candidates or medicines, operating restrictions, and criminal prosecutions, any of which could significantly and adversely affect supplies of our medicines and harm our business, financial condition, results of operations, and prospects.</w:t>
      </w:r>
    </w:p>
    <w:p>
      <w:pPr>
        <w:spacing w:after="0" w:line="76" w:lineRule="exact"/>
        <w:rPr>
          <w:sz w:val="20"/>
          <w:szCs w:val="20"/>
          <w:color w:val="auto"/>
        </w:rPr>
      </w:pPr>
    </w:p>
    <w:p>
      <w:pPr>
        <w:ind w:right="480" w:firstLine="518"/>
        <w:spacing w:after="0" w:line="282" w:lineRule="auto"/>
        <w:rPr>
          <w:sz w:val="20"/>
          <w:szCs w:val="20"/>
          <w:color w:val="auto"/>
        </w:rPr>
      </w:pPr>
      <w:r>
        <w:rPr>
          <w:rFonts w:ascii="Times New Roman" w:cs="Times New Roman" w:eastAsia="Times New Roman" w:hAnsi="Times New Roman"/>
          <w:sz w:val="18"/>
          <w:szCs w:val="18"/>
          <w:color w:val="auto"/>
        </w:rPr>
        <w:t>Any medicines that we may develop may compete with other product candidates and products for access to manufacturing facilities. There are a limited number of manufacturers that operate under cGMP regulations and that might be capable of manufacturing for us.</w:t>
      </w:r>
    </w:p>
    <w:p>
      <w:pPr>
        <w:spacing w:after="0" w:line="54"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Any performance failure on the part of our existing or future manufacturers could delay clinical development or marketing approval. We do not currently have arrangements in place for redundant supply for any of our product candidates. If any one of our current contract manufacturers cannot perform as agreed, we may be required to replace that manufacturer and may incur added costs and delays in identifying and qualifying any such replacement. Furthermore, securing and reserving production capacity with contract manufacturers may result in significant costs.</w:t>
      </w:r>
    </w:p>
    <w:p>
      <w:pPr>
        <w:spacing w:after="0" w:line="72" w:lineRule="exact"/>
        <w:rPr>
          <w:sz w:val="20"/>
          <w:szCs w:val="20"/>
          <w:color w:val="auto"/>
        </w:rPr>
      </w:pPr>
    </w:p>
    <w:p>
      <w:pPr>
        <w:ind w:right="280" w:firstLine="518"/>
        <w:spacing w:after="0" w:line="313" w:lineRule="auto"/>
        <w:rPr>
          <w:sz w:val="20"/>
          <w:szCs w:val="20"/>
          <w:color w:val="auto"/>
        </w:rPr>
      </w:pPr>
      <w:r>
        <w:rPr>
          <w:rFonts w:ascii="Times New Roman" w:cs="Times New Roman" w:eastAsia="Times New Roman" w:hAnsi="Times New Roman"/>
          <w:sz w:val="17"/>
          <w:szCs w:val="17"/>
          <w:color w:val="auto"/>
        </w:rPr>
        <w:t>Our current and anticipated future reliance upon others for the manufacture of any product candidates we may develop or medicines may adversely affect our future profit margins and our ability to commercialize any medicines that receive marketing approval on a timely and competitive basis.</w:t>
      </w:r>
    </w:p>
    <w:p>
      <w:pPr>
        <w:spacing w:after="0" w:line="134"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Reliance on third parties requires us to share our trade secrets, which increases the possibility that a competitor will discover them or that our trade secrets will be misappropriated or disclosed.</w:t>
      </w:r>
    </w:p>
    <w:p>
      <w:pPr>
        <w:spacing w:after="0" w:line="51" w:lineRule="exact"/>
        <w:rPr>
          <w:sz w:val="20"/>
          <w:szCs w:val="20"/>
          <w:color w:val="auto"/>
        </w:rPr>
      </w:pPr>
    </w:p>
    <w:p>
      <w:pPr>
        <w:ind w:right="20" w:firstLine="518"/>
        <w:spacing w:after="0" w:line="254" w:lineRule="auto"/>
        <w:rPr>
          <w:sz w:val="20"/>
          <w:szCs w:val="20"/>
          <w:color w:val="auto"/>
        </w:rPr>
      </w:pPr>
      <w:r>
        <w:rPr>
          <w:rFonts w:ascii="Times New Roman" w:cs="Times New Roman" w:eastAsia="Times New Roman" w:hAnsi="Times New Roman"/>
          <w:sz w:val="18"/>
          <w:szCs w:val="18"/>
          <w:color w:val="auto"/>
        </w:rPr>
        <w:t>Reliance on third parties to conduct clinical trials, assist in research and development and to manufacture our product candidates, will at times require us to share trade secrets with them. We seek to protect our proprietary technology by in part entering into confidentiality agreements and, if applicable, material transfer agreements, consulting agreements or other similar agreements with our advisors, employees, third-party 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independent discovery of our trade secrets or other unauthorized use or disclosure would impair our competitive position and may have a material adverse effect on our business.</w:t>
      </w:r>
    </w:p>
    <w:p>
      <w:pPr>
        <w:spacing w:after="0" w:line="18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suppliers for key raw materials used in our manufacturing processes, and the loss of these third-party suppliers or their inability to supply us with adequate raw materials could harm our business.</w:t>
      </w:r>
    </w:p>
    <w:p>
      <w:pPr>
        <w:spacing w:after="0" w:line="51" w:lineRule="exact"/>
        <w:rPr>
          <w:sz w:val="20"/>
          <w:szCs w:val="20"/>
          <w:color w:val="auto"/>
        </w:rPr>
      </w:pPr>
    </w:p>
    <w:p>
      <w:pPr>
        <w:ind w:right="40" w:firstLine="518"/>
        <w:spacing w:after="0" w:line="254" w:lineRule="auto"/>
        <w:rPr>
          <w:sz w:val="20"/>
          <w:szCs w:val="20"/>
          <w:color w:val="auto"/>
        </w:rPr>
      </w:pPr>
      <w:r>
        <w:rPr>
          <w:rFonts w:ascii="Times New Roman" w:cs="Times New Roman" w:eastAsia="Times New Roman" w:hAnsi="Times New Roman"/>
          <w:sz w:val="18"/>
          <w:szCs w:val="18"/>
          <w:color w:val="auto"/>
        </w:rPr>
        <w:t>We rely on third-party suppliers for the raw materials required for the production of our product candidates. Our reliance on these third-party suppliers and the challenges we may face in obtaining adequate supplies of raw materials involve several risks, including limited control over pricing, availability, quality and delivery schedules. As a small company, our negotiation leverage is limited and we are likely to get lower priority than our competitors who are larger than we are. We cannot be certain that our suppliers will continue to provide us with the quantities of these raw materials that we require or satisfy our anticipated specifications and quality requirements. Any supply interruption in limited or sole sourced raw materials could materially harm our ability to manufacture our product candidates until a new source of supply, if any, could be identified and qualified. We may be unable to find a sufficient alternative supply channel in a reasonable time or on commercially reasonable terms. Any performance failure on the part of our suppliers could delay the development and potential commercialization of our product candidates, including limiting supplies necessary for clinical trials and regulatory approvals, which would have a material adverse effect on our business.</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43" w:name="page44"/>
    <w:bookmarkEnd w:id="43"/>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depend on collaborations with third parties for the research, development and commercialization of certain of the product candidates we may develop. If any such collaborations are not successful, we may not be able to realize the market potential of those product candidates.</w:t>
      </w:r>
    </w:p>
    <w:p>
      <w:pPr>
        <w:spacing w:after="0" w:line="51" w:lineRule="exact"/>
        <w:rPr>
          <w:sz w:val="20"/>
          <w:szCs w:val="20"/>
          <w:color w:val="auto"/>
        </w:rPr>
      </w:pPr>
    </w:p>
    <w:p>
      <w:pPr>
        <w:ind w:right="60" w:firstLine="518"/>
        <w:spacing w:after="0" w:line="255" w:lineRule="auto"/>
        <w:rPr>
          <w:sz w:val="20"/>
          <w:szCs w:val="20"/>
          <w:color w:val="auto"/>
        </w:rPr>
      </w:pPr>
      <w:r>
        <w:rPr>
          <w:rFonts w:ascii="Times New Roman" w:cs="Times New Roman" w:eastAsia="Times New Roman" w:hAnsi="Times New Roman"/>
          <w:sz w:val="18"/>
          <w:szCs w:val="18"/>
          <w:color w:val="auto"/>
        </w:rPr>
        <w:t>We may seek third-party collaborators for the research, development and commercialization of certain of the product candidates we may develop. Our likely collaborators for any other collaboration arrangements include large and mid-size pharmaceutical companies, regional and national pharmaceutical companies, biotechnology companies and academic institutions. If we enter into any such arrangements with any third parties, we will likely have shared or limited control over the amount and timing of resources that our collaborators dedicate to the development or potential commercialization of any product candidates we may seek to develop with them. Our ability to generate revenue from these arrangements with commercial entities will depend on our collaborators’ abilities to successfully perform the functions assigned to them in these arrangements. We cannot predict the success of any collaboration that we enter into.</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Collaborations involving our product candidates we may develop, pose the following risks to us:</w:t>
      </w:r>
    </w:p>
    <w:p>
      <w:pPr>
        <w:spacing w:after="0" w:line="117" w:lineRule="exact"/>
        <w:rPr>
          <w:sz w:val="20"/>
          <w:szCs w:val="20"/>
          <w:color w:val="auto"/>
        </w:rPr>
      </w:pPr>
    </w:p>
    <w:p>
      <w:pPr>
        <w:ind w:left="640" w:hanging="119"/>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generally have significant discretion in determining the efforts and resources that they will apply to these collaborations;</w:t>
      </w:r>
    </w:p>
    <w:p>
      <w:pPr>
        <w:spacing w:after="0" w:line="117" w:lineRule="exact"/>
        <w:rPr>
          <w:rFonts w:ascii="Times New Roman" w:cs="Times New Roman" w:eastAsia="Times New Roman" w:hAnsi="Times New Roman"/>
          <w:sz w:val="18"/>
          <w:szCs w:val="18"/>
          <w:color w:val="auto"/>
        </w:rPr>
      </w:pPr>
    </w:p>
    <w:p>
      <w:pPr>
        <w:ind w:left="640" w:right="100" w:hanging="119"/>
        <w:spacing w:after="0" w:line="266" w:lineRule="auto"/>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obtain, maintain, enforce or defend intellectual property or proprietary rights relating to our product candidates or may use our proprietary information in such a way as to expose us to potential litigation or other intellectual property related proceedings, including proceedings challenging the scope, ownership, validity and enforceability of our intellectual property;</w:t>
      </w:r>
    </w:p>
    <w:p>
      <w:pPr>
        <w:spacing w:after="0" w:line="68" w:lineRule="exact"/>
        <w:rPr>
          <w:rFonts w:ascii="Times New Roman" w:cs="Times New Roman" w:eastAsia="Times New Roman" w:hAnsi="Times New Roman"/>
          <w:sz w:val="18"/>
          <w:szCs w:val="18"/>
          <w:color w:val="auto"/>
        </w:rPr>
      </w:pPr>
    </w:p>
    <w:p>
      <w:pPr>
        <w:ind w:left="640" w:right="360" w:hanging="119"/>
        <w:spacing w:after="0" w:line="282" w:lineRule="auto"/>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own or co-own intellectual property covering our product candidates that result from our collaboration with them, and in such cases, we may not have the exclusive right to commercialize such intellectual property or such product candidates;</w:t>
      </w:r>
    </w:p>
    <w:p>
      <w:pPr>
        <w:spacing w:after="0" w:line="53"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with respect to the ownership of intellectual property developed pursuant to collaborations;</w:t>
      </w:r>
    </w:p>
    <w:p>
      <w:pPr>
        <w:spacing w:after="0" w:line="117" w:lineRule="exact"/>
        <w:rPr>
          <w:rFonts w:ascii="Times New Roman" w:cs="Times New Roman" w:eastAsia="Times New Roman" w:hAnsi="Times New Roman"/>
          <w:sz w:val="18"/>
          <w:szCs w:val="18"/>
          <w:color w:val="auto"/>
        </w:rPr>
      </w:pPr>
    </w:p>
    <w:p>
      <w:pPr>
        <w:ind w:left="640" w:right="940" w:hanging="119"/>
        <w:spacing w:after="0" w:line="282" w:lineRule="auto"/>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the cooperation of our collaborators to enforce or defend any intellectual property we contribute to or that arises out of our collaborations, which may not be provided to us;</w:t>
      </w:r>
    </w:p>
    <w:p>
      <w:pPr>
        <w:spacing w:after="0" w:line="53"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infringe the intellectual property rights of third parties, which may expose us to litigation and potential liability;</w:t>
      </w:r>
    </w:p>
    <w:p>
      <w:pPr>
        <w:spacing w:after="0" w:line="117" w:lineRule="exact"/>
        <w:rPr>
          <w:rFonts w:ascii="Times New Roman" w:cs="Times New Roman" w:eastAsia="Times New Roman" w:hAnsi="Times New Roman"/>
          <w:sz w:val="18"/>
          <w:szCs w:val="18"/>
          <w:color w:val="auto"/>
        </w:rPr>
      </w:pPr>
    </w:p>
    <w:p>
      <w:pPr>
        <w:ind w:left="640" w:right="80" w:hanging="119"/>
        <w:spacing w:after="0" w:line="282" w:lineRule="auto"/>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the collaborators and us that result in the delay or termination of the research, development, or commercialization of our product candidates or that result in costly litigation or arbitration that diverts management attention and resources;</w:t>
      </w:r>
    </w:p>
    <w:p>
      <w:pPr>
        <w:spacing w:after="0" w:line="53" w:lineRule="exact"/>
        <w:rPr>
          <w:rFonts w:ascii="Times New Roman" w:cs="Times New Roman" w:eastAsia="Times New Roman" w:hAnsi="Times New Roman"/>
          <w:sz w:val="18"/>
          <w:szCs w:val="18"/>
          <w:color w:val="auto"/>
        </w:rPr>
      </w:pPr>
    </w:p>
    <w:p>
      <w:pPr>
        <w:ind w:left="640" w:hanging="119"/>
        <w:spacing w:after="0" w:line="266" w:lineRule="auto"/>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decide not to pursue development and commercialization of any product candidates we develop or may elect not to continue or renew development or commercialization programs based on clinical trial results, changes in the collaborator’s strategic focus or available funding or external factors such as an acquisition that diverts resources or creates competing priorities;</w:t>
      </w:r>
    </w:p>
    <w:p>
      <w:pPr>
        <w:spacing w:after="0" w:line="68" w:lineRule="exact"/>
        <w:rPr>
          <w:rFonts w:ascii="Times New Roman" w:cs="Times New Roman" w:eastAsia="Times New Roman" w:hAnsi="Times New Roman"/>
          <w:sz w:val="18"/>
          <w:szCs w:val="18"/>
          <w:color w:val="auto"/>
        </w:rPr>
      </w:pPr>
    </w:p>
    <w:p>
      <w:pPr>
        <w:ind w:left="640" w:right="200" w:hanging="119"/>
        <w:spacing w:after="0" w:line="282" w:lineRule="auto"/>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stop a clinical trial or abandon a product candidate, repeat or conduct new clinical trials, or require a new formulation of a product candidate for clinical testing;</w:t>
      </w:r>
    </w:p>
    <w:p>
      <w:pPr>
        <w:spacing w:after="0" w:line="53" w:lineRule="exact"/>
        <w:rPr>
          <w:rFonts w:ascii="Times New Roman" w:cs="Times New Roman" w:eastAsia="Times New Roman" w:hAnsi="Times New Roman"/>
          <w:sz w:val="18"/>
          <w:szCs w:val="18"/>
          <w:color w:val="auto"/>
        </w:rPr>
      </w:pPr>
    </w:p>
    <w:p>
      <w:pPr>
        <w:ind w:left="640" w:right="80" w:hanging="119"/>
        <w:spacing w:after="0" w:line="266" w:lineRule="auto"/>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68" w:lineRule="exact"/>
        <w:rPr>
          <w:rFonts w:ascii="Times New Roman" w:cs="Times New Roman" w:eastAsia="Times New Roman" w:hAnsi="Times New Roman"/>
          <w:sz w:val="18"/>
          <w:szCs w:val="18"/>
          <w:color w:val="auto"/>
        </w:rPr>
      </w:pPr>
    </w:p>
    <w:p>
      <w:pPr>
        <w:ind w:left="640" w:right="340" w:hanging="119"/>
        <w:spacing w:after="0" w:line="282" w:lineRule="auto"/>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with marketing and distribution rights to one or more product candidates may not commit sufficient resources to the marketing and distribution of such product candidates;</w:t>
      </w:r>
    </w:p>
    <w:p>
      <w:pPr>
        <w:spacing w:after="0" w:line="53"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lose certain valuable rights under circumstances identified in our collaborations, including if we undergo a change of control;</w:t>
      </w:r>
    </w:p>
    <w:p>
      <w:pPr>
        <w:spacing w:after="0" w:line="117" w:lineRule="exact"/>
        <w:rPr>
          <w:rFonts w:ascii="Times New Roman" w:cs="Times New Roman" w:eastAsia="Times New Roman" w:hAnsi="Times New Roman"/>
          <w:sz w:val="18"/>
          <w:szCs w:val="18"/>
          <w:color w:val="auto"/>
        </w:rPr>
      </w:pPr>
    </w:p>
    <w:p>
      <w:pPr>
        <w:ind w:left="640" w:right="540" w:hanging="119"/>
        <w:spacing w:after="0" w:line="282" w:lineRule="auto"/>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undergo a change of control and the new owners may decide to take the collaboration in a direction which is not in our best interest;</w:t>
      </w:r>
    </w:p>
    <w:p>
      <w:pPr>
        <w:spacing w:after="0" w:line="53" w:lineRule="exact"/>
        <w:rPr>
          <w:rFonts w:ascii="Times New Roman" w:cs="Times New Roman" w:eastAsia="Times New Roman" w:hAnsi="Times New Roman"/>
          <w:sz w:val="18"/>
          <w:szCs w:val="18"/>
          <w:color w:val="auto"/>
        </w:rPr>
      </w:pPr>
    </w:p>
    <w:p>
      <w:pPr>
        <w:ind w:left="640" w:right="1120" w:hanging="119"/>
        <w:spacing w:after="0" w:line="282" w:lineRule="auto"/>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become party to a business combination transaction and the continued pursuit and emphasis on our development or commercialization program by the resulting entity under our existing collaboration could be delayed, diminished or terminated;</w:t>
      </w:r>
    </w:p>
    <w:p>
      <w:pPr>
        <w:spacing w:after="0" w:line="53" w:lineRule="exact"/>
        <w:rPr>
          <w:rFonts w:ascii="Times New Roman" w:cs="Times New Roman" w:eastAsia="Times New Roman" w:hAnsi="Times New Roman"/>
          <w:sz w:val="18"/>
          <w:szCs w:val="18"/>
          <w:color w:val="auto"/>
        </w:rPr>
      </w:pPr>
    </w:p>
    <w:p>
      <w:pPr>
        <w:ind w:left="640" w:right="640" w:hanging="119"/>
        <w:spacing w:after="0" w:line="282" w:lineRule="auto"/>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become bankrupt, which may significantly delay our research or development programs, or may cause us to lose access to valuable technology, know-how or intellectual property of the collaborator relating to our products, product candidates;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49" w:right="259" w:bottom="1440" w:gutter="0" w:footer="0" w:header="0"/>
        </w:sectPr>
      </w:pPr>
    </w:p>
    <w:bookmarkStart w:id="44" w:name="page45"/>
    <w:bookmarkEnd w:id="44"/>
    <w:p>
      <w:pPr>
        <w:ind w:left="640" w:hanging="119"/>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key personnel at our collaborators may leave, which could negatively impact our ability to productively work with our collaborators;</w:t>
      </w:r>
    </w:p>
    <w:p>
      <w:pPr>
        <w:spacing w:after="0" w:line="117" w:lineRule="exact"/>
        <w:rPr>
          <w:rFonts w:ascii="Times New Roman" w:cs="Times New Roman" w:eastAsia="Times New Roman" w:hAnsi="Times New Roman"/>
          <w:sz w:val="18"/>
          <w:szCs w:val="18"/>
          <w:color w:val="auto"/>
        </w:rPr>
      </w:pPr>
    </w:p>
    <w:p>
      <w:pPr>
        <w:ind w:left="640" w:right="60" w:hanging="119"/>
        <w:spacing w:after="0" w:line="282" w:lineRule="auto"/>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require us to incur short and long-term expenditures, issue securities that dilute our stockholders, or disrupt our management and business;</w:t>
      </w:r>
    </w:p>
    <w:p>
      <w:pPr>
        <w:spacing w:after="0" w:line="53" w:lineRule="exact"/>
        <w:rPr>
          <w:rFonts w:ascii="Times New Roman" w:cs="Times New Roman" w:eastAsia="Times New Roman" w:hAnsi="Times New Roman"/>
          <w:sz w:val="18"/>
          <w:szCs w:val="18"/>
          <w:color w:val="auto"/>
        </w:rPr>
      </w:pPr>
    </w:p>
    <w:p>
      <w:pPr>
        <w:ind w:left="640" w:right="160" w:hanging="119"/>
        <w:spacing w:after="0" w:line="282" w:lineRule="auto"/>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and, if terminated, may result in a need for additional capital to pursue further development or commercialization of the applicable product candidates or our ABC Platform; and</w:t>
      </w:r>
    </w:p>
    <w:p>
      <w:pPr>
        <w:spacing w:after="0" w:line="53"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 agreements may not lead to development or commercialization of product candidates in the most efficient manner or at all.</w:t>
      </w:r>
    </w:p>
    <w:p>
      <w:pPr>
        <w:spacing w:after="0" w:line="117"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We may face significant competition in seeking appropriate collaborations. Recent business combinations among biotechnology and pharmaceutical companies have resulted in a reduced number of potential collaborators. In addition, the negotiation process is time-consuming and complex, and we may not be able to negotiate collaborations on a timely basis, on acceptable terms, or at all. If we are unable to do so, we may have to curtail the development of the product candidate for which we are seeking to collaborate or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product candidates or bring them to market and generate product revenue.</w:t>
      </w:r>
    </w:p>
    <w:p>
      <w:pPr>
        <w:spacing w:after="0" w:line="81"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If we enter into collaborations to develop and potentially commercialize any product candidates, we may not be able to realize the benefit of such transactions if we or our collaborator elect not to exercise the rights granted under the agreement or if we or our collaborator are unable to successfully integrate a product candidate into existing operations and company culture. In addition, if our agreement with any of our collaborators terminates, our access to technology and intellectual property licensed to us by that collaborator may be restricted or terminate entirely, which may delay our continued development of our product candidates utilizing the collaborator’s technology or intellectual property or require us to stop development of those product candidates completely. We may also find it more difficult to find a suitable replacement collaborator or attract new collaborators, and our development programs may be delayed or the perception of us in the business and financial communities could be adversely affected. Any collaborator may also be subject to many of the risks relating to product development, regulatory approval, and commercialization described in this “Risk Factors” section, and any negative impact on our collaborators may adversely affect us.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patent protection for any product candidates we develop or for our ABC Platform, our competitors could develop and commercialize products or technology similar or identical to ours, and our ability to successfully commercialize any product candidates we may develop, and our technology may be adversely affected.</w:t>
      </w:r>
    </w:p>
    <w:p>
      <w:pPr>
        <w:spacing w:after="0" w:line="67" w:lineRule="exact"/>
        <w:rPr>
          <w:sz w:val="20"/>
          <w:szCs w:val="20"/>
          <w:color w:val="auto"/>
        </w:rPr>
      </w:pPr>
    </w:p>
    <w:p>
      <w:pPr>
        <w:ind w:firstLine="518"/>
        <w:spacing w:after="0" w:line="252" w:lineRule="auto"/>
        <w:rPr>
          <w:sz w:val="20"/>
          <w:szCs w:val="20"/>
          <w:color w:val="auto"/>
        </w:rPr>
      </w:pPr>
      <w:r>
        <w:rPr>
          <w:rFonts w:ascii="Times New Roman" w:cs="Times New Roman" w:eastAsia="Times New Roman" w:hAnsi="Times New Roman"/>
          <w:sz w:val="18"/>
          <w:szCs w:val="18"/>
          <w:color w:val="auto"/>
        </w:rPr>
        <w:t>Our success depends in large part on our ability to obtain and maintain patent protection in the United States and other countries with respect to our ABC Platform and any proprietary product candidates and other technologies we may develop. We seek to protect our proprietary position by in-licensing intellectual property and filing patent applications in the United States and abroad relating to our ABC Platform, product candidates and other technologies that are important to our business. Given that the development of our technology and product candidates is at an early stage, our intellectual property portfolio directed to certain aspects of our technology and product candidates is also at an early stage. We have filed or intend to file patent applications on core aspects of our technology and product candidates; however, there can be no assurance that any such patent applications will issue as granted patents. Furthermore, in some cases, we only have filed provisional patent applications on certain aspects of our technology and product candidates, and none of these provisional patent applications is eligible to become an issued patent until, among other things, we file a non-provisional patent application within 12 months of the filing date of the applicable provisional patent application. Any failure to file a non-provisional patent application within this timeline could cause us to lose the ability to obtain patent protection for the inventions disclosed in the associated provisional patent applications. Furthermore, in some cases, we may not be able to obtain issued claims covering compositions relating to our ABC Platform and product candidates, as well as other technologies that are important to our business, and instead may need to rely on filing patent applications with claims covering a method of use and/or method of manufacture for protection of such ABC Platform, product candidates and other technologies. There can be no assurance that any such patent applications will issue as granted patents, and even if they do issue, such patent claims may be insufficient to prevent third parties, such as our competitors, from utilizing our technology. Any failure to obtain or maintain patent protection with respect to our ABC Platform and product candidates could have a material adverse effect on our business, financial condition, results of operations, and prospects.</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i w:val="1"/>
          <w:iCs w:val="1"/>
          <w:color w:val="auto"/>
        </w:rPr>
        <w:t>If any of our patent applications does not issue as a patent in any jurisdiction, we may not be able to compete effectively.</w:t>
      </w:r>
    </w:p>
    <w:p>
      <w:pPr>
        <w:spacing w:after="0" w:line="121" w:lineRule="exact"/>
        <w:rPr>
          <w:sz w:val="20"/>
          <w:szCs w:val="20"/>
          <w:color w:val="auto"/>
        </w:rPr>
      </w:pPr>
    </w:p>
    <w:p>
      <w:pPr>
        <w:jc w:val="both"/>
        <w:ind w:right="40" w:firstLine="518"/>
        <w:spacing w:after="0" w:line="261" w:lineRule="auto"/>
        <w:rPr>
          <w:sz w:val="20"/>
          <w:szCs w:val="20"/>
          <w:color w:val="auto"/>
        </w:rPr>
      </w:pPr>
      <w:r>
        <w:rPr>
          <w:rFonts w:ascii="Times New Roman" w:cs="Times New Roman" w:eastAsia="Times New Roman" w:hAnsi="Times New Roman"/>
          <w:sz w:val="18"/>
          <w:szCs w:val="18"/>
          <w:color w:val="auto"/>
        </w:rPr>
        <w:t>Changes in either the patent laws or their interpretation in the United States and other countries may diminish our ability to protect our inventions, and obtain, maintain and enforce our intellectual property rights and, more generally, could affect the value of our intellectual property or narrow the scope of our owned and licensed patents. We cannot predict whether the patent applications we are currently pursuing will issue as patents in any particular jurisdiction or whether the claims of any issued patents will provide sufficient protection from competitors or other third parties.</w:t>
      </w:r>
    </w:p>
    <w:p>
      <w:pPr>
        <w:spacing w:after="0" w:line="72" w:lineRule="exact"/>
        <w:rPr>
          <w:sz w:val="20"/>
          <w:szCs w:val="20"/>
          <w:color w:val="auto"/>
        </w:rPr>
      </w:pPr>
    </w:p>
    <w:p>
      <w:pPr>
        <w:ind w:right="20" w:firstLine="518"/>
        <w:spacing w:after="0" w:line="253" w:lineRule="auto"/>
        <w:rPr>
          <w:sz w:val="20"/>
          <w:szCs w:val="20"/>
          <w:color w:val="auto"/>
        </w:rPr>
      </w:pPr>
      <w:r>
        <w:rPr>
          <w:rFonts w:ascii="Times New Roman" w:cs="Times New Roman" w:eastAsia="Times New Roman" w:hAnsi="Times New Roman"/>
          <w:sz w:val="18"/>
          <w:szCs w:val="18"/>
          <w:color w:val="auto"/>
        </w:rPr>
        <w:t>The patent prosecution process is expensive, time-consuming and complex, and we may not be able to file, prosecute, maintain, enforce or license all necessary or desirable patent applications at a reasonable cost or in a timely manner. It is also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corporate collaborators, outside scientific collaborators, CROs, contract manufacturers, consultants, advisors and other third parties, any of these parties may breach the agreements and disclose such output before a patent application is filed, thereby jeopardizing our ability to seek patent protection. In addition, our ability to obtain and maintain valid and enforceable patents depends on whether the differences between our inventions and the prior art allow our inventions to be patentable over the prior art. In addition, our own fixed applications may become prior art against our current or future patent applications. Furthermore, publications of discoveries in the scientific literature often lag behind the actual discoveries, and patent applications in the United States and other jurisdictions are typically not published until 18 months after filing, and in some cases not at all. Therefore, we cannot be certain that we were the first to make the inventions claimed in any of our patents or pending patent applications, or that we were the first to file for patent protection of such inventions.</w:t>
      </w:r>
    </w:p>
    <w:p>
      <w:pPr>
        <w:spacing w:after="0" w:line="189"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scope of any patent protection we obtain is not sufficiently broad, or if we lose any of our patent protection, our ability to prevent our competitors from commercializing similar or identical technology and product candidates would be adversely affected.</w:t>
      </w:r>
    </w:p>
    <w:p>
      <w:pPr>
        <w:spacing w:after="0" w:line="51"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may not result in patents being issued that protect our ABC Platform, product candidates or other technologies or that effectively prevent others from commercializing competitive technologies and product candidates.</w:t>
      </w:r>
    </w:p>
    <w:p>
      <w:pPr>
        <w:spacing w:after="0" w:line="72"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Moreover, the coverage claimed in a patent application can be significantly reduced before the patent is issued, and its scope can be reinterpreted after issuance. Even if patent applications we license or own currently or in the future issue as patents, they may not issue in a form that will provide us with any meaningful protection, prevent competitors or other third parties from competing with us, or otherwise provide us with any competitive advantage. Any patents may be challenged, narrowed, circumvented, rendered unenforceable or invalidated by third parties. Consequently, we do not know whether our ABC Platform, product candidates or other technologies will be protectable or remain protected by valid and enforceable patents. Our competitors or other third parties may be able to circumvent our patents by developing similar or alternative technologies or products in a non-infringing manner which could materially adversely affect our business, financial condition, results of operations and prospects.</w:t>
      </w:r>
    </w:p>
    <w:p>
      <w:pPr>
        <w:spacing w:after="0" w:line="81"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The issuance of a patent is not conclusive as to its inventorship, scope, validity or enforceability, and our patents may be challenged in the courts or patent offices in the United States and abroad. We may be subject to a third party preissuance submission of prior art to the U.S. Patent and Trademark Office, or USPTO, or become involved in opposition, derivation, revocation, reexamination, post-grant and inter partes review, or interference proceedings or other similar proceedings challenging our patent rights. An adverse determination in any such submission, proceeding or litigation could reduce the scope of, or invalidate or render unenforceable, our patent rights, allow third parties to commercialize our ABC Platform, product candidates or other technologies and compete directly with us, without payment to us, or result in our inability to manufacture or commercialize products without infringing third-party patent rights. Moreover, we may have to participate in interference proceedings declared by the USPTO to determine priority of invention or in post-grant challenge proceedings, such as oppositions and other challenges in a foreign patent office or administrative tribunal, that challenge our or our licensor’s priority of invention or other features of patentability with respect to our owned or in-licensed patents and patent applications.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ABC Platform, product candidates and other technologies. Such proceedings also may result in substantial cost and require significant time from our scientists and management, even if the eventual outcome is favorable to us.</w:t>
      </w:r>
    </w:p>
    <w:p>
      <w:pPr>
        <w:spacing w:after="0" w:line="81" w:lineRule="exact"/>
        <w:rPr>
          <w:sz w:val="20"/>
          <w:szCs w:val="20"/>
          <w:color w:val="auto"/>
        </w:rPr>
      </w:pPr>
    </w:p>
    <w:p>
      <w:pPr>
        <w:jc w:val="both"/>
        <w:ind w:right="100" w:firstLine="518"/>
        <w:spacing w:after="0" w:line="266" w:lineRule="auto"/>
        <w:rPr>
          <w:sz w:val="20"/>
          <w:szCs w:val="20"/>
          <w:color w:val="auto"/>
        </w:rPr>
      </w:pPr>
      <w:r>
        <w:rPr>
          <w:rFonts w:ascii="Times New Roman" w:cs="Times New Roman" w:eastAsia="Times New Roman" w:hAnsi="Times New Roman"/>
          <w:sz w:val="18"/>
          <w:szCs w:val="18"/>
          <w:color w:val="auto"/>
        </w:rPr>
        <w:t>In addition, given the amount of time required for the development, testing and regulatory review of new product candidates, patents protecting such product candidates might expire before or shortly after such product candidates are commercialized. As a result, our intellectual property may not provide us with sufficient rights to exclude others from commercializing products similar or identical to ours.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49" w:right="2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and proprietary rights throughout the world.</w:t>
      </w:r>
    </w:p>
    <w:p>
      <w:pPr>
        <w:spacing w:after="0" w:line="121"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Filing, prosecuting and defending patents relating to our ABC Platform, product candidates and other technologies in all countries throughout the world would be prohibitively expensive, and the laws of foreign countries may not protect our rights to the same extent as U.S. laws.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w:t>
      </w:r>
    </w:p>
    <w:p>
      <w:pPr>
        <w:spacing w:after="0" w:line="81" w:lineRule="exact"/>
        <w:rPr>
          <w:sz w:val="20"/>
          <w:szCs w:val="20"/>
          <w:color w:val="auto"/>
        </w:rPr>
      </w:pPr>
    </w:p>
    <w:p>
      <w:pPr>
        <w:ind w:right="40" w:firstLine="518"/>
        <w:spacing w:after="0" w:line="254"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costly or impossible for us to stop the infringement of our patents or marketing of competing products in violation of our intellectual property and proprietary rights generally. 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w:t>
      </w:r>
    </w:p>
    <w:p>
      <w:pPr>
        <w:spacing w:after="0" w:line="81" w:lineRule="exact"/>
        <w:rPr>
          <w:sz w:val="20"/>
          <w:szCs w:val="20"/>
          <w:color w:val="auto"/>
        </w:rPr>
      </w:pPr>
    </w:p>
    <w:p>
      <w:pPr>
        <w:jc w:val="both"/>
        <w:ind w:right="60" w:firstLine="518"/>
        <w:spacing w:after="0" w:line="261" w:lineRule="auto"/>
        <w:rPr>
          <w:sz w:val="20"/>
          <w:szCs w:val="20"/>
          <w:color w:val="auto"/>
        </w:rPr>
      </w:pPr>
      <w:r>
        <w:rPr>
          <w:rFonts w:ascii="Times New Roman" w:cs="Times New Roman" w:eastAsia="Times New Roman" w:hAnsi="Times New Roman"/>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spacing w:after="0" w:line="176" w:lineRule="exact"/>
        <w:rPr>
          <w:sz w:val="20"/>
          <w:szCs w:val="20"/>
          <w:color w:val="auto"/>
        </w:rPr>
      </w:pPr>
    </w:p>
    <w:p>
      <w:pPr>
        <w:jc w:val="both"/>
        <w:ind w:right="6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67"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 fees on patents and applications will be due to be paid to the USPTO and various government patent agencies outside of the United States over the lifetime of our owned or licensed patents and applications. The USPTO and various non-U.S. government agencies require compliance with several procedural, documentary, fee payment and other similar provisions during the patent application process. In some cases, an inadvertent lapse can be cured by payment of a late fee or by other means in accordance with the applicable rules. Payment within these late fee windows may be employed in order to simplify the payment of these fees generally. There are situations, however, in which non-compliance can result in abandonment or lapse of the patent or patent application, resulting in a partial or complete loss of patent rights in the relevant jurisdiction. In such an event, potential competitors might be able to enter the market with similar or identical products or technology, which could have a material adverse effect on our business, financial condition, results of operations and prospects. In addition, while not relevant for KSI-301, if we rely on a different product, its development could involve the use of government funds, which can require additional compliance aspects to make certain all rights are transferred to or remain with us.</w:t>
      </w:r>
    </w:p>
    <w:p>
      <w:pPr>
        <w:spacing w:after="0" w:line="18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Issued patents may be challenged or invalidated, and recent changes in U.S. patent law have diminished and may further diminish the value of patents in general. We rely on patents to protect our products, and any diminishment in the scope or value of our patents would adversely affect our business.</w:t>
      </w:r>
    </w:p>
    <w:p>
      <w:pPr>
        <w:spacing w:after="0" w:line="51" w:lineRule="exact"/>
        <w:rPr>
          <w:sz w:val="20"/>
          <w:szCs w:val="20"/>
          <w:color w:val="auto"/>
        </w:rPr>
      </w:pPr>
    </w:p>
    <w:p>
      <w:pPr>
        <w:ind w:right="120" w:firstLine="518"/>
        <w:spacing w:after="0" w:line="255" w:lineRule="auto"/>
        <w:rPr>
          <w:sz w:val="20"/>
          <w:szCs w:val="20"/>
          <w:color w:val="auto"/>
        </w:rPr>
      </w:pPr>
      <w:r>
        <w:rPr>
          <w:rFonts w:ascii="Times New Roman" w:cs="Times New Roman" w:eastAsia="Times New Roman" w:hAnsi="Times New Roman"/>
          <w:sz w:val="18"/>
          <w:szCs w:val="18"/>
          <w:color w:val="auto"/>
        </w:rPr>
        <w:t>If we initiated legal proceedings against a third party to enforce a patent directed to our ABC Platform, product candidates or other technologies, the defendant could allege that such patent is invalid or unenforceable. In patent litigation in the United States, defendant counterclaims alleging invalidity and unenforceability are commonplace. Grounds for a validity challenge include alleged failures to meet any of several statutory requirements, including obviousness, lack of novelty, lack of written description, or non-enablement. Grounds for an unenforceability challenge include an allegation that someone connected with prosecution of the patent withheld material information from the USPTO with an intent to deceive the USPTO, or made a misleading statement, during prosecution. The filing of a legal proceeding could also result in the third party challenging the patent at the USPTO, such as in post-grant and inter partes review.</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49" w:right="299" w:bottom="1440" w:gutter="0" w:footer="0" w:header="0"/>
        </w:sectPr>
      </w:pPr>
    </w:p>
    <w:bookmarkStart w:id="47" w:name="page48"/>
    <w:bookmarkEnd w:id="47"/>
    <w:p>
      <w:pPr>
        <w:ind w:firstLine="518"/>
        <w:spacing w:after="0" w:line="254" w:lineRule="auto"/>
        <w:rPr>
          <w:sz w:val="20"/>
          <w:szCs w:val="20"/>
          <w:color w:val="auto"/>
        </w:rPr>
      </w:pPr>
      <w:r>
        <w:rPr>
          <w:rFonts w:ascii="Times New Roman" w:cs="Times New Roman" w:eastAsia="Times New Roman" w:hAnsi="Times New Roman"/>
          <w:sz w:val="18"/>
          <w:szCs w:val="18"/>
          <w:color w:val="auto"/>
        </w:rPr>
        <w:t>Changes in either the patent laws or interpretation of the patent laws in the United States could increase the uncertainties and costs surrounding the prosecution of patent applications and the enforcement or defense of issued patents. For patent filings beginning in March 2013, the United States employs a first inventor to file system in which, assuming that other requirements for patentability are met, the first inventor to file a patent application will be entitled to the patent on an invention regardless of whether a third party was the first to invent the claimed invention. Under the current patent laws, a third party that files a patent application in the USPTO before us could therefore be awarded a patent covering an invention of ours even if we had made the invention before it was made by such third party. This will require us to be cognizant going forward of the time from invention to filing of a patent application. Since patent applications in the United States and most other countries are confidential for a period of time after filing or until issuance, we cannot be certain that we were the first to either (1) file any patent application related to our ABC Platform, product candidates or other technologies or (2) invent any of the inventions claimed in our or our licensor’s patents or patent applications.</w:t>
      </w:r>
    </w:p>
    <w:p>
      <w:pPr>
        <w:spacing w:after="0" w:line="81" w:lineRule="exact"/>
        <w:rPr>
          <w:sz w:val="20"/>
          <w:szCs w:val="20"/>
          <w:color w:val="auto"/>
        </w:rPr>
      </w:pPr>
    </w:p>
    <w:p>
      <w:pPr>
        <w:ind w:right="80" w:firstLine="518"/>
        <w:spacing w:after="0" w:line="254" w:lineRule="auto"/>
        <w:rPr>
          <w:sz w:val="20"/>
          <w:szCs w:val="20"/>
          <w:color w:val="auto"/>
        </w:rPr>
      </w:pPr>
      <w:r>
        <w:rPr>
          <w:rFonts w:ascii="Times New Roman" w:cs="Times New Roman" w:eastAsia="Times New Roman" w:hAnsi="Times New Roman"/>
          <w:sz w:val="18"/>
          <w:szCs w:val="18"/>
          <w:color w:val="auto"/>
        </w:rPr>
        <w:t>Changes to U.S. patent laws since 2011 also include allowing third party submissions of prior art to the USPTO during patent prosecution and additional procedures for attacking the validity of a patent through USPTO administered post-grant proceedings, including re-examination, post-grant review, inter partes review, interference proceedings and derivation proceedings. Some of these changes apply to patents issued prior to 2011. These and equivalent proceedings in foreign jurisdictions (e.g., opposition proceedings) could result in the revocation of, cancellation of or amendment to our patents in such a way that they no longer cover our ABC Platform, product candidates or other technologies. Because of a lower evidentiary standard in USPTO proceedings compared to the evidentiary standards applied in United States federal courts that apply to actions seeking to invalidate a patent claim, a third party could potentially provide evidence in a USPTO proceeding sufficient for the USPTO to hold a claim invalid even though the same evidence would be insufficient to invalidate the claim if challenged in a district court action. Accordingly, a third party may attempt to use the USPTO procedures to invalidate our patent claims that would not otherwise have been invalidated if first challenged by the third party as a defendant in a district court action.</w:t>
      </w:r>
    </w:p>
    <w:p>
      <w:pPr>
        <w:spacing w:after="0" w:line="81" w:lineRule="exact"/>
        <w:rPr>
          <w:sz w:val="20"/>
          <w:szCs w:val="20"/>
          <w:color w:val="auto"/>
        </w:rPr>
      </w:pPr>
    </w:p>
    <w:p>
      <w:pPr>
        <w:ind w:right="40" w:firstLine="518"/>
        <w:spacing w:after="0" w:line="256" w:lineRule="auto"/>
        <w:rPr>
          <w:sz w:val="20"/>
          <w:szCs w:val="20"/>
          <w:color w:val="auto"/>
        </w:rPr>
      </w:pPr>
      <w:r>
        <w:rPr>
          <w:rFonts w:ascii="Times New Roman" w:cs="Times New Roman" w:eastAsia="Times New Roman" w:hAnsi="Times New Roman"/>
          <w:sz w:val="18"/>
          <w:szCs w:val="18"/>
          <w:color w:val="auto"/>
        </w:rPr>
        <w:t>As compared to intellectual property-reliant companies generally, the patent positions of companies in the development and commercialization of biologics and pharmaceuticals are particularly uncertain. Recent U.S. Supreme Court rulings have narrowed the scope of patent protection available in certain circumstances and weakened the rights of patent owners in certain situations. These rulings have created uncertainty with respect to the validity and enforceability of patents, even once obtained.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w:t>
      </w:r>
    </w:p>
    <w:p>
      <w:pPr>
        <w:spacing w:after="0" w:line="80" w:lineRule="exact"/>
        <w:rPr>
          <w:sz w:val="20"/>
          <w:szCs w:val="20"/>
          <w:color w:val="auto"/>
        </w:rPr>
      </w:pPr>
    </w:p>
    <w:p>
      <w:pPr>
        <w:ind w:right="60" w:firstLine="518"/>
        <w:spacing w:after="0" w:line="258" w:lineRule="auto"/>
        <w:rPr>
          <w:sz w:val="20"/>
          <w:szCs w:val="20"/>
          <w:color w:val="auto"/>
        </w:rPr>
      </w:pPr>
      <w:r>
        <w:rPr>
          <w:rFonts w:ascii="Times New Roman" w:cs="Times New Roman" w:eastAsia="Times New Roman" w:hAnsi="Times New Roman"/>
          <w:sz w:val="18"/>
          <w:szCs w:val="18"/>
          <w:color w:val="auto"/>
        </w:rPr>
        <w:t>In addition, the patent positions of companies in the development and commercialization of biologics and pharmaceuticals are particularly uncertain. Recent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w:t>
      </w:r>
    </w:p>
    <w:p>
      <w:pPr>
        <w:spacing w:after="0" w:line="76" w:lineRule="exact"/>
        <w:rPr>
          <w:sz w:val="20"/>
          <w:szCs w:val="20"/>
          <w:color w:val="auto"/>
        </w:rPr>
      </w:pPr>
    </w:p>
    <w:p>
      <w:pPr>
        <w:ind w:right="340" w:firstLine="518"/>
        <w:spacing w:after="0" w:line="258" w:lineRule="auto"/>
        <w:rPr>
          <w:sz w:val="20"/>
          <w:szCs w:val="20"/>
          <w:color w:val="auto"/>
        </w:rPr>
      </w:pPr>
      <w:r>
        <w:rPr>
          <w:rFonts w:ascii="Times New Roman" w:cs="Times New Roman" w:eastAsia="Times New Roman" w:hAnsi="Times New Roman"/>
          <w:sz w:val="18"/>
          <w:szCs w:val="18"/>
          <w:color w:val="auto"/>
        </w:rPr>
        <w:t>Any future changes to patent laws could increase the uncertainties and costs surrounding the prosecution of our owned or in-licensed patent applications and the enforcement or defense of our owned or in-licensed issued patents. If a third party were to prevail on a legal assertion of invalidity or unenforceability, we would lose at least part, and perhaps all, of the patent protection on our ABC Platform, product candidates or other technologies. Increased uncertainty with respect to, or loss of, patent protection would have a material adverse impact on our business, financial condition, results of operations and prospects.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obtain patent term extension and data exclusivity for any product candidates we may develop, our business may be materially harmed.</w:t>
      </w:r>
    </w:p>
    <w:p>
      <w:pPr>
        <w:spacing w:after="0" w:line="121" w:lineRule="exact"/>
        <w:rPr>
          <w:sz w:val="20"/>
          <w:szCs w:val="20"/>
          <w:color w:val="auto"/>
        </w:rPr>
      </w:pPr>
    </w:p>
    <w:p>
      <w:pPr>
        <w:ind w:right="120" w:firstLine="518"/>
        <w:spacing w:after="0" w:line="253" w:lineRule="auto"/>
        <w:rPr>
          <w:sz w:val="20"/>
          <w:szCs w:val="20"/>
          <w:color w:val="auto"/>
        </w:rPr>
      </w:pPr>
      <w:r>
        <w:rPr>
          <w:rFonts w:ascii="Times New Roman" w:cs="Times New Roman" w:eastAsia="Times New Roman" w:hAnsi="Times New Roman"/>
          <w:sz w:val="18"/>
          <w:szCs w:val="18"/>
          <w:color w:val="auto"/>
        </w:rPr>
        <w:t>Depending upon the timing, duration and specifics of any FDA marketing approval of any product candidates we may develop, one or more of our owned or in-licensed U.S. patents may be eligible for limited patent term extension under the Hatch-Waxman Act. The Hatch-Waxman Act permits a patent term extension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Similar extensions as compensation for patent term lost during regulatory review processes are also available in certain foreign countries and territories, such as in Europe under a Supplementary Patent Certificate. Patent term extension in the United States and/or foreign countries and territories may not be available if, among other things, we fail to exercise due diligence during the testing phase or regulatory review process, fail to apply within applicable deadlines, fail to apply prior to the expiration of relevant patents, or otherwise fail to satisfy applicable requirements. Moreover, the applicable time period or the scope of patent protection afforded could be less than we request. If we are unable to obtain patent term extension or the term of any such extension received is shorter than what we request, our competitors may obtain approval of competing products following our patent expiration, and our business, financial condition, results of operations and prospects could be materially harmed.</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of our patents and other intellectual property.</w:t>
      </w:r>
    </w:p>
    <w:p>
      <w:pPr>
        <w:spacing w:after="0" w:line="121"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We may be subject to claims that former employees, collaborators or other third parties have an interest in our owned or in-licensed patents, trade secrets or other intellectual property as an inventor or co-inventor or owner or co-owner. For example, we may have inventorship disputes arise from conflicting obligations of employees, collaborators, consultants or others who are involved in developing our ABC Platform, product candidates or other technologies. Litigation may be necessary to defend against these and other claims challenging inventorship or our ownership of our owned or in-licensed patents, trade secrets or other intellectual property. If we fail in defending any such claims, in addition to paying monetary damages, we may lose valuable intellectual property rights, such as exclusive ownership of, or right to use, intellectual property that is important to our ABC Platform, product candidates and other technologies.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121" w:lineRule="exact"/>
        <w:rPr>
          <w:sz w:val="20"/>
          <w:szCs w:val="20"/>
          <w:color w:val="auto"/>
        </w:rPr>
      </w:pPr>
    </w:p>
    <w:p>
      <w:pPr>
        <w:ind w:right="240" w:firstLine="518"/>
        <w:spacing w:after="0" w:line="261" w:lineRule="auto"/>
        <w:rPr>
          <w:sz w:val="20"/>
          <w:szCs w:val="20"/>
          <w:color w:val="auto"/>
        </w:rPr>
      </w:pPr>
      <w:r>
        <w:rPr>
          <w:rFonts w:ascii="Times New Roman" w:cs="Times New Roman" w:eastAsia="Times New Roman" w:hAnsi="Times New Roman"/>
          <w:sz w:val="18"/>
          <w:szCs w:val="18"/>
          <w:color w:val="auto"/>
        </w:rPr>
        <w:t>In addition to seeking patents for our ABC Platform, product candidates and other technologies, we also rely on trade secrets and confidentiality agreements to protect our unpatented know-how, technology and other proprietary information and to maintain our competitive position. Trade secrets and know-how can be difficult to protect. Over time, we expect our trade secrets and know-how to be disseminated within the industry through independent development, the publication of journal articles describing the methodology and the movement of personnel from academic to industry scientific positions.</w:t>
      </w:r>
    </w:p>
    <w:p>
      <w:pPr>
        <w:spacing w:after="0" w:line="72"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We seek to protect these trade secrets and other proprietary technology, in part, by entering into non-disclosure and confidentiality agreements with parties who have access to them, such as our employees, corporate collaborators, outside scientific collaborators, CROs, contract manufacturers, consultants, advisors and other third parties. We also enter into confidentiality and invention or patent assignment agreements with our employees and consultants, train our employees not to bring or use proprietary information or technology from former employers to us or in their work and remind former employees when they leave their employment of their confidentiality obligations to us. We cannot guarantee that we have entered into such agreements with each party that may have or have had access to our trade secrets or proprietary technology and processes. Despite our efforts, any of these parties may breach the agreements and disclose our proprietary information, including our trade secrets, and we may not be able to contain such breaches or disclosures or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without the protection of a confidentiality agreement found unenforceable by relevant courts or independently developed by a competitor or other third party, our competitive position would be materially and adversely harmed.</w:t>
      </w:r>
    </w:p>
    <w:p>
      <w:pPr>
        <w:spacing w:after="0" w:line="18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advisors have wrongfully used or disclosed alleged trade secrets of their current or former employers or claims asserting ownership of what we regard as our own intellectual property.</w:t>
      </w:r>
    </w:p>
    <w:p>
      <w:pPr>
        <w:spacing w:after="0" w:line="51"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Many of our employees, consultants and advisors are currently or were previously employed at universities or other biotechnology or pharmaceutical companies, including our competitors and potential competitors. Although we try to ensure that our employees, consultants and advisors do not use the proprietary information or know-how of others in their work for us, we may be subject to claims that we or these individuals have improperly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spacing w:after="0" w:line="81"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 Where post-filing date patent assignments are not executed by an inventor, it is our practice to employ and record the assignment provision that can be found in the employee’s employment agreement. This is done when possible, and when the intellectual property is of interest to us.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49" w:name="page50"/>
    <w:bookmarkEnd w:id="49"/>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Third-party claims of intellectual property infringement, misappropriation or other violation against us or our collaborators may prevent or delay the development and commercialization of our ABC Platform, product candidates and other technologies.</w:t>
      </w:r>
    </w:p>
    <w:p>
      <w:pPr>
        <w:spacing w:after="0" w:line="51" w:lineRule="exact"/>
        <w:rPr>
          <w:sz w:val="20"/>
          <w:szCs w:val="20"/>
          <w:color w:val="auto"/>
        </w:rPr>
      </w:pPr>
    </w:p>
    <w:p>
      <w:pPr>
        <w:ind w:right="80" w:firstLine="518"/>
        <w:spacing w:after="0" w:line="261" w:lineRule="auto"/>
        <w:rPr>
          <w:sz w:val="20"/>
          <w:szCs w:val="20"/>
          <w:color w:val="auto"/>
        </w:rPr>
      </w:pPr>
      <w:r>
        <w:rPr>
          <w:rFonts w:ascii="Times New Roman" w:cs="Times New Roman" w:eastAsia="Times New Roman" w:hAnsi="Times New Roman"/>
          <w:sz w:val="18"/>
          <w:szCs w:val="18"/>
          <w:color w:val="auto"/>
        </w:rPr>
        <w:t>The field of discovering treatments for retinal diseases is highly competitive and dynamic. Due to the focused research and development that is taking place in this field by several companies, including us and our competitors, the intellectual property landscape is in flux, and it may remain uncertain in the future. As such, there may be significant intellectual property related litigation and proceedings relating to our owned, and other third party, intellectual property and proprietary rights in the future.</w:t>
      </w:r>
    </w:p>
    <w:p>
      <w:pPr>
        <w:spacing w:after="0" w:line="72" w:lineRule="exact"/>
        <w:rPr>
          <w:sz w:val="20"/>
          <w:szCs w:val="20"/>
          <w:color w:val="auto"/>
        </w:rPr>
      </w:pPr>
    </w:p>
    <w:p>
      <w:pPr>
        <w:ind w:right="60" w:firstLine="518"/>
        <w:spacing w:after="0" w:line="256" w:lineRule="auto"/>
        <w:rPr>
          <w:sz w:val="20"/>
          <w:szCs w:val="20"/>
          <w:color w:val="auto"/>
        </w:rPr>
      </w:pPr>
      <w:r>
        <w:rPr>
          <w:rFonts w:ascii="Times New Roman" w:cs="Times New Roman" w:eastAsia="Times New Roman" w:hAnsi="Times New Roman"/>
          <w:sz w:val="18"/>
          <w:szCs w:val="18"/>
          <w:color w:val="auto"/>
        </w:rPr>
        <w:t xml:space="preserve">Our commercial success depends in part on our and our collaborators’ ability to avoid infringing, misappropriating and otherwise violating the patents and other intellectual property rights of third parties. There is a substantial amount of complex litigation involving patents and other intellectual property rights in the biotechnology and pharmaceutical industries, as well as administrative proceedings challenging patents, including interference, derivation and reexamination proceedings before the USPTO or oppositions and other comparable proceedings in foreign jurisdictions. As discussed above, due to changes in U.S. law referred to as patent reform, new procedures including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post-grant review have been implemented. As stated above, this reform adds uncertainty to the possibility of challenge to our patents in the future.</w:t>
      </w:r>
    </w:p>
    <w:p>
      <w:pPr>
        <w:spacing w:after="0" w:line="80"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Numerous U.S. and foreign issued patents and pending patent applications owned by third parties exist relating to ABC technology and in the fields in which we are developing our product candidates. As the biotechnology and pharmaceutical industries expand and more patents are issued, the risk increases that our ABC Platform, product candidates and other technologies may give rise to claims of infringement of the patent rights of others. We cannot assure you that our ABC Platform, product candidates and other technologies that we have developed, are developing or may develop in the future will not infringe existing or future patents owned by third parties. We may not be aware of patents that have already been issued or that a third party, including a competitor in the fields in which we are developing our ABC Platform, product candidates and other technologies, might assert are infringed by our current or future ABC Platform, product candidates or other technologies. Such a dispute may concern claims to compositions, formulations, methods of manufacture or methods of use or treatment that cover our ABC Platform, product candidates or other technologies. It is also possible that patents owned by third parties of which we are aware, but which we do not believe are relevant to our ABC Platform, product candidates or other technologies, could be found to be infringed by our ABC Platform, product candidates or other technologies. In addition, because patent applications can take many years to issue, there may be currently pending patent applications that later result in issued patents that our ABC Platform, product candidates or other technologies may infringe.</w:t>
      </w:r>
    </w:p>
    <w:p>
      <w:pPr>
        <w:spacing w:after="0" w:line="85"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Third parties may have patents or obtain patents in the future and claim that the manufacture, use or sale of our ABC Platform, product candidates or other technologies infringes these patents. If a third party alleges that we infringe their patents or that we are otherwise employing their proprietary technology without authorization and initiates litigation against us, a court of competent jurisdiction could hold that such patents are valid, enforceable and infringed by our ABC Platform, product candidates or other technologies, even if we believe such claims are without merit. In that event, the successful plaintiff may be able to block our ability to commercialize the applicable product candidate or technology unless we obtain a license under the applicable patents, or such patents expire or are finally determined to be invalid or unenforceable. Such a license may not be available on commercially reasonable terms or at all. Even if we are able to obtain a license, the license would likely obligate us to pay license fees, royalties or both. Any license granted to us might be nonexclusive, which could result in our competitors gaining access to the same intellectual property. If we are unable to obtain a necessary license to a third-party patent on commercially reasonable terms, we may be unable to commercialize our ABC Platform, product candidates or other technologies, or our commercialization efforts may be significantly delayed, which could in turn significantly harm our business.</w:t>
      </w:r>
    </w:p>
    <w:p>
      <w:pPr>
        <w:spacing w:after="0" w:line="78" w:lineRule="exact"/>
        <w:rPr>
          <w:sz w:val="20"/>
          <w:szCs w:val="20"/>
          <w:color w:val="auto"/>
        </w:rPr>
      </w:pPr>
    </w:p>
    <w:p>
      <w:pPr>
        <w:ind w:right="60" w:firstLine="518"/>
        <w:spacing w:after="0" w:line="258" w:lineRule="auto"/>
        <w:rPr>
          <w:sz w:val="20"/>
          <w:szCs w:val="20"/>
          <w:color w:val="auto"/>
        </w:rPr>
      </w:pPr>
      <w:r>
        <w:rPr>
          <w:rFonts w:ascii="Times New Roman" w:cs="Times New Roman" w:eastAsia="Times New Roman" w:hAnsi="Times New Roman"/>
          <w:sz w:val="18"/>
          <w:szCs w:val="18"/>
          <w:color w:val="auto"/>
        </w:rPr>
        <w:t>We are aware of a number of patents and applications that are directed to one or more aspects of KSI-301. Our intent is to maintain our development efforts under 35 U.S.C. Section 271(e)(1) (which provides a safe harbor from patent infringement claims related to certain drug development activities) through to at least the launch of any KSI-301 product. As such, we do not intend to launch KSI-301 when any valid patent is still in force. We are aware of at least one pending application with claims that are directed to some aspect of KSI-301, and that could, if issued, result in a patent term beyond our intended launch date of KSI-301. If this were to occur, we may challenge the validity of the claims, obtain a license, modify KSI-301, or delay launch.</w:t>
      </w:r>
    </w:p>
    <w:p>
      <w:pPr>
        <w:spacing w:after="0" w:line="76"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If we choose to further the pipeline and develop a different product, such a product would be delayed until the expiration of any valid patent that is still in force on such product. Alternatively, our options for addressing any such patents relating to these non-KSI-301 products would include the following: challenge the validity of the claims, obtain a license, or modify the non-KSI-301 product.</w:t>
      </w:r>
    </w:p>
    <w:p>
      <w:pPr>
        <w:spacing w:after="0" w:line="68" w:lineRule="exact"/>
        <w:rPr>
          <w:sz w:val="20"/>
          <w:szCs w:val="20"/>
          <w:color w:val="auto"/>
        </w:rPr>
      </w:pPr>
    </w:p>
    <w:p>
      <w:pPr>
        <w:ind w:right="80" w:firstLine="518"/>
        <w:spacing w:after="0" w:line="254" w:lineRule="auto"/>
        <w:rPr>
          <w:sz w:val="20"/>
          <w:szCs w:val="20"/>
          <w:color w:val="auto"/>
        </w:rPr>
      </w:pPr>
      <w:r>
        <w:rPr>
          <w:rFonts w:ascii="Times New Roman" w:cs="Times New Roman" w:eastAsia="Times New Roman" w:hAnsi="Times New Roman"/>
          <w:sz w:val="18"/>
          <w:szCs w:val="18"/>
          <w:color w:val="auto"/>
        </w:rPr>
        <w:t>Defending against infringement claims, regardless of their merit, would involve substantial litigation expense, would be a substantial diversion of management and other employee resources from our business and may adversely impact our reputation. We may be subject to an injunction that prevents or delays us from commercializing our ABC Platform technology, product candidates or other technologies during ongoing litigation even if we ultimately prevail in the litigation proceedings or the litigation is settled in our favor. We may be subject to an injunction that prevents or delays us from commercializing our ABC Platform, product candidates or other technologies during ongoing litigation even if we ultimately prevail in the litigation proceedings or the litigation is settled in our favor. In the event of a successful claim of infringement against us, we may be enjoined from further developing or commercializing our infringing ABC Platform, product candidates or other technologies. In addition, we may have to pay substantial damages (including treble damages and attorneys’ fees for willful infringement) obtain one or more licenses from third parties, pay royalties and/or redesign our infringing product candidates or technologies, which may be impossible or require substantial time and monetary expenditure. If we were unable to further develop and commercialize our ABC Platform, product candidates or other technologies, it would harm our business significantly.</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49" w:right="259" w:bottom="1440" w:gutter="0" w:footer="0" w:header="0"/>
        </w:sectPr>
      </w:pPr>
    </w:p>
    <w:bookmarkStart w:id="50" w:name="page51"/>
    <w:bookmarkEnd w:id="50"/>
    <w:p>
      <w:pPr>
        <w:ind w:right="20" w:firstLine="518"/>
        <w:spacing w:after="0" w:line="256" w:lineRule="auto"/>
        <w:rPr>
          <w:sz w:val="20"/>
          <w:szCs w:val="20"/>
          <w:color w:val="auto"/>
        </w:rPr>
      </w:pPr>
      <w:r>
        <w:rPr>
          <w:rFonts w:ascii="Times New Roman" w:cs="Times New Roman" w:eastAsia="Times New Roman" w:hAnsi="Times New Roman"/>
          <w:sz w:val="18"/>
          <w:szCs w:val="18"/>
          <w:color w:val="auto"/>
        </w:rPr>
        <w:t>Engaging in litigation to defend against third parties alleging that we have infringed, misappropriated or otherwise violated their patents or other intellectual property rights is very expensive, particularly for a company of our size, and time-consuming. Some of our competitors may be able to sustain the costs of litigation or administrative proceedings more effectively than we can because of greater financial resources. Patent litigation and other proceedings may also absorb significant management time. Uncertainties resulting from the initiation and continuation of patent litigation or other proceedings against us could impair our ability to compete in the marketplace. The occurrence of any of the foregoing could have a material adverse effect on our business, financial condition or results of operations.</w:t>
      </w:r>
    </w:p>
    <w:p>
      <w:pPr>
        <w:spacing w:after="0" w:line="184"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patents and other intellectual property rights, which could be expensive, time consuming and unsuccessful.</w:t>
      </w:r>
    </w:p>
    <w:p>
      <w:pPr>
        <w:spacing w:after="0" w:line="51" w:lineRule="exact"/>
        <w:rPr>
          <w:sz w:val="20"/>
          <w:szCs w:val="20"/>
          <w:color w:val="auto"/>
        </w:rPr>
      </w:pPr>
    </w:p>
    <w:p>
      <w:pPr>
        <w:ind w:right="100" w:firstLine="518"/>
        <w:spacing w:after="0" w:line="254" w:lineRule="auto"/>
        <w:rPr>
          <w:sz w:val="20"/>
          <w:szCs w:val="20"/>
          <w:color w:val="auto"/>
        </w:rPr>
      </w:pPr>
      <w:r>
        <w:rPr>
          <w:rFonts w:ascii="Times New Roman" w:cs="Times New Roman" w:eastAsia="Times New Roman" w:hAnsi="Times New Roman"/>
          <w:sz w:val="18"/>
          <w:szCs w:val="18"/>
          <w:color w:val="auto"/>
        </w:rPr>
        <w:t>Competitors may infringe our patents or the patents of our licensing partners, or we may be required to defend against claims of infringement. If we assert our intellectual property against others, it could increase the likelihood that our patents or the patents of our licensing partners become involved in inventorship, priority or validity disputes. As discussed above, countering or defending against such claims can be expensive and time consuming. In an infringement proceeding, a court may decide that a patent owned or in-licensed by us is invalid or unenforceable, the other party’s use of our patented technology falls under the safe harbor to patent infringement under 35 U.S.C. §271(e)(1), or may refuse to stop the other party from using the technology at issue on the grounds that our owned and in-licensed patents do not cover the technology in question. An adverse result in any litigation proceeding could put one or more of our owned or in-licensed patents at risk of being invalidated, rendered unenforceable or interpreted narrowly.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81" w:lineRule="exact"/>
        <w:rPr>
          <w:sz w:val="20"/>
          <w:szCs w:val="20"/>
          <w:color w:val="auto"/>
        </w:rPr>
      </w:pPr>
    </w:p>
    <w:p>
      <w:pPr>
        <w:ind w:right="20" w:firstLine="518"/>
        <w:spacing w:after="0" w:line="254" w:lineRule="auto"/>
        <w:rPr>
          <w:sz w:val="20"/>
          <w:szCs w:val="20"/>
          <w:color w:val="auto"/>
        </w:rPr>
      </w:pPr>
      <w:r>
        <w:rPr>
          <w:rFonts w:ascii="Times New Roman" w:cs="Times New Roman" w:eastAsia="Times New Roman" w:hAnsi="Times New Roman"/>
          <w:sz w:val="18"/>
          <w:szCs w:val="18"/>
          <w:color w:val="auto"/>
        </w:rPr>
        <w:t>Even if we prevail in asserting our intellectual property, litigation or other legal proceedings relating to intellectual property claims may cause us to incur significant expenses and could distract our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or to assert all claims we believe to be viable.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185"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51" w:lineRule="exact"/>
        <w:rPr>
          <w:sz w:val="20"/>
          <w:szCs w:val="20"/>
          <w:color w:val="auto"/>
        </w:rPr>
      </w:pPr>
    </w:p>
    <w:p>
      <w:pPr>
        <w:ind w:firstLine="518"/>
        <w:spacing w:after="0" w:line="252" w:lineRule="auto"/>
        <w:rPr>
          <w:sz w:val="20"/>
          <w:szCs w:val="20"/>
          <w:color w:val="auto"/>
        </w:rPr>
      </w:pPr>
      <w:r>
        <w:rPr>
          <w:rFonts w:ascii="Times New Roman" w:cs="Times New Roman" w:eastAsia="Times New Roman" w:hAnsi="Times New Roman"/>
          <w:sz w:val="18"/>
          <w:szCs w:val="18"/>
          <w:color w:val="auto"/>
        </w:rPr>
        <w:t>We rely on trademarks, service marks, tradenames and brand names. We cannot assure you that our trademark applications will be approved. During trademark registration proceedings, we may receive rejections. Although we are given an opportunity to respond to those rejections, we may be unable to overcome such rejections. In addition, any registered or unregistered trademarks or trade names that we currently have or may in the future acquire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Further, we do not own any registered trademarks for the marks “KODIAK” or “KODIAK SCIENCES” in the United States. Over the long term, if we are unable to establish name recognition based on our trademarks and trade names, then we may not be able to compete effectively and our business may be adversely affected. We engage a third party watching service to monitor use by third parties of names that are identical or similar to our name. We have identified at least two companies that are using names that we continue to monitor. If we deem it appropriate, we may decide to take action with respect to those companies. Our efforts to enforce or protect our proprietary rights related to trademarks, trade secrets, domain names, copyrights or other intellectual property may be ineffective and could result in substantial costs and diversion of resources and could adversely affect our business, financial condition, results of operations and prospects.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w:t>
      </w:r>
    </w:p>
    <w:p>
      <w:pPr>
        <w:spacing w:after="0" w:line="121" w:lineRule="exact"/>
        <w:rPr>
          <w:sz w:val="20"/>
          <w:szCs w:val="20"/>
          <w:color w:val="auto"/>
        </w:rPr>
      </w:pPr>
    </w:p>
    <w:p>
      <w:pPr>
        <w:ind w:right="200" w:firstLine="518"/>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54" w:lineRule="exact"/>
        <w:rPr>
          <w:sz w:val="20"/>
          <w:szCs w:val="20"/>
          <w:color w:val="auto"/>
        </w:rPr>
      </w:pPr>
    </w:p>
    <w:p>
      <w:pPr>
        <w:ind w:left="640" w:right="100" w:hanging="119"/>
        <w:spacing w:after="0" w:line="282" w:lineRule="auto"/>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products that are similar to our product candidates or utilize similar technology but that are not covered by the claims of the patents that we may license or own;</w:t>
      </w:r>
    </w:p>
    <w:p>
      <w:pPr>
        <w:spacing w:after="0" w:line="53" w:lineRule="exact"/>
        <w:rPr>
          <w:rFonts w:ascii="Times New Roman" w:cs="Times New Roman" w:eastAsia="Times New Roman" w:hAnsi="Times New Roman"/>
          <w:sz w:val="18"/>
          <w:szCs w:val="18"/>
          <w:color w:val="auto"/>
        </w:rPr>
      </w:pPr>
    </w:p>
    <w:p>
      <w:pPr>
        <w:ind w:left="640" w:right="200" w:hanging="119"/>
        <w:spacing w:after="0" w:line="282" w:lineRule="auto"/>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current or future licensors or collaborators, might not have been the first to make the inventions covered by the issued patent or pending patent application that we license or own now or in the future;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51" w:name="page52"/>
    <w:bookmarkEnd w:id="51"/>
    <w:p>
      <w:pPr>
        <w:ind w:left="640" w:right="680" w:hanging="119"/>
        <w:spacing w:after="0" w:line="282" w:lineRule="auto"/>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current or future licensors or collaborators, might not have been the first to file patent applications covering certain of our or their inventions;</w:t>
      </w:r>
    </w:p>
    <w:p>
      <w:pPr>
        <w:spacing w:after="0" w:line="53" w:lineRule="exact"/>
        <w:rPr>
          <w:rFonts w:ascii="Times New Roman" w:cs="Times New Roman" w:eastAsia="Times New Roman" w:hAnsi="Times New Roman"/>
          <w:sz w:val="18"/>
          <w:szCs w:val="18"/>
          <w:color w:val="auto"/>
        </w:rPr>
      </w:pPr>
    </w:p>
    <w:p>
      <w:pPr>
        <w:ind w:left="640" w:right="160" w:hanging="119"/>
        <w:spacing w:after="0" w:line="282" w:lineRule="auto"/>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owned or licensed intellectual property rights;</w:t>
      </w:r>
    </w:p>
    <w:p>
      <w:pPr>
        <w:spacing w:after="0" w:line="53"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current or future pending owned or licensed patent applications will not lead to issued patents;</w:t>
      </w:r>
    </w:p>
    <w:p>
      <w:pPr>
        <w:spacing w:after="0" w:line="117" w:lineRule="exact"/>
        <w:rPr>
          <w:rFonts w:ascii="Times New Roman" w:cs="Times New Roman" w:eastAsia="Times New Roman" w:hAnsi="Times New Roman"/>
          <w:sz w:val="18"/>
          <w:szCs w:val="18"/>
          <w:color w:val="auto"/>
        </w:rPr>
      </w:pPr>
    </w:p>
    <w:p>
      <w:pPr>
        <w:ind w:left="640" w:right="140" w:hanging="119"/>
        <w:spacing w:after="0" w:line="282" w:lineRule="auto"/>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hold rights to may be held invalid or unenforceable, including as a result of legal challenges by our competitors or other third parties;</w:t>
      </w:r>
    </w:p>
    <w:p>
      <w:pPr>
        <w:spacing w:after="0" w:line="53" w:lineRule="exact"/>
        <w:rPr>
          <w:rFonts w:ascii="Times New Roman" w:cs="Times New Roman" w:eastAsia="Times New Roman" w:hAnsi="Times New Roman"/>
          <w:sz w:val="18"/>
          <w:szCs w:val="18"/>
          <w:color w:val="auto"/>
        </w:rPr>
      </w:pPr>
    </w:p>
    <w:p>
      <w:pPr>
        <w:ind w:left="640" w:right="20" w:hanging="119"/>
        <w:spacing w:after="0" w:line="282" w:lineRule="auto"/>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or other third parties might conduct research and development activities in countries where we do not have patent rights and then use the information learned from such activities to develop competitive products for sale in our major commercial markets;</w:t>
      </w:r>
    </w:p>
    <w:p>
      <w:pPr>
        <w:spacing w:after="0" w:line="53"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117"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harm our business; and</w:t>
      </w:r>
    </w:p>
    <w:p>
      <w:pPr>
        <w:spacing w:after="0" w:line="117" w:lineRule="exact"/>
        <w:rPr>
          <w:rFonts w:ascii="Times New Roman" w:cs="Times New Roman" w:eastAsia="Times New Roman" w:hAnsi="Times New Roman"/>
          <w:sz w:val="18"/>
          <w:szCs w:val="18"/>
          <w:color w:val="auto"/>
        </w:rPr>
      </w:pPr>
    </w:p>
    <w:p>
      <w:pPr>
        <w:ind w:left="640" w:right="180" w:hanging="119"/>
        <w:spacing w:after="0" w:line="282" w:lineRule="auto"/>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in order to maintain certain trade secrets or know-how, and a third party may subsequently file a patent covering such intellectual property.</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Should any of these events occur, they could have a material adverse effect on our business, financial condition, results of operations and prospects.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Operations</w:t>
      </w:r>
    </w:p>
    <w:p>
      <w:pPr>
        <w:spacing w:after="0" w:line="11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our key personnel, and if we are not successful in attracting, motivating and retaining highly qualified personnel, we may not be able to successfully implement our business strategy.</w:t>
      </w:r>
    </w:p>
    <w:p>
      <w:pPr>
        <w:spacing w:after="0" w:line="51" w:lineRule="exact"/>
        <w:rPr>
          <w:sz w:val="20"/>
          <w:szCs w:val="20"/>
          <w:color w:val="auto"/>
        </w:rPr>
      </w:pPr>
    </w:p>
    <w:p>
      <w:pPr>
        <w:ind w:right="140" w:firstLine="518"/>
        <w:spacing w:after="0" w:line="258" w:lineRule="auto"/>
        <w:rPr>
          <w:sz w:val="20"/>
          <w:szCs w:val="20"/>
          <w:color w:val="auto"/>
        </w:rPr>
      </w:pPr>
      <w:r>
        <w:rPr>
          <w:rFonts w:ascii="Times New Roman" w:cs="Times New Roman" w:eastAsia="Times New Roman" w:hAnsi="Times New Roman"/>
          <w:sz w:val="18"/>
          <w:szCs w:val="18"/>
          <w:color w:val="auto"/>
        </w:rPr>
        <w:t>Our ability to compete in the highly competitive biotechnology and pharmaceutical industries depends upon our ability to attract, motivate and retain highly qualified managerial, scientific and medical personnel. We are highly dependent on our management, particularly our Chief Executive Officer, Dr. Victor Perlroth, and our scientific and medical personnel. The loss of the services provided by any of our executive officers, other key employees, and other scientific and medical advisors, and our inability to find suitable replacements, could result in delays in the development of our product candidates and harm our business.</w:t>
      </w:r>
    </w:p>
    <w:p>
      <w:pPr>
        <w:spacing w:after="0" w:line="76" w:lineRule="exact"/>
        <w:rPr>
          <w:sz w:val="20"/>
          <w:szCs w:val="20"/>
          <w:color w:val="auto"/>
        </w:rPr>
      </w:pPr>
    </w:p>
    <w:p>
      <w:pPr>
        <w:ind w:right="140" w:firstLine="518"/>
        <w:spacing w:after="0" w:line="261" w:lineRule="auto"/>
        <w:rPr>
          <w:sz w:val="20"/>
          <w:szCs w:val="20"/>
          <w:color w:val="auto"/>
        </w:rPr>
      </w:pPr>
      <w:r>
        <w:rPr>
          <w:rFonts w:ascii="Times New Roman" w:cs="Times New Roman" w:eastAsia="Times New Roman" w:hAnsi="Times New Roman"/>
          <w:sz w:val="18"/>
          <w:szCs w:val="18"/>
          <w:color w:val="auto"/>
        </w:rPr>
        <w:t>We conduct our operations at our facility in Palo Alto, California, in a region that is headquarters to many other biopharmaceutical companies and many academic and research institutions. Competition for skilled personnel is intense and the turnover rate can be high, which may limit our ability to hire and retain highly qualified personnel on acceptable terms or at all. We expect that we may need to recruit talent from outside of our region and doing so may be costly and difficult.</w:t>
      </w:r>
    </w:p>
    <w:p>
      <w:pPr>
        <w:spacing w:after="0" w:line="72" w:lineRule="exact"/>
        <w:rPr>
          <w:sz w:val="20"/>
          <w:szCs w:val="20"/>
          <w:color w:val="auto"/>
        </w:rPr>
      </w:pPr>
    </w:p>
    <w:p>
      <w:pPr>
        <w:ind w:right="80" w:firstLine="518"/>
        <w:spacing w:after="0" w:line="255" w:lineRule="auto"/>
        <w:rPr>
          <w:sz w:val="20"/>
          <w:szCs w:val="20"/>
          <w:color w:val="auto"/>
        </w:rPr>
      </w:pPr>
      <w:r>
        <w:rPr>
          <w:rFonts w:ascii="Times New Roman" w:cs="Times New Roman" w:eastAsia="Times New Roman" w:hAnsi="Times New Roman"/>
          <w:sz w:val="18"/>
          <w:szCs w:val="18"/>
          <w:color w:val="auto"/>
        </w:rPr>
        <w:t>To induce valuable employees to remain at our company, in addition to salary and cash incentives, we have provided restricted stock and stock option grants, including early exercise stock options exercisable for restricted stock that vest over time. The value to employees of these equity grants that vest over time may be significantly affected by movements in our stock price that are beyond our control and may at any time be insufficient to counteract more lucrative offers from other companies. Although we have employment agreements with our key employees, these employment agreements provide for at-will employment, which means that any of our employees could leave our employment at any time, with or without notice. We do not maintain “key man” insurance policies on the lives of all of these individuals or the lives of any of our other employees. If we are unable to attract, incentivize and retain quality personnel on acceptable terms, or at all, it may cause our business and operating results to suffer.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need to grow the size and capabilities of our organization, and we may experience difficulties in managing this growth.</w:t>
      </w:r>
    </w:p>
    <w:p>
      <w:pPr>
        <w:spacing w:after="0" w:line="121" w:lineRule="exact"/>
        <w:rPr>
          <w:sz w:val="20"/>
          <w:szCs w:val="20"/>
          <w:color w:val="auto"/>
        </w:rPr>
      </w:pPr>
    </w:p>
    <w:p>
      <w:pPr>
        <w:jc w:val="both"/>
        <w:ind w:right="300" w:firstLine="518"/>
        <w:spacing w:after="0" w:line="266" w:lineRule="auto"/>
        <w:rPr>
          <w:sz w:val="20"/>
          <w:szCs w:val="20"/>
          <w:color w:val="auto"/>
        </w:rPr>
      </w:pPr>
      <w:r>
        <w:rPr>
          <w:rFonts w:ascii="Times New Roman" w:cs="Times New Roman" w:eastAsia="Times New Roman" w:hAnsi="Times New Roman"/>
          <w:sz w:val="18"/>
          <w:szCs w:val="18"/>
          <w:color w:val="auto"/>
        </w:rPr>
        <w:t>As of June 30, 2019, we had 34 employees, all of whom were full-time. As our development plans and strategies develop, and as we transition into operating as a public company, we must add a significant number of additional managerial, operational, financial and other personnel. Future growth will impose significant added responsibilities on members of management, including:</w:t>
      </w:r>
    </w:p>
    <w:p>
      <w:pPr>
        <w:spacing w:after="0" w:line="68" w:lineRule="exact"/>
        <w:rPr>
          <w:sz w:val="20"/>
          <w:szCs w:val="20"/>
          <w:color w:val="auto"/>
        </w:rPr>
      </w:pPr>
    </w:p>
    <w:p>
      <w:pPr>
        <w:ind w:left="640" w:hanging="119"/>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recruiting, integrating, retaining and motivating additional employees;</w:t>
      </w:r>
    </w:p>
    <w:p>
      <w:pPr>
        <w:spacing w:after="0" w:line="117" w:lineRule="exact"/>
        <w:rPr>
          <w:rFonts w:ascii="Times New Roman" w:cs="Times New Roman" w:eastAsia="Times New Roman" w:hAnsi="Times New Roman"/>
          <w:sz w:val="18"/>
          <w:szCs w:val="18"/>
          <w:color w:val="auto"/>
        </w:rPr>
      </w:pPr>
    </w:p>
    <w:p>
      <w:pPr>
        <w:ind w:left="640" w:right="140" w:hanging="119"/>
        <w:spacing w:after="0" w:line="282" w:lineRule="auto"/>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our internal development efforts effectively, including the clinical and FDA review process for our current and future product candidates, while complying with our contractual obligations to contractors and other third parties;</w:t>
      </w:r>
    </w:p>
    <w:p>
      <w:pPr>
        <w:spacing w:after="0" w:line="53"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our operational, financial and management controls, reporting systems and procedures; and</w:t>
      </w:r>
    </w:p>
    <w:p>
      <w:pPr>
        <w:spacing w:after="0" w:line="117"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increasing operational and managerial complexity.</w:t>
      </w:r>
    </w:p>
    <w:p>
      <w:pPr>
        <w:spacing w:after="0" w:line="117" w:lineRule="exact"/>
        <w:rPr>
          <w:sz w:val="20"/>
          <w:szCs w:val="20"/>
          <w:color w:val="auto"/>
        </w:rPr>
      </w:pPr>
    </w:p>
    <w:p>
      <w:pPr>
        <w:ind w:right="40" w:firstLine="518"/>
        <w:spacing w:after="0" w:line="266" w:lineRule="auto"/>
        <w:rPr>
          <w:sz w:val="20"/>
          <w:szCs w:val="20"/>
          <w:color w:val="auto"/>
        </w:rPr>
      </w:pPr>
      <w:r>
        <w:rPr>
          <w:rFonts w:ascii="Times New Roman" w:cs="Times New Roman" w:eastAsia="Times New Roman" w:hAnsi="Times New Roman"/>
          <w:sz w:val="18"/>
          <w:szCs w:val="18"/>
          <w:color w:val="auto"/>
        </w:rPr>
        <w:t>Our future financial performance and our ability to continue to develop and, if approved, commercialize our product candidates will depend, in part, on our ability to effectively manage any future growth. Our management may also have to divert a disproportionate amount of its attention away from day-to-day activities in order to manage these growth activities.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52" w:name="page53"/>
    <w:bookmarkEnd w:id="52"/>
    <w:p>
      <w:pPr>
        <w:ind w:right="20" w:firstLine="518"/>
        <w:spacing w:after="0" w:line="274" w:lineRule="auto"/>
        <w:rPr>
          <w:sz w:val="20"/>
          <w:szCs w:val="20"/>
          <w:color w:val="auto"/>
        </w:rPr>
      </w:pPr>
      <w:r>
        <w:rPr>
          <w:rFonts w:ascii="Times New Roman" w:cs="Times New Roman" w:eastAsia="Times New Roman" w:hAnsi="Times New Roman"/>
          <w:sz w:val="17"/>
          <w:szCs w:val="17"/>
          <w:color w:val="auto"/>
        </w:rPr>
        <w:t>We currently rely, and for the foreseeable future will continue to rely, in substantial part on certain independent organizations, advisors and consultants to provide certain services. There can be no assurance that the services of these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consultants is compromised for any reason, our clinical trials may be extended, delayed, or terminated, and we may not be able to obtain regulatory approval of our product candidates or otherwise advance our business. There can be no assurance that we will be able to manage our existing consultants or find other competent outside contractors and consultants on economically reasonable terms, if at all.</w:t>
      </w:r>
    </w:p>
    <w:p>
      <w:pPr>
        <w:spacing w:after="0" w:line="65" w:lineRule="exact"/>
        <w:rPr>
          <w:sz w:val="20"/>
          <w:szCs w:val="20"/>
          <w:color w:val="auto"/>
        </w:rPr>
      </w:pPr>
    </w:p>
    <w:p>
      <w:pPr>
        <w:ind w:right="220" w:firstLine="518"/>
        <w:spacing w:after="0" w:line="266" w:lineRule="auto"/>
        <w:rPr>
          <w:sz w:val="20"/>
          <w:szCs w:val="20"/>
          <w:color w:val="auto"/>
        </w:rPr>
      </w:pPr>
      <w:r>
        <w:rPr>
          <w:rFonts w:ascii="Times New Roman" w:cs="Times New Roman" w:eastAsia="Times New Roman" w:hAnsi="Times New Roman"/>
          <w:sz w:val="18"/>
          <w:szCs w:val="18"/>
          <w:color w:val="auto"/>
        </w:rPr>
        <w:t>If we are not able to effectively expand our organization by hiring new employees and expanding our groups of consultants and contractors, we may not be able to successfully implement the tasks necessary to further develop our product candidates and, accordingly, may not achieve our research, development, and commercialization goals.</w:t>
      </w:r>
    </w:p>
    <w:p>
      <w:pPr>
        <w:spacing w:after="0" w:line="172"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failure to maintain an effective system of internal control over financial reporting could result in material misstatements of our financial statements in future periods and may impair our ability to comply with the accounting and reporting requirements applicable to public companies.</w:t>
      </w:r>
    </w:p>
    <w:p>
      <w:pPr>
        <w:spacing w:after="0" w:line="51"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Internal control over financial reporting is a process designed to provide reasonable assurance regarding the reliability of financial reporting and the preparation of consolidated financial statements in accordance with U.S. generally accepted accounting principles. A material weakness is a deficiency, or a combination of deficiencies, in internal control over financial reporting such that there is a reasonable possibility that a material misstatement of annual or interim consolidated financial statements will not be prevented or detected on a timely basis.</w:t>
      </w:r>
    </w:p>
    <w:p>
      <w:pPr>
        <w:spacing w:after="0" w:line="180"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engage in acquisitions, in-licensing or strategic partnerships, this may increase our capital requirements, dilute our stockholders, cause us to incur debt or assume contingent liabilities and subject us to other risks.</w:t>
      </w:r>
    </w:p>
    <w:p>
      <w:pPr>
        <w:spacing w:after="0" w:line="51" w:lineRule="exact"/>
        <w:rPr>
          <w:sz w:val="20"/>
          <w:szCs w:val="20"/>
          <w:color w:val="auto"/>
        </w:rPr>
      </w:pPr>
    </w:p>
    <w:p>
      <w:pPr>
        <w:ind w:right="180" w:firstLine="518"/>
        <w:spacing w:after="0" w:line="282" w:lineRule="auto"/>
        <w:rPr>
          <w:sz w:val="20"/>
          <w:szCs w:val="20"/>
          <w:color w:val="auto"/>
        </w:rPr>
      </w:pPr>
      <w:r>
        <w:rPr>
          <w:rFonts w:ascii="Times New Roman" w:cs="Times New Roman" w:eastAsia="Times New Roman" w:hAnsi="Times New Roman"/>
          <w:sz w:val="18"/>
          <w:szCs w:val="18"/>
          <w:color w:val="auto"/>
        </w:rPr>
        <w:t>We may engage in various acquisitions and strategic partnerships in the future, including licensing or acquiring complementary products, intellectual property rights, technologies or businesses. Any acquisition or strategic partnership may entail numerous risks, including:</w:t>
      </w:r>
    </w:p>
    <w:p>
      <w:pPr>
        <w:spacing w:after="0" w:line="54" w:lineRule="exact"/>
        <w:rPr>
          <w:sz w:val="20"/>
          <w:szCs w:val="20"/>
          <w:color w:val="auto"/>
        </w:rPr>
      </w:pPr>
    </w:p>
    <w:p>
      <w:pPr>
        <w:ind w:left="640" w:hanging="119"/>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operating expenses and cash requirements;</w:t>
      </w:r>
    </w:p>
    <w:p>
      <w:pPr>
        <w:spacing w:after="0" w:line="117"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 of indebtedness or contingent liabilities;</w:t>
      </w:r>
    </w:p>
    <w:p>
      <w:pPr>
        <w:spacing w:after="0" w:line="117"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our equity securities which would result in dilution to our stockholders;</w:t>
      </w:r>
    </w:p>
    <w:p>
      <w:pPr>
        <w:spacing w:after="0" w:line="117" w:lineRule="exact"/>
        <w:rPr>
          <w:rFonts w:ascii="Times New Roman" w:cs="Times New Roman" w:eastAsia="Times New Roman" w:hAnsi="Times New Roman"/>
          <w:sz w:val="18"/>
          <w:szCs w:val="18"/>
          <w:color w:val="auto"/>
        </w:rPr>
      </w:pPr>
    </w:p>
    <w:p>
      <w:pPr>
        <w:ind w:left="640" w:right="460" w:hanging="119"/>
        <w:spacing w:after="0" w:line="282" w:lineRule="auto"/>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assimilation of operations, intellectual property, products and product candidates of an acquired company, including difficulties associated with integrating new personnel;</w:t>
      </w:r>
    </w:p>
    <w:p>
      <w:pPr>
        <w:spacing w:after="0" w:line="53" w:lineRule="exact"/>
        <w:rPr>
          <w:rFonts w:ascii="Times New Roman" w:cs="Times New Roman" w:eastAsia="Times New Roman" w:hAnsi="Times New Roman"/>
          <w:sz w:val="18"/>
          <w:szCs w:val="18"/>
          <w:color w:val="auto"/>
        </w:rPr>
      </w:pPr>
    </w:p>
    <w:p>
      <w:pPr>
        <w:ind w:left="640" w:right="720" w:hanging="119"/>
        <w:spacing w:after="0" w:line="282" w:lineRule="auto"/>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our management’s attention from our existing product candidates and initiatives in pursuing such an acquisition or strategic partnership;</w:t>
      </w:r>
    </w:p>
    <w:p>
      <w:pPr>
        <w:spacing w:after="0" w:line="53"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key employees, the loss of key personnel, and uncertainties in our ability to maintain key business relationships;</w:t>
      </w:r>
    </w:p>
    <w:p>
      <w:pPr>
        <w:spacing w:after="0" w:line="117" w:lineRule="exact"/>
        <w:rPr>
          <w:rFonts w:ascii="Times New Roman" w:cs="Times New Roman" w:eastAsia="Times New Roman" w:hAnsi="Times New Roman"/>
          <w:sz w:val="18"/>
          <w:szCs w:val="18"/>
          <w:color w:val="auto"/>
        </w:rPr>
      </w:pPr>
    </w:p>
    <w:p>
      <w:pPr>
        <w:ind w:left="640" w:right="560" w:hanging="119"/>
        <w:spacing w:after="0" w:line="282" w:lineRule="auto"/>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uncertainties associated with the other party to such a transaction, including the prospects of that party and their existing products or product candidates and regulatory approvals; and</w:t>
      </w:r>
    </w:p>
    <w:p>
      <w:pPr>
        <w:spacing w:after="0" w:line="53" w:lineRule="exact"/>
        <w:rPr>
          <w:rFonts w:ascii="Times New Roman" w:cs="Times New Roman" w:eastAsia="Times New Roman" w:hAnsi="Times New Roman"/>
          <w:sz w:val="18"/>
          <w:szCs w:val="18"/>
          <w:color w:val="auto"/>
        </w:rPr>
      </w:pPr>
    </w:p>
    <w:p>
      <w:pPr>
        <w:ind w:left="640" w:right="260" w:hanging="119"/>
        <w:spacing w:after="0" w:line="282" w:lineRule="auto"/>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generate revenue from acquired intellectual property, technology and/or products sufficient to meet our objectives or even to offset the associated transaction and maintenance costs.</w:t>
      </w:r>
    </w:p>
    <w:p>
      <w:pPr>
        <w:spacing w:after="0" w:line="54" w:lineRule="exact"/>
        <w:rPr>
          <w:sz w:val="20"/>
          <w:szCs w:val="20"/>
          <w:color w:val="auto"/>
        </w:rPr>
      </w:pPr>
    </w:p>
    <w:p>
      <w:pPr>
        <w:ind w:right="420" w:firstLine="518"/>
        <w:spacing w:after="0" w:line="282" w:lineRule="auto"/>
        <w:rPr>
          <w:sz w:val="20"/>
          <w:szCs w:val="20"/>
          <w:color w:val="auto"/>
        </w:rPr>
      </w:pPr>
      <w:r>
        <w:rPr>
          <w:rFonts w:ascii="Times New Roman" w:cs="Times New Roman" w:eastAsia="Times New Roman" w:hAnsi="Times New Roman"/>
          <w:sz w:val="18"/>
          <w:szCs w:val="18"/>
          <w:color w:val="auto"/>
        </w:rPr>
        <w:t>In addition, if we undertake such a transaction, we may incur large one-time expenses and acquire intangible assets that could result in significant future amortization expense.</w:t>
      </w:r>
    </w:p>
    <w:p>
      <w:pPr>
        <w:spacing w:after="0" w:line="158"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internal computer systems, or those used by our third-party research institution collaborators, CROs or other contractors or consultants, may fail or suffer security breaches.</w:t>
      </w:r>
    </w:p>
    <w:p>
      <w:pPr>
        <w:spacing w:after="0" w:line="51"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Despite the implementation of security measures, our internal computer systems may be vulnerable to damage from computer viruses and unauthorized access. Although to our knowledge, we have not experienced any such material system failure or security breach to date, if such an event were to occur, it could result in a material disruption of our development programs and our business operations, whether due to a loss of trade secrets or other proprietary information or other similar disruptions. For example, the loss of clinical trial data from completed, ongoing or future clinical trials could result in delays in our regulatory approval efforts and significantly increase our costs to recover or reproduce the data. Likewise, we rely on third-party research institution collaborators, CROs, other contractors and consultants for many aspects of our business, including research and development activities and manufacturing of our product candidates, and similar events relating to their computer systems could also have a material adverse effect on our business.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53" w:name="page54"/>
    <w:bookmarkEnd w:id="53"/>
    <w:p>
      <w:pPr>
        <w:ind w:right="180" w:firstLine="518"/>
        <w:spacing w:after="0" w:line="261" w:lineRule="auto"/>
        <w:rPr>
          <w:sz w:val="20"/>
          <w:szCs w:val="20"/>
          <w:color w:val="auto"/>
        </w:rPr>
      </w:pPr>
      <w:r>
        <w:rPr>
          <w:rFonts w:ascii="Times New Roman" w:cs="Times New Roman" w:eastAsia="Times New Roman" w:hAnsi="Times New Roman"/>
          <w:sz w:val="18"/>
          <w:szCs w:val="18"/>
          <w:color w:val="auto"/>
        </w:rPr>
        <w:t>The secure maintenance of information is critical to our business and reputation. We believe that companies have been increasingly subject to a wide variety of security incidents, cyber-attacks and other attempts to gain unauthorized access. These threats can come from a variety of sources, ranging in sophistication from an individual hacker to a state-sponsored attack. Cyber threats may be generic, or they may be custom-crafted against our information systems. Over the past few years, cyber-attacks have become more prevalent and much harder to detect and defend against.</w:t>
      </w:r>
    </w:p>
    <w:p>
      <w:pPr>
        <w:spacing w:after="0" w:line="72"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Our network and storage applications and those of our collaborators, CROs and vendors may be subject to unauthorized access by hackers or breached due to operator error, malfeasance or other system disruptions. It is often difficult to anticipate or immediately detect such incidents and the damage caused by them. These data breaches and any unauthorized access or disclosure of our information or intellectual property could compromise our intellectual property and expose sensitive business information. A data security breach could also lead to public exposure of personal information of our employees. Cyber-attacks could cause us to incur significant remediation costs, disrupt key business operations and divert attention of management and key information technology resources. Our network security and data recovery measures and those of our collaborators, CROs and vendors may not be adequate to protect against such security breaches and disruptions. To the extent that any disruption or security breach were to result in a loss of, or damage to, our data or systems, or inappropriate disclosure of confidential or proprietary information, we could incur liability, our competitive position could be harmed, and the further development and commercialization of our product candidates could be delayed.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disruptions could seriously harm our future revenue and financial condition and increase our costs and expenses.</w:t>
      </w:r>
    </w:p>
    <w:p>
      <w:pPr>
        <w:spacing w:after="0" w:line="121" w:lineRule="exact"/>
        <w:rPr>
          <w:sz w:val="20"/>
          <w:szCs w:val="20"/>
          <w:color w:val="auto"/>
        </w:rPr>
      </w:pPr>
    </w:p>
    <w:p>
      <w:pPr>
        <w:ind w:right="140" w:firstLine="518"/>
        <w:spacing w:after="0" w:line="258" w:lineRule="auto"/>
        <w:rPr>
          <w:sz w:val="20"/>
          <w:szCs w:val="20"/>
          <w:color w:val="auto"/>
        </w:rPr>
      </w:pPr>
      <w:r>
        <w:rPr>
          <w:rFonts w:ascii="Times New Roman" w:cs="Times New Roman" w:eastAsia="Times New Roman" w:hAnsi="Times New Roman"/>
          <w:sz w:val="18"/>
          <w:szCs w:val="18"/>
          <w:color w:val="auto"/>
        </w:rPr>
        <w:t>Our operations, and those of our CROs, CMOs, suppliers, and other contractors and consultants, could be subject to earthquakes, power shortages, telecommunications failures, water shortages, floods, hurricanes, typhoons, fires, extreme weather conditions, medical epidemics and other natural or man-made disasters or business interruptions, for which we are partly uninsured. In addition, we rely on our third-party research institution collaborators for conducting research and development of our product candidates, and they may be affected by government shutdowns or withdrawn funding. The occurrence of any of these business disruptions could seriously harm our operations and financial condition and increase our costs and expenses.</w:t>
      </w:r>
    </w:p>
    <w:p>
      <w:pPr>
        <w:spacing w:after="0" w:line="76" w:lineRule="exact"/>
        <w:rPr>
          <w:sz w:val="20"/>
          <w:szCs w:val="20"/>
          <w:color w:val="auto"/>
        </w:rPr>
      </w:pPr>
    </w:p>
    <w:p>
      <w:pPr>
        <w:ind w:right="160" w:firstLine="518"/>
        <w:spacing w:after="0" w:line="258" w:lineRule="auto"/>
        <w:rPr>
          <w:sz w:val="20"/>
          <w:szCs w:val="20"/>
          <w:color w:val="auto"/>
        </w:rPr>
      </w:pPr>
      <w:r>
        <w:rPr>
          <w:rFonts w:ascii="Times New Roman" w:cs="Times New Roman" w:eastAsia="Times New Roman" w:hAnsi="Times New Roman"/>
          <w:sz w:val="18"/>
          <w:szCs w:val="18"/>
          <w:color w:val="auto"/>
        </w:rPr>
        <w:t>All of our operations including our corporate headquarters are located in a single facility in Palo Alto, California. Damage or extended periods of interruption to our corporate, development or research facilities due to fire, natural disaster, power loss, communications failure, unauthorized entry or other events could cause us to cease or delay development of some or all of our product candidates. Although we maintain property damage and business interruption insurance coverage on these facilities, our insurance might not cover all losses under such circumstances and our business may be seriously harmed by such delays and interruption.</w:t>
      </w:r>
    </w:p>
    <w:p>
      <w:pPr>
        <w:spacing w:after="0" w:line="76" w:lineRule="exact"/>
        <w:rPr>
          <w:sz w:val="20"/>
          <w:szCs w:val="20"/>
          <w:color w:val="auto"/>
        </w:rPr>
      </w:pPr>
    </w:p>
    <w:p>
      <w:pPr>
        <w:ind w:right="160" w:firstLine="518"/>
        <w:spacing w:after="0" w:line="289" w:lineRule="auto"/>
        <w:rPr>
          <w:sz w:val="20"/>
          <w:szCs w:val="20"/>
          <w:color w:val="auto"/>
        </w:rPr>
      </w:pPr>
      <w:r>
        <w:rPr>
          <w:rFonts w:ascii="Times New Roman" w:cs="Times New Roman" w:eastAsia="Times New Roman" w:hAnsi="Times New Roman"/>
          <w:sz w:val="17"/>
          <w:szCs w:val="17"/>
          <w:color w:val="auto"/>
        </w:rPr>
        <w:t>We recently implemented a new enterprise resource planning, or ERP, system as well as other systems as part of our ongoing technology and process improvements. Our ERP system is critical to our ability to accurately maintain books and records and prepare our financial statements. If we encounter unforeseen problems with our ERP system or other systems and infrastructure, our business, operations, and financial results could be adversely affected.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economic, political, regulatory and other risks associated with international operations.</w:t>
      </w:r>
    </w:p>
    <w:p>
      <w:pPr>
        <w:spacing w:after="0" w:line="121" w:lineRule="exact"/>
        <w:rPr>
          <w:sz w:val="20"/>
          <w:szCs w:val="20"/>
          <w:color w:val="auto"/>
        </w:rPr>
      </w:pPr>
    </w:p>
    <w:p>
      <w:pPr>
        <w:ind w:right="180" w:firstLine="518"/>
        <w:spacing w:after="0" w:line="282" w:lineRule="auto"/>
        <w:rPr>
          <w:sz w:val="20"/>
          <w:szCs w:val="20"/>
          <w:color w:val="auto"/>
        </w:rPr>
      </w:pPr>
      <w:r>
        <w:rPr>
          <w:rFonts w:ascii="Times New Roman" w:cs="Times New Roman" w:eastAsia="Times New Roman" w:hAnsi="Times New Roman"/>
          <w:sz w:val="18"/>
          <w:szCs w:val="18"/>
          <w:color w:val="auto"/>
        </w:rPr>
        <w:t>Our business is subject to risks associated with conducting business internationally. Some of our suppliers and collaborative relationships are located outside the United States. Accordingly, our future results could be harmed by a variety of factors, including:</w:t>
      </w:r>
    </w:p>
    <w:p>
      <w:pPr>
        <w:spacing w:after="0" w:line="54" w:lineRule="exact"/>
        <w:rPr>
          <w:sz w:val="20"/>
          <w:szCs w:val="20"/>
          <w:color w:val="auto"/>
        </w:rPr>
      </w:pPr>
    </w:p>
    <w:p>
      <w:pPr>
        <w:ind w:left="640" w:hanging="119"/>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non-U.S. economies and markets;</w:t>
      </w:r>
    </w:p>
    <w:p>
      <w:pPr>
        <w:spacing w:after="0" w:line="117"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and changing regulatory requirements in non-U.S. countries;</w:t>
      </w:r>
    </w:p>
    <w:p>
      <w:pPr>
        <w:spacing w:after="0" w:line="117" w:lineRule="exact"/>
        <w:rPr>
          <w:rFonts w:ascii="Times New Roman" w:cs="Times New Roman" w:eastAsia="Times New Roman" w:hAnsi="Times New Roman"/>
          <w:sz w:val="18"/>
          <w:szCs w:val="18"/>
          <w:color w:val="auto"/>
        </w:rPr>
      </w:pPr>
    </w:p>
    <w:p>
      <w:pPr>
        <w:ind w:left="640" w:right="140" w:hanging="119"/>
        <w:spacing w:after="0" w:line="282" w:lineRule="auto"/>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53"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compliance with non-U.S. laws and regulations;</w:t>
      </w:r>
    </w:p>
    <w:p>
      <w:pPr>
        <w:spacing w:after="0" w:line="117"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non-U.S. regulations and customs, tariffs and trade barriers;</w:t>
      </w:r>
    </w:p>
    <w:p>
      <w:pPr>
        <w:spacing w:after="0" w:line="117"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non-U.S. currency exchange rates and currency controls;</w:t>
      </w:r>
    </w:p>
    <w:p>
      <w:pPr>
        <w:spacing w:after="0" w:line="117"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 specific country’s or region’s political or economic environment;</w:t>
      </w:r>
    </w:p>
    <w:p>
      <w:pPr>
        <w:spacing w:after="0" w:line="117"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protection measures, import or export licensing requirements or other restrictive actions by U.S. or non-U.S. governments;</w:t>
      </w:r>
    </w:p>
    <w:p>
      <w:pPr>
        <w:spacing w:after="0" w:line="117"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consequences from changes in tax laws;</w:t>
      </w:r>
    </w:p>
    <w:p>
      <w:pPr>
        <w:spacing w:after="0" w:line="117"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117"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United States;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54" w:name="page55"/>
    <w:bookmarkEnd w:id="54"/>
    <w:p>
      <w:pPr>
        <w:ind w:left="640" w:hanging="119"/>
        <w:spacing w:after="0"/>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associated with staffing and managing international operations, including differing labor relations;</w:t>
      </w:r>
    </w:p>
    <w:p>
      <w:pPr>
        <w:spacing w:after="0" w:line="117"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liability under the FCPA or comparable foreign laws; and</w:t>
      </w:r>
    </w:p>
    <w:p>
      <w:pPr>
        <w:spacing w:after="0" w:line="117"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 or natural disasters.</w:t>
      </w:r>
    </w:p>
    <w:p>
      <w:pPr>
        <w:spacing w:after="0" w:line="117" w:lineRule="exact"/>
        <w:rPr>
          <w:sz w:val="20"/>
          <w:szCs w:val="20"/>
          <w:color w:val="auto"/>
        </w:rPr>
      </w:pPr>
    </w:p>
    <w:p>
      <w:pPr>
        <w:ind w:right="120" w:firstLine="518"/>
        <w:spacing w:after="0" w:line="261" w:lineRule="auto"/>
        <w:rPr>
          <w:sz w:val="20"/>
          <w:szCs w:val="20"/>
          <w:color w:val="auto"/>
        </w:rPr>
      </w:pPr>
      <w:r>
        <w:rPr>
          <w:rFonts w:ascii="Times New Roman" w:cs="Times New Roman" w:eastAsia="Times New Roman" w:hAnsi="Times New Roman"/>
          <w:sz w:val="18"/>
          <w:szCs w:val="18"/>
          <w:color w:val="auto"/>
        </w:rPr>
        <w:t>The expected withdrawal of the United Kingdom from the EU, commonly referred to as “Brexit,” may cause increased economic volatility, affecting our operations and business. Brexit may adversely impact our ability to obtain regulatory approvals of our product candidates in the EU, result in restrictions or imposition of taxes and duties for importing our product candidates into the EU, and may require us to incur additional expenses in order to develop, manufacture and commercialize our product candidates in the EU.</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These and other risks associated with our planned international operations may materially adversely affect our ability to attain profitable operations.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certain other tax attributes may be limited.</w:t>
      </w:r>
    </w:p>
    <w:p>
      <w:pPr>
        <w:spacing w:after="0" w:line="121"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As of December 31, 2018, we had federal net operating loss carryforwards, or NOLs, of $21.9 million, which will begin to expire in 2035. Under Sections 382 and 383 of the United States Internal Revenue Code of 1986, as amended, or the Code, if a corporation undergoes an “ownership change” (generally defined as a greater than 50-percentage-point cumulative change (by value) in the equity ownership of certain stockholders over a rolling three-year period), the corporation’s ability to use its pre-change net operating loss carryforwards and other pre-change tax attributes to offset its post-change taxable income or taxes may be limited. We may also experience ownership changes in the future as a result of subsequent shifts in our stock ownership, some of which are outside our control. As a result, our ability to use our pre-change net operating loss carryforwards and other pre-change tax attributes to offset post-change taxable income or taxes may be subject to limitation. We will be unable to use our NOLs if we do not attain profitability sufficient to offset our available NOLs prior to their expiration.</w:t>
      </w:r>
    </w:p>
    <w:p>
      <w:pPr>
        <w:spacing w:after="0" w:line="181"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tax laws or regulations that are applied adversely to us or our customers may have a material adverse effect on our business, cash flow, financial condition or results of operations.</w:t>
      </w:r>
    </w:p>
    <w:p>
      <w:pPr>
        <w:spacing w:after="0" w:line="51"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New income, sales, use or other tax laws, statutes, rules, regulations or ordinances could be enacted at any time, which could affect the tax treatment of our domestic and foreign earnings. Any new taxes could adversely affect our domestic and international business operations, and our business and financial performance. Further, existing tax laws, statutes, rules, regulations or ordinances could be interpreted, changed, modified or applied adversely to 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117"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know whether an active market will develop for our common stock or be sustained, and, as a result, it may be difficult for you to sell your shares of our common stock.</w:t>
      </w:r>
    </w:p>
    <w:p>
      <w:pPr>
        <w:spacing w:after="0" w:line="51" w:lineRule="exact"/>
        <w:rPr>
          <w:sz w:val="20"/>
          <w:szCs w:val="20"/>
          <w:color w:val="auto"/>
        </w:rPr>
      </w:pPr>
    </w:p>
    <w:p>
      <w:pPr>
        <w:ind w:right="200" w:firstLine="518"/>
        <w:spacing w:after="0" w:line="261" w:lineRule="auto"/>
        <w:rPr>
          <w:sz w:val="20"/>
          <w:szCs w:val="20"/>
          <w:color w:val="auto"/>
        </w:rPr>
      </w:pPr>
      <w:r>
        <w:rPr>
          <w:rFonts w:ascii="Times New Roman" w:cs="Times New Roman" w:eastAsia="Times New Roman" w:hAnsi="Times New Roman"/>
          <w:sz w:val="18"/>
          <w:szCs w:val="18"/>
          <w:color w:val="auto"/>
        </w:rPr>
        <w:t>If an active market for our common stock does not develop or is not sustained, it may be difficult for you to sell your shares of common stock at an attractive price or at all. We cannot predict the prices at which our common stock will trade. It is possible that in one or more future periods our results of operations and progression of our product pipeline may not meet the expectations of public market analysts and investors, and, as a result of these and other factors, the price of our common stock may fall.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be volatile, which could result in substantial losses for investors purchasing shares.</w:t>
      </w:r>
    </w:p>
    <w:p>
      <w:pPr>
        <w:spacing w:after="0" w:line="121" w:lineRule="exact"/>
        <w:rPr>
          <w:sz w:val="20"/>
          <w:szCs w:val="20"/>
          <w:color w:val="auto"/>
        </w:rPr>
      </w:pPr>
    </w:p>
    <w:p>
      <w:pPr>
        <w:ind w:right="60" w:firstLine="518"/>
        <w:spacing w:after="0" w:line="282" w:lineRule="auto"/>
        <w:rPr>
          <w:sz w:val="20"/>
          <w:szCs w:val="20"/>
          <w:color w:val="auto"/>
        </w:rPr>
      </w:pPr>
      <w:r>
        <w:rPr>
          <w:rFonts w:ascii="Times New Roman" w:cs="Times New Roman" w:eastAsia="Times New Roman" w:hAnsi="Times New Roman"/>
          <w:sz w:val="18"/>
          <w:szCs w:val="18"/>
          <w:color w:val="auto"/>
        </w:rPr>
        <w:t>The market price of our common stock may be volatile. As a result, you may not be able to sell your common stock at or above the price that you paid for such shares. Some of the factors that may cause the market price of our common stock to fluctuate include:</w:t>
      </w:r>
    </w:p>
    <w:p>
      <w:pPr>
        <w:spacing w:after="0" w:line="54" w:lineRule="exact"/>
        <w:rPr>
          <w:sz w:val="20"/>
          <w:szCs w:val="20"/>
          <w:color w:val="auto"/>
        </w:rPr>
      </w:pPr>
    </w:p>
    <w:p>
      <w:pPr>
        <w:ind w:left="640" w:hanging="119"/>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existing or new competitive products or technologies;</w:t>
      </w:r>
    </w:p>
    <w:p>
      <w:pPr>
        <w:spacing w:after="0" w:line="117"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results of clinical trials for our current product candidates and any future product candidates that we may develop;</w:t>
      </w:r>
    </w:p>
    <w:p>
      <w:pPr>
        <w:spacing w:after="0" w:line="117"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or termination of collaborations for our product candidates;</w:t>
      </w:r>
    </w:p>
    <w:p>
      <w:pPr>
        <w:spacing w:after="0" w:line="117"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or discontinuation of any of our product candidates;</w:t>
      </w:r>
    </w:p>
    <w:p>
      <w:pPr>
        <w:spacing w:after="0" w:line="117"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develop our ABC Platform;</w:t>
      </w:r>
    </w:p>
    <w:p>
      <w:pPr>
        <w:spacing w:after="0" w:line="117" w:lineRule="exact"/>
        <w:rPr>
          <w:rFonts w:ascii="Times New Roman" w:cs="Times New Roman" w:eastAsia="Times New Roman" w:hAnsi="Times New Roman"/>
          <w:sz w:val="18"/>
          <w:szCs w:val="18"/>
          <w:color w:val="auto"/>
        </w:rPr>
      </w:pPr>
    </w:p>
    <w:p>
      <w:pPr>
        <w:ind w:left="640" w:right="200" w:hanging="119"/>
        <w:spacing w:after="0" w:line="282" w:lineRule="auto"/>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preclinical studies, clinical trials or regulatory approvals of product candidates of our competitors, or announcements about new research programs or product candidates of our competitors;</w:t>
      </w:r>
    </w:p>
    <w:p>
      <w:pPr>
        <w:spacing w:after="0" w:line="53"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117"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55" w:name="page56"/>
    <w:bookmarkEnd w:id="55"/>
    <w:p>
      <w:pPr>
        <w:ind w:left="640" w:hanging="119"/>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17"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commencement of litigation;</w:t>
      </w:r>
    </w:p>
    <w:p>
      <w:pPr>
        <w:spacing w:after="0" w:line="117"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any of our research programs, product candidates that we may develop;</w:t>
      </w:r>
    </w:p>
    <w:p>
      <w:pPr>
        <w:spacing w:after="0" w:line="117"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efforts to develop additional product candidates or products;</w:t>
      </w:r>
    </w:p>
    <w:p>
      <w:pPr>
        <w:spacing w:after="0" w:line="117"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as to financial results, development timelines or recommendations by securities analysts;</w:t>
      </w:r>
    </w:p>
    <w:p>
      <w:pPr>
        <w:spacing w:after="0" w:line="117"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or expectation of additional financing efforts;</w:t>
      </w:r>
    </w:p>
    <w:p>
      <w:pPr>
        <w:spacing w:after="0" w:line="117"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our insiders, or other stockholders;</w:t>
      </w:r>
    </w:p>
    <w:p>
      <w:pPr>
        <w:spacing w:after="0" w:line="117"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expiration of market standoff or lock-up agreements;</w:t>
      </w:r>
    </w:p>
    <w:p>
      <w:pPr>
        <w:spacing w:after="0" w:line="117"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those of companies that are perceived to be similar to us;</w:t>
      </w:r>
    </w:p>
    <w:p>
      <w:pPr>
        <w:spacing w:after="0" w:line="117"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estimates or recommendations by securities analysts, if any, that cover our stock;</w:t>
      </w:r>
    </w:p>
    <w:p>
      <w:pPr>
        <w:spacing w:after="0" w:line="117"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17"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117"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and</w:t>
      </w:r>
    </w:p>
    <w:p>
      <w:pPr>
        <w:spacing w:after="0" w:line="117"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w:t>
      </w:r>
    </w:p>
    <w:p>
      <w:pPr>
        <w:spacing w:after="0" w:line="117"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In recent years, the stock market in general, and the market for pharmaceutical and biotechnology companies in particular, has experienced significant price and volume fluctuations that have often been unrelated or disproportionate to changes in the operating performance of the companies whose stock is experiencing those price and volume fluctuations. Broad market and industry factors may seriously affect the market price of our common stock, regardless of our actual operating performance. Following periods of such volatility in the market price of a company’s securities, securities class action litigation has often been brought against that company. Because of the potential volatility of our stock price, we may become the target of securities litigation in the future. Securities litigation could result in substantial costs and divert management’s attention and resources from our business.</w:t>
      </w:r>
    </w:p>
    <w:p>
      <w:pPr>
        <w:spacing w:after="0" w:line="184"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51" w:lineRule="exact"/>
        <w:rPr>
          <w:sz w:val="20"/>
          <w:szCs w:val="20"/>
          <w:color w:val="auto"/>
        </w:rPr>
      </w:pPr>
    </w:p>
    <w:p>
      <w:pPr>
        <w:ind w:right="40" w:firstLine="518"/>
        <w:spacing w:after="0" w:line="266" w:lineRule="auto"/>
        <w:rPr>
          <w:sz w:val="20"/>
          <w:szCs w:val="20"/>
          <w:color w:val="auto"/>
        </w:rPr>
      </w:pPr>
      <w:r>
        <w:rPr>
          <w:rFonts w:ascii="Times New Roman" w:cs="Times New Roman" w:eastAsia="Times New Roman" w:hAnsi="Times New Roman"/>
          <w:sz w:val="18"/>
          <w:szCs w:val="18"/>
          <w:color w:val="auto"/>
        </w:rPr>
        <w:t>The trading market for our common stock will rely in part on the research and reports that industry or financial analysts publish about us or our business.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172"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total outstanding shares may be sold into the market in the near future, which could cause the market price of our common stock to decline significantly, even if our business is doing well.</w:t>
      </w:r>
    </w:p>
    <w:p>
      <w:pPr>
        <w:spacing w:after="0" w:line="51" w:lineRule="exact"/>
        <w:rPr>
          <w:sz w:val="20"/>
          <w:szCs w:val="20"/>
          <w:color w:val="auto"/>
        </w:rPr>
      </w:pPr>
    </w:p>
    <w:p>
      <w:pPr>
        <w:ind w:right="80" w:firstLine="518"/>
        <w:spacing w:after="0" w:line="258"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These sales could reduce the market price of our common stock. Approximately 27.5 million shares, or 74.5% of our shares outstanding after our IPO were prohibited from resale pursuant to the terms of lock-up agreements entered into by our stockholders with the underwriters in our IPO; however, subject to applicable securities law restrictions and excluding shares of restricted stock that will remain unvested, the resale restrictions applicable to these shares pursuant to the lock-up agreements lapsed in April 2019.</w:t>
      </w:r>
    </w:p>
    <w:p>
      <w:pPr>
        <w:spacing w:after="0" w:line="76" w:lineRule="exact"/>
        <w:rPr>
          <w:sz w:val="20"/>
          <w:szCs w:val="20"/>
          <w:color w:val="auto"/>
        </w:rPr>
      </w:pPr>
    </w:p>
    <w:p>
      <w:pPr>
        <w:ind w:right="140" w:firstLine="518"/>
        <w:spacing w:after="0" w:line="258" w:lineRule="auto"/>
        <w:rPr>
          <w:sz w:val="20"/>
          <w:szCs w:val="20"/>
          <w:color w:val="auto"/>
        </w:rPr>
      </w:pPr>
      <w:r>
        <w:rPr>
          <w:rFonts w:ascii="Times New Roman" w:cs="Times New Roman" w:eastAsia="Times New Roman" w:hAnsi="Times New Roman"/>
          <w:sz w:val="18"/>
          <w:szCs w:val="18"/>
          <w:color w:val="auto"/>
        </w:rPr>
        <w:t>Moreover, holders of an aggregate of approximately 13.3 million shares of our common stock have rights, subject to conditions, to require us to file registration statements covering their shares or to include their shares in registration statements that we may file for ourselves or other stockholders. We also register all shares of common stock that we may issue under our equity compensation plans. Once we register these shares, they can be freely sold in the public market upon issuance and once vested, subject to volume limitations applicable to affiliates. If any of these additional shares are sold, or if it is perceived that they will be sold, in the public market, the market price of our common stock could decline.</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56" w:name="page57"/>
    <w:bookmarkEnd w:id="56"/>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existing stockholders, restrict our operations or require us to relinquish rights to our technologies or product candidates.</w:t>
      </w:r>
    </w:p>
    <w:p>
      <w:pPr>
        <w:spacing w:after="0" w:line="51" w:lineRule="exact"/>
        <w:rPr>
          <w:sz w:val="20"/>
          <w:szCs w:val="20"/>
          <w:color w:val="auto"/>
        </w:rPr>
      </w:pPr>
    </w:p>
    <w:p>
      <w:pPr>
        <w:ind w:right="80" w:firstLine="518"/>
        <w:spacing w:after="0" w:line="254" w:lineRule="auto"/>
        <w:rPr>
          <w:sz w:val="20"/>
          <w:szCs w:val="20"/>
          <w:color w:val="auto"/>
        </w:rPr>
      </w:pPr>
      <w:r>
        <w:rPr>
          <w:rFonts w:ascii="Times New Roman" w:cs="Times New Roman" w:eastAsia="Times New Roman" w:hAnsi="Times New Roman"/>
          <w:sz w:val="18"/>
          <w:szCs w:val="18"/>
          <w:color w:val="auto"/>
        </w:rPr>
        <w:t>We will seek additional capital through one or a combination of public and private equity offerings, debt financings, strategic partnerships and alliances and licensing arrangements. We, and indirectly, our stockholders, will bear the cost of issuing and servicing such securities. Because our decision to issue debt or equity securities in any future offering will depend on market conditions and other factors beyond our control, we cannot predict or estimate the amount, timing or nature of any future offerings. To the extent that we raise additional capital through the sale of equity securities, your ownership interest will be diluted, and the terms may include liquidation or other preferences that adversely affect your rights as a stockholder. The incurrence of indebtedness would result in increased fixed payment obligations and could involve restrictive covenants, such as limitations on our ability to incur additional debt, limitations on our ability to acquire, sell or license intellectual property rights and other operating restrictions that could adversely impact our ability to conduct our business. Additionally, any future collaborations we enter into with third parties may provide capital in the near term but limit our potential cash flow and revenue in the future. If we raise additional funds through strategic partnerships and alliances and licensing arrangements with third parties, we may have to relinquish valuable rights to our technologies or product candidates, or grant licenses on terms unfavorable to us.</w:t>
      </w:r>
    </w:p>
    <w:p>
      <w:pPr>
        <w:spacing w:after="0" w:line="182"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directors, executive officers and 5% stockholders own a significant percentage of our common stock, which could limit your ability to affect the outcome of key transactions, including a change of control.</w:t>
      </w:r>
    </w:p>
    <w:p>
      <w:pPr>
        <w:spacing w:after="0" w:line="51" w:lineRule="exact"/>
        <w:rPr>
          <w:sz w:val="20"/>
          <w:szCs w:val="20"/>
          <w:color w:val="auto"/>
        </w:rPr>
      </w:pPr>
    </w:p>
    <w:p>
      <w:pPr>
        <w:ind w:right="100" w:firstLine="518"/>
        <w:spacing w:after="0" w:line="258" w:lineRule="auto"/>
        <w:rPr>
          <w:sz w:val="20"/>
          <w:szCs w:val="20"/>
          <w:color w:val="auto"/>
        </w:rPr>
      </w:pPr>
      <w:r>
        <w:rPr>
          <w:rFonts w:ascii="Times New Roman" w:cs="Times New Roman" w:eastAsia="Times New Roman" w:hAnsi="Times New Roman"/>
          <w:sz w:val="18"/>
          <w:szCs w:val="18"/>
          <w:color w:val="auto"/>
        </w:rPr>
        <w:t>Our directors, executive officers, holders of more than 5% of our outstanding common stock and their respective affiliates beneficially own shares representing approximately 59.9% of our outstanding common stock as of June 30, 2019. As a result, these stockholders, if they act together, will be able to influence our management and affairs and all matters requiring stockholder approval, including the election of directors and approval of significant corporate transactions. This concentration of ownership may have the effect of delaying or preventing a change in control of our company and might affect the market price of our common stock.</w:t>
      </w:r>
    </w:p>
    <w:p>
      <w:pPr>
        <w:spacing w:after="0" w:line="180"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 “smaller reporting company,” and the reduced disclosure requirements applicable us may make our common stock less attractive to investors.</w:t>
      </w:r>
    </w:p>
    <w:p>
      <w:pPr>
        <w:spacing w:after="0" w:line="51" w:lineRule="exact"/>
        <w:rPr>
          <w:sz w:val="20"/>
          <w:szCs w:val="20"/>
          <w:color w:val="auto"/>
        </w:rPr>
      </w:pPr>
    </w:p>
    <w:p>
      <w:pPr>
        <w:ind w:right="60" w:firstLine="518"/>
        <w:spacing w:after="0" w:line="253"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For so long as we remain an emerging growth company, we are permitted and plan to rely on exemptions from certain disclosure requirements that are applicable to other public companies that are not emerging growth companies. These exemptions include not being required to comply with the auditor attestation requirements of Section 404 of the Sarbanes-Oxley Act of 2002, or SOX, not being required to comply with any requirement that may be adopted by the Public Company Accounting Oversight Board regarding mandatory audit firm rotation or a supplement to the auditor’s report providing additional information about the audit and the financial statements, reduced disclosure obligations regarding executive compensation, and exemptions from the requirements of holding a nonbinding advisory vote on executive compensation and stockholder approval of any golden parachute payments not previously approved. In addition, to the extent that we continue to qualify as a "smaller reporting company," as defined in the Exchange Act, we may choose to provide the scaled disclosure available to smaller reporting companies. As a result, the information we provide stockholders may be different than the information that is available with respect to other public companies.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189"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continue to incur increased costs as a result of operating as a public company, and our management will be required to devote substantial time to new compliance initiatives and corporate governance practices.</w:t>
      </w:r>
    </w:p>
    <w:p>
      <w:pPr>
        <w:spacing w:after="0" w:line="51"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As a public company, and particularly after we are no longer an emerging growth company, we will continue to incur significant legal, accounting, and other expenses that we did not incur as a private company. SOX, the Dodd-Frank Wall Street Reform and Consumer Protection Act, the listing requirements of Nasdaq, and other applicable securities rules and regulations impose various requirements on public companies, including establishment and maintenance of effective disclosure and financial controls and corporate governance practices. We expect that we will need to hire additional accounting, finance, and other personnel in connection with our efforts to comply with the requirements of being a public company, and our management and other personnel will need to devote a substantial amount of time towards maintaining compliance with these requirements. These requirements will increase our legal and financial compliance costs and will make some activities more time-consuming and costly. For example, we expect that the rules and regulations applicable to us as a public company may make it more difficult and more expensive for us to obtain director and officer liability insurance, which could make it more difficult for us to attract and retain qualified members of our board of directors. We are continually evaluating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57" w:name="page58"/>
    <w:bookmarkEnd w:id="57"/>
    <w:p>
      <w:pPr>
        <w:ind w:firstLine="518"/>
        <w:spacing w:after="0" w:line="254" w:lineRule="auto"/>
        <w:rPr>
          <w:sz w:val="20"/>
          <w:szCs w:val="20"/>
          <w:color w:val="auto"/>
        </w:rPr>
      </w:pPr>
      <w:r>
        <w:rPr>
          <w:rFonts w:ascii="Times New Roman" w:cs="Times New Roman" w:eastAsia="Times New Roman" w:hAnsi="Times New Roman"/>
          <w:sz w:val="18"/>
          <w:szCs w:val="18"/>
          <w:color w:val="auto"/>
        </w:rPr>
        <w:t>Pursuant to SOX Section 404, we will be required to furnish a report by our management on our internal control over financial reporting beginning with our second filing of an Annual Report on Form 10-K with the SEC after we become a public company. However, while we remain an emerging growth company, we will not be required to include an attestation report on internal control over financial reporting issued by our independent registered public accounting firm. To achieve compliance with SOX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SOX Section 404. If we identify one or more material weaknesses, it could result in an adverse reaction in the financial markets due to a loss of confidence in the reliability of our financial statements.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maintain effective internal controls, our business, financial position and results of operations could be adversely affected.</w:t>
      </w:r>
    </w:p>
    <w:p>
      <w:pPr>
        <w:spacing w:after="0" w:line="121" w:lineRule="exact"/>
        <w:rPr>
          <w:sz w:val="20"/>
          <w:szCs w:val="20"/>
          <w:color w:val="auto"/>
        </w:rPr>
      </w:pPr>
    </w:p>
    <w:p>
      <w:pPr>
        <w:ind w:right="400" w:firstLine="518"/>
        <w:spacing w:after="0" w:line="282" w:lineRule="auto"/>
        <w:rPr>
          <w:sz w:val="20"/>
          <w:szCs w:val="20"/>
          <w:color w:val="auto"/>
        </w:rPr>
      </w:pPr>
      <w:r>
        <w:rPr>
          <w:rFonts w:ascii="Times New Roman" w:cs="Times New Roman" w:eastAsia="Times New Roman" w:hAnsi="Times New Roman"/>
          <w:sz w:val="18"/>
          <w:szCs w:val="18"/>
          <w:color w:val="auto"/>
        </w:rPr>
        <w:t>As a public company, we are subject to reporting and other obligations under the Exchange Act, including the requirements of SOX Section 404, which require annual management assessments of the effectiveness of our internal control over financial reporting.</w:t>
      </w:r>
    </w:p>
    <w:p>
      <w:pPr>
        <w:spacing w:after="0" w:line="54" w:lineRule="exact"/>
        <w:rPr>
          <w:sz w:val="20"/>
          <w:szCs w:val="20"/>
          <w:color w:val="auto"/>
        </w:rPr>
      </w:pPr>
    </w:p>
    <w:p>
      <w:pPr>
        <w:ind w:right="100" w:firstLine="518"/>
        <w:spacing w:after="0" w:line="261" w:lineRule="auto"/>
        <w:rPr>
          <w:sz w:val="20"/>
          <w:szCs w:val="20"/>
          <w:color w:val="auto"/>
        </w:rPr>
      </w:pPr>
      <w:r>
        <w:rPr>
          <w:rFonts w:ascii="Times New Roman" w:cs="Times New Roman" w:eastAsia="Times New Roman" w:hAnsi="Times New Roman"/>
          <w:sz w:val="18"/>
          <w:szCs w:val="18"/>
          <w:color w:val="auto"/>
        </w:rPr>
        <w:t>The rules governing the standards that must be met for management to determine that our internal control over financial reporting is effective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 imposed by SOX. These reporting and other obligations place significant demands on our management and administrative and operational resources, including accounting resources.</w:t>
      </w:r>
    </w:p>
    <w:p>
      <w:pPr>
        <w:spacing w:after="0" w:line="72" w:lineRule="exact"/>
        <w:rPr>
          <w:sz w:val="20"/>
          <w:szCs w:val="20"/>
          <w:color w:val="auto"/>
        </w:rPr>
      </w:pPr>
    </w:p>
    <w:p>
      <w:pPr>
        <w:jc w:val="both"/>
        <w:ind w:right="60" w:firstLine="518"/>
        <w:spacing w:after="0" w:line="261"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Our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Any failure to maintain effective internal controls could have an adverse effect on our business, financial position 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of the net proceeds from our initial public offering and may not use them effectively.</w:t>
      </w:r>
    </w:p>
    <w:p>
      <w:pPr>
        <w:spacing w:after="0" w:line="121"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Our management has broad discretion in the application of the net proceeds received from our IPO. Our management may spend a portion or all of the net proceeds from our IPO in ways that our stockholders may not desire or that may not yield a favorable return. The failure by our management to apply these funds effectively could harm our business, financial condition, results of operations and prospects. Pending their use, we may invest the net proceeds from our IPO in a manner that does not produce income or that loses value.</w:t>
      </w:r>
    </w:p>
    <w:p>
      <w:pPr>
        <w:spacing w:after="0" w:line="176"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Delaware law and provisions in our certificate of incorporation and bylaws might discourage, delay, or prevent a change in control of our company or changes in our management and, therefore, depress the trading price of our common stock.</w:t>
      </w:r>
    </w:p>
    <w:p>
      <w:pPr>
        <w:spacing w:after="0" w:line="51" w:lineRule="exact"/>
        <w:rPr>
          <w:sz w:val="20"/>
          <w:szCs w:val="20"/>
          <w:color w:val="auto"/>
        </w:rPr>
      </w:pPr>
    </w:p>
    <w:p>
      <w:pPr>
        <w:ind w:right="220" w:firstLine="518"/>
        <w:spacing w:after="0" w:line="261" w:lineRule="auto"/>
        <w:rPr>
          <w:sz w:val="20"/>
          <w:szCs w:val="20"/>
          <w:color w:val="auto"/>
        </w:rPr>
      </w:pPr>
      <w:r>
        <w:rPr>
          <w:rFonts w:ascii="Times New Roman" w:cs="Times New Roman" w:eastAsia="Times New Roman" w:hAnsi="Times New Roman"/>
          <w:sz w:val="18"/>
          <w:szCs w:val="18"/>
          <w:color w:val="auto"/>
        </w:rPr>
        <w:t>Provisions in our certificate of incorporation and bylaws may discourage, delay, or prevent a merger, acquisition, or other change in control that stockholders may consider favorable, including transactions in which you might otherwise receive a premium for your shares of our common stock. These provisions may also prevent or frustrate attempts by our stockholders to replace or remove our management. Therefore, these provisions could adversely affect the price of our common stock. Among other things, our charter documents:</w:t>
      </w:r>
    </w:p>
    <w:p>
      <w:pPr>
        <w:spacing w:after="0" w:line="72" w:lineRule="exact"/>
        <w:rPr>
          <w:sz w:val="20"/>
          <w:szCs w:val="20"/>
          <w:color w:val="auto"/>
        </w:rPr>
      </w:pPr>
    </w:p>
    <w:p>
      <w:pPr>
        <w:ind w:left="640" w:hanging="119"/>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our board of directors may be filled only by a majority of directors then in office, even though less than a quorum;</w:t>
      </w:r>
    </w:p>
    <w:p>
      <w:pPr>
        <w:spacing w:after="0" w:line="117"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cumulative voting in the election of directors;</w:t>
      </w:r>
    </w:p>
    <w:p>
      <w:pPr>
        <w:spacing w:after="0" w:line="117" w:lineRule="exact"/>
        <w:rPr>
          <w:rFonts w:ascii="Times New Roman" w:cs="Times New Roman" w:eastAsia="Times New Roman" w:hAnsi="Times New Roman"/>
          <w:sz w:val="18"/>
          <w:szCs w:val="18"/>
          <w:color w:val="auto"/>
        </w:rPr>
      </w:pPr>
    </w:p>
    <w:p>
      <w:pPr>
        <w:ind w:left="640" w:right="60" w:hanging="119"/>
        <w:spacing w:after="0" w:line="282" w:lineRule="auto"/>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shares of preferred stock and determine the price and other terms of those shares, including preferences and voting rights, without stockholder approval;</w:t>
      </w:r>
    </w:p>
    <w:p>
      <w:pPr>
        <w:spacing w:after="0" w:line="53"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our board of directors with the exclusive right to elect a director to fill a vacancy or newly created directorship;</w:t>
      </w:r>
    </w:p>
    <w:p>
      <w:pPr>
        <w:spacing w:after="0" w:line="117"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stockholders to only take actions at a duly called annual or special meeting and not by written consent;</w:t>
      </w:r>
    </w:p>
    <w:p>
      <w:pPr>
        <w:spacing w:after="0" w:line="117"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stockholders from calling a special meeting of stockholders;</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45" w:right="299" w:bottom="1440" w:gutter="0" w:footer="0" w:header="0"/>
        </w:sectPr>
      </w:pPr>
    </w:p>
    <w:bookmarkStart w:id="58" w:name="page59"/>
    <w:bookmarkEnd w:id="58"/>
    <w:p>
      <w:pPr>
        <w:ind w:left="640" w:hanging="119"/>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stockholders give advance notice to nominate directors or submit proposals for consideration at stockholder meetings;</w:t>
      </w:r>
    </w:p>
    <w:p>
      <w:pPr>
        <w:spacing w:after="0" w:line="117"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by a majority vote, to amend the bylaws; and</w:t>
      </w:r>
    </w:p>
    <w:p>
      <w:pPr>
        <w:spacing w:after="0" w:line="117"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affirmative vote of at least 66 2/3% or more of the outstanding shares of common stock to amend many of the provisions described above.</w:t>
      </w:r>
    </w:p>
    <w:p>
      <w:pPr>
        <w:spacing w:after="0" w:line="117"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In addition, Section 203 of the General Corporation Law of the State of Delaware, or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72" w:lineRule="exact"/>
        <w:rPr>
          <w:sz w:val="20"/>
          <w:szCs w:val="20"/>
          <w:color w:val="auto"/>
        </w:rPr>
      </w:pPr>
    </w:p>
    <w:p>
      <w:pPr>
        <w:jc w:val="both"/>
        <w:ind w:right="40" w:firstLine="518"/>
        <w:spacing w:after="0" w:line="266" w:lineRule="auto"/>
        <w:rPr>
          <w:sz w:val="20"/>
          <w:szCs w:val="20"/>
          <w:color w:val="auto"/>
        </w:rPr>
      </w:pPr>
      <w:r>
        <w:rPr>
          <w:rFonts w:ascii="Times New Roman" w:cs="Times New Roman" w:eastAsia="Times New Roman" w:hAnsi="Times New Roman"/>
          <w:sz w:val="18"/>
          <w:szCs w:val="18"/>
          <w:color w:val="auto"/>
        </w:rPr>
        <w:t>Any provision of our certificate of incorporation,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spacing w:after="0" w:line="172"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bylaws provide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6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bylaws provide that the Court of Chancery of the State of Delaware will be the exclusive forum for:</w:t>
      </w:r>
    </w:p>
    <w:p>
      <w:pPr>
        <w:spacing w:after="0" w:line="117" w:lineRule="exact"/>
        <w:rPr>
          <w:sz w:val="20"/>
          <w:szCs w:val="20"/>
          <w:color w:val="auto"/>
        </w:rPr>
      </w:pPr>
    </w:p>
    <w:p>
      <w:pPr>
        <w:ind w:left="640" w:hanging="119"/>
        <w:spacing w:after="0"/>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our behalf;</w:t>
      </w:r>
    </w:p>
    <w:p>
      <w:pPr>
        <w:spacing w:after="0" w:line="117"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of breach of fiduciary duty;</w:t>
      </w:r>
    </w:p>
    <w:p>
      <w:pPr>
        <w:spacing w:after="0" w:line="117"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arising under the DGCL, our certificate of incorporation, or our bylaws; and</w:t>
      </w:r>
    </w:p>
    <w:p>
      <w:pPr>
        <w:spacing w:after="0" w:line="117" w:lineRule="exact"/>
        <w:rPr>
          <w:rFonts w:ascii="Times New Roman" w:cs="Times New Roman" w:eastAsia="Times New Roman" w:hAnsi="Times New Roman"/>
          <w:sz w:val="18"/>
          <w:szCs w:val="18"/>
          <w:color w:val="auto"/>
        </w:rPr>
      </w:pPr>
    </w:p>
    <w:p>
      <w:pPr>
        <w:ind w:left="640" w:hanging="119"/>
        <w:spacing w:after="0"/>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that is governed by the internal-affairs doctrine.</w:t>
      </w:r>
    </w:p>
    <w:p>
      <w:pPr>
        <w:spacing w:after="0" w:line="117" w:lineRule="exact"/>
        <w:rPr>
          <w:sz w:val="20"/>
          <w:szCs w:val="20"/>
          <w:color w:val="auto"/>
        </w:rPr>
      </w:pPr>
    </w:p>
    <w:p>
      <w:pPr>
        <w:ind w:right="420" w:firstLine="518"/>
        <w:spacing w:after="0" w:line="282" w:lineRule="auto"/>
        <w:rPr>
          <w:sz w:val="20"/>
          <w:szCs w:val="20"/>
          <w:color w:val="auto"/>
        </w:rPr>
      </w:pPr>
      <w:r>
        <w:rPr>
          <w:rFonts w:ascii="Times New Roman" w:cs="Times New Roman" w:eastAsia="Times New Roman" w:hAnsi="Times New Roman"/>
          <w:sz w:val="18"/>
          <w:szCs w:val="18"/>
          <w:color w:val="auto"/>
        </w:rPr>
        <w:t>Our bylaws further provide that the U.S. federal district courts will be the exclusive forum for resolving any complaint asserting a cause of action arising under the Securities Act of 1933, as amended.</w:t>
      </w:r>
    </w:p>
    <w:p>
      <w:pPr>
        <w:spacing w:after="0" w:line="54" w:lineRule="exact"/>
        <w:rPr>
          <w:sz w:val="20"/>
          <w:szCs w:val="20"/>
          <w:color w:val="auto"/>
        </w:rPr>
      </w:pPr>
    </w:p>
    <w:p>
      <w:pPr>
        <w:ind w:right="140" w:firstLine="518"/>
        <w:spacing w:after="0" w:line="261" w:lineRule="auto"/>
        <w:rPr>
          <w:sz w:val="20"/>
          <w:szCs w:val="20"/>
          <w:color w:val="auto"/>
        </w:rPr>
      </w:pPr>
      <w:r>
        <w:rPr>
          <w:rFonts w:ascii="Times New Roman" w:cs="Times New Roman" w:eastAsia="Times New Roman" w:hAnsi="Times New Roman"/>
          <w:sz w:val="18"/>
          <w:szCs w:val="18"/>
          <w:color w:val="auto"/>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bylaws to be inapplicable or unenforceable in an action, we may incur additional costs associated with resolving the dispute in other jurisdictions, which could seriously harm our business.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Sales of Unregistered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Proceeds from Registered Securities</w:t>
      </w:r>
    </w:p>
    <w:p>
      <w:pPr>
        <w:spacing w:after="0" w:line="121" w:lineRule="exact"/>
        <w:rPr>
          <w:sz w:val="20"/>
          <w:szCs w:val="20"/>
          <w:color w:val="auto"/>
        </w:rPr>
      </w:pPr>
    </w:p>
    <w:p>
      <w:pPr>
        <w:jc w:val="both"/>
        <w:ind w:right="140" w:firstLine="518"/>
        <w:spacing w:after="0" w:line="266" w:lineRule="auto"/>
        <w:rPr>
          <w:sz w:val="20"/>
          <w:szCs w:val="20"/>
          <w:color w:val="auto"/>
        </w:rPr>
      </w:pPr>
      <w:r>
        <w:rPr>
          <w:rFonts w:ascii="Times New Roman" w:cs="Times New Roman" w:eastAsia="Times New Roman" w:hAnsi="Times New Roman"/>
          <w:sz w:val="18"/>
          <w:szCs w:val="18"/>
          <w:color w:val="auto"/>
        </w:rPr>
        <w:t>On October 9, 2018, we closed our IPO, in which we sold and issued 9,000,000 shares of common stock at a price to the public of $10.00 per share. On November 6, 2018, we sold and issued an additional 400,000 shares of common stock at $10.00 per share to the underwriters of our IPO following the partial exercise of their over-allotment option.</w:t>
      </w:r>
    </w:p>
    <w:p>
      <w:pPr>
        <w:spacing w:after="0" w:line="68"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The offer and sale of all of the shares of our common stock in our IPO were registered under the Securities Act pursuant to a registration statement on Form S-1 (File No. 333-227237), which was declared effective by the SEC on October 3, 2018. Following the sale of the above shares, the offering terminated. Morgan Stanley, BofA Merrill Lynch and Barclays acted as joint book-running managers and Chardan acted as lead manager.</w:t>
      </w:r>
    </w:p>
    <w:p>
      <w:pPr>
        <w:spacing w:after="0" w:line="68" w:lineRule="exact"/>
        <w:rPr>
          <w:sz w:val="20"/>
          <w:szCs w:val="20"/>
          <w:color w:val="auto"/>
        </w:rPr>
      </w:pPr>
    </w:p>
    <w:p>
      <w:pPr>
        <w:ind w:right="120" w:firstLine="518"/>
        <w:spacing w:after="0" w:line="261" w:lineRule="auto"/>
        <w:rPr>
          <w:sz w:val="20"/>
          <w:szCs w:val="20"/>
          <w:color w:val="auto"/>
        </w:rPr>
      </w:pPr>
      <w:r>
        <w:rPr>
          <w:rFonts w:ascii="Times New Roman" w:cs="Times New Roman" w:eastAsia="Times New Roman" w:hAnsi="Times New Roman"/>
          <w:sz w:val="18"/>
          <w:szCs w:val="18"/>
          <w:color w:val="auto"/>
        </w:rPr>
        <w:t>We received aggregate gross proceeds from our IPO of $94.0 million, or aggregate net proceeds of $83.5 million, inclusive of the partial over-allotment option exercise, after deducting underwriting discounts and commissions and other offering costs. None of the underwriting discounts and commissions or offering expenses were incurred or paid, directly or indirectly, to (i) our directors or officers or their associates, (ii) persons owning 10% or more of our common stock or (iii) any of our affiliates.</w:t>
      </w:r>
    </w:p>
    <w:p>
      <w:pPr>
        <w:spacing w:after="0" w:line="72" w:lineRule="exact"/>
        <w:rPr>
          <w:sz w:val="20"/>
          <w:szCs w:val="20"/>
          <w:color w:val="auto"/>
        </w:rPr>
      </w:pPr>
    </w:p>
    <w:p>
      <w:pPr>
        <w:ind w:right="300" w:firstLine="518"/>
        <w:spacing w:after="0" w:line="282" w:lineRule="auto"/>
        <w:rPr>
          <w:sz w:val="20"/>
          <w:szCs w:val="20"/>
          <w:color w:val="auto"/>
        </w:rPr>
      </w:pPr>
      <w:r>
        <w:rPr>
          <w:rFonts w:ascii="Times New Roman" w:cs="Times New Roman" w:eastAsia="Times New Roman" w:hAnsi="Times New Roman"/>
          <w:sz w:val="18"/>
          <w:szCs w:val="18"/>
          <w:color w:val="auto"/>
        </w:rPr>
        <w:t>There has been no material change in the planned use of the net proceeds from our initial public offering as described in our final prospectus filed pursuant to Rule 424(b)(4) under the Securities Act with the SEC on October 5, 2018.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Purchases of Equity Securities by the Issuer</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333" w:right="3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38"/>
        </w:trPr>
        <w:tc>
          <w:tcPr>
            <w:tcW w:w="7800" w:type="dxa"/>
            <w:vAlign w:val="bottom"/>
            <w:gridSpan w:val="4"/>
          </w:tcPr>
          <w:p>
            <w:pPr>
              <w:jc w:val="center"/>
              <w:ind w:right="6520"/>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820" w:type="dxa"/>
            <w:vAlign w:val="bottom"/>
          </w:tcPr>
          <w:p>
            <w:pPr>
              <w:jc w:val="center"/>
              <w:ind w:left="359"/>
              <w:spacing w:after="0"/>
              <w:rPr>
                <w:sz w:val="20"/>
                <w:szCs w:val="20"/>
                <w:color w:val="auto"/>
              </w:rPr>
            </w:pPr>
            <w:r>
              <w:rPr>
                <w:rFonts w:ascii="Times New Roman" w:cs="Times New Roman" w:eastAsia="Times New Roman" w:hAnsi="Times New Roman"/>
                <w:sz w:val="18"/>
                <w:szCs w:val="18"/>
                <w:i w:val="1"/>
                <w:iCs w:val="1"/>
                <w:color w:val="auto"/>
              </w:rPr>
              <w:t>(a)</w:t>
            </w:r>
          </w:p>
        </w:tc>
        <w:tc>
          <w:tcPr>
            <w:tcW w:w="6980" w:type="dxa"/>
            <w:vAlign w:val="bottom"/>
            <w:gridSpan w:val="3"/>
          </w:tcPr>
          <w:p>
            <w:pPr>
              <w:ind w:left="80"/>
              <w:spacing w:after="0"/>
              <w:rPr>
                <w:sz w:val="20"/>
                <w:szCs w:val="20"/>
                <w:color w:val="auto"/>
              </w:rPr>
            </w:pPr>
            <w:r>
              <w:rPr>
                <w:rFonts w:ascii="Times New Roman" w:cs="Times New Roman" w:eastAsia="Times New Roman" w:hAnsi="Times New Roman"/>
                <w:sz w:val="18"/>
                <w:szCs w:val="18"/>
                <w:i w:val="1"/>
                <w:iCs w:val="1"/>
                <w:color w:val="auto"/>
              </w:rPr>
              <w:t>Exhibits.</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8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6720" w:type="dxa"/>
            <w:vAlign w:val="bottom"/>
            <w:vMerge w:val="restart"/>
          </w:tcPr>
          <w:p>
            <w:pPr>
              <w:ind w:left="30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60" w:type="dxa"/>
            <w:vAlign w:val="bottom"/>
            <w:vMerge w:val="restart"/>
          </w:tcPr>
          <w:p>
            <w:pPr>
              <w:spacing w:after="0"/>
              <w:rPr>
                <w:sz w:val="11"/>
                <w:szCs w:val="11"/>
                <w:color w:val="auto"/>
              </w:rPr>
            </w:pP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0" w:type="dxa"/>
            <w:vAlign w:val="bottom"/>
            <w:vMerge w:val="restart"/>
          </w:tcPr>
          <w:p>
            <w:pPr>
              <w:spacing w:after="0"/>
              <w:rPr>
                <w:sz w:val="11"/>
                <w:szCs w:val="11"/>
                <w:color w:val="auto"/>
              </w:rPr>
            </w:pPr>
          </w:p>
        </w:tc>
        <w:tc>
          <w:tcPr>
            <w:tcW w:w="94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00" w:type="dxa"/>
            <w:vAlign w:val="bottom"/>
            <w:vMerge w:val="restart"/>
          </w:tcPr>
          <w:p>
            <w:pPr>
              <w:spacing w:after="0"/>
              <w:rPr>
                <w:sz w:val="11"/>
                <w:szCs w:val="11"/>
                <w:color w:val="auto"/>
              </w:rPr>
            </w:pPr>
          </w:p>
        </w:tc>
        <w:tc>
          <w:tcPr>
            <w:tcW w:w="70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vMerge w:val="restart"/>
          </w:tcPr>
          <w:p>
            <w:pPr>
              <w:spacing w:after="0"/>
              <w:rPr>
                <w:sz w:val="11"/>
                <w:szCs w:val="11"/>
                <w:color w:val="auto"/>
              </w:rPr>
            </w:pP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73"/>
        </w:trPr>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5"/>
                <w:szCs w:val="15"/>
                <w:color w:val="auto"/>
              </w:rPr>
            </w:pPr>
          </w:p>
        </w:tc>
        <w:tc>
          <w:tcPr>
            <w:tcW w:w="672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31.1</w:t>
            </w:r>
          </w:p>
        </w:tc>
        <w:tc>
          <w:tcPr>
            <w:tcW w:w="670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w:anchor="page63">
              <w:r>
                <w:rPr>
                  <w:rFonts w:ascii="Times New Roman" w:cs="Times New Roman" w:eastAsia="Times New Roman" w:hAnsi="Times New Roman"/>
                  <w:sz w:val="18"/>
                  <w:szCs w:val="18"/>
                  <w:color w:val="0000EE"/>
                  <w:w w:val="99"/>
                </w:rPr>
                <w:t>Certification of Principal Executive Officer Pursuant to Rules 13a-14(a) and 15d-14(a) under</w:t>
              </w:r>
            </w:hyperlink>
          </w:p>
        </w:tc>
      </w:tr>
      <w:tr>
        <w:trPr>
          <w:trHeight w:val="196"/>
        </w:trPr>
        <w:tc>
          <w:tcPr>
            <w:tcW w:w="920" w:type="dxa"/>
            <w:vAlign w:val="bottom"/>
          </w:tcPr>
          <w:p>
            <w:pPr>
              <w:spacing w:after="0"/>
              <w:rPr>
                <w:sz w:val="17"/>
                <w:szCs w:val="17"/>
                <w:color w:val="auto"/>
              </w:rPr>
            </w:pPr>
          </w:p>
        </w:tc>
        <w:tc>
          <w:tcPr>
            <w:tcW w:w="6700" w:type="dxa"/>
            <w:vAlign w:val="bottom"/>
            <w:gridSpan w:val="8"/>
          </w:tcPr>
          <w:p>
            <w:pPr>
              <w:spacing w:after="0" w:line="196" w:lineRule="exact"/>
              <w:rPr>
                <w:rFonts w:ascii="Times New Roman" w:cs="Times New Roman" w:eastAsia="Times New Roman" w:hAnsi="Times New Roman"/>
                <w:sz w:val="18"/>
                <w:szCs w:val="18"/>
                <w:color w:val="0000EE"/>
              </w:rPr>
            </w:pPr>
            <w:hyperlink w:anchor="page63">
              <w:r>
                <w:rPr>
                  <w:rFonts w:ascii="Times New Roman" w:cs="Times New Roman" w:eastAsia="Times New Roman" w:hAnsi="Times New Roman"/>
                  <w:sz w:val="18"/>
                  <w:szCs w:val="18"/>
                  <w:color w:val="0000EE"/>
                </w:rPr>
                <w:t>the Securities Exchange Act of 1934, as Adopted Pursuant to Section 302 of the Sarbanes-</w:t>
              </w:r>
            </w:hyperlink>
          </w:p>
        </w:tc>
      </w:tr>
      <w:tr>
        <w:trPr>
          <w:trHeight w:val="196"/>
        </w:trPr>
        <w:tc>
          <w:tcPr>
            <w:tcW w:w="920" w:type="dxa"/>
            <w:vAlign w:val="bottom"/>
          </w:tcPr>
          <w:p>
            <w:pPr>
              <w:spacing w:after="0"/>
              <w:rPr>
                <w:sz w:val="17"/>
                <w:szCs w:val="17"/>
                <w:color w:val="auto"/>
              </w:rPr>
            </w:pPr>
          </w:p>
        </w:tc>
        <w:tc>
          <w:tcPr>
            <w:tcW w:w="6500" w:type="dxa"/>
            <w:vAlign w:val="bottom"/>
            <w:tcBorders>
              <w:top w:val="single" w:sz="8" w:color="0000EE"/>
            </w:tcBorders>
            <w:gridSpan w:val="6"/>
          </w:tcPr>
          <w:p>
            <w:pPr>
              <w:spacing w:after="0" w:line="196" w:lineRule="exact"/>
              <w:rPr>
                <w:rFonts w:ascii="Times New Roman" w:cs="Times New Roman" w:eastAsia="Times New Roman" w:hAnsi="Times New Roman"/>
                <w:sz w:val="18"/>
                <w:szCs w:val="18"/>
                <w:color w:val="0000EE"/>
              </w:rPr>
            </w:pPr>
            <w:hyperlink w:anchor="page63">
              <w:r>
                <w:rPr>
                  <w:rFonts w:ascii="Times New Roman" w:cs="Times New Roman" w:eastAsia="Times New Roman" w:hAnsi="Times New Roman"/>
                  <w:sz w:val="18"/>
                  <w:szCs w:val="18"/>
                  <w:color w:val="0000EE"/>
                </w:rPr>
                <w:t>Oxley Act of 2002.</w:t>
              </w:r>
            </w:hyperlink>
          </w:p>
        </w:tc>
        <w:tc>
          <w:tcPr>
            <w:tcW w:w="200" w:type="dxa"/>
            <w:vAlign w:val="bottom"/>
            <w:gridSpan w:val="2"/>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45"/>
        </w:trPr>
        <w:tc>
          <w:tcPr>
            <w:tcW w:w="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31.2</w:t>
            </w:r>
          </w:p>
        </w:tc>
        <w:tc>
          <w:tcPr>
            <w:tcW w:w="6700" w:type="dxa"/>
            <w:vAlign w:val="bottom"/>
            <w:gridSpan w:val="8"/>
          </w:tcPr>
          <w:p>
            <w:pPr>
              <w:spacing w:after="0"/>
              <w:rPr>
                <w:rFonts w:ascii="Times New Roman" w:cs="Times New Roman" w:eastAsia="Times New Roman" w:hAnsi="Times New Roman"/>
                <w:sz w:val="18"/>
                <w:szCs w:val="18"/>
                <w:color w:val="0000EE"/>
              </w:rPr>
            </w:pPr>
            <w:hyperlink w:anchor="page64">
              <w:r>
                <w:rPr>
                  <w:rFonts w:ascii="Times New Roman" w:cs="Times New Roman" w:eastAsia="Times New Roman" w:hAnsi="Times New Roman"/>
                  <w:sz w:val="18"/>
                  <w:szCs w:val="18"/>
                  <w:color w:val="0000EE"/>
                </w:rPr>
                <w:t>Certification of Principal Accounting and Financial Officer Pursuant to Rules 13a-14(a) and</w:t>
              </w:r>
            </w:hyperlink>
          </w:p>
        </w:tc>
      </w:tr>
      <w:tr>
        <w:trPr>
          <w:trHeight w:val="20"/>
        </w:trPr>
        <w:tc>
          <w:tcPr>
            <w:tcW w:w="920" w:type="dxa"/>
            <w:vAlign w:val="bottom"/>
          </w:tcPr>
          <w:p>
            <w:pPr>
              <w:spacing w:after="0" w:line="20" w:lineRule="exact"/>
              <w:rPr>
                <w:sz w:val="1"/>
                <w:szCs w:val="1"/>
                <w:color w:val="auto"/>
              </w:rPr>
            </w:pPr>
          </w:p>
        </w:tc>
        <w:tc>
          <w:tcPr>
            <w:tcW w:w="2360" w:type="dxa"/>
            <w:vAlign w:val="bottom"/>
            <w:gridSpan w:val="2"/>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670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w:anchor="page64">
              <w:r>
                <w:rPr>
                  <w:rFonts w:ascii="Times New Roman" w:cs="Times New Roman" w:eastAsia="Times New Roman" w:hAnsi="Times New Roman"/>
                  <w:sz w:val="18"/>
                  <w:szCs w:val="18"/>
                  <w:color w:val="0000EE"/>
                  <w:w w:val="99"/>
                </w:rPr>
                <w:t>15d-14(a) under the Securities Exchange Act of 1934, as Adopted Pursuant to Section 302 of</w:t>
              </w:r>
            </w:hyperlink>
          </w:p>
        </w:tc>
      </w:tr>
      <w:tr>
        <w:trPr>
          <w:trHeight w:val="196"/>
        </w:trPr>
        <w:tc>
          <w:tcPr>
            <w:tcW w:w="920" w:type="dxa"/>
            <w:vAlign w:val="bottom"/>
          </w:tcPr>
          <w:p>
            <w:pPr>
              <w:spacing w:after="0"/>
              <w:rPr>
                <w:sz w:val="17"/>
                <w:szCs w:val="17"/>
                <w:color w:val="auto"/>
              </w:rPr>
            </w:pPr>
          </w:p>
        </w:tc>
        <w:tc>
          <w:tcPr>
            <w:tcW w:w="236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w:anchor="page64">
              <w:r>
                <w:rPr>
                  <w:rFonts w:ascii="Times New Roman" w:cs="Times New Roman" w:eastAsia="Times New Roman" w:hAnsi="Times New Roman"/>
                  <w:sz w:val="18"/>
                  <w:szCs w:val="18"/>
                  <w:color w:val="0000EE"/>
                  <w:w w:val="98"/>
                </w:rPr>
                <w:t>the Sarbanes-Oxley Act of 2002.</w:t>
              </w:r>
            </w:hyperlink>
          </w:p>
        </w:tc>
        <w:tc>
          <w:tcPr>
            <w:tcW w:w="4340" w:type="dxa"/>
            <w:vAlign w:val="bottom"/>
            <w:gridSpan w:val="6"/>
          </w:tcPr>
          <w:p>
            <w:pPr>
              <w:spacing w:after="0"/>
              <w:rPr>
                <w:sz w:val="17"/>
                <w:szCs w:val="17"/>
                <w:color w:val="auto"/>
              </w:rPr>
            </w:pPr>
          </w:p>
        </w:tc>
      </w:tr>
      <w:tr>
        <w:trPr>
          <w:trHeight w:val="345"/>
        </w:trPr>
        <w:tc>
          <w:tcPr>
            <w:tcW w:w="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32.1*</w:t>
            </w:r>
          </w:p>
        </w:tc>
        <w:tc>
          <w:tcPr>
            <w:tcW w:w="6700" w:type="dxa"/>
            <w:vAlign w:val="bottom"/>
            <w:gridSpan w:val="8"/>
          </w:tcPr>
          <w:p>
            <w:pPr>
              <w:spacing w:after="0"/>
              <w:rPr>
                <w:rFonts w:ascii="Times New Roman" w:cs="Times New Roman" w:eastAsia="Times New Roman" w:hAnsi="Times New Roman"/>
                <w:sz w:val="18"/>
                <w:szCs w:val="18"/>
                <w:color w:val="0000EE"/>
              </w:rPr>
            </w:pPr>
            <w:hyperlink w:anchor="page65">
              <w:r>
                <w:rPr>
                  <w:rFonts w:ascii="Times New Roman" w:cs="Times New Roman" w:eastAsia="Times New Roman" w:hAnsi="Times New Roman"/>
                  <w:sz w:val="18"/>
                  <w:szCs w:val="18"/>
                  <w:color w:val="0000EE"/>
                </w:rPr>
                <w:t>Certification of Principal Executive Officer Pursuant to 18 U.S.C. Section 1350, as Adopted</w:t>
              </w:r>
            </w:hyperlink>
          </w:p>
        </w:tc>
      </w:tr>
      <w:tr>
        <w:trPr>
          <w:trHeight w:val="196"/>
        </w:trPr>
        <w:tc>
          <w:tcPr>
            <w:tcW w:w="920" w:type="dxa"/>
            <w:vAlign w:val="bottom"/>
          </w:tcPr>
          <w:p>
            <w:pPr>
              <w:spacing w:after="0"/>
              <w:rPr>
                <w:sz w:val="17"/>
                <w:szCs w:val="17"/>
                <w:color w:val="auto"/>
              </w:rPr>
            </w:pPr>
          </w:p>
        </w:tc>
        <w:tc>
          <w:tcPr>
            <w:tcW w:w="432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w:anchor="page65">
              <w:r>
                <w:rPr>
                  <w:rFonts w:ascii="Times New Roman" w:cs="Times New Roman" w:eastAsia="Times New Roman" w:hAnsi="Times New Roman"/>
                  <w:sz w:val="18"/>
                  <w:szCs w:val="18"/>
                  <w:color w:val="0000EE"/>
                  <w:w w:val="99"/>
                </w:rPr>
                <w:t>Pursuant to Section 906 of the Sarbanes-Oxley Act of 2002.</w:t>
              </w:r>
            </w:hyperlink>
          </w:p>
        </w:tc>
        <w:tc>
          <w:tcPr>
            <w:tcW w:w="2300" w:type="dxa"/>
            <w:vAlign w:val="bottom"/>
            <w:tcBorders>
              <w:top w:val="single" w:sz="8" w:color="0000EE"/>
            </w:tcBorders>
            <w:gridSpan w:val="4"/>
          </w:tcPr>
          <w:p>
            <w:pPr>
              <w:spacing w:after="0"/>
              <w:rPr>
                <w:sz w:val="17"/>
                <w:szCs w:val="17"/>
                <w:color w:val="auto"/>
              </w:rPr>
            </w:pPr>
          </w:p>
        </w:tc>
        <w:tc>
          <w:tcPr>
            <w:tcW w:w="80" w:type="dxa"/>
            <w:vAlign w:val="bottom"/>
          </w:tcPr>
          <w:p>
            <w:pPr>
              <w:spacing w:after="0"/>
              <w:rPr>
                <w:sz w:val="17"/>
                <w:szCs w:val="17"/>
                <w:color w:val="auto"/>
              </w:rPr>
            </w:pPr>
          </w:p>
        </w:tc>
      </w:tr>
      <w:tr>
        <w:trPr>
          <w:trHeight w:val="345"/>
        </w:trPr>
        <w:tc>
          <w:tcPr>
            <w:tcW w:w="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32.2*</w:t>
            </w:r>
          </w:p>
        </w:tc>
        <w:tc>
          <w:tcPr>
            <w:tcW w:w="646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w:anchor="page66">
              <w:r>
                <w:rPr>
                  <w:rFonts w:ascii="Times New Roman" w:cs="Times New Roman" w:eastAsia="Times New Roman" w:hAnsi="Times New Roman"/>
                  <w:sz w:val="18"/>
                  <w:szCs w:val="18"/>
                  <w:color w:val="0000EE"/>
                  <w:w w:val="99"/>
                </w:rPr>
                <w:t>Certification of Principal Accounting and Financial Officer Pursuant to 18 U.S.C. Section</w:t>
              </w:r>
            </w:hyperlink>
          </w:p>
        </w:tc>
        <w:tc>
          <w:tcPr>
            <w:tcW w:w="240" w:type="dxa"/>
            <w:vAlign w:val="bottom"/>
            <w:gridSpan w:val="3"/>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6700" w:type="dxa"/>
            <w:vAlign w:val="bottom"/>
            <w:gridSpan w:val="8"/>
          </w:tcPr>
          <w:p>
            <w:pPr>
              <w:spacing w:after="0" w:line="196" w:lineRule="exact"/>
              <w:rPr>
                <w:rFonts w:ascii="Times New Roman" w:cs="Times New Roman" w:eastAsia="Times New Roman" w:hAnsi="Times New Roman"/>
                <w:sz w:val="18"/>
                <w:szCs w:val="18"/>
                <w:color w:val="0000EE"/>
              </w:rPr>
            </w:pPr>
            <w:hyperlink w:anchor="page66">
              <w:r>
                <w:rPr>
                  <w:rFonts w:ascii="Times New Roman" w:cs="Times New Roman" w:eastAsia="Times New Roman" w:hAnsi="Times New Roman"/>
                  <w:sz w:val="18"/>
                  <w:szCs w:val="18"/>
                  <w:color w:val="0000EE"/>
                </w:rPr>
                <w:t>1350, as Adopted Pursuant to Section 906 of the Sarbanes-Oxley Act of 2002.</w:t>
              </w:r>
            </w:hyperlink>
          </w:p>
        </w:tc>
      </w:tr>
      <w:tr>
        <w:trPr>
          <w:trHeight w:val="385"/>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562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1080" w:type="dxa"/>
            <w:vAlign w:val="bottom"/>
            <w:gridSpan w:val="4"/>
          </w:tcPr>
          <w:p>
            <w:pPr>
              <w:spacing w:after="0"/>
              <w:rPr>
                <w:sz w:val="24"/>
                <w:szCs w:val="24"/>
                <w:color w:val="auto"/>
              </w:rPr>
            </w:pPr>
          </w:p>
        </w:tc>
      </w:tr>
      <w:tr>
        <w:trPr>
          <w:trHeight w:val="365"/>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67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365"/>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67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365"/>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67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365"/>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67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365"/>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67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6901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51" w:lineRule="exact"/>
        <w:rPr>
          <w:sz w:val="20"/>
          <w:szCs w:val="20"/>
          <w:color w:val="auto"/>
        </w:rPr>
      </w:pPr>
    </w:p>
    <w:p>
      <w:pPr>
        <w:ind w:left="520" w:right="360" w:hanging="512"/>
        <w:spacing w:after="0" w:line="261" w:lineRule="auto"/>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Exhibits 32.1 and 32.2 are deemed “furnished” and not deemed “filed” for purposes of Section 18 of the Securities Exchange Act of 1934, as amended, and are not to be incorporated by reference into any filing of Kodiak Sciences Inc. under the Securities Act of 1933, as amended, or the Securities Exchange Act of 1934, as amended, whether made before or after the date hereof irrespective of any general incorporation by reference language contained in any such filing, except to the extent that the registrant specifically incorporates it by reference.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61" w:name="page62"/>
    <w:bookmarkEnd w:id="61"/>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1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81"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KODIAK SCIENCES INC.</w:t>
      </w:r>
    </w:p>
    <w:p>
      <w:pPr>
        <w:spacing w:after="0" w:line="252" w:lineRule="exact"/>
        <w:rPr>
          <w:sz w:val="20"/>
          <w:szCs w:val="20"/>
          <w:color w:val="auto"/>
        </w:rPr>
      </w:pPr>
    </w:p>
    <w:p>
      <w:pPr>
        <w:spacing w:after="0"/>
        <w:tabs>
          <w:tab w:leader="none" w:pos="5760" w:val="left"/>
          <w:tab w:leader="none" w:pos="8100" w:val="left"/>
        </w:tabs>
        <w:rPr>
          <w:sz w:val="20"/>
          <w:szCs w:val="20"/>
          <w:color w:val="auto"/>
        </w:rPr>
      </w:pPr>
      <w:r>
        <w:rPr>
          <w:rFonts w:ascii="Times New Roman" w:cs="Times New Roman" w:eastAsia="Times New Roman" w:hAnsi="Times New Roman"/>
          <w:sz w:val="18"/>
          <w:szCs w:val="18"/>
          <w:color w:val="auto"/>
        </w:rPr>
        <w:t>Date: August 14,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Victor Perlroth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17145</wp:posOffset>
            </wp:positionV>
            <wp:extent cx="336169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12"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b w:val="1"/>
          <w:bCs w:val="1"/>
          <w:color w:val="auto"/>
        </w:rPr>
        <w:t>Victor Perlroth, M.D.</w:t>
      </w:r>
    </w:p>
    <w:p>
      <w:pPr>
        <w:spacing w:after="0" w:line="31"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b w:val="1"/>
          <w:bCs w:val="1"/>
          <w:color w:val="auto"/>
        </w:rPr>
        <w:t>Chairman and Chief Executive Officer</w:t>
      </w:r>
    </w:p>
    <w:p>
      <w:pPr>
        <w:spacing w:after="0" w:line="23"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34" w:lineRule="exact"/>
        <w:rPr>
          <w:sz w:val="20"/>
          <w:szCs w:val="20"/>
          <w:color w:val="auto"/>
        </w:rPr>
      </w:pPr>
    </w:p>
    <w:p>
      <w:pPr>
        <w:spacing w:after="0"/>
        <w:tabs>
          <w:tab w:leader="none" w:pos="5760" w:val="left"/>
          <w:tab w:leader="none" w:pos="8100" w:val="left"/>
        </w:tabs>
        <w:rPr>
          <w:sz w:val="20"/>
          <w:szCs w:val="20"/>
          <w:color w:val="auto"/>
        </w:rPr>
      </w:pPr>
      <w:r>
        <w:rPr>
          <w:rFonts w:ascii="Times New Roman" w:cs="Times New Roman" w:eastAsia="Times New Roman" w:hAnsi="Times New Roman"/>
          <w:sz w:val="18"/>
          <w:szCs w:val="18"/>
          <w:color w:val="auto"/>
        </w:rPr>
        <w:t>Date: August 14,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John Borgeson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17145</wp:posOffset>
            </wp:positionV>
            <wp:extent cx="336169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12" w:lineRule="exact"/>
        <w:rPr>
          <w:sz w:val="20"/>
          <w:szCs w:val="20"/>
          <w:color w:val="auto"/>
        </w:rPr>
      </w:pPr>
    </w:p>
    <w:p>
      <w:pPr>
        <w:ind w:left="8200"/>
        <w:spacing w:after="0"/>
        <w:rPr>
          <w:sz w:val="20"/>
          <w:szCs w:val="20"/>
          <w:color w:val="auto"/>
        </w:rPr>
      </w:pPr>
      <w:r>
        <w:rPr>
          <w:rFonts w:ascii="Times New Roman" w:cs="Times New Roman" w:eastAsia="Times New Roman" w:hAnsi="Times New Roman"/>
          <w:sz w:val="18"/>
          <w:szCs w:val="18"/>
          <w:b w:val="1"/>
          <w:bCs w:val="1"/>
          <w:color w:val="auto"/>
        </w:rPr>
        <w:t>John Borgeson</w:t>
      </w:r>
    </w:p>
    <w:p>
      <w:pPr>
        <w:spacing w:after="0" w:line="3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Senior Vice President and Chief Financial Officer</w:t>
      </w:r>
    </w:p>
    <w:p>
      <w:pPr>
        <w:spacing w:after="0" w:line="23"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8"/>
          <w:szCs w:val="18"/>
          <w:b w:val="1"/>
          <w:bCs w:val="1"/>
          <w:color w:val="auto"/>
        </w:rPr>
        <w:t>(Principal Accounting and Financial Officer)</w:t>
      </w:r>
    </w:p>
    <w:p>
      <w:pPr>
        <w:spacing w:after="0" w:line="32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0800"/>
          </w:cols>
          <w:pgMar w:left="240" w:top="333" w:right="85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Victor Perlroth, M.D., certify that:</w:t>
      </w:r>
    </w:p>
    <w:p>
      <w:pPr>
        <w:spacing w:after="0" w:line="225" w:lineRule="exact"/>
        <w:rPr>
          <w:sz w:val="20"/>
          <w:szCs w:val="20"/>
          <w:color w:val="auto"/>
        </w:rPr>
      </w:pPr>
    </w:p>
    <w:p>
      <w:pPr>
        <w:ind w:left="540" w:hanging="532"/>
        <w:spacing w:after="0"/>
        <w:tabs>
          <w:tab w:leader="none" w:pos="5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Kodiak Sciences Inc.;</w:t>
      </w:r>
    </w:p>
    <w:p>
      <w:pPr>
        <w:spacing w:after="0" w:line="225" w:lineRule="exact"/>
        <w:rPr>
          <w:rFonts w:ascii="Times New Roman" w:cs="Times New Roman" w:eastAsia="Times New Roman" w:hAnsi="Times New Roman"/>
          <w:sz w:val="18"/>
          <w:szCs w:val="18"/>
          <w:color w:val="auto"/>
        </w:rPr>
      </w:pPr>
    </w:p>
    <w:p>
      <w:pPr>
        <w:jc w:val="both"/>
        <w:ind w:left="540" w:right="420" w:hanging="532"/>
        <w:spacing w:after="0" w:line="266" w:lineRule="auto"/>
        <w:tabs>
          <w:tab w:leader="none" w:pos="5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540" w:right="380" w:hanging="532"/>
        <w:spacing w:after="0" w:line="282" w:lineRule="auto"/>
        <w:tabs>
          <w:tab w:leader="none" w:pos="5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40" w:right="620" w:hanging="532"/>
        <w:spacing w:after="0" w:line="282" w:lineRule="auto"/>
        <w:tabs>
          <w:tab w:leader="none" w:pos="5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61" w:lineRule="exact"/>
        <w:rPr>
          <w:rFonts w:ascii="Times New Roman" w:cs="Times New Roman" w:eastAsia="Times New Roman" w:hAnsi="Times New Roman"/>
          <w:sz w:val="18"/>
          <w:szCs w:val="18"/>
          <w:color w:val="auto"/>
        </w:rPr>
      </w:pPr>
    </w:p>
    <w:p>
      <w:pPr>
        <w:ind w:left="1060" w:right="140" w:hanging="525"/>
        <w:spacing w:after="0" w:line="266" w:lineRule="auto"/>
        <w:tabs>
          <w:tab w:leader="none" w:pos="10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1060" w:hanging="525"/>
        <w:spacing w:after="0"/>
        <w:tabs>
          <w:tab w:leader="none" w:pos="10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omitted pursuant to SEC Release Nos. 33-8238/34-47986 and 33-8392/34-49313);</w:t>
      </w:r>
    </w:p>
    <w:p>
      <w:pPr>
        <w:spacing w:after="0" w:line="225" w:lineRule="exact"/>
        <w:rPr>
          <w:rFonts w:ascii="Times New Roman" w:cs="Times New Roman" w:eastAsia="Times New Roman" w:hAnsi="Times New Roman"/>
          <w:sz w:val="18"/>
          <w:szCs w:val="18"/>
          <w:color w:val="auto"/>
        </w:rPr>
      </w:pPr>
    </w:p>
    <w:p>
      <w:pPr>
        <w:jc w:val="both"/>
        <w:ind w:left="1060" w:right="620" w:hanging="525"/>
        <w:spacing w:after="0" w:line="282" w:lineRule="auto"/>
        <w:tabs>
          <w:tab w:leader="none" w:pos="10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60" w:right="180" w:hanging="525"/>
        <w:spacing w:after="0" w:line="266" w:lineRule="auto"/>
        <w:tabs>
          <w:tab w:leader="none" w:pos="10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540" w:right="120" w:hanging="532"/>
        <w:spacing w:after="0" w:line="282" w:lineRule="auto"/>
        <w:tabs>
          <w:tab w:leader="none" w:pos="5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60" w:right="40" w:hanging="525"/>
        <w:spacing w:after="0" w:line="282" w:lineRule="auto"/>
        <w:tabs>
          <w:tab w:leader="none" w:pos="10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60" w:right="20" w:hanging="525"/>
        <w:spacing w:after="0" w:line="282" w:lineRule="auto"/>
        <w:tabs>
          <w:tab w:leader="none" w:pos="10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spacing w:after="0"/>
        <w:tabs>
          <w:tab w:leader="none" w:pos="5760" w:val="left"/>
          <w:tab w:leader="none" w:pos="8100" w:val="left"/>
        </w:tabs>
        <w:rPr>
          <w:sz w:val="20"/>
          <w:szCs w:val="20"/>
          <w:color w:val="auto"/>
        </w:rPr>
      </w:pPr>
      <w:r>
        <w:rPr>
          <w:rFonts w:ascii="Times New Roman" w:cs="Times New Roman" w:eastAsia="Times New Roman" w:hAnsi="Times New Roman"/>
          <w:sz w:val="18"/>
          <w:szCs w:val="18"/>
          <w:color w:val="auto"/>
        </w:rPr>
        <w:t>Date: August 14,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Victor Perlroth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17145</wp:posOffset>
            </wp:positionV>
            <wp:extent cx="336169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12"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b w:val="1"/>
          <w:bCs w:val="1"/>
          <w:color w:val="auto"/>
        </w:rPr>
        <w:t>Victor Perlroth, M.D.</w:t>
      </w:r>
    </w:p>
    <w:p>
      <w:pPr>
        <w:spacing w:after="0" w:line="31"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b w:val="1"/>
          <w:bCs w:val="1"/>
          <w:color w:val="auto"/>
        </w:rPr>
        <w:t>Chairman and Chief Executive Officer</w:t>
      </w:r>
    </w:p>
    <w:p>
      <w:pPr>
        <w:spacing w:after="0" w:line="23"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ectPr>
          <w:pgSz w:w="11900" w:h="16838" w:orient="portrait"/>
          <w:cols w:equalWidth="0" w:num="1">
            <w:col w:w="11420"/>
          </w:cols>
          <w:pgMar w:left="240" w:top="347" w:right="2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Borgeson, certify that:</w:t>
      </w:r>
    </w:p>
    <w:p>
      <w:pPr>
        <w:spacing w:after="0" w:line="225" w:lineRule="exact"/>
        <w:rPr>
          <w:sz w:val="20"/>
          <w:szCs w:val="20"/>
          <w:color w:val="auto"/>
        </w:rPr>
      </w:pPr>
    </w:p>
    <w:p>
      <w:pPr>
        <w:ind w:left="540" w:hanging="532"/>
        <w:spacing w:after="0"/>
        <w:tabs>
          <w:tab w:leader="none" w:pos="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Kodiak Sciences Inc.;</w:t>
      </w:r>
    </w:p>
    <w:p>
      <w:pPr>
        <w:spacing w:after="0" w:line="225" w:lineRule="exact"/>
        <w:rPr>
          <w:rFonts w:ascii="Times New Roman" w:cs="Times New Roman" w:eastAsia="Times New Roman" w:hAnsi="Times New Roman"/>
          <w:sz w:val="18"/>
          <w:szCs w:val="18"/>
          <w:color w:val="auto"/>
        </w:rPr>
      </w:pPr>
    </w:p>
    <w:p>
      <w:pPr>
        <w:jc w:val="both"/>
        <w:ind w:left="540" w:right="420" w:hanging="532"/>
        <w:spacing w:after="0" w:line="266" w:lineRule="auto"/>
        <w:tabs>
          <w:tab w:leader="none" w:pos="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540" w:right="380" w:hanging="532"/>
        <w:spacing w:after="0" w:line="282" w:lineRule="auto"/>
        <w:tabs>
          <w:tab w:leader="none" w:pos="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40" w:right="620" w:hanging="532"/>
        <w:spacing w:after="0" w:line="282" w:lineRule="auto"/>
        <w:tabs>
          <w:tab w:leader="none" w:pos="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61" w:lineRule="exact"/>
        <w:rPr>
          <w:rFonts w:ascii="Times New Roman" w:cs="Times New Roman" w:eastAsia="Times New Roman" w:hAnsi="Times New Roman"/>
          <w:sz w:val="18"/>
          <w:szCs w:val="18"/>
          <w:color w:val="auto"/>
        </w:rPr>
      </w:pPr>
    </w:p>
    <w:p>
      <w:pPr>
        <w:ind w:left="1060" w:right="140" w:hanging="525"/>
        <w:spacing w:after="0" w:line="266" w:lineRule="auto"/>
        <w:tabs>
          <w:tab w:leader="none" w:pos="10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1060" w:hanging="525"/>
        <w:spacing w:after="0"/>
        <w:tabs>
          <w:tab w:leader="none" w:pos="10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omitted pursuant to SEC Release Nos. 33-8238/34-47986 and 33-8392/34-49313);</w:t>
      </w:r>
    </w:p>
    <w:p>
      <w:pPr>
        <w:spacing w:after="0" w:line="225" w:lineRule="exact"/>
        <w:rPr>
          <w:rFonts w:ascii="Times New Roman" w:cs="Times New Roman" w:eastAsia="Times New Roman" w:hAnsi="Times New Roman"/>
          <w:sz w:val="18"/>
          <w:szCs w:val="18"/>
          <w:color w:val="auto"/>
        </w:rPr>
      </w:pPr>
    </w:p>
    <w:p>
      <w:pPr>
        <w:jc w:val="both"/>
        <w:ind w:left="1060" w:right="620" w:hanging="525"/>
        <w:spacing w:after="0" w:line="282" w:lineRule="auto"/>
        <w:tabs>
          <w:tab w:leader="none" w:pos="10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60" w:right="180" w:hanging="525"/>
        <w:spacing w:after="0" w:line="266" w:lineRule="auto"/>
        <w:tabs>
          <w:tab w:leader="none" w:pos="10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540" w:right="120" w:hanging="532"/>
        <w:spacing w:after="0" w:line="282" w:lineRule="auto"/>
        <w:tabs>
          <w:tab w:leader="none" w:pos="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60" w:right="40" w:hanging="525"/>
        <w:spacing w:after="0" w:line="282" w:lineRule="auto"/>
        <w:tabs>
          <w:tab w:leader="none" w:pos="10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60" w:right="20" w:hanging="525"/>
        <w:spacing w:after="0" w:line="282" w:lineRule="auto"/>
        <w:tabs>
          <w:tab w:leader="none" w:pos="10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spacing w:after="0"/>
        <w:tabs>
          <w:tab w:leader="none" w:pos="5760" w:val="left"/>
          <w:tab w:leader="none" w:pos="8100" w:val="left"/>
        </w:tabs>
        <w:rPr>
          <w:sz w:val="20"/>
          <w:szCs w:val="20"/>
          <w:color w:val="auto"/>
        </w:rPr>
      </w:pPr>
      <w:r>
        <w:rPr>
          <w:rFonts w:ascii="Times New Roman" w:cs="Times New Roman" w:eastAsia="Times New Roman" w:hAnsi="Times New Roman"/>
          <w:sz w:val="18"/>
          <w:szCs w:val="18"/>
          <w:color w:val="auto"/>
        </w:rPr>
        <w:t>Date: August 14,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John Borgeson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17145</wp:posOffset>
            </wp:positionV>
            <wp:extent cx="336169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12" w:lineRule="exact"/>
        <w:rPr>
          <w:sz w:val="20"/>
          <w:szCs w:val="20"/>
          <w:color w:val="auto"/>
        </w:rPr>
      </w:pPr>
    </w:p>
    <w:p>
      <w:pPr>
        <w:ind w:left="8200"/>
        <w:spacing w:after="0"/>
        <w:rPr>
          <w:sz w:val="20"/>
          <w:szCs w:val="20"/>
          <w:color w:val="auto"/>
        </w:rPr>
      </w:pPr>
      <w:r>
        <w:rPr>
          <w:rFonts w:ascii="Times New Roman" w:cs="Times New Roman" w:eastAsia="Times New Roman" w:hAnsi="Times New Roman"/>
          <w:sz w:val="18"/>
          <w:szCs w:val="18"/>
          <w:b w:val="1"/>
          <w:bCs w:val="1"/>
          <w:color w:val="auto"/>
        </w:rPr>
        <w:t>John Borgeson</w:t>
      </w:r>
    </w:p>
    <w:p>
      <w:pPr>
        <w:spacing w:after="0" w:line="3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Senior Vice President and Chief Financial Officer</w:t>
      </w:r>
    </w:p>
    <w:p>
      <w:pPr>
        <w:spacing w:after="0" w:line="23"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8"/>
          <w:szCs w:val="18"/>
          <w:b w:val="1"/>
          <w:bCs w:val="1"/>
          <w:color w:val="auto"/>
        </w:rPr>
        <w:t>(Principal Accounting and Financial Officer)</w:t>
      </w:r>
    </w:p>
    <w:p>
      <w:pPr>
        <w:sectPr>
          <w:pgSz w:w="11900" w:h="16838" w:orient="portrait"/>
          <w:cols w:equalWidth="0" w:num="1">
            <w:col w:w="11420"/>
          </w:cols>
          <w:pgMar w:left="240" w:top="347" w:right="2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40" w:firstLine="6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Kodiak Sciences Inc. (the “Company”) on Form 10-Q for the period ending June 30, 2019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1220" w:hanging="604"/>
        <w:spacing w:after="0"/>
        <w:tabs>
          <w:tab w:leader="none" w:pos="12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220" w:right="520" w:hanging="604"/>
        <w:spacing w:after="0" w:line="282" w:lineRule="auto"/>
        <w:tabs>
          <w:tab w:leader="none" w:pos="12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2" w:lineRule="exact"/>
        <w:rPr>
          <w:sz w:val="20"/>
          <w:szCs w:val="20"/>
          <w:color w:val="auto"/>
        </w:rPr>
      </w:pPr>
    </w:p>
    <w:p>
      <w:pPr>
        <w:spacing w:after="0"/>
        <w:tabs>
          <w:tab w:leader="none" w:pos="5560" w:val="left"/>
          <w:tab w:leader="none" w:pos="8020" w:val="left"/>
        </w:tabs>
        <w:rPr>
          <w:sz w:val="20"/>
          <w:szCs w:val="20"/>
          <w:color w:val="auto"/>
        </w:rPr>
      </w:pPr>
      <w:r>
        <w:rPr>
          <w:rFonts w:ascii="Times New Roman" w:cs="Times New Roman" w:eastAsia="Times New Roman" w:hAnsi="Times New Roman"/>
          <w:sz w:val="18"/>
          <w:szCs w:val="18"/>
          <w:color w:val="auto"/>
        </w:rPr>
        <w:t>Date: August 14,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Victor Perlroth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17145</wp:posOffset>
            </wp:positionV>
            <wp:extent cx="347345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2"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8"/>
          <w:szCs w:val="18"/>
          <w:b w:val="1"/>
          <w:bCs w:val="1"/>
          <w:color w:val="auto"/>
        </w:rPr>
        <w:t>Victor Perlroth, M.D.</w:t>
      </w:r>
    </w:p>
    <w:p>
      <w:pPr>
        <w:spacing w:after="0" w:line="31"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b w:val="1"/>
          <w:bCs w:val="1"/>
          <w:color w:val="auto"/>
        </w:rPr>
        <w:t>Chairman and Chief Executive Officer</w:t>
      </w:r>
    </w:p>
    <w:p>
      <w:pPr>
        <w:spacing w:after="0" w:line="23"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34" w:lineRule="exact"/>
        <w:rPr>
          <w:sz w:val="20"/>
          <w:szCs w:val="20"/>
          <w:color w:val="auto"/>
        </w:rPr>
      </w:pPr>
    </w:p>
    <w:p>
      <w:pPr>
        <w:ind w:right="280" w:firstLine="911"/>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175" w:lineRule="exact"/>
        <w:rPr>
          <w:sz w:val="20"/>
          <w:szCs w:val="20"/>
          <w:color w:val="auto"/>
        </w:rPr>
      </w:pPr>
    </w:p>
    <w:p>
      <w:pPr>
        <w:ind w:right="160" w:firstLine="911"/>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Report to which it relates, is not deemed filed with the Securities and Exchange Commission and is not to be incorporated by reference into any filing of Kodiak Sciences Inc. under the Securities Act of 1933, as amended, or the Securities Exchange Act of 1934, as amended (whether made before or after the date of the Report), irrespective of any general incorporation language contained in such filing.</w:t>
      </w:r>
    </w:p>
    <w:p>
      <w:pPr>
        <w:sectPr>
          <w:pgSz w:w="11900" w:h="16838" w:orient="portrait"/>
          <w:cols w:equalWidth="0" w:num="1">
            <w:col w:w="11420"/>
          </w:cols>
          <w:pgMar w:left="240" w:top="117" w:right="2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40" w:firstLine="6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Kodiak Sciences Inc. (the “Company”) on Form 10-Q for the period ending June 30, 2019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1220" w:hanging="604"/>
        <w:spacing w:after="0"/>
        <w:tabs>
          <w:tab w:leader="none" w:pos="12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220" w:right="520" w:hanging="604"/>
        <w:spacing w:after="0" w:line="282" w:lineRule="auto"/>
        <w:tabs>
          <w:tab w:leader="none" w:pos="12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2" w:lineRule="exact"/>
        <w:rPr>
          <w:sz w:val="20"/>
          <w:szCs w:val="20"/>
          <w:color w:val="auto"/>
        </w:rPr>
      </w:pPr>
    </w:p>
    <w:p>
      <w:pPr>
        <w:spacing w:after="0"/>
        <w:tabs>
          <w:tab w:leader="none" w:pos="5560" w:val="left"/>
          <w:tab w:leader="none" w:pos="8020" w:val="left"/>
        </w:tabs>
        <w:rPr>
          <w:sz w:val="20"/>
          <w:szCs w:val="20"/>
          <w:color w:val="auto"/>
        </w:rPr>
      </w:pPr>
      <w:r>
        <w:rPr>
          <w:rFonts w:ascii="Times New Roman" w:cs="Times New Roman" w:eastAsia="Times New Roman" w:hAnsi="Times New Roman"/>
          <w:sz w:val="18"/>
          <w:szCs w:val="18"/>
          <w:color w:val="auto"/>
        </w:rPr>
        <w:t>Date: August 14,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John Borgeson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17145</wp:posOffset>
            </wp:positionV>
            <wp:extent cx="347345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2"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8"/>
          <w:szCs w:val="18"/>
          <w:b w:val="1"/>
          <w:bCs w:val="1"/>
          <w:color w:val="auto"/>
        </w:rPr>
        <w:t>John Borgeson</w:t>
      </w:r>
    </w:p>
    <w:p>
      <w:pPr>
        <w:spacing w:after="0" w:line="3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b w:val="1"/>
          <w:bCs w:val="1"/>
          <w:color w:val="auto"/>
        </w:rPr>
        <w:t>Senior Vice President and Chief Financial Officer</w:t>
      </w:r>
    </w:p>
    <w:p>
      <w:pPr>
        <w:spacing w:after="0" w:line="23"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b w:val="1"/>
          <w:bCs w:val="1"/>
          <w:color w:val="auto"/>
        </w:rPr>
        <w:t>(Principal Accounting and Financial Officer)</w:t>
      </w:r>
    </w:p>
    <w:p>
      <w:pPr>
        <w:spacing w:after="0" w:line="234" w:lineRule="exact"/>
        <w:rPr>
          <w:sz w:val="20"/>
          <w:szCs w:val="20"/>
          <w:color w:val="auto"/>
        </w:rPr>
      </w:pPr>
    </w:p>
    <w:p>
      <w:pPr>
        <w:ind w:right="280" w:firstLine="911"/>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175" w:lineRule="exact"/>
        <w:rPr>
          <w:sz w:val="20"/>
          <w:szCs w:val="20"/>
          <w:color w:val="auto"/>
        </w:rPr>
      </w:pPr>
    </w:p>
    <w:p>
      <w:pPr>
        <w:ind w:right="160" w:firstLine="911"/>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Report to which it relates, is not deemed filed with the Securities and Exchange Commission and is not to be incorporated by reference into any filing of Kodiak Sciences Inc. under the Securities Act of 1933, as amended, or the Securities Exchange Act of 1934, as amended (whether made before or after the date of the Report), irrespective of any general incorporation language contained in such filing.</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1)"/>
      <w:numFmt w:val="decimal"/>
      <w:start w:val="1"/>
    </w:lvl>
  </w:abstractNum>
  <w:abstractNum w:abstractNumId="4">
    <w:nsid w:val="4353D0CD"/>
    <w:multiLevelType w:val="hybridMultilevel"/>
    <w:lvl w:ilvl="0">
      <w:lvlJc w:val="left"/>
      <w:lvlText w:val="•"/>
      <w:numFmt w:val="bullet"/>
      <w:start w:val="1"/>
    </w:lvl>
  </w:abstractNum>
  <w:abstractNum w:abstractNumId="5">
    <w:nsid w:val="B03E0C6"/>
    <w:multiLevelType w:val="hybridMultilevel"/>
    <w:lvl w:ilvl="0">
      <w:lvlJc w:val="left"/>
      <w:lvlText w:val="(%1)"/>
      <w:numFmt w:val="decimal"/>
      <w:start w:val="1"/>
    </w:lvl>
  </w:abstractNum>
  <w:abstractNum w:abstractNumId="6">
    <w:nsid w:val="189A769B"/>
    <w:multiLevelType w:val="hybridMultilevel"/>
    <w:lvl w:ilvl="0">
      <w:lvlJc w:val="left"/>
      <w:lvlText w:val="•"/>
      <w:numFmt w:val="bullet"/>
      <w:start w:val="1"/>
    </w:lvl>
  </w:abstractNum>
  <w:abstractNum w:abstractNumId="7">
    <w:nsid w:val="54E49EB4"/>
    <w:multiLevelType w:val="hybridMultilevel"/>
    <w:lvl w:ilvl="0">
      <w:lvlJc w:val="left"/>
      <w:lvlText w:val="•"/>
      <w:numFmt w:val="bullet"/>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
      <w:numFmt w:val="bullet"/>
      <w:start w:val="1"/>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
      <w:numFmt w:val="bullet"/>
      <w:start w:val="1"/>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
      <w:numFmt w:val="bullet"/>
      <w:start w:val="1"/>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
      <w:numFmt w:val="bullet"/>
      <w:start w:val="1"/>
    </w:lvl>
  </w:abstractNum>
  <w:abstractNum w:abstractNumId="27">
    <w:nsid w:val="77465F01"/>
    <w:multiLevelType w:val="hybridMultilevel"/>
    <w:lvl w:ilvl="0">
      <w:lvlJc w:val="left"/>
      <w:lvlText w:val="•"/>
      <w:numFmt w:val="bullet"/>
      <w:start w:val="1"/>
    </w:lvl>
  </w:abstractNum>
  <w:abstractNum w:abstractNumId="28">
    <w:nsid w:val="7724C67E"/>
    <w:multiLevelType w:val="hybridMultilevel"/>
    <w:lvl w:ilvl="0">
      <w:lvlJc w:val="left"/>
      <w:lvlText w:val="•"/>
      <w:numFmt w:val="bullet"/>
      <w:start w:val="1"/>
    </w:lvl>
  </w:abstractNum>
  <w:abstractNum w:abstractNumId="29">
    <w:nsid w:val="5C482A97"/>
    <w:multiLevelType w:val="hybridMultilevel"/>
    <w:lvl w:ilvl="0">
      <w:lvlJc w:val="left"/>
      <w:lvlText w:val="•"/>
      <w:numFmt w:val="bullet"/>
      <w:start w:val="1"/>
    </w:lvl>
  </w:abstractNum>
  <w:abstractNum w:abstractNumId="30">
    <w:nsid w:val="2463B9EA"/>
    <w:multiLevelType w:val="hybridMultilevel"/>
    <w:lvl w:ilvl="0">
      <w:lvlJc w:val="left"/>
      <w:lvlText w:val="•"/>
      <w:numFmt w:val="bullet"/>
      <w:start w:val="1"/>
    </w:lvl>
  </w:abstractNum>
  <w:abstractNum w:abstractNumId="31">
    <w:nsid w:val="5E884ADC"/>
    <w:multiLevelType w:val="hybridMultilevel"/>
    <w:lvl w:ilvl="0">
      <w:lvlJc w:val="left"/>
      <w:lvlText w:val="•"/>
      <w:numFmt w:val="bullet"/>
      <w:start w:val="1"/>
    </w:lvl>
  </w:abstractNum>
  <w:abstractNum w:abstractNumId="32">
    <w:nsid w:val="51EAD36B"/>
    <w:multiLevelType w:val="hybridMultilevel"/>
    <w:lvl w:ilvl="0">
      <w:lvlJc w:val="left"/>
      <w:lvlText w:val="•"/>
      <w:numFmt w:val="bullet"/>
      <w:start w:val="1"/>
    </w:lvl>
  </w:abstractNum>
  <w:abstractNum w:abstractNumId="33">
    <w:nsid w:val="2D517796"/>
    <w:multiLevelType w:val="hybridMultilevel"/>
    <w:lvl w:ilvl="0">
      <w:lvlJc w:val="left"/>
      <w:lvlText w:val="•"/>
      <w:numFmt w:val="bullet"/>
      <w:start w:val="1"/>
    </w:lvl>
  </w:abstractNum>
  <w:abstractNum w:abstractNumId="34">
    <w:nsid w:val="580BD78F"/>
    <w:multiLevelType w:val="hybridMultilevel"/>
    <w:lvl w:ilvl="0">
      <w:lvlJc w:val="left"/>
      <w:lvlText w:val="•"/>
      <w:numFmt w:val="bullet"/>
      <w:start w:val="1"/>
    </w:lvl>
  </w:abstractNum>
  <w:abstractNum w:abstractNumId="35">
    <w:nsid w:val="153EA438"/>
    <w:multiLevelType w:val="hybridMultilevel"/>
    <w:lvl w:ilvl="0">
      <w:lvlJc w:val="left"/>
      <w:lvlText w:val="•"/>
      <w:numFmt w:val="bullet"/>
      <w:start w:val="1"/>
    </w:lvl>
  </w:abstractNum>
  <w:abstractNum w:abstractNumId="36">
    <w:nsid w:val="3855585C"/>
    <w:multiLevelType w:val="hybridMultilevel"/>
    <w:lvl w:ilvl="0">
      <w:lvlJc w:val="left"/>
      <w:lvlText w:val="•"/>
      <w:numFmt w:val="bullet"/>
      <w:start w:val="1"/>
    </w:lvl>
  </w:abstractNum>
  <w:abstractNum w:abstractNumId="37">
    <w:nsid w:val="70A64E2A"/>
    <w:multiLevelType w:val="hybridMultilevel"/>
    <w:lvl w:ilvl="0">
      <w:lvlJc w:val="left"/>
      <w:lvlText w:val="•"/>
      <w:numFmt w:val="bullet"/>
      <w:start w:val="1"/>
    </w:lvl>
  </w:abstractNum>
  <w:abstractNum w:abstractNumId="38">
    <w:nsid w:val="6A2342EC"/>
    <w:multiLevelType w:val="hybridMultilevel"/>
    <w:lvl w:ilvl="0">
      <w:lvlJc w:val="left"/>
      <w:lvlText w:val="•"/>
      <w:numFmt w:val="bullet"/>
      <w:start w:val="1"/>
    </w:lvl>
  </w:abstractNum>
  <w:abstractNum w:abstractNumId="39">
    <w:nsid w:val="2A487CB0"/>
    <w:multiLevelType w:val="hybridMultilevel"/>
    <w:lvl w:ilvl="0">
      <w:lvlJc w:val="left"/>
      <w:lvlText w:val="•"/>
      <w:numFmt w:val="bullet"/>
      <w:start w:val="1"/>
    </w:lvl>
  </w:abstractNum>
  <w:abstractNum w:abstractNumId="40">
    <w:nsid w:val="1D4ED43B"/>
    <w:multiLevelType w:val="hybridMultilevel"/>
    <w:lvl w:ilvl="0">
      <w:lvlJc w:val="left"/>
      <w:lvlText w:val="•"/>
      <w:numFmt w:val="bullet"/>
      <w:start w:val="1"/>
    </w:lvl>
  </w:abstractNum>
  <w:abstractNum w:abstractNumId="41">
    <w:nsid w:val="725A06FB"/>
    <w:multiLevelType w:val="hybridMultilevel"/>
    <w:lvl w:ilvl="0">
      <w:lvlJc w:val="left"/>
      <w:lvlText w:val="*"/>
      <w:numFmt w:val="bullet"/>
      <w:start w:val="1"/>
    </w:lvl>
  </w:abstractNum>
  <w:abstractNum w:abstractNumId="42">
    <w:nsid w:val="2CD89A32"/>
    <w:multiLevelType w:val="hybridMultilevel"/>
    <w:lvl w:ilvl="0">
      <w:lvlJc w:val="left"/>
      <w:lvlText w:val="%1."/>
      <w:numFmt w:val="decimal"/>
      <w:start w:val="1"/>
    </w:lvl>
    <w:lvl w:ilvl="1">
      <w:lvlJc w:val="left"/>
      <w:lvlText w:val="(%2)"/>
      <w:numFmt w:val="lowerLetter"/>
      <w:start w:val="1"/>
    </w:lvl>
  </w:abstractNum>
  <w:abstractNum w:abstractNumId="43">
    <w:nsid w:val="57E4CCAF"/>
    <w:multiLevelType w:val="hybridMultilevel"/>
    <w:lvl w:ilvl="0">
      <w:lvlJc w:val="left"/>
      <w:lvlText w:val="%1."/>
      <w:numFmt w:val="decimal"/>
      <w:start w:val="1"/>
    </w:lvl>
    <w:lvl w:ilvl="1">
      <w:lvlJc w:val="left"/>
      <w:lvlText w:val="(%2)"/>
      <w:numFmt w:val="lowerLetter"/>
      <w:start w:val="1"/>
    </w:lvl>
  </w:abstractNum>
  <w:abstractNum w:abstractNumId="44">
    <w:nsid w:val="7A6D8D3C"/>
    <w:multiLevelType w:val="hybridMultilevel"/>
    <w:lvl w:ilvl="0">
      <w:lvlJc w:val="left"/>
      <w:lvlText w:val="(%1)"/>
      <w:numFmt w:val="decimal"/>
      <w:start w:val="1"/>
    </w:lvl>
  </w:abstractNum>
  <w:abstractNum w:abstractNumId="45">
    <w:nsid w:val="4B588F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2019-12-28T06:47:45Z</dcterms:created>
  <dcterms:modified xsi:type="dcterms:W3CDTF">2019-12-28T06:47:45Z</dcterms:modified>
</cp:coreProperties>
</file>