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kod-20250630.htm"/>
      <w:bookmarkStart w:id="1" w:name="kskod20250630"/>
      <w:bookmarkEnd w:id="0"/>
      <w:bookmarkEnd w:id="1"/>
      <w:r>
        <w:rPr/>
        <w:t> </w:t>
      </w:r>
    </w:p>
    <w:p>
      <w:pPr>
        <w:pStyle w:val="TextBody"/>
        <w:bidi w:val="0"/>
        <w:spacing w:before="40" w:after="283"/>
        <w:jc w:val="center"/>
        <w:rPr>
          <w:rFonts w:ascii="Times New Roman" w:hAnsi="Times New Roman"/>
          <w:b/>
          <w:color w:val="000000"/>
          <w:sz w:val="38"/>
        </w:rPr>
      </w:pPr>
      <w:r>
        <w:rPr>
          <w:rFonts w:ascii="Times New Roman" w:hAnsi="Times New Roman"/>
          <w:b/>
          <w:color w:val="000000"/>
          <w:sz w:val="38"/>
        </w:rPr>
        <w:t>UNITED STATES</w:t>
      </w:r>
    </w:p>
    <w:p>
      <w:pPr>
        <w:pStyle w:val="TextBody"/>
        <w:bidi w:val="0"/>
        <w:jc w:val="center"/>
        <w:rPr>
          <w:rFonts w:ascii="Times New Roman" w:hAnsi="Times New Roman"/>
          <w:b/>
          <w:color w:val="000000"/>
          <w:sz w:val="38"/>
        </w:rPr>
      </w:pPr>
      <w:r>
        <w:rPr>
          <w:rFonts w:ascii="Times New Roman" w:hAnsi="Times New Roman"/>
          <w:b/>
          <w:color w:val="000000"/>
          <w:sz w:val="38"/>
        </w:rPr>
        <w:t>SECURITIES AND EXCHANGE COMMISSION</w:t>
      </w:r>
    </w:p>
    <w:p>
      <w:pPr>
        <w:pStyle w:val="TextBody"/>
        <w:bidi w:val="0"/>
        <w:jc w:val="center"/>
        <w:rPr>
          <w:rFonts w:ascii="Times New Roman" w:hAnsi="Times New Roman"/>
          <w:b/>
          <w:color w:val="000000"/>
          <w:sz w:val="26"/>
        </w:rPr>
      </w:pPr>
      <w:r>
        <w:rPr>
          <w:rFonts w:ascii="Times New Roman" w:hAnsi="Times New Roman"/>
          <w:b/>
          <w:color w:val="000000"/>
          <w:sz w:val="26"/>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0"/>
        </w:rPr>
      </w:pPr>
      <w:r>
        <w:rPr>
          <w:rFonts w:ascii="Times New Roman" w:hAnsi="Times New Roman"/>
          <w:b/>
          <w:color w:val="000000"/>
          <w:sz w:val="40"/>
        </w:rPr>
        <w:t>FORM 10-Q</w:t>
      </w:r>
    </w:p>
    <w:p>
      <w:pPr>
        <w:pStyle w:val="TextBody"/>
        <w:pBdr>
          <w:bottom w:val="single" w:sz="4" w:space="1" w:color="000000"/>
        </w:pBdr>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before="120" w:after="283"/>
        <w:jc w:val="center"/>
        <w:rPr>
          <w:rFonts w:ascii="Times New Roman" w:hAnsi="Times New Roman"/>
          <w:b/>
          <w:color w:val="000000"/>
          <w:sz w:val="21"/>
        </w:rPr>
      </w:pPr>
      <w:r>
        <w:rPr>
          <w:rFonts w:ascii="Times New Roman" w:hAnsi="Times New Roman"/>
          <w:b/>
          <w:color w:val="000000"/>
          <w:sz w:val="21"/>
        </w:rPr>
        <w:t>For the quarterly period ended June 30, 2025</w:t>
      </w:r>
    </w:p>
    <w:p>
      <w:pPr>
        <w:pStyle w:val="TextBody"/>
        <w:bidi w:val="0"/>
        <w:spacing w:before="120" w:after="283"/>
        <w:jc w:val="center"/>
        <w:rPr>
          <w:rFonts w:ascii="Times New Roman" w:hAnsi="Times New Roman"/>
          <w:b/>
          <w:color w:val="000000"/>
          <w:sz w:val="21"/>
        </w:rPr>
      </w:pPr>
      <w:r>
        <w:rPr>
          <w:rFonts w:ascii="Times New Roman" w:hAnsi="Times New Roman"/>
          <w:b/>
          <w:color w:val="000000"/>
          <w:sz w:val="21"/>
        </w:rPr>
        <w:t>OR</w:t>
      </w:r>
    </w:p>
    <w:p>
      <w:pPr>
        <w:pStyle w:val="TextBody"/>
        <w:bidi w:val="0"/>
        <w:spacing w:before="12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spacing w:before="120" w:after="283"/>
        <w:jc w:val="center"/>
        <w:rPr>
          <w:rFonts w:ascii="Times New Roman" w:hAnsi="Times New Roman"/>
          <w:b/>
          <w:color w:val="000000"/>
          <w:sz w:val="21"/>
        </w:rPr>
      </w:pPr>
      <w:r>
        <w:rPr>
          <w:rFonts w:ascii="Times New Roman" w:hAnsi="Times New Roman"/>
          <w:b/>
          <w:color w:val="000000"/>
          <w:sz w:val="21"/>
        </w:rPr>
        <w:t>For the transition period from __________ to _________</w:t>
      </w:r>
    </w:p>
    <w:p>
      <w:pPr>
        <w:pStyle w:val="TextBody"/>
        <w:bidi w:val="0"/>
        <w:spacing w:before="120" w:after="283"/>
        <w:jc w:val="center"/>
        <w:rPr>
          <w:rFonts w:ascii="Times New Roman" w:hAnsi="Times New Roman"/>
          <w:b/>
          <w:color w:val="000000"/>
          <w:sz w:val="21"/>
        </w:rPr>
      </w:pPr>
      <w:r>
        <w:rPr>
          <w:rFonts w:ascii="Times New Roman" w:hAnsi="Times New Roman"/>
          <w:b/>
          <w:color w:val="000000"/>
          <w:sz w:val="21"/>
        </w:rPr>
        <w:t>Commission File Number: 001-38682</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56"/>
        </w:rPr>
      </w:pPr>
      <w:r>
        <w:rPr>
          <w:rFonts w:ascii="Times New Roman" w:hAnsi="Times New Roman"/>
          <w:b/>
          <w:color w:val="000000"/>
          <w:sz w:val="56"/>
        </w:rPr>
        <w:t>KODIAK SCIENCES INC.</w:t>
      </w:r>
    </w:p>
    <w:p>
      <w:pPr>
        <w:pStyle w:val="TextBody"/>
        <w:bidi w:val="0"/>
        <w:jc w:val="center"/>
        <w:rPr>
          <w:rFonts w:ascii="Times New Roman" w:hAnsi="Times New Roman"/>
          <w:b/>
          <w:color w:val="000000"/>
          <w:sz w:val="21"/>
        </w:rPr>
      </w:pPr>
      <w:r>
        <w:rPr>
          <w:rFonts w:ascii="Times New Roman" w:hAnsi="Times New Roman"/>
          <w:b/>
          <w:color w:val="000000"/>
          <w:sz w:val="21"/>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27-0476525</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7"/>
              </w:rPr>
            </w:pPr>
            <w:r>
              <w:rPr>
                <w:rFonts w:ascii="Times New Roman" w:hAnsi="Times New Roman"/>
                <w:b/>
                <w:color w:val="000000"/>
                <w:sz w:val="17"/>
              </w:rPr>
              <w:t>(State or other jurisdiction of</w:t>
            </w:r>
          </w:p>
          <w:p>
            <w:pPr>
              <w:pStyle w:val="TableContents"/>
              <w:bidi w:val="0"/>
              <w:spacing w:before="0" w:after="15"/>
              <w:jc w:val="center"/>
              <w:rPr>
                <w:rFonts w:ascii="Times New Roman" w:hAnsi="Times New Roman"/>
                <w:b/>
                <w:color w:val="000000"/>
                <w:sz w:val="17"/>
              </w:rPr>
            </w:pPr>
            <w:r>
              <w:rPr>
                <w:rFonts w:ascii="Times New Roman" w:hAnsi="Times New Roman"/>
                <w:b/>
                <w:color w:val="000000"/>
                <w:sz w:val="17"/>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7"/>
              </w:rPr>
            </w:pPr>
            <w:r>
              <w:rPr>
                <w:rFonts w:ascii="Times New Roman" w:hAnsi="Times New Roman"/>
                <w:b/>
                <w:color w:val="000000"/>
                <w:sz w:val="17"/>
              </w:rPr>
              <w:t>(I.R.S. Employer</w:t>
            </w:r>
          </w:p>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Identification No.)</w:t>
            </w:r>
          </w:p>
        </w:tc>
      </w:tr>
      <w:tr>
        <w:trPr/>
        <w:tc>
          <w:tcPr>
            <w:tcW w:w="292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1"/>
              </w:rPr>
            </w:pPr>
            <w:r>
              <w:rPr>
                <w:rFonts w:ascii="Times New Roman" w:hAnsi="Times New Roman"/>
                <w:b/>
                <w:color w:val="000000"/>
                <w:sz w:val="21"/>
              </w:rPr>
              <w:t>1250 Page Mill Road</w:t>
            </w:r>
          </w:p>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Palo Alto, CA</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94304</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(Zip Code)</w:t>
            </w:r>
          </w:p>
        </w:tc>
      </w:tr>
    </w:tbl>
    <w:p>
      <w:pPr>
        <w:pStyle w:val="TextBody"/>
        <w:bidi w:val="0"/>
        <w:jc w:val="left"/>
        <w:rPr/>
      </w:pPr>
      <w:r>
        <w:rPr/>
        <w:t> </w:t>
      </w:r>
    </w:p>
    <w:p>
      <w:pPr>
        <w:pStyle w:val="TextBody"/>
        <w:bidi w:val="0"/>
        <w:jc w:val="center"/>
        <w:rPr>
          <w:rFonts w:ascii="Times New Roman" w:hAnsi="Times New Roman"/>
          <w:b/>
          <w:color w:val="000000"/>
          <w:sz w:val="21"/>
        </w:rPr>
      </w:pPr>
      <w:r>
        <w:rPr>
          <w:rFonts w:ascii="Times New Roman" w:hAnsi="Times New Roman"/>
          <w:b/>
          <w:color w:val="000000"/>
          <w:sz w:val="21"/>
        </w:rPr>
        <w:t>Registrant’s telephone number, including area code: (650) 281-0850</w:t>
      </w:r>
    </w:p>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b/>
          <w:color w:val="000000"/>
          <w:sz w:val="19"/>
        </w:rPr>
      </w:pPr>
      <w:r>
        <w:rPr>
          <w:rFonts w:ascii="Times New Roman" w:hAnsi="Times New Roman"/>
          <w:b/>
          <w:color w:val="000000"/>
          <w:sz w:val="19"/>
        </w:rPr>
        <w:t>Securities registered pursuant to Section 12(b) of the Act:</w:t>
      </w:r>
    </w:p>
    <w:p>
      <w:pPr>
        <w:pStyle w:val="TextBody"/>
        <w:bidi w:val="0"/>
        <w:jc w:val="left"/>
        <w:rPr/>
      </w:pPr>
      <w:r>
        <w:rPr/>
        <w:t> </w:t>
      </w:r>
    </w:p>
    <w:tbl>
      <w:tblPr>
        <w:tblW w:w="8433" w:type="dxa"/>
        <w:jc w:val="left"/>
        <w:tblInd w:w="0" w:type="dxa"/>
        <w:tblLayout w:type="fixed"/>
        <w:tblCellMar>
          <w:top w:w="28" w:type="dxa"/>
          <w:left w:w="28" w:type="dxa"/>
          <w:bottom w:w="28" w:type="dxa"/>
          <w:right w:w="28" w:type="dxa"/>
        </w:tblCellMar>
      </w:tblPr>
      <w:tblGrid>
        <w:gridCol w:w="2911"/>
        <w:gridCol w:w="1696"/>
        <w:gridCol w:w="3826"/>
      </w:tblGrid>
      <w:tr>
        <w:trPr/>
        <w:tc>
          <w:tcPr>
            <w:tcW w:w="291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91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120" w:after="283"/>
              <w:jc w:val="center"/>
              <w:rPr>
                <w:rFonts w:ascii="Times New Roman" w:hAnsi="Times New Roman"/>
                <w:b/>
                <w:color w:val="000000"/>
                <w:sz w:val="19"/>
              </w:rPr>
            </w:pPr>
            <w:r>
              <w:rPr>
                <w:rFonts w:ascii="Times New Roman" w:hAnsi="Times New Roman"/>
                <w:b/>
                <w:color w:val="000000"/>
                <w:sz w:val="19"/>
              </w:rPr>
              <w:t>Title of each class</w:t>
            </w:r>
          </w:p>
        </w:tc>
        <w:tc>
          <w:tcPr>
            <w:tcW w:w="169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120" w:after="283"/>
              <w:jc w:val="center"/>
              <w:rPr>
                <w:rFonts w:ascii="Times New Roman" w:hAnsi="Times New Roman"/>
                <w:b/>
                <w:color w:val="000000"/>
                <w:sz w:val="19"/>
              </w:rPr>
            </w:pPr>
            <w:r>
              <w:rPr>
                <w:rFonts w:ascii="Times New Roman" w:hAnsi="Times New Roman"/>
                <w:b/>
                <w:color w:val="000000"/>
                <w:sz w:val="19"/>
              </w:rPr>
              <w:t>Trading Symbol(s)</w:t>
            </w:r>
          </w:p>
        </w:tc>
        <w:tc>
          <w:tcPr>
            <w:tcW w:w="38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120" w:after="283"/>
              <w:jc w:val="center"/>
              <w:rPr>
                <w:rFonts w:ascii="Times New Roman" w:hAnsi="Times New Roman"/>
                <w:b/>
                <w:color w:val="000000"/>
                <w:sz w:val="19"/>
              </w:rPr>
            </w:pPr>
            <w:r>
              <w:rPr>
                <w:rFonts w:ascii="Times New Roman" w:hAnsi="Times New Roman"/>
                <w:b/>
                <w:color w:val="000000"/>
                <w:sz w:val="19"/>
              </w:rPr>
              <w:t>Name of each exchange on which registered</w:t>
            </w:r>
          </w:p>
        </w:tc>
      </w:tr>
      <w:tr>
        <w:trPr/>
        <w:tc>
          <w:tcPr>
            <w:tcW w:w="291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283"/>
              <w:jc w:val="center"/>
              <w:rPr>
                <w:rFonts w:ascii="Times New Roman" w:hAnsi="Times New Roman"/>
                <w:color w:val="000000"/>
                <w:sz w:val="19"/>
              </w:rPr>
            </w:pPr>
            <w:r>
              <w:rPr>
                <w:rFonts w:ascii="Times New Roman" w:hAnsi="Times New Roman"/>
                <w:color w:val="000000"/>
                <w:sz w:val="19"/>
              </w:rPr>
              <w:t>Common stock, par value $0.0001</w:t>
            </w:r>
          </w:p>
        </w:tc>
        <w:tc>
          <w:tcPr>
            <w:tcW w:w="1696"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center"/>
              <w:rPr>
                <w:rFonts w:ascii="Times New Roman" w:hAnsi="Times New Roman"/>
                <w:color w:val="000000"/>
                <w:sz w:val="19"/>
              </w:rPr>
            </w:pPr>
            <w:r>
              <w:rPr>
                <w:rFonts w:ascii="Times New Roman" w:hAnsi="Times New Roman"/>
                <w:color w:val="000000"/>
                <w:sz w:val="19"/>
              </w:rPr>
              <w:t>KOD</w:t>
            </w:r>
          </w:p>
        </w:tc>
        <w:tc>
          <w:tcPr>
            <w:tcW w:w="3826"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center"/>
              <w:rPr>
                <w:rFonts w:ascii="Times New Roman" w:hAnsi="Times New Roman"/>
                <w:color w:val="000000"/>
                <w:sz w:val="19"/>
              </w:rPr>
            </w:pPr>
            <w:r>
              <w:rPr>
                <w:rFonts w:ascii="Times New Roman" w:hAnsi="Times New Roman"/>
                <w:color w:val="000000"/>
                <w:sz w:val="19"/>
              </w:rPr>
              <w:t>The Nasdaq Stock Market LLC</w:t>
            </w:r>
          </w:p>
        </w:tc>
      </w:tr>
    </w:tbl>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7"/>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7"/>
        </w:rPr>
        <w:t>No ☐</w:t>
      </w:r>
    </w:p>
    <w:p>
      <w:pPr>
        <w:pStyle w:val="TextBody"/>
        <w:bidi w:val="0"/>
        <w:jc w:val="left"/>
        <w:rPr/>
      </w:pPr>
      <w:r>
        <w:rPr/>
        <w:t> </w:t>
      </w:r>
    </w:p>
    <w:p>
      <w:pPr>
        <w:pStyle w:val="TextBody"/>
        <w:bidi w:val="0"/>
        <w:jc w:val="both"/>
        <w:rPr>
          <w:rFonts w:ascii="Times New Roman" w:hAnsi="Times New Roman"/>
          <w:color w:val="000000"/>
          <w:sz w:val="17"/>
        </w:rPr>
      </w:pPr>
      <w:r>
        <w:rPr>
          <w:rFonts w:ascii="Times New Roman" w:hAnsi="Times New Roman"/>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369" w:type="dxa"/>
        <w:jc w:val="left"/>
        <w:tblInd w:w="0" w:type="dxa"/>
        <w:tblLayout w:type="fixed"/>
        <w:tblCellMar>
          <w:top w:w="28" w:type="dxa"/>
          <w:left w:w="28" w:type="dxa"/>
          <w:bottom w:w="28" w:type="dxa"/>
          <w:right w:w="28" w:type="dxa"/>
        </w:tblCellMar>
      </w:tblPr>
      <w:tblGrid>
        <w:gridCol w:w="1666"/>
        <w:gridCol w:w="31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7"/>
        </w:rPr>
      </w:pPr>
      <w:r>
        <w:rPr>
          <w:rFonts w:ascii="Times New Roman" w:hAnsi="Times New Roman"/>
          <w:color w:val="000000"/>
          <w:sz w:val="17"/>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7"/>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7"/>
        </w:rPr>
        <w:t>As of August 6, 2025, the registrant had 52,821,689</w:t>
      </w:r>
      <w:r>
        <w:rPr>
          <w:rFonts w:ascii="Times New Roman" w:hAnsi="Times New Roman"/>
          <w:color w:val="000000"/>
          <w:sz w:val="20"/>
        </w:rPr>
        <w:t xml:space="preserve"> </w:t>
      </w:r>
      <w:r>
        <w:rPr>
          <w:rFonts w:ascii="Times New Roman" w:hAnsi="Times New Roman"/>
          <w:color w:val="000000"/>
          <w:sz w:val="17"/>
        </w:rPr>
        <w:t>shares of common stock, $0.0001 par value per share, outstanding.</w:t>
      </w:r>
    </w:p>
    <w:p>
      <w:pPr>
        <w:pStyle w:val="TextBody"/>
        <w:pBdr>
          <w:bottom w:val="double" w:sz="4" w:space="1" w:color="000000"/>
        </w:pBdr>
        <w:bidi w:val="0"/>
        <w:jc w:val="left"/>
        <w:rPr/>
      </w:pPr>
      <w:r>
        <w:rPr/>
        <w:t> </w:t>
      </w:r>
    </w:p>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within the meaning of Section 21E of the Securities Exchange Act of 1934, as amended, or Exchange Act. 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beliefs as of that time with respect to future events, and are subject to risks and uncertainties that could cause actual performance or results to differ materially from those expressed in or suggested by the forward-looking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Forward-looking statements include all statements that are not historical facts. In some cases, you can identify forward-looking statements by terms such as “may,” “might,” “will,” “objective,” “intend,” “should,” “could,” “can,” “would,” “expect,” “believe,” “anticipate,” “project,” “target,” “design,” “estimate,” “predict,” “potential,” “plan”, “hope” or the negative of these terms, or similar expressions and comparable terminology intended to identify forward-looking statements. These statements reflect our current views with respect to future events and are based on assumptions and subject to risks and uncertainties, including those set forth under the section of this Quarterly Report on Form 10-Q titled “Part II, Item 1A — Risk Factors” and elsewhere in this Quarterly Report. Forward-looking statements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cost and timing of our development activities, preclinical studies, clinical trials and regulatory filings;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funding for our operations, including funding necessary to develop, manufacture and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translation of our preclinical results and data and early clinical trial results in particular relating to safety, efficacy and durability into future clinical trials in humans;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continued durability, efficacy and safety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progress each of our product candidates, including tarcocimab, KSI-501 and KSI-101, into later stages of development and towards a Biologics License Application, or BLA;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developing any product candidates we have or may develop, and conducting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size and design of clinical trials that regulatory authorities may require to obtain marketing approval, including the order and number of clinical studies required to support a BLA in retinal vein occlusion, or RVO, diabetic retinopathy, or DR, and wet age-related macular degeneration, or wet AMD, or any of our current or future product candidates, including the sufficiency of a single additional pivotal study of tarcocimab tedromer and a single BLA for wet AMD, RVO and DR together;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and Lonza’s ability to successfully execute on our manufacturing development plan;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chemistry manufacturing and controls, or CMC, requirements of the United States Food and Drug Administration, or FDA, and other regulatory bodies to support any BLA submission and potential commercial launch;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enhancements and benefits of new formulations of tarcocimab, KSI-501, KSI-101 or other ABC Platform derived molecules;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or likelihood of regulatory filings and approvals, including the potential to achieve FDA approval of any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regulatory approval of our product candidates, and any related restrictions, limitations and/or warnings in the label of any approved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and degree of market acceptance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growth potential of the markets for our product candidates, if approved for commercial use, and our ability to serve those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pricing and reimbursement of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competing products or platform technologies that are or may become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and ability to establish sales, marketing and distribution infrastructure to commercialize any product candidates for which we obtain approval;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 as to the concentration of retinal specialists in the United States and its impact on our sales and marketing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ability to enter into manufacturing-related commitments, and the timing thereof;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agreements with third parties in connection with the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contract with third-party suppliers and manufacturers and their ability to perform adequately;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expected potential benefits of strategic collaboration agreements and our ability to attract collaborators with development, regulatory and commercialization expertise;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product candidates and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claims relating to our intellectual property and third-party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existing regulations and regulatory developments in the United States and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the unfavorable U.S. and global economic conditions on our business and operations, the business and operations of our collaborators, and on the global economy;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accuracy of our estimates regarding the sufficiency of our cash resources, expenses, future revenue, capital requirements and needs for additional financing, as well as, our ability to continue as a going concern;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aspirational goals and objectives related to our human capital resources and workforce objectives;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key managerial, scientific and medical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forward-looking statements are based on information available to us on the date of this Quarterly Report on Form 10-Q and we will not update any of the forward-looking statements after the date of this Quarterly Report on Form 10-Q, except as required by law. Our actual results could differ materially from those discussed in this Quarterly Report on Form 10-Q. The forward-looking statements contained in this Quarterly Report on Form 10-Q, and other written and oral forward-looking statements made by us from time to time, are subject to certain risks and uncertainties that could cause actual results to differ materially from those anticipated in the forward-looking statements, and you should not regard these statements as a representation or warranty by us or any other person that we will achieve our objectives and plans in any specified time frame, or at all. Factors that might cause such a difference include, but are not limited to, those discussed in the following discussion and within the section of this Quarterly Report on Form 10-Q titled “Part II, Item 1A — Risk Factors”.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on Form 10-Q,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All brand names or trademarks appearing in this Quarterly Report are the property of their respective holders. Unless the context requires otherwise, references in this Quarterly Report to “Kodiak” the “Company,” “we,” “us,” and “our” refer to Kodiak Sciences Inc. and its subsidiaries.</w:t>
      </w:r>
    </w:p>
    <w:p>
      <w:pPr>
        <w:pStyle w:val="TextBody"/>
        <w:bidi w:val="0"/>
        <w:spacing w:before="120" w:after="283"/>
        <w:jc w:val="left"/>
        <w:rPr>
          <w:rFonts w:ascii="Times New Roman" w:hAnsi="Times New Roman"/>
          <w:sz w:val="20"/>
        </w:rPr>
      </w:pPr>
      <w:r>
        <w:rPr>
          <w:rFonts w:ascii="Times New Roman" w:hAnsi="Times New Roman"/>
          <w:i/>
          <w:color w:val="000000"/>
          <w:sz w:val="20"/>
        </w:rPr>
        <w:t>Kodiak</w:t>
      </w:r>
      <w:r>
        <w:rPr>
          <w:rFonts w:ascii="Times New Roman" w:hAnsi="Times New Roman"/>
          <w:i/>
          <w:color w:val="000000"/>
          <w:sz w:val="13"/>
        </w:rPr>
        <w:t>®</w:t>
      </w:r>
      <w:r>
        <w:rPr>
          <w:rFonts w:ascii="Times New Roman" w:hAnsi="Times New Roman"/>
          <w:i/>
          <w:color w:val="000000"/>
          <w:sz w:val="20"/>
        </w:rPr>
        <w:t>, Kodiak Sciences</w:t>
      </w:r>
      <w:r>
        <w:rPr>
          <w:rFonts w:ascii="Times New Roman" w:hAnsi="Times New Roman"/>
          <w:i/>
          <w:color w:val="000000"/>
          <w:sz w:val="13"/>
        </w:rPr>
        <w:t>®</w:t>
      </w:r>
      <w:r>
        <w:rPr>
          <w:rFonts w:ascii="Times New Roman" w:hAnsi="Times New Roman"/>
          <w:i/>
          <w:color w:val="000000"/>
          <w:sz w:val="20"/>
        </w:rPr>
        <w:t>, ABC</w:t>
      </w:r>
      <w:r>
        <w:rPr>
          <w:rFonts w:ascii="Times New Roman" w:hAnsi="Times New Roman"/>
          <w:i/>
          <w:color w:val="000000"/>
          <w:sz w:val="13"/>
        </w:rPr>
        <w:t>®</w:t>
      </w:r>
      <w:r>
        <w:rPr>
          <w:rFonts w:ascii="Times New Roman" w:hAnsi="Times New Roman"/>
          <w:i/>
          <w:color w:val="000000"/>
          <w:sz w:val="20"/>
        </w:rPr>
        <w:t>, ABC Platform</w:t>
      </w:r>
      <w:r>
        <w:rPr>
          <w:rFonts w:ascii="Times New Roman" w:hAnsi="Times New Roman"/>
          <w:i/>
          <w:color w:val="000000"/>
          <w:sz w:val="13"/>
        </w:rPr>
        <w:t>®</w:t>
      </w:r>
      <w:r>
        <w:rPr>
          <w:rFonts w:ascii="Times New Roman" w:hAnsi="Times New Roman"/>
          <w:i/>
          <w:color w:val="000000"/>
          <w:sz w:val="20"/>
        </w:rPr>
        <w:t>, ABCD</w:t>
      </w:r>
      <w:r>
        <w:rPr>
          <w:rFonts w:ascii="Times New Roman" w:hAnsi="Times New Roman"/>
          <w:i/>
          <w:color w:val="000000"/>
          <w:sz w:val="13"/>
        </w:rPr>
        <w:t></w:t>
      </w:r>
      <w:r>
        <w:rPr>
          <w:rFonts w:ascii="Times New Roman" w:hAnsi="Times New Roman"/>
          <w:color w:val="000000"/>
          <w:sz w:val="20"/>
        </w:rPr>
        <w:t xml:space="preserve"> </w:t>
      </w:r>
      <w:r>
        <w:rPr>
          <w:rFonts w:ascii="Times New Roman" w:hAnsi="Times New Roman"/>
          <w:i/>
          <w:color w:val="000000"/>
          <w:sz w:val="20"/>
        </w:rPr>
        <w:t>and the Kodiak logo are registered trademarks or trademarks of Kodiak Sciences Inc. in various global jurisdictions.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SELECTED RISKS AFFECTING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Investing in our common stock involves numerous risks, including the risks described in “Part II—Other Information, Item 1A. Risk Factors” of this Quarterly Report on Form 10-Q, any one of which could materially adversely affect our business, financial condition, results of operations, and prospects. These risks include, among others,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in the clinical stage of drug development and have a very limited operating history and no products approved for commercial sale, which may make it difficult to evaluate our current business and predict our future success and viability.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net losses in each period since our inception and anticipate that we will continue to incur significant and increasing net losses for the foreseeable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financial condition raises substantial doubt about our ability to continue as a going concern.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obtain additional financing, we may be unable to complete the development and, if approved,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 development is a highly uncertain undertaking and involves a substantial degree of risk. We have never generated any revenue from product sales, and we may never generate revenue or be profitable.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prospects are heavily dependent on our tarcocimab, KSI-501 and KSI-101 product candidates, which are currently in clinical development for multiple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pivotal studies of tarcocimab to meet their primary efficacy endpoints may lead us to pause, change or discontinue development of other product candidates based on our ABC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 for the development of tarcocimab, KSI-501 or KSI-101 may be unsuccessful.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of biopharmaceutical products is inherently risky. We cannot give any assurance that any of our product candidates will receive regulatory, including marketing, approval, which is necessary before they can be commercialized.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encounter substantial delays in our clinical trials, or may not be able to conduct or complete our clinical trials on the timelines we expect, if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trials may fail to demonstrate substantial evidence of the durability, efficacy and safety of our product candidates, which would prevent, delay or limit the scope of regulatory approval and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regulatory approval processes of the FDA, EMA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rely on third parties to conduct many aspects of our clinical trials and some aspects of our research and preclinical testing, and those third parties may not perform satisfactorily, including failing to meet deadlines for the completion of such trials, research or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highly dependent on our key personnel, and if we are not successful in attracting, motivating and retaining highly qualified personnel, we may not be able to successfully implement our business strategy.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FORM 10-Q</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2025</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58" w:type="dxa"/>
        <w:jc w:val="left"/>
        <w:tblInd w:w="0" w:type="dxa"/>
        <w:tblLayout w:type="fixed"/>
        <w:tblCellMar>
          <w:top w:w="28" w:type="dxa"/>
          <w:left w:w="28" w:type="dxa"/>
          <w:bottom w:w="28" w:type="dxa"/>
          <w:right w:w="28" w:type="dxa"/>
        </w:tblCellMar>
      </w:tblPr>
      <w:tblGrid>
        <w:gridCol w:w="881"/>
        <w:gridCol w:w="7366"/>
        <w:gridCol w:w="511"/>
      </w:tblGrid>
      <w:tr>
        <w:trPr/>
        <w:tc>
          <w:tcPr>
            <w:tcW w:w="88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Page</w:t>
            </w:r>
          </w:p>
        </w:tc>
      </w:tr>
      <w:tr>
        <w:trPr/>
        <w:tc>
          <w:tcPr>
            <w:tcW w:w="8758" w:type="dxa"/>
            <w:gridSpan w:val="3"/>
            <w:tcBorders/>
            <w:shd w:fill="CFF0FC" w:val="clear"/>
            <w:tcMar>
              <w:top w:w="0" w:type="dxa"/>
              <w:left w:w="0" w:type="dxa"/>
              <w:bottom w:w="0" w:type="dxa"/>
              <w:right w:w="0" w:type="dxa"/>
            </w:tcMar>
            <w:vAlign w:val="center"/>
          </w:tcPr>
          <w:p>
            <w:pPr>
              <w:pStyle w:val="TableContents"/>
              <w:bidi w:val="0"/>
              <w:spacing w:before="0" w:after="283"/>
              <w:jc w:val="center"/>
              <w:rPr/>
            </w:pPr>
            <w:hyperlink w:anchor="part_ifinancial_information">
              <w:r>
                <w:rPr>
                  <w:rStyle w:val="InternetLink"/>
                  <w:rFonts w:ascii="Times New Roman" w:hAnsi="Times New Roman"/>
                  <w:color w:val="0000FF"/>
                  <w:sz w:val="20"/>
                  <w:u w:val="single"/>
                </w:rPr>
                <w:t>PART I — FINANCIAL INFORMATION</w:t>
              </w:r>
            </w:hyperlink>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1" w:type="dxa"/>
            <w:tcBorders/>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1</w:t>
            </w:r>
          </w:p>
        </w:tc>
      </w:tr>
      <w:tr>
        <w:trPr/>
        <w:tc>
          <w:tcPr>
            <w:tcW w:w="881"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7366"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1</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ndensed_consolidated_statements_operat">
              <w:r>
                <w:rPr>
                  <w:rStyle w:val="InternetLink"/>
                  <w:rFonts w:ascii="Times New Roman" w:hAnsi="Times New Roman"/>
                  <w:color w:val="0000FF"/>
                  <w:sz w:val="20"/>
                  <w:u w:val="single"/>
                </w:rPr>
                <w:t>Condensed Consolidated Statements of Operations and Comprehensive Loss</w:t>
              </w:r>
            </w:hyperlink>
          </w:p>
        </w:tc>
        <w:tc>
          <w:tcPr>
            <w:tcW w:w="511" w:type="dxa"/>
            <w:tcBorders/>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2</w:t>
            </w:r>
          </w:p>
        </w:tc>
      </w:tr>
      <w:tr>
        <w:trPr/>
        <w:tc>
          <w:tcPr>
            <w:tcW w:w="881"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7366"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condensed_consolidated_statements_stockh">
              <w:r>
                <w:rPr>
                  <w:rStyle w:val="InternetLink"/>
                  <w:rFonts w:ascii="Times New Roman" w:hAnsi="Times New Roman"/>
                  <w:color w:val="0000FF"/>
                  <w:sz w:val="20"/>
                  <w:u w:val="single"/>
                </w:rPr>
                <w:t>Condensed Consolidated Statements of Stockholders’ Equity</w:t>
              </w:r>
            </w:hyperlink>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3</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ndensed_consolidated_statements_cash_f">
              <w:r>
                <w:rPr>
                  <w:rStyle w:val="InternetLink"/>
                  <w:rFonts w:ascii="Times New Roman" w:hAnsi="Times New Roman"/>
                  <w:color w:val="0000FF"/>
                  <w:sz w:val="20"/>
                  <w:u w:val="single"/>
                </w:rPr>
                <w:t>Condensed Consolidated Statements of Cash Flows</w:t>
              </w:r>
            </w:hyperlink>
          </w:p>
        </w:tc>
        <w:tc>
          <w:tcPr>
            <w:tcW w:w="511" w:type="dxa"/>
            <w:tcBorders/>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4</w:t>
            </w:r>
          </w:p>
        </w:tc>
      </w:tr>
      <w:tr>
        <w:trPr/>
        <w:tc>
          <w:tcPr>
            <w:tcW w:w="881"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7366"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notes_to_unaudited_condensed_consolidate">
              <w:r>
                <w:rPr>
                  <w:rStyle w:val="InternetLink"/>
                  <w:rFonts w:ascii="Times New Roman" w:hAnsi="Times New Roman"/>
                  <w:color w:val="0000FF"/>
                  <w:sz w:val="20"/>
                  <w:u w:val="single"/>
                </w:rPr>
                <w:t>Notes to Unaudited Condensed Consolidated Financial Statements</w:t>
              </w:r>
            </w:hyperlink>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r>
      <w:tr>
        <w:trPr/>
        <w:tc>
          <w:tcPr>
            <w:tcW w:w="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r>
      <w:tr>
        <w:trPr/>
        <w:tc>
          <w:tcPr>
            <w:tcW w:w="8758" w:type="dxa"/>
            <w:gridSpan w:val="3"/>
            <w:tcBorders/>
            <w:shd w:fill="CFF0FC" w:val="clear"/>
            <w:tcMar>
              <w:top w:w="0" w:type="dxa"/>
              <w:left w:w="0" w:type="dxa"/>
              <w:bottom w:w="0" w:type="dxa"/>
              <w:right w:w="0" w:type="dxa"/>
            </w:tcMar>
            <w:vAlign w:val="center"/>
          </w:tcPr>
          <w:p>
            <w:pPr>
              <w:pStyle w:val="TableContents"/>
              <w:bidi w:val="0"/>
              <w:spacing w:before="0" w:after="283"/>
              <w:jc w:val="center"/>
              <w:rPr/>
            </w:pPr>
            <w:hyperlink w:anchor="part_iior_information">
              <w:r>
                <w:rPr>
                  <w:rStyle w:val="InternetLink"/>
                  <w:rFonts w:ascii="Times New Roman" w:hAnsi="Times New Roman"/>
                  <w:color w:val="0000FF"/>
                  <w:sz w:val="20"/>
                  <w:u w:val="single"/>
                </w:rPr>
                <w:t>PART II — OTHER INFORMATION</w:t>
              </w:r>
            </w:hyperlink>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r>
      <w:tr>
        <w:trPr/>
        <w:tc>
          <w:tcPr>
            <w:tcW w:w="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r>
      <w:tr>
        <w:trPr/>
        <w:tc>
          <w:tcPr>
            <w:tcW w:w="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r>
      <w:tr>
        <w:trPr/>
        <w:tc>
          <w:tcPr>
            <w:tcW w:w="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r>
      <w:tr>
        <w:trPr/>
        <w:tc>
          <w:tcPr>
            <w:tcW w:w="8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 (Unaudited).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 (unaudited)</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amounts)</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80"/>
        <w:gridCol w:w="146"/>
        <w:gridCol w:w="211"/>
        <w:gridCol w:w="991"/>
        <w:gridCol w:w="166"/>
        <w:gridCol w:w="146"/>
        <w:gridCol w:w="219"/>
        <w:gridCol w:w="1033"/>
        <w:gridCol w:w="613"/>
      </w:tblGrid>
      <w:tr>
        <w:trPr/>
        <w:tc>
          <w:tcPr>
            <w:tcW w:w="6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6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168,074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8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171,936</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6,184</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102,222</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46,508</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8,728</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8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335,578</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10,628</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8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25,573</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59,717</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related to sale of future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8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186,435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185,290</w:t>
            </w:r>
          </w:p>
        </w:tc>
        <w:tc>
          <w:tcPr>
            <w:tcW w:w="6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6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 10,000,000 shares authorized; none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stock, $0.0001 par value – 490,000,000 shares authorized; 52,821,689 and </w:t>
              <w:br/>
              <w:t>   52,726,916 shares issued and outstanding,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1,479,021</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(1,440,512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(1,328,738</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8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150,288</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8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335,578</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 and Comprehensive Loss (unaudited)</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amounts)</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Three Months Ended </w:t>
              <w:br/>
              <w:t>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Months Ended </w:t>
              <w:br/>
              <w:t>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62,445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94,038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(94,038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(88,156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used,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52,779,162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52,554,215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52,762,831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52,532,337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bookmarkStart w:id="6" w:name="condensed_consolidated_statements_stockh"/>
      <w:bookmarkEnd w:id="6"/>
      <w:r>
        <w:rPr>
          <w:rFonts w:ascii="Times New Roman" w:hAnsi="Times New Roman"/>
          <w:b/>
          <w:color w:val="000000"/>
          <w:sz w:val="20"/>
        </w:rPr>
        <w:t>Condensed Consolidated Statements of Stockholders’ Equity (unaudited)</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amounts)</w:t>
      </w:r>
    </w:p>
    <w:p>
      <w:pPr>
        <w:pStyle w:val="TextBody"/>
        <w:bidi w:val="0"/>
        <w:jc w:val="center"/>
        <w:rPr/>
      </w:pPr>
      <w:r>
        <w:rPr/>
        <w:t> </w:t>
      </w:r>
    </w:p>
    <w:tbl>
      <w:tblPr>
        <w:tblW w:w="9977" w:type="dxa"/>
        <w:jc w:val="left"/>
        <w:tblInd w:w="0" w:type="dxa"/>
        <w:tblLayout w:type="fixed"/>
        <w:tblCellMar>
          <w:top w:w="28" w:type="dxa"/>
          <w:left w:w="28" w:type="dxa"/>
          <w:bottom w:w="28" w:type="dxa"/>
          <w:right w:w="28" w:type="dxa"/>
        </w:tblCellMar>
      </w:tblPr>
      <w:tblGrid>
        <w:gridCol w:w="2671"/>
        <w:gridCol w:w="146"/>
        <w:gridCol w:w="146"/>
        <w:gridCol w:w="1036"/>
        <w:gridCol w:w="146"/>
        <w:gridCol w:w="146"/>
        <w:gridCol w:w="295"/>
        <w:gridCol w:w="486"/>
        <w:gridCol w:w="146"/>
        <w:gridCol w:w="146"/>
        <w:gridCol w:w="211"/>
        <w:gridCol w:w="931"/>
        <w:gridCol w:w="146"/>
        <w:gridCol w:w="146"/>
        <w:gridCol w:w="213"/>
        <w:gridCol w:w="1003"/>
        <w:gridCol w:w="166"/>
        <w:gridCol w:w="146"/>
        <w:gridCol w:w="267"/>
        <w:gridCol w:w="993"/>
        <w:gridCol w:w="3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br/>
              <w:t>Stockholders’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52,726,916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150,288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(57,461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52,751,875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108,842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52,821,689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1,510,797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(1,440,512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70,290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br/>
              <w:t>Stockholders’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52,508,602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265,781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(43,039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at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52,523,447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1,436,754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241,189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(45,117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52,614,729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1,455,188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(1,240,687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214,506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bookmarkStart w:id="7" w:name="condensed_consolidated_statements_cash_f"/>
      <w:bookmarkEnd w:id="7"/>
      <w:r>
        <w:rPr>
          <w:rFonts w:ascii="Times New Roman" w:hAnsi="Times New Roman"/>
          <w:b/>
          <w:color w:val="000000"/>
          <w:sz w:val="20"/>
        </w:rPr>
        <w:t>Condensed Consolidated Statements of Cash Flows (unaudited)</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14"/>
        <w:gridCol w:w="212"/>
        <w:gridCol w:w="849"/>
        <w:gridCol w:w="167"/>
        <w:gridCol w:w="146"/>
        <w:gridCol w:w="212"/>
        <w:gridCol w:w="789"/>
        <w:gridCol w:w="816"/>
      </w:tblGrid>
      <w:tr>
        <w:trPr/>
        <w:tc>
          <w:tcPr>
            <w:tcW w:w="701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(111,774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(88,156</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9,399</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31,532</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36,784</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disposal of long-lived assets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impairment expense</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Settlement of derivative contracts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operating lease right-of-use asset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assets and liabilities:</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assets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(11,914</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and other current liabilities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(8,910</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liability</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(5,838</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Long-term deposit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(63,750</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(66,093</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 of derivative contracts</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investing activities</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stock option exercises</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pursuant to ESPP</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financing activities</w:t>
            </w:r>
          </w:p>
        </w:tc>
        <w:tc>
          <w:tcPr>
            <w:tcW w:w="21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6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8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(63,909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(66,422</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174,258</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291,831</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110,349</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225,409</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cash, cash equivalents and restricted cash to consolidated balance sheets</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104,165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219,225</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6,184</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6,184</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cash equivalents and restricted cash in consolidated balance sheets</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110,349</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225,409</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non-cash investing and financing information:</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 obtained in exchange for operating lease liability</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 under accounts payable and accruals</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bookmarkStart w:id="8" w:name="notes_to_unaudited_condensed_consolidate"/>
      <w:bookmarkEnd w:id="8"/>
      <w:r>
        <w:rPr>
          <w:rFonts w:ascii="Times New Roman" w:hAnsi="Times New Roman"/>
          <w:b/>
          <w:color w:val="000000"/>
          <w:sz w:val="20"/>
        </w:rPr>
        <w:t>Notes to Unaudited Condensed Consolidated Financial Statements</w:t>
      </w:r>
    </w:p>
    <w:p>
      <w:pPr>
        <w:pStyle w:val="TextBody"/>
        <w:bidi w:val="0"/>
        <w:spacing w:before="240" w:after="283"/>
        <w:jc w:val="left"/>
        <w:rPr>
          <w:rFonts w:ascii="Times New Roman" w:hAnsi="Times New Roman"/>
          <w:sz w:val="20"/>
        </w:rPr>
      </w:pPr>
      <w:r>
        <w:rPr>
          <w:rFonts w:ascii="Times New Roman" w:hAnsi="Times New Roman"/>
          <w:b/>
          <w:color w:val="000000"/>
          <w:sz w:val="20"/>
        </w:rPr>
        <w:t>1. The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Kodiak Sciences Inc. (the “Company”) is a clinical stage biopharmaceutical company committed to researching, developing and commercializing transformative therapeutics to treat a broad spectrum of retinal diseases. The Company devotes substantially all of its resources to the research and development of its platform and product candidates including activities to conduct clinical studies of its product candidates, manufacture product candidates and provide general and administrative support for these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2025, the Company had cash and cash equivalents of $104.2 million. The Company has incurred net losses and negative cash flows from operations since inception. The Company has incurred net losses of $111.8 million and $88.2 million for the six months ended June 30, 2025 and 2024, respectively. The net cash used in operating activities was $63.8 million and $66.1 million for the six months ended June 30, 2025 and 2024,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historically funded its operations primarily through the issuance of common stock and the sale of future royalties. The Company’s ability to achieve and sustain profitability will depend on the successful development, approval and commercialization of its product candidates and on the achievement of sufficient revenue to support its cost structure and, unless and until it does, the Company will need to raise additional capital to maintain current operations and to continue research and development activities. The Company continues to monitor and reduce certain expenditures and plans to raise additional capital through approaches that include equity or debt financings, collaborations or a combination of similar transactions. While the Company has been able to raise multiple rounds of financing, there can be no assurance that such financing will be available on terms which are favorable or at all. The Company could be required to pause, scale back or discontinue one or more of its development programs, which could adversely affect the Company’s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believes that the existing cash and cash equivalents may not be sufficient to meet the anticipated operating and capital expenditure requirements for the 12 months following the date of this Quarterly Report on Form 10-Q. As a result, there is substantial doubt regarding the Company's ability to continue as a going concern. The consolidated financial statements have been prepared assuming that the Company will continue to operate as a going concern, which contemplates the realization of assets and satisfaction of liabilities and commitments in the ordinary course of business.</w:t>
      </w:r>
    </w:p>
    <w:p>
      <w:pPr>
        <w:pStyle w:val="TextBody"/>
        <w:bidi w:val="0"/>
        <w:spacing w:before="24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unaudited condensed consolidated financial statements have been prepared in accordance with accounting principles generally accepted in the United States of America (“GAAP”) and the applicable rules and regulations of the Securities and Exchange Commission (the “SEC”) regarding interim reporting. Certain information and note disclosures normally included in the financial statements prepared in accordance with GAAP have been condensed or omitted pursuant to such rules and regulations. As such, the information included in this Quarterly Report on Form 10-Q should be read in conjunction with the consolidated financial statements and accompanying notes included in the Company’s Annual Report on Form 10-K for the fiscal year ended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condensed consolidated financial statements include the accounts of Kodiak Sciences Inc. and its wholly owned subsidiaries. All intercompany balances and transactions have been eliminated in consolidation. The condensed consolidated financial statements reflect all normal recurring adjustments that are necessary to present fairly the results for the interim periods presented. Interim results are not necessarily indicative of the results for the full year ending December 31, 2025.</w:t>
      </w:r>
    </w:p>
    <w:p>
      <w:pPr>
        <w:pStyle w:val="TextBody"/>
        <w:bidi w:val="0"/>
        <w:spacing w:before="24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consolidated financial statements in conformity with GAAP requires management to make estimates and assumptions that affect the reported amounts of assets and liabilities, disclosure of contingent assets and liabilities as of the date of the consolidated financial statements and expenses during the reporting period. Such estimates include, but are not limited to, accrued research and development, stock-based compensation and impairment of long-lived assets. Actual results could differ from those estimates.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Kodiak 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The Company reviews long-lived assets for impairment whenever events or changes in circumstances indicate that the carrying amounts of the assets may not be recoverable. Recoverability is measured by comparison of the carrying amount of the assets to the estimated undiscounted net cash flows which the assets are expected to generate. If such assets are deemed not recoverable, an impairment loss is recognized in the amount by which the carrying value of the assets exceeds the estimated fair value of the assets.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During the first quarter of 2025, the Company subleased its building at 1200 Page Mill Road, Palo Alto, California, as further disclosed in Note 5. The Company performed a review of its asset group and determined that the right-of-use asset related to this building should be placed in a separate asset group because the sublease activities and cash flows are largely independent of the rest of the Company’s cash flows. The Company accounted for this change in asset group prospectively. Further, the Company concluded that the sublease of this building was a triggering event indicating that the asset group’s carrying amount may not be recoverable. The Company performed a recoverability analysis of the asset group and concluded that the net carrying value of the asset group exceeded the undiscounted net cash flows, indicating that an impairment loss should be recorded. The Company estimated the fair value of the right-of-use asset and recorded non-cash lease impairment expense of $1.9 million during the first quarter of 2025. The impairment loss was recognized within general and administrative expense in the unaudited condensed consolidated statement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fair value of the right-of-use asset was estimated using the discounted future cash flow method, which included the Company’s sublease rental income, which reflected current sublease market conditions, as well as a discount rate, which represented a rate that the Company estimated a market participant would require in assuming the risks associated with those cash flows. The estimates and assumptions used in the assessment of the right-of-use asset represent Level 3 measurements because they are based on unobservable inputs that reflect management's best estimate of what market participants would use. </w:t>
      </w:r>
    </w:p>
    <w:p>
      <w:pPr>
        <w:pStyle w:val="TextBody"/>
        <w:bidi w:val="0"/>
        <w:spacing w:before="80" w:after="283"/>
        <w:jc w:val="left"/>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economic and business activities continue to face widespread macroeconomic uncertainties, including health epidemics, labor shortages, bank failures, inflation and monetary supply shifts, tariffs, recession risks and potential disruptions from the geopolitical conflicts. The Company continues to actively monitor the impact of these macroeconomic factors on its financial condition, liquidity, operations, and workforce. The extent of the impact of these factors on the Company’s operational and financial performance, including its ability to execute its business strategies and initiatives in the expected timeframe, will depend on future developments, which are uncertain and cannot be predicted; however, any continued or renewed disruption resulting from these factors could negatively impact the Company’s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future results of operations involve a number of risks and uncertainties common to clinical stage companies in the biotechnology industry. The Company’s product candidates are in development and the Company operates in an environment of rapid change in technology and substantial competition from other pharmaceutical and biotechnology companies.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drug candidates, uncertainty of market acceptance of any of the Company’s product candidates that receive regulatory approval, competition from new technological innovations, substitute products and larger companies, securing and protecting proprietary technology, strategic relationships and dependence on key individuals and vendors.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Products developed by the Company require approvals from the U.S. Food and Drug Administration (“FDA”) or other international regulatory agencies prior to commercial sales. There can be no assurance that any of the Company’s product candidates will receive the necessary approvals. If the Company is denied approval, approval is delayed or the Company is unable to maintain approvals, it could have a materially adverse impact on the Company. Even if the Company’s product development efforts are successful, it is uncertain when, if ever, the Company will generate significant revenue from product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expects to incur substantial operating losses for the next several years and will need to obtain additional financing in order to complete clinical trials, launch and commercialize any product candidates for which it receives regulatory approval. There can be no assurance that such financing will be available or will be on terms acceptable by the Company.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New Tax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4, 2025, bill H.R. 1, known as the One Big Beautiful Bill Act (or "OBBBA"), was signed into law. OBBBA revises U.S. corporate income tax laws by, among other things, restoring the option for immediate tax deductibility of domestic R&amp;D expenditures, making permanent a 100% bonus depreciation deduction for property acquired domestically and provides a new provision for immediate expensing of manufacturing facility costs. In accordance with GAAP, the Company will account for the tax effects of changes in tax law in the period of enactment, which is the third quarter of 2025. The Company is in the process of analyzing the tax impacts of the law changes but currently does not anticipate a material impact to the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Kodiak 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Summary of 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significant accounting policies used in preparation of these condensed consolidated financial statements are consistent with those discussed in Note 2 to the consolidated financial statements in the Company’s Annual Report on Form 10-K for the year ended December 31, 2024, except as noted below within the “Recent Accounting Pronouncements” section.</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Recent </w:t>
      </w:r>
      <w:r>
        <w:rPr>
          <w:rFonts w:ascii="Times New Roman" w:hAnsi="Times New Roman"/>
          <w:b/>
          <w:i/>
          <w:caps/>
          <w:color w:val="000000"/>
          <w:sz w:val="20"/>
        </w:rPr>
        <w:t>a</w:t>
      </w:r>
      <w:r>
        <w:rPr>
          <w:rFonts w:ascii="Times New Roman" w:hAnsi="Times New Roman"/>
          <w:b/>
          <w:i/>
          <w:color w:val="000000"/>
          <w:sz w:val="20"/>
        </w:rPr>
        <w:t xml:space="preserve">ccounting </w:t>
      </w:r>
      <w:r>
        <w:rPr>
          <w:rFonts w:ascii="Times New Roman" w:hAnsi="Times New Roman"/>
          <w:b/>
          <w:i/>
          <w:caps/>
          <w:color w:val="000000"/>
          <w:sz w:val="20"/>
        </w:rPr>
        <w:t>p</w:t>
      </w:r>
      <w:r>
        <w:rPr>
          <w:rFonts w:ascii="Times New Roman" w:hAnsi="Times New Roman"/>
          <w:b/>
          <w:i/>
          <w:color w:val="000000"/>
          <w:sz w:val="20"/>
        </w:rPr>
        <w:t>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Financial Accounting Standards Board (“FASB”), and adopted by the Company as of the specified effective date.</w:t>
      </w:r>
    </w:p>
    <w:p>
      <w:pPr>
        <w:pStyle w:val="TextBody"/>
        <w:bidi w:val="0"/>
        <w:spacing w:before="240" w:after="283"/>
        <w:jc w:val="left"/>
        <w:rPr>
          <w:rFonts w:ascii="Times New Roman" w:hAnsi="Times New Roman"/>
          <w:sz w:val="20"/>
        </w:rPr>
      </w:pPr>
      <w:r>
        <w:rPr>
          <w:rFonts w:ascii="Times New Roman" w:hAnsi="Times New Roman"/>
          <w:i/>
          <w:color w:val="000000"/>
          <w:sz w:val="20"/>
        </w:rPr>
        <w:t>Recently Issued Accounting Pronouncements Not Yet Adopted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which enhances the disclosures required for income taxes in annual consolidated financial statements. The ASU is effective for fiscal years beginning after December 15, 2024, and early adoption is permitted. The Company is assessing the impact of this amendment on its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Disaggregation of Income Statement Expenses</w:t>
      </w:r>
      <w:r>
        <w:rPr>
          <w:rFonts w:ascii="Times New Roman" w:hAnsi="Times New Roman"/>
          <w:color w:val="000000"/>
          <w:sz w:val="20"/>
        </w:rPr>
        <w:t>, which requires additional disclosure of the nature of expenses included in the income statement. The ASU is effective for annual periods beginning after December 15, 2026 and interim periods within fiscal years beginning after December 15, 2027, and early adoption is permitted. The Company will adopt this amendment on a prospective basis. The Company is assessing the impact of this amendment on its consolidated financial statements and related disclosures.</w:t>
      </w:r>
    </w:p>
    <w:p>
      <w:pPr>
        <w:pStyle w:val="TextBody"/>
        <w:bidi w:val="0"/>
        <w:spacing w:before="240" w:after="283"/>
        <w:jc w:val="left"/>
        <w:rPr>
          <w:rFonts w:ascii="Times New Roman" w:hAnsi="Times New Roman"/>
          <w:sz w:val="20"/>
        </w:rPr>
      </w:pPr>
      <w:r>
        <w:rPr>
          <w:rFonts w:ascii="Times New Roman" w:hAnsi="Times New Roman"/>
          <w:b/>
          <w:color w:val="000000"/>
          <w:sz w:val="20"/>
        </w:rPr>
        <w:t>3. Accrued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and other current liabilities consist of the following (in thousands): </w:t>
      </w:r>
    </w:p>
    <w:p>
      <w:pPr>
        <w:pStyle w:val="TextBody"/>
        <w:bidi w:val="0"/>
        <w:jc w:val="left"/>
        <w:rPr/>
      </w:pPr>
      <w:r>
        <w:rPr/>
        <w:t> </w:t>
      </w:r>
    </w:p>
    <w:tbl>
      <w:tblPr>
        <w:tblW w:w="7707" w:type="dxa"/>
        <w:jc w:val="left"/>
        <w:tblInd w:w="0" w:type="dxa"/>
        <w:tblLayout w:type="fixed"/>
        <w:tblCellMar>
          <w:top w:w="28" w:type="dxa"/>
          <w:left w:w="28" w:type="dxa"/>
          <w:bottom w:w="28" w:type="dxa"/>
          <w:right w:w="28" w:type="dxa"/>
        </w:tblCellMar>
      </w:tblPr>
      <w:tblGrid>
        <w:gridCol w:w="4831"/>
        <w:gridCol w:w="146"/>
        <w:gridCol w:w="211"/>
        <w:gridCol w:w="676"/>
        <w:gridCol w:w="146"/>
        <w:gridCol w:w="146"/>
        <w:gridCol w:w="299"/>
        <w:gridCol w:w="961"/>
        <w:gridCol w:w="291"/>
      </w:tblGrid>
      <w:tr>
        <w:trPr/>
        <w:tc>
          <w:tcPr>
            <w:tcW w:w="4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manufacturing and research &amp;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trial and 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salaries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fees and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4.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present the Company’s fair value hierarchy for assets measured at fair value on a recurring basis (in thousands): </w:t>
      </w:r>
    </w:p>
    <w:p>
      <w:pPr>
        <w:pStyle w:val="TextBody"/>
        <w:bidi w:val="0"/>
        <w:jc w:val="left"/>
        <w:rPr/>
      </w:pPr>
      <w:r>
        <w:rPr/>
        <w:t> </w:t>
      </w:r>
    </w:p>
    <w:tbl>
      <w:tblPr>
        <w:tblW w:w="7568" w:type="dxa"/>
        <w:jc w:val="left"/>
        <w:tblInd w:w="0" w:type="dxa"/>
        <w:tblLayout w:type="fixed"/>
        <w:tblCellMar>
          <w:top w:w="28" w:type="dxa"/>
          <w:left w:w="28" w:type="dxa"/>
          <w:bottom w:w="28" w:type="dxa"/>
          <w:right w:w="28" w:type="dxa"/>
        </w:tblCellMar>
      </w:tblPr>
      <w:tblGrid>
        <w:gridCol w:w="2801"/>
        <w:gridCol w:w="146"/>
        <w:gridCol w:w="211"/>
        <w:gridCol w:w="781"/>
        <w:gridCol w:w="146"/>
        <w:gridCol w:w="146"/>
        <w:gridCol w:w="277"/>
        <w:gridCol w:w="458"/>
        <w:gridCol w:w="146"/>
        <w:gridCol w:w="146"/>
        <w:gridCol w:w="277"/>
        <w:gridCol w:w="458"/>
        <w:gridCol w:w="146"/>
        <w:gridCol w:w="146"/>
        <w:gridCol w:w="211"/>
        <w:gridCol w:w="781"/>
        <w:gridCol w:w="291"/>
      </w:tblGrid>
      <w:tr>
        <w:trPr/>
        <w:tc>
          <w:tcPr>
            <w:tcW w:w="2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at June 30,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99,723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99,723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5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5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99,723</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104,165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at 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166,464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166,464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5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5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166,464</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168,074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Kodiak 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2025, the fair value of the liability related to sale of future royalties is based on the Company's current estimates of future royalties expected to be paid to Baker Bros. Advisors, LP (“BBA”), which are considered Level 3 inputs.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discussed in Notes 2 and 5, the Company entered into an agreement in March 2025 to sublease its building at 1200 Page Mill Road, which triggered an evaluation of the carrying amount of the related right-of-use asset. The Company determined that the carrying amount was no longer recoverable and wrote it down to its estimated fair value, which resulted in a non-cash lease impairment expense of $1.9 million recorded during the first quarter of 2025. Estimated fair value was based on expected sublease rental income, which reflected current sublease market conditions, discounted at a market rate of return on similar assets. The estimates and assumptions used are considered Level 3 inputs.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Commitments and Contingencies</w:t>
      </w:r>
    </w:p>
    <w:p>
      <w:pPr>
        <w:pStyle w:val="TextBody"/>
        <w:bidi w:val="0"/>
        <w:spacing w:before="24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Palo Alto, California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2020, the Company entered into lease agreements for two buildings at 1200 and 1250 Page Mill Road in Palo Alto, California, which are now the Company’s U.S. corporate offices. Under ASC 842, the Company classified these leases as operating leases and recorded right-of-use assets and lease liabilities on the lease commencement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2025, the Company entered into an agreement to sublease its building at 1200 Page Mill Road. The term of the sublease is from March 2025 to February 2027, with no option to extend the lease. Sublease income is recorded as a reduction to rent expense and included within general and administrative expense. Future minimum lease payments to be received under the sublease are $5.0 million, $5.7 million and $0.5 million for the years ended December 31, 2025, 2026 and 2027, respectively. The remaining lease cost to be recognized by the Company exceeded the anticipated sublease income and, as a result, the Company recognized a non-cash lease impairment expense of $1.9 million during the first quarter of 2025. Refer to Note 2 for additional disclosure.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six months ended June 30, 2025, the Company recognized $1.9 million and $2.4 million of sublease income, of which $0.4 million and $0.6 million was variable sublease income. Sublease income is recorded as a reduction to rent expense.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Switzerland 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2020, the Company entered into a lease agreement for office and laboratory space at Rottenstrasse 5 in Visp, Switzerland. Under ASC 842, the Company classified this lease as an operating lease and recorded a right-of-use asset and lease liability on the lease commencement date.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Ursus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2020, the Company and its wholly owned subsidiary Kodiak Sciences GmbH entered into a manufacturing agreement with Lonza Ltd (“Lonza”) for the clinical and commercial supply of the Company’s antibody biopolymer conjugate drug substance which included a custom-built manufacturing facility. In April 2021, the agreement was amended to provide for greater manufacturing flexibility, to define a comprehensive mandate as an antibody biopolymer conjugates manufacturing facility to be used for the Company’s antibody biopolymer conjugates pipeline, at clinical as well as commercial scales, across a broad capacity range under the tight quality controls required for ophthalmology and retinal medicines, and to allow for future process and equipment changes as needed. The Company concluded that this agreement contained an embedded lease as the custom-built manufacturing suite would be dedicated for the Company’s use. Under ASC 842, the Company classified the lease portion as an operating lease and recorded a right-of-use asset and lease liability on the lease commencement date.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Manufacturing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entered into service and equipment purchase agreements in the normal course of business with various providers, pursuant to which such providers agreed to perform activities in connection with the manufacturing process of certain materials. These agreements, and any related amendments, state that planned activities and purchases that are included in the signed work orders are, in some cases, binding and, hence, obligate the Company to pay the full price of the work order upon satisfactory delivery of products and services or obligate the Company to the binding amount regardless of whether such planned activities are in fact performed. Per the terms of the agreements, the Company has the option to cancel signed orders at any time upon written notice, which may or may not be subject to payment of a cancellation fee. The level of cancellation fees may be dependent on the timing of the written notice in relation to the commencement date of the work, with the maximum cancellation amount dependent on the agreement or the work order.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Kodiak 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Other Funding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normal course of business, the Company enters into agreements with third-parties for services to be provided to the Company.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services to be provided to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also entered into various cancellable license agreements for certain technology. The Company may be obligated to make payments on future sales of specified products associated with such license agreements. Such payments are dependent on future product sales and are not estimable.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may be subject to various legal proceedings and claims that arise in the ordinary course of its business activities. Management is currently not aware of any matters that could have a material adverse effect on its financial position, results of operations or cash flows. The Company records a legal liability when it believes that it is both probable that a liability may be imputed, and the amount of the liability can be reasonably estimated. Significant judgment by the Company is required to determine both probability and the estimated amount. </w:t>
      </w:r>
    </w:p>
    <w:p>
      <w:pPr>
        <w:pStyle w:val="TextBody"/>
        <w:bidi w:val="0"/>
        <w:spacing w:before="240" w:after="283"/>
        <w:jc w:val="left"/>
        <w:rPr>
          <w:rFonts w:ascii="Times New Roman" w:hAnsi="Times New Roman"/>
          <w:sz w:val="20"/>
        </w:rPr>
      </w:pPr>
      <w:r>
        <w:rPr>
          <w:rFonts w:ascii="Times New Roman" w:hAnsi="Times New Roman"/>
          <w:b/>
          <w:i/>
          <w:color w:val="000000"/>
          <w:sz w:val="20"/>
        </w:rPr>
        <w:t>Indemnification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agreements is not specified in the agreements; however, the Company has director and officer insurance coverage that reduces its exposure and enables the Company to recover a portion of any future amounts paid. The Company believes the estimated fair value of these indemnification agreements in excess of applicable insurance coverage is minimal. </w:t>
      </w:r>
    </w:p>
    <w:p>
      <w:pPr>
        <w:pStyle w:val="TextBody"/>
        <w:bidi w:val="0"/>
        <w:spacing w:before="240" w:after="283"/>
        <w:jc w:val="left"/>
        <w:rPr>
          <w:rFonts w:ascii="Times New Roman" w:hAnsi="Times New Roman"/>
          <w:sz w:val="20"/>
        </w:rPr>
      </w:pPr>
      <w:r>
        <w:rPr>
          <w:rFonts w:ascii="Times New Roman" w:hAnsi="Times New Roman"/>
          <w:b/>
          <w:color w:val="000000"/>
          <w:sz w:val="20"/>
        </w:rPr>
        <w:t>6. Stock-Based Compensation</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Shares of common stock available for issuance under the Company's equity incentive plans at June 30, 2025 were as follows: </w:t>
      </w:r>
    </w:p>
    <w:tbl>
      <w:tblPr>
        <w:tblW w:w="4343" w:type="dxa"/>
        <w:jc w:val="left"/>
        <w:tblInd w:w="0" w:type="dxa"/>
        <w:tblLayout w:type="fixed"/>
        <w:tblCellMar>
          <w:top w:w="28" w:type="dxa"/>
          <w:left w:w="28" w:type="dxa"/>
          <w:bottom w:w="28" w:type="dxa"/>
          <w:right w:w="28" w:type="dxa"/>
        </w:tblCellMar>
      </w:tblPr>
      <w:tblGrid>
        <w:gridCol w:w="2731"/>
        <w:gridCol w:w="146"/>
        <w:gridCol w:w="157"/>
        <w:gridCol w:w="1118"/>
        <w:gridCol w:w="19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20,037,642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Reserved for future award 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3,862,747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Reserved for future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296,960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24,197,349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 option activity, including stock options and performance-based stock options under the 2021 Long-Term Performance Incentive Plan (“2021 LTPIP”), 2018 Plan and 2015 Plan is summarized as follows:</w:t>
      </w:r>
    </w:p>
    <w:p>
      <w:pPr>
        <w:pStyle w:val="TextBody"/>
        <w:bidi w:val="0"/>
        <w:jc w:val="left"/>
        <w:rPr/>
      </w:pPr>
      <w:r>
        <w:rPr/>
        <w:t> </w:t>
      </w:r>
    </w:p>
    <w:tbl>
      <w:tblPr>
        <w:tblW w:w="8673" w:type="dxa"/>
        <w:jc w:val="left"/>
        <w:tblInd w:w="0" w:type="dxa"/>
        <w:tblLayout w:type="fixed"/>
        <w:tblCellMar>
          <w:top w:w="28" w:type="dxa"/>
          <w:left w:w="28" w:type="dxa"/>
          <w:bottom w:w="28" w:type="dxa"/>
          <w:right w:w="28" w:type="dxa"/>
        </w:tblCellMar>
      </w:tblPr>
      <w:tblGrid>
        <w:gridCol w:w="2941"/>
        <w:gridCol w:w="146"/>
        <w:gridCol w:w="146"/>
        <w:gridCol w:w="1036"/>
        <w:gridCol w:w="166"/>
        <w:gridCol w:w="146"/>
        <w:gridCol w:w="247"/>
        <w:gridCol w:w="669"/>
        <w:gridCol w:w="146"/>
        <w:gridCol w:w="146"/>
        <w:gridCol w:w="268"/>
        <w:gridCol w:w="858"/>
        <w:gridCol w:w="146"/>
        <w:gridCol w:w="146"/>
        <w:gridCol w:w="302"/>
        <w:gridCol w:w="973"/>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br/>
              <w:t>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Remaining</w:t>
              <w:br/>
              <w:t>Contractual</w:t>
              <w:br/>
              <w:t xml:space="preserve">Term </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w:t>
              <w:br/>
              <w:t>Value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19,873,073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(406,076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19,919,750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Kodiak 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share activity, including restricted stock awards, restricted stock units, and performance-based restricted stock units, under the 2018 Plan is summarized as follows:</w:t>
      </w:r>
    </w:p>
    <w:p>
      <w:pPr>
        <w:pStyle w:val="TextBody"/>
        <w:bidi w:val="0"/>
        <w:jc w:val="left"/>
        <w:rPr/>
      </w:pPr>
      <w:r>
        <w:rPr/>
        <w:t> </w:t>
      </w:r>
    </w:p>
    <w:tbl>
      <w:tblPr>
        <w:tblW w:w="5405" w:type="dxa"/>
        <w:jc w:val="left"/>
        <w:tblInd w:w="0" w:type="dxa"/>
        <w:tblLayout w:type="fixed"/>
        <w:tblCellMar>
          <w:top w:w="28" w:type="dxa"/>
          <w:left w:w="28" w:type="dxa"/>
          <w:bottom w:w="28" w:type="dxa"/>
          <w:right w:w="28" w:type="dxa"/>
        </w:tblCellMar>
      </w:tblPr>
      <w:tblGrid>
        <w:gridCol w:w="2701"/>
        <w:gridCol w:w="146"/>
        <w:gridCol w:w="158"/>
        <w:gridCol w:w="847"/>
        <w:gridCol w:w="166"/>
        <w:gridCol w:w="146"/>
        <w:gridCol w:w="283"/>
        <w:gridCol w:w="767"/>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Restricted</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Stock-based compensation is classified in the condensed consolidated statements of operations and comprehensive loss as follows (in thousands): </w:t>
      </w:r>
    </w:p>
    <w:p>
      <w:pPr>
        <w:pStyle w:val="TextBody"/>
        <w:bidi w:val="0"/>
        <w:jc w:val="left"/>
        <w:rPr/>
      </w:pPr>
      <w:r>
        <w:rPr/>
        <w:t> </w:t>
      </w:r>
    </w:p>
    <w:tbl>
      <w:tblPr>
        <w:tblW w:w="8381" w:type="dxa"/>
        <w:jc w:val="left"/>
        <w:tblInd w:w="0" w:type="dxa"/>
        <w:tblLayout w:type="fixed"/>
        <w:tblCellMar>
          <w:top w:w="28" w:type="dxa"/>
          <w:left w:w="28" w:type="dxa"/>
          <w:bottom w:w="28" w:type="dxa"/>
          <w:right w:w="28" w:type="dxa"/>
        </w:tblCellMar>
      </w:tblPr>
      <w:tblGrid>
        <w:gridCol w:w="2746"/>
        <w:gridCol w:w="146"/>
        <w:gridCol w:w="268"/>
        <w:gridCol w:w="859"/>
        <w:gridCol w:w="185"/>
        <w:gridCol w:w="185"/>
        <w:gridCol w:w="268"/>
        <w:gridCol w:w="859"/>
        <w:gridCol w:w="146"/>
        <w:gridCol w:w="146"/>
        <w:gridCol w:w="243"/>
        <w:gridCol w:w="780"/>
        <w:gridCol w:w="168"/>
        <w:gridCol w:w="168"/>
        <w:gridCol w:w="243"/>
        <w:gridCol w:w="780"/>
        <w:gridCol w:w="1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7,714</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15,572</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7,927</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15,960</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15,641</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31,532</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7.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operates and manages its business as one operating and reportable segment, which is the business of researching, developing and commercializing transformative therapeutics to treat a broad spectrum of retinal diseases. The chief operating decision maker (“CODM”) is the Chief Executive Officer. The CODM uses net loss to allocate resources and assess performance when making decisions on the timing and extent of the Company's development programs for its product candidates. The assets are managed on a consolidated basis as reported on the condensed consolidated balance sheets.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significant expense categories within net loss are presented on the condensed consolidated statements of operations. The research and development expenses have been disaggregated as follows (in thousands):</w:t>
      </w:r>
    </w:p>
    <w:tbl>
      <w:tblPr>
        <w:tblW w:w="10205" w:type="dxa"/>
        <w:jc w:val="left"/>
        <w:tblInd w:w="0" w:type="dxa"/>
        <w:tblLayout w:type="fixed"/>
        <w:tblCellMar>
          <w:top w:w="28" w:type="dxa"/>
          <w:left w:w="28" w:type="dxa"/>
          <w:bottom w:w="28" w:type="dxa"/>
          <w:right w:w="28" w:type="dxa"/>
        </w:tblCellMar>
      </w:tblPr>
      <w:tblGrid>
        <w:gridCol w:w="4580"/>
        <w:gridCol w:w="146"/>
        <w:gridCol w:w="267"/>
        <w:gridCol w:w="856"/>
        <w:gridCol w:w="184"/>
        <w:gridCol w:w="184"/>
        <w:gridCol w:w="267"/>
        <w:gridCol w:w="856"/>
        <w:gridCol w:w="146"/>
        <w:gridCol w:w="146"/>
        <w:gridCol w:w="242"/>
        <w:gridCol w:w="778"/>
        <w:gridCol w:w="167"/>
        <w:gridCol w:w="167"/>
        <w:gridCol w:w="242"/>
        <w:gridCol w:w="778"/>
        <w:gridCol w:w="199"/>
      </w:tblGrid>
      <w:tr>
        <w:trPr/>
        <w:tc>
          <w:tcPr>
            <w:tcW w:w="45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5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Tarcocimab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11,886</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26,162</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KSI-501 and KSI-101 program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ABC Platform and other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6,421</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12,066</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5,701</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personnel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and other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5,035</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10,271</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9,466</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42,760</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86,404</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62,445</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8. Net Loss per Common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common share equivalents were excluded from the computation of diluted net loss per common share for the periods presented because their inclusion would have been antidilutive: </w:t>
      </w:r>
    </w:p>
    <w:p>
      <w:pPr>
        <w:pStyle w:val="TextBody"/>
        <w:bidi w:val="0"/>
        <w:jc w:val="left"/>
        <w:rPr/>
      </w:pPr>
      <w:r>
        <w:rPr/>
        <w:t> </w:t>
      </w:r>
    </w:p>
    <w:tbl>
      <w:tblPr>
        <w:tblW w:w="5901" w:type="dxa"/>
        <w:jc w:val="left"/>
        <w:tblInd w:w="0" w:type="dxa"/>
        <w:tblLayout w:type="fixed"/>
        <w:tblCellMar>
          <w:top w:w="28" w:type="dxa"/>
          <w:left w:w="28" w:type="dxa"/>
          <w:bottom w:w="28" w:type="dxa"/>
          <w:right w:w="28" w:type="dxa"/>
        </w:tblCellMar>
      </w:tblPr>
      <w:tblGrid>
        <w:gridCol w:w="2266"/>
        <w:gridCol w:w="146"/>
        <w:gridCol w:w="181"/>
        <w:gridCol w:w="1287"/>
        <w:gridCol w:w="181"/>
        <w:gridCol w:w="181"/>
        <w:gridCol w:w="181"/>
        <w:gridCol w:w="1287"/>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and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19,919,750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17,720,119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117,892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76,799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20,114,441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17,873,352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_item2"/>
      <w:bookmarkEnd w:id="9"/>
      <w:r>
        <w:rPr>
          <w:rFonts w:ascii="Times New Roman" w:hAnsi="Times New Roman"/>
          <w:b/>
          <w:color w:val="000000"/>
          <w:sz w:val="20"/>
        </w:rPr>
        <w:t xml:space="preserve">Item 2. Management’s Discussion and Analysis of </w:t>
      </w:r>
      <w:bookmarkStart w:id="10" w:name="item_2_managements_discussion_analysis_f"/>
      <w:bookmarkEnd w:id="10"/>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unaudited condensed consolidated financial statements and the related notes included elsewhere in this report and with our audited financial statements and related notes thereto and management’s discussion and analysis of financial condition and results of operations for the year ended December 31, 2024, included in our Annual Report on Form 10-K filed with the Securities and Exchange Commission, or the SEC, on March 27, 2025.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of this report titled “Part II, Item 1A — Risk Factors” and elsewhere in this report.</w:t>
      </w:r>
    </w:p>
    <w:p>
      <w:pPr>
        <w:pStyle w:val="TextBody"/>
        <w:bidi w:val="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Kodiak Sciences (“we”, the “Company” or “Kodiak”) is a precommercial retina focused biotechnology company committed to researching, developing and commercializing transformative therapeutics. We are focused on bringing new science to the design and manufacture of next generation retinal medicines to prevent and treat the leading causes of blindness globally. Our ABC Platform uses molecular engineering to merge the fields of protein-based and chemistry-based therapies and has been at the core of Kodiak's discovery engine. We are developing a portfolio of three late-stage clinical programs, two of which are derived from our ABC Platform and one which is platform-independent.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Kodiak's lead investigational medicine, tarcocimab, is a novel anti-VEGF antibody biopolymer conjugate under development for the treatment of high prevalence retinal vascular diseases. Tarcocimab is being developed as a mainstay intravitreal biologic that provides high immediacy and high durability. Tarcocimab is currently being studied in two Phase 3 clinical trials, GLOW2 in patients with diabetic retinopathy and DAYBREAK in patients with wet AMD. GLOW2 has completed enrollment, and DAYBREAK is actively enrolling patients. We intend to file a single Biologics License Application (“BLA”) in wet AMD, DR and RVO in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KSI-501 is our second investigational medicine, a first-in-class anti-IL-6, VEGF-trap bispecific therapy built on our ABC platform and is being developed for high prevalence retinal vascular diseases to address the leading unmet needs of extended durability and targeting disease biology beyond VEGF for differentiated efficacy. KSI-501 is designed to provide high immediacy/efficacy and high durability. KSI-501 is currently being studied in the Phase 3 DAYBREAK study in patients with wet AMD. DAYBREAK is actively enrolling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KSI-101, our third investigational medicine, is a novel, potent and high strength (100 mg/mL) bispecific protein targeting IL-6 and VEGF. We are developing KSI-101 for patients with macular edema (retinal fluid) secondary to inflammation ("MESI"). We have completed enrollment in our dose-finding Phase 1b study APEX. APEX demonstrated that KSI-101 provides meaningful visual and anatomical gains in both DME and MESI and that KSI-101 is well tolerated. Based on APEX, the top two dose levels tested were selected to advance into the Phase 3 program. The PEAK and PINNACLE Phase 3 studies are actively enrolling MESI subjects.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regards to our pipeline programs, dual cytokine-targeting bispecific antibody programs KSI-102 (anti-TNFa/IL-6) and KSI-103 (anti-IL-1/IL-6) continue to progress through pre-IND activities, targeting diseases of ocular inflammation. Retina duet programs in glaucoma and geographic atrophy built with ABC platform continue to progress.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VETi (Visual Engagement Technology and imager) program has achieved significant advancements in hardware, software and algorithms development. VETi is our AI- and machine-learning-enabled wearable headset with the potential to be used in a variety of ways to bolster our commercial retina franchise. Broader application of these advancements in the fields of identity security and cognitive science have been explored with promising and rapid development of functioning prototype devices. Kodiak's leadership at the intersection of retinal biology, optics and artificial intelligence continues to advance.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dedicated commercial-scale drug substance manufacturing facility that was custom-designed and built in collaboration with Lonza. We believe these manufacturing capabilities could position us well for potential market share capture if tarcocimab and KSI-501 are approved.</w:t>
      </w:r>
    </w:p>
    <w:p>
      <w:pPr>
        <w:pStyle w:val="TextBody"/>
        <w:bidi w:val="0"/>
        <w:jc w:val="left"/>
        <w:rPr>
          <w:rFonts w:ascii="Times New Roman" w:hAnsi="Times New Roman"/>
          <w:b/>
          <w:color w:val="000000"/>
          <w:sz w:val="20"/>
        </w:rPr>
      </w:pPr>
      <w:r>
        <w:rPr>
          <w:rFonts w:ascii="Times New Roman" w:hAnsi="Times New Roman"/>
          <w:b/>
          <w:color w:val="000000"/>
          <w:sz w:val="20"/>
        </w:rPr>
        <w:t>Recent Updates</w:t>
      </w:r>
    </w:p>
    <w:p>
      <w:pPr>
        <w:pStyle w:val="TextBody"/>
        <w:bidi w:val="0"/>
        <w:spacing w:before="240" w:after="283"/>
        <w:jc w:val="left"/>
        <w:rPr>
          <w:rFonts w:ascii="Times New Roman" w:hAnsi="Times New Roman"/>
          <w:sz w:val="20"/>
        </w:rPr>
      </w:pPr>
      <w:r>
        <w:rPr>
          <w:rFonts w:ascii="Times New Roman" w:hAnsi="Times New Roman"/>
          <w:b/>
          <w:i/>
          <w:color w:val="000000"/>
          <w:sz w:val="20"/>
        </w:rPr>
        <w:t>Tarcocimab Clinical Program Update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Tarcocimab is an investigational anti-VEGF therapy built on Kodiak's proprietary Antibody Biopolymer Conjugate ("ABC") Platform and is designed to maintain potent and effective drug levels in ocular tissues for longer than existing available agents. Tarcocimab is being developed as a mainstay intravitreal biologic monotherapy that provides high immediacy, driven by the enhanced formulation, and high durability, driven by the ABC platform and our science of durability, with the ultimate objective of providing, once approved, a flexible 1-month through 6-month label for all patients with retinal vascular disease (treatment-naïve, treatment-experienced, mild patients, severe patients).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tarcocimab has completed three successful Phase 3 pivotal clinical studies: the Phase 3 GLOW1 study in diabetic retinopathy ("DR"), the Phase 3 BEACON study in retinal vein occlusion ("RVO"), and the Phase 3 DAYLIGHT study in wet AMD. In the GLOW1 study, tarcocimab successfully treated DR patients and prevented disease progression with 100% of patients on extended 6-month dosing. In the BEACON study, in the first 6 months tarcocimab-treated patients were dosed on every 8-week interval (as opposed to every 4-week interval for aflibercept) and in the second 6 months nearly half of tarcocimab patients did not require any treatment while achieving similar vision and anatomical outcomes as the aflibercept group at one year. In the DAYLIGHT study, tarcocimab demonstrated non-inferior efficacy results and compelling safety and tolerability on a once monthly dosing interval.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Tarcocimab is currently being studied in two Phase 3 clinical trials, the GLOW2 study in DR and the DAYBREAK study in wet AMD. GLOW2 has completed enrollment, and DAYBREAK is actively enrolling. The GLOW2 study design mirrors that of our successful GLOW1 study in DR, with the advantage of a third monthly loading dose (baseline, Week 4, Week 8) to provide dosing flexibility to providers. All patients randomized to investigational therapy will receive tarcocimab on extended, 6-month dosing.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Both GLOW2 and DAYBREAK use tarcocimab's enhanced 50 mg/mL formulation containing both conjugated and unconjugated antibody that is intended to balance immediacy and durability.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Kodiak anticipates to be in a position to announce topline data for the primary endpoint for GLOW2 in 1Q 2026 and for the primary endpoint for DAYBREAK in 3Q 2026. Kodiak plans to wait for DAYBREAK topline data expected 3Q 2026 in order to file a single Biologics License Application (“BLA”) for tarcocimab in wet AMD, DR and RVO.</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About GLOW1 (complete) and GLOW2 (ongoing)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Phase 3 GLOW1 study demonstrated that with extended 6-month dosing in every patient, tarcocimab can achieve strong efficacy both in treating existing disease (primary endpoint) and preventing vision threatening complications and disease progression (key secondary endpoint). In GLOW1, tarcocimab met its primary endpoint of the proportion of patients with at least a 2-step improvement on the Diabetic Retinopathy Severity Scale (“DRSS”) score with 41.1% of tarcocimab-treated patients demonstrating at least a 2-step improvement vs. 1.4% of patients in the sham group, a 29-fold increased response rate ratio (p-value less than 0.0001). Tarcocimab also met all key secondary endpoints, including greater reductions in the proportion of patients developing sight-threatening complications (such as diabetic macular edema and proliferative diabetic retinopathy), versus sham, demonstrating an 89% decreased risk, achieving 21.0% versus 2.3% (p-value less than 0.0001). Tarcocimab also showed a 95% risk reduction in the development of DME, versus sham, from 13.7% on sham versus 0.7% on tarcocimab.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Phase 3 GLOW2 study is a prospective, randomized, double-masked, multi-center pivotal superiority study designed to evaluate the efficacy and safety of tarcocimab tedromer in treatment-naïve patients with DR. Patients are randomized 1:1 and receive either sham injections or tarcocimab via intravitreal injection at baseline, Week 4, Week 8, Week 20 and Week 44. The primary endpoint is the proportion of eyes improving ≥2 steps on DRSS from baseline at Week 48. Additional outcome measures include the proportion of eyes developing a sight threatening complication of diabetic retinopathy and the proportion of eyes improving ≥3 steps on DRSS from baseline at Week 48.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10, 2025, Kodiak announced that GLOW2 completed enrollment, randomizing more than 250 patients. Kodiak expects to be in a position to announce topline data in 1Q 2026.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About DAYBREAK and tarcocimab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Phase 3 DAYBREAK study is a non-inferiority study evaluating parallel investigational arms of tarcocimab and KSI-501 against active comparator aflibercept. The DAYBREAK study incorporates learnings from prior pivotal trials of tarcocimab and was designed to maximize the probability of meeting the primary endpoint of non-inferiority in visual acuity gains. Patients randomized to tarcocimab will receive individualized dosing every 4 to 24 weeks on an as needed basis following four monthly loading doses. Patients randomized to aflibercept will be dosed per label. The individualized dosing of tarcocimab is determined by a treat-to-dryness proactive approach using presence of retinal fluid as a disease activity marker, which resembles retina specialists' practice and optimizes each patient's treatment instead of a combination of central subfield thickness ("CST") and vision loss. The objectives for tarcocimab in DAYBREAK are to assess its durability potential, strengthen its competitive position in wet AMD and bolster the possible regulatory application package for the program. DAYBREAK was designed to showcase the potential for tarcocimab to be a mainstay biologic for VEGF-driven retinal vascular diseases with both a strong efficacy/immediacy (driven by its enhanced formulation) and a strong durability (driven by its ABC design and science of durability).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DAYBREAK is actively enrolling patients, and Kodiak anticipates to be in a position to announce topline data for the primary endpoint in 3Q 2026. </w:t>
      </w:r>
    </w:p>
    <w:p>
      <w:pPr>
        <w:pStyle w:val="TextBody"/>
        <w:bidi w:val="0"/>
        <w:spacing w:before="240" w:after="283"/>
        <w:jc w:val="left"/>
        <w:rPr>
          <w:rFonts w:ascii="Times New Roman" w:hAnsi="Times New Roman"/>
          <w:sz w:val="20"/>
        </w:rPr>
      </w:pPr>
      <w:r>
        <w:rPr>
          <w:rFonts w:ascii="Times New Roman" w:hAnsi="Times New Roman"/>
          <w:b/>
          <w:i/>
          <w:color w:val="000000"/>
          <w:sz w:val="20"/>
        </w:rPr>
        <w:t>KSI-501 Clinical Program Update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KSI-501 is an investigational anti-IL-6, VEGF-trap bispecific therapy built on the ABC platform and is being developed for high prevalence retinal vascular diseases to address the leading unmet needs of extended durability and targeting disease biology beyond VEGF for differentiated efficacy. KSI-501 is designed to provide high immediacy/efficacy, driven by the enhanced formulation, and high durability, driven by the ABC platform and our science of durability.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Higher intraocular levels of IL-6 are correlated with poorer BCVA outcomes over time in wet AMD patients treated with anti-VEGF monotherapy, which suggests that IL-6 inhibition in combination with anti-VEGF therapy could lead to improved outcomes. In preclinical models, KSI-501 was shown to be a potent inhibitor of VEGF and IL-6 and, further, was shown to normalize the blood retinal barrier, opening up the possibility that KSI-501 may be a disease-modifying therapy for retinal vascular diseases.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 completed Phase 1 multiple ascending dose study demonstrated that repeated monthly dosing of KSI-501 was well tolerated and achieved clinically meaningful and sustained improvement in visual acuity and fluid reduction in patients with diabetic macular edema. Kodiak has advanced KSI-501 into a Phase 3 study DAYBREAK to evaluate its efficacy and safety in wet AMD. DAYBREAK is actively enrolling patients. DAYBREAK uses KSI-501's enhanced 50 mg/mL formulation containing both conjugated and unconjugated antibody that is intended to balance immediacy and durability.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About DAYBREAK and KSI-501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DAYBREAK study is a non-inferiority study evaluating parallel investigational arms of KSI-501 and tarcocimab against active comparator aflibercept. Patients randomized to KSI-501 will receive fixed every 8-week dosing with additional individualized dosing (up to monthly dosing) on an as needed basis after 4 monthly loading doses. Patients randomized to aflibercept will be dosed per label. Using the same treat-to-dryness approach as tarcocimab, coupled with fixed intensive proactive dosing, our goal is to maximize both the probability of meeting the primary endpoint as well as the probability of demonstrating additional efficacy benefits. The primary endpoint is non-inferiority in change in visual acuity from baseline to the average of Week 40, 44 and 48. The objective for KSI-501 in DAYBREAK is to explore the efficacy potential of bispecific VEGF and IL-6 inhibition in a broad treatment-naïve wet AMD population. DAYBREAK is now actively enrolling patients.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DAYBREAK is actively enrolling patients, and Kodiak anticipates to be in a position to announce topline data for the primary endpoint in 3Q 2026.</w:t>
      </w:r>
    </w:p>
    <w:p>
      <w:pPr>
        <w:pStyle w:val="TextBody"/>
        <w:bidi w:val="0"/>
        <w:spacing w:before="120" w:after="283"/>
        <w:jc w:val="left"/>
        <w:rPr>
          <w:rFonts w:ascii="Times New Roman" w:hAnsi="Times New Roman"/>
          <w:sz w:val="20"/>
        </w:rPr>
      </w:pPr>
      <w:r>
        <w:rPr>
          <w:rFonts w:ascii="Times New Roman" w:hAnsi="Times New Roman"/>
          <w:b/>
          <w:i/>
          <w:color w:val="000000"/>
          <w:sz w:val="20"/>
        </w:rPr>
        <w:t>KSI-101 Clinical Program Update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KSI-101 is a novel, potent and high strength (100 mg/mL) bispecific protein targeting IL-6 and VEGF. We are developing KSI-101 for patients with macular edema (retinal fluid) secondary to inflammation (MESI). MESI is a heterogenous group of diseases that clinically present with macular edema and visual impairment which are caused by a common pathophysiology–inflammation and blood retinal barrier disruption. The clinical presentation of retinal fluid and visual impairment is a mainstay in these patients, irrespective of the location of the inflammation inside of the eye (anterior, intermediate, posterior or all intraocular compartments) or the specific etiology (uveitic macular edema, post-procedural macular edema, inflammatory choroidal neovascularization of idiopathic macular edema).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Currently there are no available intravitreal biologic therapies addressing the spectrum of MESI diseases. We believe that MESI represents a new market segment separate from the established anti-VEGF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completed enrollment in our dose-finding Phase 1b study APEX. The APEX study evaluates KSI-101 in two cohorts, Cohort 1 in patients with DME and Cohort 2 in patients with MESI. APEX demonstrated that KSI-101 provides meaningful visual and anatomical gains in both DME and MESI and that KSI-101 is well tolerated. Meaningful treatment responses were seen in the MESI population, irrespective of the location of inflammation and specific MESI etiology, opening up the potential for KSI-101 to become a unifying treatment for this patient population.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Phase 1b multiple dose clinical trial data in patients with Macular Edema Secondary to Inflammation (MESI) demonstrated that a single dose of KSI-101 provided rapid and meaningful anatomical gains by Week 1, with corresponding visual acuity gains. Further anatomical and visual improvement were achieved with continued dosing, with more than 90% of patients in the study achieving dryness by week 8 (the effect of two doses of KSI-101), as evidenced by absence of both intra- and sub-retinal fluid. The APEX MESI data in patients who completed Week 12 also showed that half of the patients achieved a ≥15 letter gain, with an apparent additional benefit in the top two dose levels. KSI-101 was well tolerated.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APEX, the top two dose levels tested were selected to advance into the Phase 3 program. The PEAK and PINNACLE Phase 3 studies are actively enrolling MESI subjects at the 5 mg and 10 mg dose levels versus sham.</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About PEAK and PINNACLE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PEAK and PINNACLE studies are superiority studies evaluating two dose levels of KSI-101 (5 mg and 10 mg) compared to sham treatment in patients with MESI. PEAK and PINNACLE are identical in study design with key differences in patient population. PEAK includes patients with more severe disease (moderate to severe macular edema and vision impairment) and PINNACLE includes patients with milder disease (mild macular edema and any vision impairment), as well as patients with moderate to severe macular edema with good vision. Together, PEAK and PINNACLE are designed to enroll complementary patient populations and to cover a wide spectrum of MESI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randomized to the KSI-101 treatment arms will receive fixed monthly dosing for 6 doses (from Day 1 to Week 20), with subsequent individualized dosing (up to monthly dosing) for 6 additional visits (Week 24 to Week 44). Patients in the sham arm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will receive monthly sham dosing for 6 doses followed by sham PRN. The primary and key secondary endpoints will be evaluated at Week 24. PEAK and PINNACLE are now actively enrolling patients.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Pipeline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regards to our pipeline programs, dual cytokine-targeting bispecific antibody programs KSI-102 (anti-TNFa/IL-6) and KSI-103 (anti-IL-1/IL-6) continue to progress through pre-IND activities, targeting diseases of ocular inflammation and following on our development activities with KSI-101 for the treatment of macular edema secondary to inflammation.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Kodiak is advancing its platform technology to embed small molecules and other active pharmaceutical ingredients ("API") into Kodiak's proprietary biopolymer backbone to enable high drug-antibody-ratio ("DAR") medicines. The diverse APIs are designed to be released over time to achieve targeted, multi-specific and tailored modulation of biological pathways. The unique combination of high DAR and tailored therapeutic benefit offers potential for broad application to multifactorial systemic and ocular diseases and builds directly from our Antibody Biopolymer Conjugate technology and its 15 years of design, development and manufacturing experience. We call this platform extension our Antibody Biopolymer Conjugate Drug ("ABCD") Platform because we are extending our platform capabilities to include the conjugation of small molecule drugs whereas historically we primarily conjugated biologics such as antibodies.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One program is for the treatment of glaucoma, embedding in the biopolymer backbone (i) an NLRP3 small molecule inhibitor, and (ii) a second small molecule that lowers intraocular pressure ("IOP"). The NLRP3 inflammasome is an intracellular complex that drives inflammation and cell death and is known to play a key role in glaucoma progression. The goal of this duet program is to create an intravitreally injected therapy that delivers two mechanisms of action ("MOA") in a sustained release fashion, to fulfill the unmet needs in the glaucoma field for a long-durability therapy that delivers MOAs beyond IOP lowering and has the potential for quarterly dosing.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second program is for the treatment of geographic atrophy (“GA”). There are two approved therapies, both complement inhibitors, and they require monthly or every other month intravitreal injections and neither sufficiently halts disease progression. This program at Kodiak explores the potential to embed in the biopolymer backbone (i) a macrocyclic peptide inhibitor of the complement pathway, and (ii) an NLRP3 small molecule inhibitor. The NLRP3 inflammasome is known to play a key role in AMD disease biology. The objective of this duet program is to create an intravitreally injected ABCD platform-enabled therapy with a dual mechanism of action to achieve better efficacy and extended durability, for quarterly dosing, as compared to currently approved therapies for GA, which are based on a single mechanism of action and are dosed monthly or every other month.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retina duet programs in glaucoma and geographic atrophy built with ABC platform continue to progress towards IND.</w:t>
      </w:r>
    </w:p>
    <w:p>
      <w:pPr>
        <w:pStyle w:val="TextBody"/>
        <w:bidi w:val="0"/>
        <w:spacing w:before="120" w:after="283"/>
        <w:jc w:val="left"/>
        <w:rPr>
          <w:rFonts w:ascii="Times New Roman" w:hAnsi="Times New Roman"/>
          <w:sz w:val="20"/>
        </w:rPr>
      </w:pPr>
      <w:r>
        <w:rPr>
          <w:rFonts w:ascii="Times New Roman" w:hAnsi="Times New Roman"/>
          <w:b/>
          <w:i/>
          <w:color w:val="000000"/>
          <w:sz w:val="20"/>
        </w:rPr>
        <w:t>Digital Health Platform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Kodiak also continues to advance its VETi (Visual Engagement Technology and imager) program. VETi is built on Kodiak’s suite of proprietary LiDAR (Light Detection and Ranging) sensor technologies. VETi is an autonomous AI- and machine-learning-enabled wearable headset that engages directly into the eye with the potential to be used in a variety of ways to bolster our commercial retina franchise.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VETi program has achieved significant advancements in hardware, software and algorithms development. Broader application of these advancements in the fields of identity security and cognitive science have been explored with promising and rapid development of functioning prototype devices. Kodiak's leadership at the intersection of retinal biology, optics and artificial intelligence continues to advance.</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Operating Results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Substantially all of our research and development expenses consist of expenses incurred in connection with the development of our product candidates and ABC Platform. These expenses include certain payroll and personnel expenses, including stock-based compensation, for our research and product development employees; laboratory supplies and facility costs; consulting costs; fees paid to third-party vendors to conduct certain research and development activities on our behalf; and allocated overhead, including rent, equipment, depreciation and utilities. We expense both internal and external research and development expenses as they are incurred. Costs of certain activities, such as manufacturing and preclinical and clinical studies, are generally recognized based on an evaluation of the progress to completion of specific tasks. Payments made prior to the receipt of goods or services that will be used or rendered for future research and development activities are deferred and capitalized. The capitalized amounts are recognized as expense as the goods are delivered or the related services are performed.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focusing substantially all of our resources and development efforts on the development of our product candidates. Predicting the timing or the final cost to complete our clinical program or validation of our commercial manufacturing and supply processes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Furthermore, we are unable to predict when or if our drug candidates will receive regulatory approval with any certainty. </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principally of payroll and personnel expenses, including stock-based compensation; professional fees for legal, consulting, accounting and tax services; compliance costs associated with being a public company; allocated overhead, including rent, equipment, depreciation and utilities; and other general operating expenses not otherwise classified as research and development expenses.</w:t>
      </w:r>
    </w:p>
    <w:p>
      <w:pPr>
        <w:pStyle w:val="TextBody"/>
        <w:bidi w:val="0"/>
        <w:spacing w:before="24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consists primarily of interest income earned on our cash and cash equivalents.</w:t>
      </w:r>
    </w:p>
    <w:p>
      <w:pPr>
        <w:pStyle w:val="TextBody"/>
        <w:bidi w:val="0"/>
        <w:spacing w:before="240" w:after="283"/>
        <w:jc w:val="left"/>
        <w:rPr>
          <w:rFonts w:ascii="Times New Roman" w:hAnsi="Times New Roman"/>
          <w:sz w:val="20"/>
        </w:rPr>
      </w:pPr>
      <w:r>
        <w:rPr>
          <w:rFonts w:ascii="Times New Roman" w:hAnsi="Times New Roman"/>
          <w:i/>
          <w:color w:val="000000"/>
          <w:sz w:val="20"/>
        </w:rPr>
        <w:t>Other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 net consists primarily of tax expense and, in prior year periods, the change in fair value and settlement of derivative contracts.</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results of our operations for the periods indicated, in thousands:</w:t>
      </w:r>
    </w:p>
    <w:p>
      <w:pPr>
        <w:pStyle w:val="TextBody"/>
        <w:bidi w:val="0"/>
        <w:jc w:val="left"/>
        <w:rPr/>
      </w:pPr>
      <w:r>
        <w:rPr/>
        <w:t> </w:t>
      </w:r>
    </w:p>
    <w:tbl>
      <w:tblPr>
        <w:tblW w:w="10155" w:type="dxa"/>
        <w:jc w:val="left"/>
        <w:tblInd w:w="0" w:type="dxa"/>
        <w:tblLayout w:type="fixed"/>
        <w:tblCellMar>
          <w:top w:w="28" w:type="dxa"/>
          <w:left w:w="28" w:type="dxa"/>
          <w:bottom w:w="28" w:type="dxa"/>
          <w:right w:w="28" w:type="dxa"/>
        </w:tblCellMar>
      </w:tblPr>
      <w:tblGrid>
        <w:gridCol w:w="2411"/>
        <w:gridCol w:w="146"/>
        <w:gridCol w:w="211"/>
        <w:gridCol w:w="736"/>
        <w:gridCol w:w="166"/>
        <w:gridCol w:w="146"/>
        <w:gridCol w:w="211"/>
        <w:gridCol w:w="736"/>
        <w:gridCol w:w="166"/>
        <w:gridCol w:w="146"/>
        <w:gridCol w:w="211"/>
        <w:gridCol w:w="676"/>
        <w:gridCol w:w="166"/>
        <w:gridCol w:w="146"/>
        <w:gridCol w:w="211"/>
        <w:gridCol w:w="841"/>
        <w:gridCol w:w="166"/>
        <w:gridCol w:w="146"/>
        <w:gridCol w:w="211"/>
        <w:gridCol w:w="736"/>
        <w:gridCol w:w="166"/>
        <w:gridCol w:w="146"/>
        <w:gridCol w:w="211"/>
        <w:gridCol w:w="736"/>
        <w:gridCol w:w="311"/>
      </w:tblGrid>
      <w:tr>
        <w:trPr/>
        <w:tc>
          <w:tcPr>
            <w:tcW w:w="2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Three Months Ended </w:t>
              <w:br/>
              <w:t>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Months Ended </w:t>
              <w:br/>
              <w:t>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(3,414</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(23,618</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periods indicated, in thousands:</w:t>
      </w:r>
    </w:p>
    <w:p>
      <w:pPr>
        <w:pStyle w:val="TextBody"/>
        <w:bidi w:val="0"/>
        <w:jc w:val="left"/>
        <w:rPr/>
      </w:pPr>
      <w:r>
        <w:rPr/>
        <w:t> </w:t>
      </w:r>
    </w:p>
    <w:tbl>
      <w:tblPr>
        <w:tblW w:w="10100" w:type="dxa"/>
        <w:jc w:val="left"/>
        <w:tblInd w:w="0" w:type="dxa"/>
        <w:tblLayout w:type="fixed"/>
        <w:tblCellMar>
          <w:top w:w="28" w:type="dxa"/>
          <w:left w:w="28" w:type="dxa"/>
          <w:bottom w:w="28" w:type="dxa"/>
          <w:right w:w="28" w:type="dxa"/>
        </w:tblCellMar>
      </w:tblPr>
      <w:tblGrid>
        <w:gridCol w:w="2941"/>
        <w:gridCol w:w="146"/>
        <w:gridCol w:w="211"/>
        <w:gridCol w:w="676"/>
        <w:gridCol w:w="146"/>
        <w:gridCol w:w="146"/>
        <w:gridCol w:w="211"/>
        <w:gridCol w:w="676"/>
        <w:gridCol w:w="146"/>
        <w:gridCol w:w="146"/>
        <w:gridCol w:w="211"/>
        <w:gridCol w:w="676"/>
        <w:gridCol w:w="166"/>
        <w:gridCol w:w="146"/>
        <w:gridCol w:w="211"/>
        <w:gridCol w:w="676"/>
        <w:gridCol w:w="146"/>
        <w:gridCol w:w="146"/>
        <w:gridCol w:w="211"/>
        <w:gridCol w:w="676"/>
        <w:gridCol w:w="146"/>
        <w:gridCol w:w="146"/>
        <w:gridCol w:w="211"/>
        <w:gridCol w:w="676"/>
        <w:gridCol w:w="21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Three Months Ended </w:t>
              <w:br/>
              <w:t>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Months Ended </w:t>
              <w:br/>
              <w:t>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Tarcocimab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KSI-501 and KSI-101 program </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ABC Platform and other </w:t>
              <w:br/>
              <w:t>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personnel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Facilities and other research and </w:t>
              <w:br/>
              <w:t>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xml:space="preserve">Total research and development </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Tarcocimab program expenses increased $2.7 million and $11.0 million during the three and six months ended June 30, 2025, as compared to the same periods in 2024, primarily driven by increased expenses related to ongoing GLOW2 and DAYBREAK pivotal phase 3 clinical trials and increased tarcocimab manufacturing activities in preparation for a BLA filing.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KSI-501 and KSI-101 program expenses increased $4.2 million and $6.2 million during the three and six months ended June 30, 2025, as compared to the same periods in 2024, due to expanding clinical activities for the DAYBREAK and APEX studies, partially offset by reduced manufacturing expenses due to timing of production runs.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ABC Platform and other program expenses increased $3.3 million and $6.4 million during the three and six months ended June 30, 2025, as compared to the same periods in 2024, primarily due to increased biopolymer manufacturing activities in the current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Payroll and personnel expenses decreased $0.4 million and $0.5 million during the three and six months ended June 30, 2025, as compared to the same periods in 2024, primarily due to lower stock compensation expense as we are no longer recognizing expense associated with older, higher-value stock awards that have fully vested.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Facilities and other research and development expenses increased $0.4 million and $0.8 million during the three and six months ended June 30, 2025, as compared to the same periods in 2024, due to unfavorable remeasurements of liabilities denominated in foreign currency, partially offset by a reduction in the amount of rent expense allocated to R&amp;D following the sublease of one of our Palo Alto buildings.</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decreased $2.7 million during the three months ended June 30, 2025, as compared to the same period in 2024, due to lower stock compensation expense as we are no longer recognizing expense associated with older, higher-value stock awards that have fully vested; and lower net rent expense after subleasing one of our Palo Alto buildings. The decrease in general and administrative expenses of $3.4 million during the six months ended June 30, 2025, as compared to the same period in 2024, was driven by the same factors plus a non-cash $1.9 million lease impairment expense recorded in the first quarter of 2025 also related to the sublease.</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 Plan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funded our operations primarily through the issuance of common stock and the sale of future royalties. As of June 30, 2025, we had cash and cash equivalents of $104.2 million. We believe that our current cash and cash equivalents will be sufficient to support our current and planned operations into 2026.</w:t>
      </w:r>
    </w:p>
    <w:p>
      <w:pPr>
        <w:pStyle w:val="TextBody"/>
        <w:bidi w:val="0"/>
        <w:spacing w:before="240" w:after="283"/>
        <w:jc w:val="left"/>
        <w:rPr>
          <w:rFonts w:ascii="Times New Roman" w:hAnsi="Times New Roman"/>
          <w:sz w:val="20"/>
        </w:rPr>
      </w:pPr>
      <w:r>
        <w:rPr>
          <w:rFonts w:ascii="Times New Roman" w:hAnsi="Times New Roman"/>
          <w:b/>
          <w:i/>
          <w:color w:val="000000"/>
          <w:sz w:val="20"/>
        </w:rPr>
        <w:t>Future 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net losses and negative cash flows from operations since inception. As of June 30, 2025, we had an accumulated deficit of $1,441 million. We expect to continue to incur operating losses and negative operating cash flows for the foreseeable future and as a result, there is substantial doubt regarding our ability to continue as a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plan to raise additional capital to maintain current operations and to continue research and development activities. If we raise additional funds by issuing equity securities, our stockholders may experience dilution. Any future debt financing into which we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 may impose upon us covenants that restrict our operations, including limitations on our ability to incur liens or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pause, scale back or discontinue one or more of our development programs. We may also be required to sell or license rights to our product candidates or indications in certain territories to others that we would prefer to develop and commercialize ourselves. Adequate additional funding may not be available to us on acceptable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raise capital as and when needed could have a negative impact on our financial condition and our ability to pursue our business strategies. Refer to the section of this report titled “Part I, Item 1A — Risk Factors” for additional risks associated with our substantial capital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not generated any product revenue. We do not expect to generate any product revenue unless and until we obtain regulatory approval of and commercialize any of our product candidates or enter into collaborative agreements with third parties, and we do not know when, or if, either will occur. We expect to continue to incur significant losses for the foreseeable future, and we expect our losses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amount of our operating expenditures and capital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timing, rate of progress and costs of our drug discovery, preclinical development activities, laboratory testing and clinical trials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scope of clinical programs we decide to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and costs of manufacturing development and commercial manufacturing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timing and outcome of regulatory review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and timing associated with commercializing our product candidates, if they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maintaining and enforcing our intellectual property rights and defending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in-license other product candidates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collaborations on favorable terms, if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enhance operational systems and our ability to attract, hire and retain qualified personnel, including personnel to support the development of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being a public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Also, the significant uncertainties caused by any public health crises, on-going geopolitical conflicts, inflation, tariffs, rising interest rates, bank failures, on-going supply chain disruptions and volatile equity capital markets may also negatively impact our operations and capital resources. We and our key clinical and manufacturing partners have been able to continue to advance our operations, and we continue to monitor the impact of the aforementioned events on our ability to continue the development of, and seek regulatory approvals for, our product candidates, and begin to commercialize any approved products. One or more of these events may ultimately have a material adverse effect on our liquidity and operating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based our estimates on assumptions that may prove to be wrong, and we could deplete our available capital resources sooner than we expect. Because of the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Summary Statement of 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primary sources and uses of cash for each of the periods presented below, in thousands: </w:t>
      </w:r>
    </w:p>
    <w:p>
      <w:pPr>
        <w:pStyle w:val="TextBody"/>
        <w:bidi w:val="0"/>
        <w:jc w:val="left"/>
        <w:rPr/>
      </w:pPr>
      <w:r>
        <w:rPr/>
        <w:t> </w:t>
      </w:r>
    </w:p>
    <w:tbl>
      <w:tblPr>
        <w:tblW w:w="7862" w:type="dxa"/>
        <w:jc w:val="left"/>
        <w:tblInd w:w="0" w:type="dxa"/>
        <w:tblLayout w:type="fixed"/>
        <w:tblCellMar>
          <w:top w:w="28" w:type="dxa"/>
          <w:left w:w="28" w:type="dxa"/>
          <w:bottom w:w="28" w:type="dxa"/>
          <w:right w:w="28" w:type="dxa"/>
        </w:tblCellMar>
      </w:tblPr>
      <w:tblGrid>
        <w:gridCol w:w="4941"/>
        <w:gridCol w:w="146"/>
        <w:gridCol w:w="228"/>
        <w:gridCol w:w="796"/>
        <w:gridCol w:w="179"/>
        <w:gridCol w:w="157"/>
        <w:gridCol w:w="228"/>
        <w:gridCol w:w="796"/>
        <w:gridCol w:w="391"/>
      </w:tblGrid>
      <w:tr>
        <w:trPr/>
        <w:tc>
          <w:tcPr>
            <w:tcW w:w="4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(66,093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(63,909</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(66,422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Cash Flows from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$63.8 million for the six months ended June 30, 2025, based on operational spend of $65.1 million, partially offset by changes in operating assets and liabilities of $1.3 million.</w:t>
      </w:r>
    </w:p>
    <w:p>
      <w:pPr>
        <w:pStyle w:val="TextBody"/>
        <w:bidi w:val="0"/>
        <w:spacing w:before="240" w:after="283"/>
        <w:jc w:val="left"/>
        <w:rPr>
          <w:rFonts w:ascii="Times New Roman" w:hAnsi="Times New Roman"/>
          <w:sz w:val="20"/>
        </w:rPr>
      </w:pPr>
      <w:r>
        <w:rPr>
          <w:rFonts w:ascii="Times New Roman" w:hAnsi="Times New Roman"/>
          <w:b/>
          <w:color w:val="000000"/>
          <w:sz w:val="20"/>
        </w:rPr>
        <w:t>Contractual Obligations and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disclosure of our contractual obligations and commitments is set forth under the heading “Management’s Discussion and Analysis of Financial Condition and Results of Operations — Material Cash Requirements and Material Known Contractual Obligations and Commitments” in our Annual Report on Form 10-K for the year ended December 31, 2024, which was filed with the SEC on March 27, 2025. There have been no material changes in our contractual obligations and commitments since December 31, 2024, except as otherwise described in Note 5 to our unaudited condensed consolidated financial statements included in this report.</w:t>
      </w:r>
    </w:p>
    <w:p>
      <w:pPr>
        <w:pStyle w:val="TextBody"/>
        <w:bidi w:val="0"/>
        <w:spacing w:before="240" w:after="283"/>
        <w:jc w:val="left"/>
        <w:rPr>
          <w:rFonts w:ascii="Times New Roman" w:hAnsi="Times New Roman"/>
          <w:sz w:val="20"/>
        </w:rPr>
      </w:pPr>
      <w:r>
        <w:rPr>
          <w:rFonts w:ascii="Times New Roman" w:hAnsi="Times New Roman"/>
          <w:b/>
          <w:color w:val="000000"/>
          <w:sz w:val="20"/>
        </w:rPr>
        <w:t>Critical Accounting Policies, Significant Judgments and 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consolidated financial statements have been prepared in accordance with U.S. generally accepted accounting principles, or GAAP. The preparation of these consolidated financial statements requires us to make estimates and assumptions that affect the reported amounts of assets and liabilities,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2025, there were no material changes to our critical accounting policies as reported in our Annual Report on Form 10-K for the year ended December 31, 2024, which was filed with the SEC on March 27, 2025, except as otherwise described in Note 2 to our unaudited condensed consolidated financial statements included in this report.</w:t>
      </w:r>
    </w:p>
    <w:p>
      <w:pPr>
        <w:pStyle w:val="TextBody"/>
        <w:bidi w:val="0"/>
        <w:spacing w:before="24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description of recently issued accounting pronouncements that may potentially impact our financial position and results of operations is discussed under Note 2 to our unaudited condensed consolidated financial statements included in this report.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_item3"/>
      <w:bookmarkEnd w:id="11"/>
      <w:r>
        <w:rPr>
          <w:rFonts w:ascii="Times New Roman" w:hAnsi="Times New Roman"/>
          <w:b/>
          <w:color w:val="000000"/>
          <w:sz w:val="20"/>
        </w:rPr>
        <w:t>Item 3. Quantitative and Qualitati</w:t>
      </w:r>
      <w:bookmarkStart w:id="12" w:name="item_3_quantitative_qualitative_disclosu"/>
      <w:bookmarkEnd w:id="12"/>
      <w:r>
        <w:rPr>
          <w:rFonts w:ascii="Times New Roman" w:hAnsi="Times New Roman"/>
          <w:b/>
          <w:color w:val="000000"/>
          <w:sz w:val="20"/>
        </w:rPr>
        <w:t>ve Disclosures About Market Risk.</w:t>
      </w:r>
    </w:p>
    <w:p>
      <w:pPr>
        <w:pStyle w:val="TextBody"/>
        <w:bidi w:val="0"/>
        <w:spacing w:before="120" w:after="283"/>
        <w:jc w:val="left"/>
        <w:rPr>
          <w:rFonts w:ascii="Times New Roman" w:hAnsi="Times New Roman"/>
          <w:color w:val="000000"/>
          <w:sz w:val="20"/>
        </w:rPr>
      </w:pPr>
      <w:bookmarkStart w:id="13" w:name="s161692780"/>
      <w:bookmarkEnd w:id="13"/>
      <w:r>
        <w:rPr>
          <w:rFonts w:ascii="Times New Roman" w:hAnsi="Times New Roman"/>
          <w:color w:val="000000"/>
          <w:sz w:val="20"/>
        </w:rPr>
        <w:t>As a “smaller reporting company,” as defined by Rule 12b-2 of the Exchange Act, and pursuant to Item 305 of Regulation S-K we are not required to provide quantitative and qualitative disclosures about market risk.</w:t>
      </w:r>
    </w:p>
    <w:p>
      <w:pPr>
        <w:pStyle w:val="TextBody"/>
        <w:bidi w:val="0"/>
        <w:spacing w:before="240" w:after="283"/>
        <w:jc w:val="left"/>
        <w:rPr>
          <w:rFonts w:ascii="Times New Roman" w:hAnsi="Times New Roman"/>
          <w:sz w:val="20"/>
        </w:rPr>
      </w:pPr>
      <w:bookmarkStart w:id="14" w:name="item_4_controls_procedures"/>
      <w:bookmarkEnd w:id="14"/>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Management’s Evaluation of our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or persons performing similar functions, as appropriate to allow timely decisions regarding required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management, with the participation of our principal executive officer and principal financial officer, evaluated the effectiveness of the Company’s disclosure controls and procedures as of June 30, 2025. Based upon such evaluation, our principal executive officer and principal financial officer concluded that the design and operation of our disclosure controls and procedures were effective at a reasonable assurance level as of June 30,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has been no change in our internal control over financial reporting during the quarter ended June 30, 2025, that has materially affected, or is reasonably likely to materially affect, our internal control over financial reporting.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5" w:name="i_item4t"/>
      <w:bookmarkEnd w:id="15"/>
      <w:r>
        <w:rPr>
          <w:rFonts w:ascii="Times New Roman" w:hAnsi="Times New Roman"/>
          <w:b/>
          <w:color w:val="000000"/>
          <w:sz w:val="20"/>
        </w:rPr>
        <w:t>PART II—OTHER</w:t>
      </w:r>
      <w:bookmarkStart w:id="16" w:name="part_iior_information"/>
      <w:bookmarkEnd w:id="16"/>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b/>
          <w:color w:val="000000"/>
          <w:sz w:val="20"/>
        </w:rPr>
      </w:pPr>
      <w:bookmarkStart w:id="17" w:name="item_1_legal_proceedings"/>
      <w:bookmarkEnd w:id="17"/>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become involved in litigation relating to claims arising from the ordinary course of business. As of the date of this report, there are no claims or actions pending against us, the ultimate disposition of which could have a material adverse effect on our results of operations or financial condition. </w:t>
      </w:r>
    </w:p>
    <w:p>
      <w:pPr>
        <w:pStyle w:val="TextBody"/>
        <w:bidi w:val="0"/>
        <w:spacing w:before="240" w:after="283"/>
        <w:jc w:val="left"/>
        <w:rPr>
          <w:rFonts w:ascii="Times New Roman" w:hAnsi="Times New Roman"/>
          <w:b/>
          <w:color w:val="000000"/>
          <w:sz w:val="20"/>
        </w:rPr>
      </w:pPr>
      <w:bookmarkStart w:id="18" w:name="item_1a_risk_factors"/>
      <w:bookmarkEnd w:id="18"/>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consider carefully the following risk factors, together with all the other information in this report, including the section of this report titled “Part I, Item 2 — Management’s Discussion and Analysis of Financial Condition and Results of Operations” and our unaudited condensed financial statements and notes thereto. The occurrence of any events described in the following risk factors and the risks described elsewhere in this report could harm our business, operating results, financial condition, and/or growth prospects or cause our actual results to differ materially from those contained in forward-looking statements that we have made in this report and those may make from time to time. You should consider all of the risk factors described when evaluating our business. We have marked with an asterisk (*) those risk factors that were not included as separate risk factors in, or reflect changes to, the similarly titled risk factors included in Part I, Item 1A, Risk Factors, in our Annual Report on Form 10-K, filed with the SEC on March 27, 2025.</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the Discovery, Development and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in the clinical stage of drug development and have a very limited operating history and no products approved for commercial sale, which may make it difficult to evaluate our current business and predict our future success and viability.*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 stage biopharmaceutical company committed to researching, developing and commercializing transformative therapeutics to treat a broad spectrum of retinal diseases. We commenced operations in June 2009, have no products approved for commercial sale and have not generated any revenue. Drug development is a highly uncertain undertaking and involves a substantial degree of risk. We have conducted clinical trials, including Phase 3 pivotal clinical trials, of tarcocimab in patients with wet AMD, DME, DR and RVO. We completed enrollment for the Phase 3 GLOW2 clinical trial of tarcocimab in patients with DR and Phase 1b APEX clinical trial of KSI-101 in patients with DME and patients with MESI. We continued enrollment for the on-going Phase 3 DAYBREAK clinical trial of tarcocimab and KSI-501 in patients with wet AMD and Phase 3 PEAK and PINNACLE clinical trials of KSI-101 in patients with MESI.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not obtained marketing approval for any of our product candidates, or conducted sales and marketing activities necessary for successful product commercialization. Our limited operating history as a company and stage of drug development make any assessment of our future success and viability subject to significant uncertainty. We will encounter risks and difficulties frequently experienced by biopharmaceutical companies in rapidly evolving fields, and we have not yet demonstrated an ability to successfully overcome such risks and difficulties. If we do not address these risks and difficulties successfully, our business will suffer. </w:t>
      </w:r>
    </w:p>
    <w:p>
      <w:pPr>
        <w:pStyle w:val="TextBody"/>
        <w:bidi w:val="0"/>
        <w:spacing w:before="120" w:after="283"/>
        <w:jc w:val="left"/>
        <w:rPr>
          <w:rFonts w:ascii="Times New Roman" w:hAnsi="Times New Roman"/>
          <w:sz w:val="20"/>
        </w:rPr>
      </w:pPr>
      <w:r>
        <w:rPr>
          <w:rFonts w:ascii="Times New Roman" w:hAnsi="Times New Roman"/>
          <w:b/>
          <w:i/>
          <w:color w:val="000000"/>
          <w:sz w:val="20"/>
        </w:rPr>
        <w:t>Our prospects are heavily dependent on our tarcocimab, KSI-501 and KSI-101 product candidates, which are currently in clinical development for multiple indications.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prospects will be heavily dependent on our tarcocimab, KSI-501 and KSI-101 product candidates and the results of planned or pending clinical studies. We cannot be certain that our product candidates will be successful in any of the planned or pending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previous clinical trial results are not necessarily predictive of the results of our on-going or future discovery programs or any future preclinical or clinical studies. Our ability to demonstrate efficacy, safety and clinical durability in pivotal studies may be affected by the patient populations sampled and the design of our pivotal studies. Many companies in the pharmaceutical and biotechnology industries have suffered significant setbacks in late-stage clinical studies after achieving positive results in previous clinical studies, and we cannot be certain that we will not face similar setbacks. These setbacks have been caused by, among other things, preclinical findings made while clinical studies were underway or safety or efficacy observations made in preclinical studies and clinical studies, including previously unreported or unobserved adverse events as more patients are treated and followed for longer periods of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in our Phase 2b/3 DAZZLE clinical trial evaluating the efficacy, durability and safety of tarcocimab in treatment-naïve subjects with neovascular wet AMD and in our Phase 3 GLEAM and GLIMMER studies, tarcocimab did not meet the primary efficacy endpoint of showing non-inferior visual acuity gains.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significant variability in safety or efficacy results between different clinical studies of the same product candidate due to numerous factors, including changes in study procedures set forth in protocols, differences in the size and type of the patient populations, changes in and adherence to the clinical study protocols and the rate of dropout among clinical study participants. Moreover, preclinical and clinical data are often susceptible to varying interpretations and analyses, and many companies that believed their product candidates performed satisfactorily in preclinical studies and clinical studies nonetheless failed to obtain FDA approval. If approved, clinical study designs and data are not necessarily predictive of the final marketed product label. FDA may not approve a label for a particular dosing frequency, even if we believe the data demonstrate support for that dosing.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conducted a Phase 1 study of KSI-501 to evaluate the safety, tolerability and bioactivity of KSI-501 in DME. Although we have continued enrolling patients in the Phase 3 DAYBREAK study for patients with wet AMD, it could take years before a registrational-type trial is completed, if at all. In addition, we initiated a dose-finding Phase 1b APEX study in 2024 and dual Phase 3 studies, PEAK and PINNACLE, in 2025. We may in the future develop other product candidates, advance additional product candidates into clinical trials and terminate such trials prior to their completion. It will take additional investment and time for such programs to reach the same stage of development as tarcocimab, KSI-501 and KSI-101.</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failure of pivotal studies of tarcocimab to meet their primary efficacy endpoints may lead us to pause, change or discontinue development of other product candidates based on our ABC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2023, we announced that the Phase 3 GLEAM and GLIMMER clinical trials of tarcocimab did not meet their primary efficacy endpoints and, as a result, we paused further development of tarcocimab pending review of Year 1 data from the Phase 3 BEACON study in patients with RVO and the Phase 3 GLOW1 study patients with DR. Although we resumed the development of tarcocimab in November 2023, we may again determine to discontinue development of tarcocimab or our ABC Platform or other product candidates based on future information or trials results, which could prevent us from, or significantly delay, achieving profitability and could result in disruptions to our business including potential impairment charges, restructuring costs, or costs that are greater than expected.</w:t>
      </w:r>
    </w:p>
    <w:p>
      <w:pPr>
        <w:pStyle w:val="TextBody"/>
        <w:bidi w:val="0"/>
        <w:spacing w:before="240" w:after="283"/>
        <w:jc w:val="left"/>
        <w:rPr>
          <w:rFonts w:ascii="Times New Roman" w:hAnsi="Times New Roman"/>
          <w:sz w:val="20"/>
        </w:rPr>
      </w:pPr>
      <w:r>
        <w:rPr>
          <w:rFonts w:ascii="Times New Roman" w:hAnsi="Times New Roman"/>
          <w:b/>
          <w:i/>
          <w:color w:val="000000"/>
          <w:sz w:val="20"/>
        </w:rPr>
        <w:t>Our plan for the development of tarcocimab, KSI-501 or KSI-101 may be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resumed further development of tarcocimab in November 2023 following the outcomes of two other trials that were then underway. While we have previous trials with favorable results and we have since resumed development of tarcocimab, further development of tarcocimab may ultimately not be successful. In connection with our development program, we developed an enhanced, commercial formulation of tarcocimab. While the FDA has advised that the additional clinical studies to be conducted with the revised formulation should be sufficient to bridge the former material to the go-to-market material, we cannot be sure that the FDA, EMA or comparable foreign regulatory authorities would agree or accept our planned BLA even if our planned additional trials are successful.</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 of biopharmaceutical products is inherently risky. We cannot give any assurance that any of our product candidates will receive regulatory, including marketing, approval, which is necessary before they can be commercialized.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at an early stage of development of our product candidates. Our future success is dependent on our ability to successfully develop, obtain regulatory approval for, and then successfully commercialize our product candidates, and we may fail to do so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have in the past and may in the future not successfully complete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product candidate obtains regulatory approval, approval may be for indications, dosage and administration or patient populations that are not as broad as intended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on further study, be shown to have harmful side effects or other characteristics that indicate it is unlikely to be effective or otherwise does not meet applicable regulatory criteria, for example a positive benefit-risk profile;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may develop therapeutics that render our product candidates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may develop platform technologies that render our ABC Platform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product candidates and ABC Platform that we develop may not be sufficiently covered by intellectual property for which we hold exclusive rights or may be covered by third party patents or other intellectual property or exclusive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for a product candidate may change so that the continued development of that product candidate is no longer reasonable or commercially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not be capable of being produced in commercial quantities at an acceptable cost, or at all;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product candidate obtains regulatory approval, we may be unable to establish sales and marketing capabilities, or successfully market such approved product candidate, to gain market acceptance;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not be accepted as safe and effective by patients, the medical community or third-party payors, if applicable.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these events occurs, we may be forced to abandon our development efforts for a product candidate or candidates, which would have a material adverse effect on our business and could potentially cause us to cease operations. Failure of a product candidate may occur at any stage of preclinical or clinical development, and, because our product candidates and our ABC Platform are in development, there is a relatively higher risk of failure and we may never succeed in developing marketable products or generating product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we may not be successful in our efforts to further develop our product candidates and our ABC Platform in time to meet the current and identified market opportunity.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various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studies that we may conduct may not demonstrate the efficacy and safety necessary to obtain regulatory approval to market our product candidates. If the results of our on-going or future clinical studies are inconclusive with respect to the efficacy of our product candidates or if we do not meet the clinical endpoints with statistical significance or if there are safety concerns or adverse events associated with our product candidates, we may be prevented or delayed in obtaining marketing approval for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successfully completes clinical trials, we generally plan to seek regulatory approval to market our product candidates in the United States, the EU, and in additional foreign countries where we believe there is a viable commercial opportunity. We have never commenced, compiled or submitted an application seeking regulatory approval to market any product candidate in any jurisdiction. We may never receive regulatory approval to market any product candidates even if such product candidates successfully complete clinical trials, which would adversely affect our viability. To obtain regulatory approval in countries outside the United States, we must comply with numerous and varying regulatory requirements of such other countries regarding safety, efficacy, chemistry, manufacturing and controls, clinical trials, commercial sales, pricing, and distribution of our product candidates. We may also rely on our collaborators or partners to conduct the required activities to support an application for regulatory approval, and to seek approval, for one or more of our product candidates. We cannot be sure that our collaborators or partners will conduct these activities successfully or do so within the timeframe we desire. Even if we (or our collaborators or partners) are successful in obtaining approval in one jurisdiction, we cannot ensure that we will obtain approval in any other jurisdictions. If we are unable to obtain approval for our product candidates in multiple jurisdictions, our revenue and results of operations could be negatively affected.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receive regulatory approval to market any of our product candidates, we cannot assure you that any such product candidate will be successfully commercialized, widely accepted in the marketplace or more effective than other commercially available alternatives. That approval may be for indications, dosage and administration or patient populations that are not as broad as intended or desired or may require labeling that includes significant use or distribution restrictions or safety warnings. We may also be required to perform additional or unanticipated clinical studies to obtain approval or be subject to additional post-marketing testing requirements to maintain regulatory approval. In addition, regulatory authorities may withdraw their approval of a product or impose restrictions on its distribution, such as in the form of a modified Risk Evaluation and Mitigation Strategy, or REMS. The failure to obtain timely regulatory approval of product candidates, any product marketing limitations or a product withdrawal would negatively impact our business, results of operations and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encounter substantial delays in our clinical trials, or may not be able to conduct or complete our clinical trials on the timelines we expect, if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testing is expensive, time consuming, and subject to uncertainty. We cannot guarantee that any clinical trials will be conducted as planned or completed on schedule, if at all. We cannot be sure that submission of an IND application or a clinical trial application, or CTA, will result in the FDA, European Medicines Agency, or EMA, or any other regulatory authority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 Events that may prevent successful or timely initiation or completion of clinical trials include: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inability to generate sufficient preclinical, toxicology, or other </w:t>
      </w: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or </w:t>
      </w:r>
      <w:r>
        <w:rPr>
          <w:rFonts w:ascii="Times New Roman" w:hAnsi="Times New Roman"/>
          <w:i/>
          <w:color w:val="000000"/>
          <w:sz w:val="20"/>
        </w:rPr>
        <w:t>in vitro</w:t>
      </w:r>
      <w:r>
        <w:rPr>
          <w:color w:val="000000"/>
        </w:rPr>
        <w:t xml:space="preserve"> </w:t>
      </w:r>
      <w:r>
        <w:rPr>
          <w:rFonts w:ascii="Times New Roman" w:hAnsi="Times New Roman"/>
          <w:color w:val="000000"/>
          <w:sz w:val="20"/>
        </w:rPr>
        <w:t xml:space="preserve">data to support the initiation or continuation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agencies on study design;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determination by the reviewing regulatory authority to require more costly or lengthy clinical trials than we currently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agreement on acceptable terms with clinical trial sites or other third-party vendors, the terms of which can be subject to extensive negotiation and may vary significantly among different clinical trial sites or vendors;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identifying, recruiting and training suitable clinical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obtaining required Institutional Review Board, or IRB, approval at each clinical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study sites; developments on trials conducted by competitors for related technology that raises FDA, EMA or any other regulatory authority concerns about risk to patients of the technology broadly; or if the FDA, EMA or any other regulatory authority finds that the investigational protocol or plan is clearly deficient to meet its stated objectives;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identifying, recruiting and enrolling suitable patients to participate in our clinical trials, and delays caused by patients withdrawing from clinical trials or failing to return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collaborating with patient groups and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by third parties or us to adhere to clinical trial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perform in accordance with the FDA’s or any other regulatory authority’s good clinical practices, or GCPs, requirements, or applicable EMA or other regulatory guidelines in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occurrence of adverse events associated with the product candidate that are viewed to outweigh its potential benefits;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requirements and guidance that require amending or submitting new clinical protocols;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standard of care on which a clinical development plan was based, which may require new or additional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clinical trials of our product candidates being greater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our product candidates producing negative or inconclusive results, which may result in our deciding, or regulators requiring us, to conduct additional clinical trials or abandon development of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transfer of manufacturing processes to larger-scale facilities operated by CMOs or by us, and delays or failure by our CMOs or us to make any necessary changes to such manufacturing process;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manufacturing, testing, releasing, validating, or importing/exporting sufficient stable quantities of our product candidates for use in clinical trials and for use in regulatory filings or the inability to do any of the foregoing.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also encounter delays if a clinical trial is suspended or terminated by us, by the data safety monitoring board for such trial or by the FDA, EMA or any other regulatory authority, or if the IRBs of the institutions in which such trials are being conducted suspend or terminate the participation of their clinical investigators and sites subject to their review. Regulatory authorities may suspend or terminate a clinical trial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We may also face delays if we are unable to reach agreement with the FDA, EMA or other regulatory authorities regarding CMC matters, including methodologies for, and assessment of, comparability of manufacturing procedures and lots.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the commencement, conduct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Our product candidates may cause undesirable side effects or have other properties that could halt their clinical development, prevent their regulatory approval, limit their commercial potential or result in significant negative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events or other undesirable side effects caused by our product candidates could cause us or regulatory authorities to interrupt, delay or halt clinical trials and could result in a more restrictive label or the delay or denial of regulatory approval by the FDA, EMA or other comparable foreign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Phase 3 clinical trials or, in some cases, after they are made available to patients on a commercial scale after approval. If additional clinical experience indicates that any of our product candidates has side effects or causes serious or life-threatening side effects, the development of the product candidate may fail or be delayed, or, if the product candidate has received regulatory approval, such approval may be revoked, which would severely harm our business, prospects, operating results and financial condition. For example, in the tarcocimab arms of our completed GLEAM and GLIMMER clinical trials, we observed an unexpected increase in cataracts, which we believe may have contributed meaningfully to the failure of each study to meet its primary efficacy endpoint.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most advanced product candidate, tarcocimab, is an anti-VEGF biologic that we have studied in wet AMD, DME, DR and RVO. Our KSI-501 product candidate is a first-in-class bispecific antibody conjugate designed to inhibit two mechanisms implicated in retinal diseases: IL-6 and VEGF. Our KSI-101 product candidate is the unconjugated protein portion of KSI-501 and is a novel bispecific protein targeting IL-6 and VEGF. There are some potential side effects associated with intravitreal anti-VEGF therapies such as intraocular hemorrhage, intraocular pressure elevation, retinal detachment, inflammation, vasculitis, artery occlusion or infection inside the eye, progression of cataract, and over-inhibition of VEGF, as well as the potential for potential systemic side effects such as heart attack, stroke, wound healing problems and high blood pressure. Recent trends in the development of anti-VEGF therapies have favored increased molar dosages, as compared to currently marketed treatments. To date these heightened dosages have not exhibited a safety profile significantly worse than that of current treatments, as attributable to molar dose. However, anti-VEGF product candidates featuring higher molar dosages, including tarcocimab, KSI-501 and KSI-101 may heighten the risk of adverse effects associated with anti-VEGF treatments generally, both in the eye and in the rest of the body. There are risks inherent in the intravitreal injection procedure of drugs like tarcocimab, KSI-501 and KSI-101 which can cause injury to the eye and other complications including conjunctival hemorrhage, punctate keratitis, eye pain, conjunctival hyperemia, intra-ocular inflammation and endophthalmitis. Any additional toxicology signal observed, be it real or perceived, may negatively impact perceptions of utilization of tarcocimab, KSI-501 and KSI-101 in broader populations and impact clinical trial enrollment, regulatory approval and commercial success.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Drug-related side effects could affect patient recruitment, the ability of enrolled patients to complete the study and/or result in potential product liability claims. We may not be able to maintain insurance coverage at a reasonable cost or in sufficient amounts to protect us against losses due to liability. A successful product liability claim or series of claims brought against us could cause our stock price to decline and, if judgments exceed our insurance coverage, could adversely affect our results of operations and business. In addition, regardless of merit or eventual outcome, product liability claims may result in impairment of our business reputation, withdrawal of clinical trial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withdraw approvals of such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additional warnings on the label;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change the way the product is administered or conduct additional clinical trials or post-approval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create a REMS plan, which could include a medication guide outlining the risks of such side effects for distribution to patients, a communication plan for healthcare providers and/or other elements to assure safe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sued and held liable for harm caused to patients;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events could prevent us from achieving or maintaining market acceptance of the particular product candidate, if approved, and could significantly harm our business,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encounter difficulties enrolling patients in our clinical trials, and our clinical development activities could thereby be delayed or otherwise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nature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eligibility criteria defined in the protocol, including certain highly-specific criteria related to stage of disease progression, which may limit the patient populations eligible for our clinical trials to a greater extent than competing clinical trials for the same indication that do not have such patient eligibility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of the study population required for analysis of the trial’s primary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proximity of patients to a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health epidemics, including the resulting shelter-in-place, travel or similar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design of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new safety events may cause physicians to decrease patient enrollment in our current or planned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clinical trial investigators with the appropriate competencies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competing clinical trials for similar therapies or targeting patient populations meeting our patient eligibility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clinicians’ and patients’ perceptions as to the potential advantages and side effects of the product candidate being studied in relation to other available therapies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patient consents;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that patients enrolled in clinical trials will not complete such trials, for any reason.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commence sales of and generate revenues from our product candidates, which may harm our business and results of operation. </w:t>
      </w:r>
    </w:p>
    <w:p>
      <w:pPr>
        <w:pStyle w:val="TextBody"/>
        <w:bidi w:val="0"/>
        <w:spacing w:before="240" w:after="283"/>
        <w:jc w:val="left"/>
        <w:rPr>
          <w:rFonts w:ascii="Times New Roman" w:hAnsi="Times New Roman"/>
          <w:sz w:val="20"/>
        </w:rPr>
      </w:pPr>
      <w:r>
        <w:rPr>
          <w:rFonts w:ascii="Times New Roman" w:hAnsi="Times New Roman"/>
          <w:b/>
          <w:i/>
          <w:color w:val="000000"/>
          <w:sz w:val="20"/>
        </w:rPr>
        <w:t>Our clinical trials may fail to demonstrate substantial evidence of the durability, efficacy and safety of our product candidates, which would prevent, delay or limit the scope of regulatory approval and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regulatory approvals for the commercial sale of any of our product candidates, we must demonstrate through lengthy, complex and expensive preclinical studies and clinical trials that our product candidates are both safe and effective for use in each target indication. For those product candidates that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which is especially true for anti-VEGF biologic agents, where available marketed therapies are well-established products with accepted safety profiles.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testing is expensive and can take many years to complete, and its outcome is inherently uncertain. Failure can occur at any time during the clinical trial process. Most product candidates that begin clinical trials are never approved by regulatory authorities for commercialization. The results of preclinical 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efficacy or durability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Product candidates in later stages of clinical trials may fail to show the desired safety, efficacy and durability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For example, in our Phase 2b/3 DAZZLE clinical trial evaluating the efficacy, durability and safety of tarcocimab in treatment-naïve subjects with neovascular wet AMD and in our Phase 3 GLEAM and GLIMMER studies, tarcocimab did not meet the primary efficacy endpoint of showing non-inferior visual acuity gains.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design and execute clinical trials that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even if such clinical trials are successfully completed, we cannot guarantee that the FDA or foreign regulatory authorities will interpret the results as we do, and more trials or trials of a different design could be required before we submit our product candidates for approval. To the extent that the results of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Even if trial results are successful at the primary endpoint, clinical trial results may be different or worse in the extended treatment periods following the primary endpoint, and such data may negatively impact perceptions by regulatory authorities, the clinical community or commercial payors of the benefits of our product candidates.</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successful in our efforts to continue to create a pipeline of product candidates or to develop commercially successful products. If we fail to successfully identify and develop additional product candidates, our commercial opportunity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methodology may be unsuccessful in identifying potential product candidates, or our potential product candidates may be shown to have harmful side effects or may have other characteristics that may make them unmarketable or unlikely to receive marketing approval. Identifying, developing, obtaining regulatory approval and commercializing additional product candidates for the treatment of retinal diseases will require substantial additional funding and is prone to the risks of failure inherent in drug development. If we are unable to successfully identify, acquire, develop and commercialize additional product candidates, our commercial opportunity may be limited.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of our strategies is to identify and pursue clinical development of product candidates based on our ABC Platform. Our ABC Platform may not produce a pipeline of viable product candidates, or our competitors may develop platform technologies that render our ABC Platform obsolete or less attractive.</w:t>
      </w:r>
    </w:p>
    <w:p>
      <w:pPr>
        <w:pStyle w:val="TextBody"/>
        <w:bidi w:val="0"/>
        <w:spacing w:before="240" w:after="283"/>
        <w:jc w:val="left"/>
        <w:rPr>
          <w:rFonts w:ascii="Times New Roman" w:hAnsi="Times New Roman"/>
          <w:sz w:val="20"/>
        </w:rPr>
      </w:pPr>
      <w:r>
        <w:rPr>
          <w:rFonts w:ascii="Times New Roman" w:hAnsi="Times New Roman"/>
          <w:b/>
          <w:i/>
          <w:color w:val="000000"/>
          <w:sz w:val="20"/>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and commercialization of new drug products is highly competitive. We may face competition with respect to any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a number of large pharmaceutical and biotechnology companies that are currently pursuing the development of products for the treatment of the retinal diseases for which we have product candidates. Several of our competitors have commercially approved products for the treatment of retinal diseases that we are pursuing or may pursue in the future, including Roche, Regeneron and Novartis for the treatment of wet AMD, DME, DR and RVO. These drugs are well established therapies and are widely accepted by physicians, patients and third-party payors, which may make it difficult to educate these parties on the benefits of switching to any product candidates developed by us. Companies that we are aware are developing and/or commercializing therapeutics in the retinal disease area include large companies with significant financial resources, such as Roche, Novartis, Bayer, Regeneron, AbbVie, Boehringer Ingelheim, Amgen, and Samsung Bioepis. In addition to competition from other companies targeting retinal indications,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products we may develop may also face competition from other types of therapies, such as gene-editing therapies and drug delivery devices.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Roche’s product, Vabysmo (faricimab) received FDA approval for the treatment of wet AMD and DME in January 2022 and received FDA approval for RVO in October 2023. Vabysmo has gained rapid adoption since launch and garnered significant market share. Regeneron’s product, Eylea HD (high dose aflibercept) gained FDA approval for the treatment of wet AMD, DME and DR in August 2023. It has also become an important therapy in the marketplace due to Regeneron’s incumbent position in retinal diseases. Even if our product candidates present a compelling clinical profile, we may not be able to market our product candidates as effectively as our competitors. For example, entrenched franchises may seek to impede adoption of our product candidates through significant discounts or rebates.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retinal disease indications, which could give such products significant regulatory and market timing advantages over any of our product candidates. Our competitors also may obtain FDA, EMA or other regulatory approval for their products more rapidly than we may obtain approval for ours. Additionally, products or technologies developed by our competitors may render our product candidates uneconomical or obsolete, and we may not be successful in marketing any product candidates we may develop against competitors.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For more information regarding potential disputes concerning intellectual property, see the subsection of this Quarterly Report on Form 10-Q titled “Risks Related to Our Intellectual Property.” </w:t>
      </w:r>
    </w:p>
    <w:p>
      <w:pPr>
        <w:pStyle w:val="TextBody"/>
        <w:bidi w:val="0"/>
        <w:spacing w:before="240" w:after="283"/>
        <w:jc w:val="left"/>
        <w:rPr>
          <w:rFonts w:ascii="Times New Roman" w:hAnsi="Times New Roman"/>
          <w:sz w:val="20"/>
        </w:rPr>
      </w:pPr>
      <w:r>
        <w:rPr>
          <w:rFonts w:ascii="Times New Roman" w:hAnsi="Times New Roman"/>
          <w:b/>
          <w:i/>
          <w:color w:val="000000"/>
          <w:sz w:val="20"/>
        </w:rPr>
        <w:t>The manufacture of our product candidates is highly complex and requires substantial lead time to produce.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our product candidates involves complex processes, including developing cells or cell systems to produce the biologic, growing large quantities of such cells, and harvesting and purifying the biologic produced by them. These processes require specialized facilities, highly specific raw materials and other production constraints. As a result, the cost to manufacture a biologic is generally far higher than traditional small molecule chemical compounds, and the biologics manufacturing process is less reliable and is difficult to reproduce. Because of the complex nature of our products, we need to oversee the manufacture of multiple components that require a diverse knowledge base and specialized personnel. Commercial manufacturing scale-up timelines may be negatively affected by material shortages, construction delays and supply chain challenges due to, among other factors, global supply chain shortages due to health epidemics, on-going geopolitical conflicts, global macroeconomic conditions, bank failures or other reasons.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unlike chemical pharmaceuticals, the physical and chemical properties of a biologic such as our product candidates generally cannot be adequately characterized prior to manufacturing the final product. As a result, an assay of the finished product is not sufficient to ensure that the product will perform in the intended manner. Accordingly, we expect to employ multiple steps to attempt to control our manufacturing process to assure that the process works, and the product or product candidate is made strictly and consistently in compliance with the process.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biologics is highly susceptible to product loss due to contamination, equipment failure, improper installation or operation of equipment, vendor or operator error, improper storage or transfer, inconsistency in yields and variability in product characteristics. Even minor deviations from normal manufacturing, distribution or storage processes could result in reduced production yields, product defects and other supply disruptions. Some of the raw materials required in our manufacturing process are derived from biological sources. Such raw materials are difficult to procure and may also be subject to contamination or recall. A material shortage, contamination, recall or restriction on the use of biologically derived substances in the manufacture of our product candidates could adversely impact or disrupt commercialization. Production of additional drug substance and drug product for any of our product candidates may require substantial lead time. In the event of significant product loss and materials shortages, we may be unable to produce adequate amounts of our product candidates or products for our operational needs.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for raw materials needed for manufacturing our product candidates. We may not be able to obtain adequate amounts in the future. These challenges are magnified by the international nature of our supply chain, which, for tarcocimab, KSI-501 and KSI-101, requires drug substance and drug product sourced from single source suppliers from China, Japan, the United Kingdom, the United States and Switzerland.</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limited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or our ability to supply our products for patients, if approved, could be delayed or stopped, or we may be unable to establish a commercially viable cost structure.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In order to conduct clinical trials of our product candidates, or supply commercial products, if approved, we will need to manufacture them in small and large quantities. Our third-party manufacturer has made only a limited number of commercial scale lots of tarcocimab based on our ABC Platform. Our manufacturing partners may be unable to successfully increase the manufacturing capacity for any of our product candidates in a timely or cost-effective manner, or at all. In addition, quality issues may arise during scale-up activities.</w:t>
      </w:r>
      <w:r>
        <w:rPr>
          <w:rFonts w:ascii="Times New Roman" w:hAnsi="Times New Roman"/>
          <w:color w:val="FF0000"/>
          <w:sz w:val="20"/>
        </w:rPr>
        <w:t xml:space="preserve"> </w:t>
      </w:r>
      <w:r>
        <w:rPr>
          <w:rFonts w:ascii="Times New Roman" w:hAnsi="Times New Roman"/>
          <w:color w:val="000000"/>
          <w:sz w:val="20"/>
        </w:rPr>
        <w:t>If our manufacturing partners are unable to successfully scale up the manufacture of our product candidates in sufficient quality and quantity, the development, testing and clinical trials of our product candidates may be delayed or become infeasible, and regulatory approval or commercial launch of any resulting product may be delayed or not obtained, which could significantly harm our business. The same risks would apply to any internal manufacturing facilities, should we in the future decide to build internal manufacturing capacity.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manufacturing process for any products that we may develop is subject to FDA, EMA and foreign regulatory authority approval processes and continuous oversight. We will need to contract with manufacturers who can meet all applicable FDA, EMA and foreign regulatory authority requirements, including complying with current good manufacturing practices, or cGMPs, on an on-going basis. If we or our third-party manufacturers are unable to reliably produce products to specifications acceptable to the FDA, EMA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or other regulatory authorities, to produce it in sufficient quantities to meet the requirements for the potential launch of the product, or to meet potential future demand. For example, our manufacturers are also engaged in the manufacturing of vaccines and other therapeutic treatments, and the success of and demand for these vaccines and other therapeutic treatments means we and our programs are competing for scarce manufacturing resources. We hope to distribute tarcocimab in a prefilled syringe early in our commercial rollout. We may not be able to complete our prefilled syringe activities in a timely manner, or we may fail technically to design and develop a prefilled syringe for tarcocimab.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methods of manufacturing or formulation of product candidates may result in additional costs or delay.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product candidates proceed through preclinical studies to late-stage clinical trials towards potential approval and commercialization, our manufacturing methods and formulation of product candidates may be altered in an effort to optimize manufacturing processes and results. For example, we have created an enhanced, commercial formulation of tarcocimab; however, these changes could cause tarcocimab to perform differently and affect the results of on-going clinical trials or other future clinical trials, and we may need to revert to a prior formulation and may be unable to recover the manufacturing costs of the drug product. In addition, changes to commercial formulations from those studied clinically could also lead regulatory authorities to delay the approval of our marketing applications until we can demonstrate through additional clinical data that there is comparability in the bioavailability of the two different formulations, or they may require us to revert to the prior formulation evaluated clinically. This could delay completion of clinical trials, require the repetition of one or more clinical trials, increase clinical trial costs, delay approval of tarcocimab or any future product candidates and jeopardize our ability to commence sales and generate revenue.</w:t>
      </w:r>
    </w:p>
    <w:p>
      <w:pPr>
        <w:pStyle w:val="TextBody"/>
        <w:bidi w:val="0"/>
        <w:spacing w:before="240" w:after="283"/>
        <w:jc w:val="left"/>
        <w:rPr>
          <w:rFonts w:ascii="Times New Roman" w:hAnsi="Times New Roman"/>
          <w:sz w:val="20"/>
        </w:rPr>
      </w:pPr>
      <w:r>
        <w:rPr>
          <w:rFonts w:ascii="Times New Roman" w:hAnsi="Times New Roman"/>
          <w:b/>
          <w:i/>
          <w:color w:val="000000"/>
          <w:sz w:val="20"/>
        </w:rPr>
        <w:t>The development program and timeline of tarcocimab may impact our ability to use the Ursus Facility as intended, which could result in an excess of capital expenditures.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2020, we, together with our wholly owned subsidiary Kodiak Sciences GmbH, entered into a manufacturing agreement with Lonza Ltd for the clinical and commercial supply of the Company’s antibody biopolymer conjugate drug substance, which included a custom-built manufacturing facility for the potential clinical and commercial supply of tarcocimab, or the Ursus Facility. The development plan for tarcocimab, and any further changes thereto, as well as the timeline and success of tarcocimab,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may impact our ability to fully utilize the Ursus Facility. We may not realize any benefit from the capital expenditures to date, and we may incur substantial additional expenses and capital expenditures to repurpose the Ursus Facility for our other product candidates or for use by third parties, any of which may negatively impact our operating results and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are successful in utilizing the Ursus Facility, our manufacturing capabilities could be affected by cost-overruns, additional changes in our development plans, unexpected delays, equipment failures, labor shortages, natural disasters, power failures and numerous other factors that could prevent us from realizing the intended benefits of our manufacturing strategy and have a material adverse effect on our business. Any problems in our manufacturing process or facilities could make us a less attractive collaborator for potential partners, including larger pharmaceutical companies and academic research institutions, which could limit our access to additional attractive development programs.</w:t>
      </w:r>
    </w:p>
    <w:p>
      <w:pPr>
        <w:pStyle w:val="TextBody"/>
        <w:bidi w:val="0"/>
        <w:spacing w:before="240" w:after="283"/>
        <w:jc w:val="left"/>
        <w:rPr>
          <w:rFonts w:ascii="Times New Roman" w:hAnsi="Times New Roman"/>
          <w:sz w:val="20"/>
        </w:rPr>
      </w:pPr>
      <w:r>
        <w:rPr>
          <w:rFonts w:ascii="Times New Roman" w:hAnsi="Times New Roman"/>
          <w:b/>
          <w:i/>
          <w:color w:val="000000"/>
          <w:sz w:val="20"/>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Factors that may inhibit our efforts to commercialize any approved product on our own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recruit and retain adequate numbers of effective sales, marketing, reimbursement, customer service, medical affairs and other support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of sales personnel to obtain access to physicians or educate adequate numbers of physicians on the benefits of prescribing any future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of reimbursement professionals to negotiate arrangements for formulary access, reimbursement, and other acceptance by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price our products at a sufficient price point to ensure an adequate and attractive level of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restricted or closed distribution channels that make it difficult to distribute our products to segments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lack of complementary products to be offered by sales personnel, which may put us at a competitive disadvantage relative to companies with more extensive product lines;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unforeseen costs and expenses associated with creating an independent commercialization organization.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any product candidates we develop receive marketing approval, they may fail to achieve the degree of market acceptance by physicians, patients, healthcare payors and others in the medical community necessary for commercial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medical community. The degree of market acceptance of any product candidates we may develop, if approved for commercial sale,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safety of such product candidates as demonstrated in pivotal clinical trials and published in peer-reviewed journals;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and perceived advantages of our product label as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offer our products for sale at competitive prices;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offer appropriate patient access programs, such as co-pay assistance;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physicians recommend our products to their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convenience and ease of dosing and administration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the product candidate is approved by FDA, EMA or other regulatory agencies;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labeling or product insert requirements of the FDA, EMA or other comparable foreign regulatory authorities, including any limitations, contraindications or warnings contained in a product’s approved labeling;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how the product is distributed;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publicity concerning our products or competing products and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marketing and distribution support;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sufficient third-party coverage or reimbursement;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side effects.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product candidates we develop do not achieve an adequate level of acceptance, we may not generate significant product revenue, and we may not become profitable.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are able to commercialize any product candidates, such products may become subject to unfavorable pricing regulations, third-party reimbursement practices or healthcare reform initiatives, which would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Drug pricing and access policies in the United States and internationally may change and negatively impact the commercial viability of our product candidates. Proposed policy changes, including the potential for Medicare to negotiate with drug manufacturers, or the Medicare Drug Price Negotiation Program, under the Inflation Reduction Act of 2022, or the IRA, may limit our ability to competitively price our product candidates, if approved. Further, commercial insurers may limit patient access to our product candidates, if approved and other branded therapies. 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that the level of reimbursement will be sufficient.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available only at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significant delays in obtaining reimbursement for newly approved drugs, and coverage may be more limited than the purposes for which the medicine is approved by the FDA, EMA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Further, coverage policies and third-party payor reimbursement rates may change at any time. Therefore, even if favorable coverage and reimbursement status is attained, less favorable coverage policies and reimbursement rates may be implemented in the future. Our inability to promptly obtain and maintain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 </w:t>
      </w:r>
    </w:p>
    <w:p>
      <w:pPr>
        <w:pStyle w:val="TextBody"/>
        <w:bidi w:val="0"/>
        <w:spacing w:before="240" w:after="283"/>
        <w:jc w:val="left"/>
        <w:rPr>
          <w:rFonts w:ascii="Times New Roman" w:hAnsi="Times New Roman"/>
          <w:sz w:val="20"/>
        </w:rPr>
      </w:pPr>
      <w:r>
        <w:rPr>
          <w:rFonts w:ascii="Times New Roman" w:hAnsi="Times New Roman"/>
          <w:b/>
          <w:i/>
          <w:color w:val="000000"/>
          <w:sz w:val="20"/>
        </w:rPr>
        <w:t>Our product candidates may face competition from biological products that are biosimilar to or interchangeable with our product candidates sooner than anticipated.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w:t>
      </w:r>
    </w:p>
    <w:p>
      <w:pPr>
        <w:pStyle w:val="TextBody"/>
        <w:bidi w:val="0"/>
        <w:spacing w:before="240" w:after="283"/>
        <w:jc w:val="left"/>
        <w:rPr>
          <w:rFonts w:ascii="Times New Roman" w:hAnsi="Times New Roman"/>
          <w:sz w:val="20"/>
        </w:rPr>
      </w:pPr>
      <w:r>
        <w:rPr>
          <w:rFonts w:ascii="Times New Roman" w:hAnsi="Times New Roman"/>
          <w:b/>
          <w:i/>
          <w:color w:val="000000"/>
          <w:sz w:val="20"/>
        </w:rPr>
        <w:t>If product liability lawsuits are brought against us, we may incur substantial liabilities and may be required to limit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testing and commercialization of our product candidates. Even successful defense would require significant financial and management resources. Regardless of the merits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or interrupted demand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and inability to continue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initiation of investigations by regulators;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to defend the related litigation;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diversion of management’s time and our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recalls, withdrawals or labeling, marketing or promotional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exhaustion of any available insurance and our capital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any product candidate;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decline in our share price.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Regulatory Approval and Other Legal Compliance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regulatory approval processes of the FDA, EMA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required to obtain approval by the FDA, EMA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 approval for any product candidate, and it is possible that none of our existing product candidates or any product candidates we may seek to develop in the future will ever obtain regulatory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Applications for our product candidates could fail to receive regulatory approval for many reasons, including but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comparable foreign regulatory authorities may disagree with the design, implementation or results of our clinical trials or the portfolio of clinical trials planned for submission in our BLA;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population studied in the clinical program may not be sufficiently broad or representative to assure efficacy and safety in the full population for which we seek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FDA, EMA or comparable foreign regulatory authorities that a product candidate’s risk-benefit ratio for its proposed indication(s), when compared to the standard of care, is acceptable;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comparable foreign regulatory authorities may disagree with our interpretation of data from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our product candidates may not be sufficient to support the submission of a BLA or other submission or to obtain regulatory approval in the United States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study data may not be positive in all clinical trials demonstrating a mix of positive and negative clinical trial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comparable foreign regulatory authorities may fail to approve the chemistry, manufacturing and controls processes, test procedures and specifications, or facilities or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EMA or comparable foreign regulatory authorities may significantly change in a manner rendering our clinical data insufficient for approval.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lengthy approval process, as well as the unpredictability of the results of clinical trials, may result in our failing to obtain regulatory approval to market any of our product candidates, which would significantly harm our business,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conducted clinical trials for our product candidates outside the United States (or the respective jurisdictions of other regulatory authorities), and the FDA (or EMA and applicable foreign regulatory authorities) may not accept data from such 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conducted one or more of our clinical trials outside the United States, including Europe and other foreign countries. The acceptance of study data from global clinical trials by the FDA, EMA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 and (2) the trials were performed by clinical investigators of recognized competence and pursuant to GCP regulations.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EMA or any applicable foreign regulatory authority will accept data from trials conducted outside of their respective jurisdiction. If the FDA, EMA or any applicable foreign regulatory authority does not accept such data, it would result in the need for additional trials, which would be costly and time-consuming, would delay aspects of our business plan and which may result in our product candidates not receiving approval or clearance for commercialization in the applicable jurisdiction. </w:t>
      </w:r>
    </w:p>
    <w:p>
      <w:pPr>
        <w:pStyle w:val="TextBody"/>
        <w:bidi w:val="0"/>
        <w:spacing w:before="240" w:after="283"/>
        <w:jc w:val="left"/>
        <w:rPr>
          <w:rFonts w:ascii="Times New Roman" w:hAnsi="Times New Roman"/>
          <w:sz w:val="20"/>
        </w:rPr>
      </w:pPr>
      <w:r>
        <w:rPr>
          <w:rFonts w:ascii="Times New Roman" w:hAnsi="Times New Roman"/>
          <w:b/>
          <w:i/>
          <w:color w:val="000000"/>
          <w:sz w:val="20"/>
        </w:rPr>
        <w:t>Obtaining and maintaining regulatory approval of our product candidates in one jurisdiction does not mean that we will be successful in obtaining regulatory approval of our product candidates in other jurisdictions.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EMA or grants marketing approval of a product candidate, we would not be permitted to manufacture, market or promote the product candidate in other countries unless and until comparable regulatory authorities in foreign jurisdictions had approved the candidate for use in their countries. Approval procedures vary among jurisdictions and can involve requirements and administrative review periods different from those in the United States, including additional preclinical studies or clinical trials. There can be no assurance that any clinical trials conducted in one jurisdiction will be accepted by regulatory authorities in other jurisdictions.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foreign regulatory approvals and compliance with foreign regulatory requirements could result in significant delays, difficulties and costs for us and could delay or prevent the introduction of our products in certain countries. If we or any collaborator we work with fail to comply with the regulatory requirements in international markets or fail to receive applicable marketing approvals, our target market will be reduced and our ability to realize the full market potential of our product candidates will be harmed.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obtain regulatory approval for a product candidate, our products will remain subject to extensive obligations and continued regulatory review, which may result in significant additional expense, and we may be subject to penalties if we fail to comply with regulatory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Manufacturers and manufacturers’ facilities are required to comply with extensive requirements imposed by the FDA, EMA and comparable foreign regulatory authorities, including ensuring that quality control and manufacturing procedures conform to cGMP regulations. As such, we and our contract manufacturers will be subject to continual review and inspections to assess compliance with cGMP and adherence to commitments made in any BLA or marketing authorization application, or MAA. Accordingly, we and others with whom we work must continue to expend time, money and effort in all areas of regulatory compliance, including manufacturing, production and quality control.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regulatory approvals that we receive for our product candidates will be subject to limitations on the approved indicated uses for which the product may be marketed and promoted or to the conditions of approval (including the requirement to implement a REMS), or contain requirements for potentially costly post-marketing testing. We will be required to report certain adverse reactions and production problems, if any, to the FDA, EMA and comparable foreign regulatory authorities. Any new legislation addressing drug safety issues could result in delays in product development or commercialization, or increased costs to assure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products for indications or uses for which they do not have approval. 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 fines, warning letters or other enforcement-related letters that would result in adverse publicity;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impose civil or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suspend or withdraw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suspend any of our on-going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refuse to approve pending applications or supplements to approved applications submitted by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impose restrictions on our operations, including closing our contract manufacturers’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seize or detain products;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a product recall.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addition, the policies of the FDA and of other regulatory authorities may change and additional government regulations may be enacted that could prevent, limit or delay regulatory approval of our product candidates. For example, the U.S. Supreme Court’s June 2024 decision in </w:t>
      </w:r>
      <w:r>
        <w:rPr>
          <w:rFonts w:ascii="Times New Roman" w:hAnsi="Times New Roman"/>
          <w:i/>
          <w:color w:val="000000"/>
          <w:sz w:val="20"/>
        </w:rPr>
        <w:t>Loper Bright Enterprises v. Raimondo</w:t>
      </w:r>
      <w:r>
        <w:rPr>
          <w:rFonts w:ascii="Times New Roman" w:hAnsi="Times New Roman"/>
          <w:color w:val="000000"/>
          <w:sz w:val="20"/>
        </w:rPr>
        <w:t xml:space="preserve"> overturned the longstanding Chevron doctrine, under which courts were required to give deference to regulatory agencies’ reasonable interpretations of ambiguous federal statutes. The </w:t>
      </w:r>
      <w:r>
        <w:rPr>
          <w:rFonts w:ascii="Times New Roman" w:hAnsi="Times New Roman"/>
          <w:i/>
          <w:color w:val="000000"/>
          <w:sz w:val="20"/>
        </w:rPr>
        <w:t>Loper</w:t>
      </w:r>
      <w:r>
        <w:rPr>
          <w:rFonts w:ascii="Times New Roman" w:hAnsi="Times New Roman"/>
          <w:color w:val="000000"/>
          <w:sz w:val="20"/>
        </w:rPr>
        <w:t xml:space="preserve"> decision could result in additional legal challenges to regulations and decisions issued by federal agencies, including the FDA, on which we rely. Any such legal challenges, if successful, could have a material impact on our business. Additionally, the </w:t>
      </w:r>
      <w:r>
        <w:rPr>
          <w:rFonts w:ascii="Times New Roman" w:hAnsi="Times New Roman"/>
          <w:i/>
          <w:color w:val="000000"/>
          <w:sz w:val="20"/>
        </w:rPr>
        <w:t>Loper</w:t>
      </w:r>
      <w:r>
        <w:rPr>
          <w:rFonts w:ascii="Times New Roman" w:hAnsi="Times New Roman"/>
          <w:color w:val="000000"/>
          <w:sz w:val="20"/>
        </w:rPr>
        <w:t xml:space="preserve">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Healthcare legislative measures aimed at reducing healthcare costs may have a material adverse effect on our business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payors, whether domestic or foreign, or governmental or commercial, are developing increasingly sophisticated methods of controlling healthcare costs. In both the United States and certain international jurisdictions, there have been a number of legislative and regulatory changes to the health care system that could impact our ability to sell our products profitably. In particular, in 2010, the Patient Protection and Affordable Care Act, as amended by the Health Care and Education Reconciliation Act, or collectively the ACA, was enacted, which, among other things, subjected biologic products to potential competition by lower-cost biosimilars, addressed a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annual fees and taxes for certain branded prescription drugs, and provided incentives to programs that increase the federal government’s comparative effectiveness research.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the ACA’s enactment, there have been numerous challenges and amendments to the ACA. For example, on August 16, 2022, the IRA was signed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unclear how any such challenges and any additional healthcare reform measures of the second Trump administration will impact the ACA and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other legislative changes have been proposed and adopted in the United States since the ACA was enacted. For example, on July 4, 2025, the annual reconciliation bill, the "One Big Beautiful Bill Act," or OBBBA, was signed into law which is expected to reduce Medicaid spending and enrollment by implementing work requirements for some beneficiaries, capping state-directed payments, reducing federal funding, and limiting provider taxes used to fund the program. OBBBA also narrows access to ACA marketplace exchange enrollment and declines to extend the ACA enhanced advanced premium tax credits, set to expire in 2025, which, among other provisions in the law, are anticipated to reduce the number of Americans with health insurance. Additionally, these changes include aggregate reductions to Medicare payments to providers of 2% per fiscal year pursuant to the Budget Control Act of 2011, which began in 2013 and, due to subsequent legislative amendments to the statute, including the Infrastructure Investment and Jobs Act, will remain in effect until 2032 unless additional Congressional action is taken. Further, on March 11, 2021, the American Rescue Plan Act of 2021 was signed into law, which eliminates the statutory Medicaid drug rebate cap for single source and innovator multiple source drugs, effective January 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demand for our product candidates, if we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receive or set a price that we believe is fair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taxes that we are required to pay;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capital.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At the federal level, the IRA, among other things, (i) directs HHS to negotiate the price of certain high-expenditure, single-source drugs that have been on the market for at least 7 years and biologics that have been on the market for at least 11 years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HHS has and will continue to issue and update guidance as these programs are implemented. These provisions began to take effect progressively starting in fiscal year 2023. On August 15, 2024, HHS announced the agreed-upon reimbursement prices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 Further, on December 7, 2023, an initiative to control the price of prescription drugs through the use of march-in rights under the Bayh-Dole Act was announced.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the ACA, the IRA, as well as other healthcare reform measures that may be adopted in the future, particularly given the recent change in administration, may result in additional reductions in Medicare and other healthcare funding, more rigorous coverage criteria, lower reimbursement and new payment methodologies. Further, the current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create additional uncertainty for our business. These actions and proposals include, for example, (1) reducing agency workforce; (2) directing program cuts; (3) rescinding a Biden administration executive order tasking the CMMI to consider new payment and healthcare models to limit drug spending and eliminating the Biden administration’s executive order that directed HHS to establishing an AI task force and developing a strategic plan; (4) directing HHS to lower prescription drug costs for Medicare through a variety of initiatives, including by improving upon the Medicare Drug Price Negotiation Program and establishing Most-Favored-Nation pricing for pharmaceutical products; (5) imposing tariffs of imported pharmaceutical products; and (6) directing certain federal agencies to enforce existing law regarding hospital and plan price transparency and by standardizing prices across hospitals and health plans. Congress may introduce and ultimately pass health care related legislation that could impact the drug approval process and make changes to the Medicare Drug Price Negotiation Program created under the IRA.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 </w:t>
      </w:r>
    </w:p>
    <w:p>
      <w:pPr>
        <w:pStyle w:val="TextBody"/>
        <w:bidi w:val="0"/>
        <w:spacing w:before="240" w:after="283"/>
        <w:jc w:val="left"/>
        <w:rPr>
          <w:rFonts w:ascii="Times New Roman" w:hAnsi="Times New Roman"/>
          <w:sz w:val="20"/>
        </w:rPr>
      </w:pPr>
      <w:r>
        <w:rPr>
          <w:rFonts w:ascii="Times New Roman" w:hAnsi="Times New Roman"/>
          <w:b/>
          <w:i/>
          <w:color w:val="000000"/>
          <w:sz w:val="20"/>
        </w:rPr>
        <w:t>Our employees, independent contractors, consultants, commercial partners and vendors may engage in misconduct or other improper activities, including noncompliance with regulatory standards and requirements or insider trading violations, which could significantly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EMA and other comparable foreign regulatory authorities; provide true, complete and accurate information to the FDA, EMA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Employee misconduct could also involve the improper use of, including improper trading based upon, information obtained in the course of clinical studies, which could result in regulatory sanctions and serious harm to our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adopted a code of business conduct and ethics that applies to all our employees, including management, and our directors. However,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comply with healthcare laws, we could face substantial penalties and our business, operations and financial conditions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laws that may impact our operations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civil and criminal false claims laws, including the False Claims Act, which can be enforced by private citizens on behalf of the government through civil whistleblower or qui tam actions, and civil monetary penalty laws, which impose criminal and civil penalties against individuals or entities from knowingly presenting, or causing to be presented, claims for payment or approval from Medicare, Medicaid or other third-party payors that are false or fraudulent or knowingly making a false statement to improperly avoid, decrease or conceal an obligation to pay money to the federal government;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these statutes or specific intent to violate them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as amended by the Health Information Technology for Economic and Clinical Health Act of 2009, or HITECH, and their respective implementing regulations, which impose requirements on certain covered healthcare providers, health plans and healthcare clearinghouses and their respective business associates and their subcontractors that perform services for them that involve the use, or disclosure of, individually identifiable health information as well as their covered subcontractors, relating to the privacy, security and transmission of individually identifiable health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Physician Payments Sunshine Act, created under the ACA, and its implementing regulations, which require manufacturers of drugs, devices, biologicals and medical supplies for which payment is available under Medicare, Medicaid or the Children’s Health Insurance Program to report annually to the Centers for Medicare &amp; Medicaid Services, or CMS, under the Open Payments Program, information related to payments or other transfers of value made to physicians (defined to include doctors, dentists, optometrists, podiatrists and chiropractors), other healthcare professionals (such as physician assistant and nurse practitioners), and teaching hospitals, as well as ownership and investment interests held by physicians and their immediate family members;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consumer protection and unfair competition laws, which broadly regulate marketplace activities and activities that potentially harm consumers;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that require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breadth of these laws and the narrowness of the statutory exceptions and safe harbors available, it is possible that some of our business activities could, despite our efforts to comply, be subject to challenge under one or more of such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and the third parties with whom we work are subject to stringent and evolving obligations related to data privacy and security. These obligations include U.S. and foreign laws, regulations and rules; contractual obligations; industry standards; and policies. Our (or the third parties with whom we work) actual or perceived failure to comply with such obligations could lead to regulatory investigations and actions; litigation (including class claims) and arbitration; fines and penalties; disruptions of our business operations; reputational harm; loss of revenue and profits; loss of sales; and other adverse business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we and the third parties with whom we work collect, receive, store, process, generate, use, transfer, disclose, make accessible, protect, secure, dispose of, transmit, and share (collectively, process) personal data and other sensitive information, including proprietary and confidential business data, trade secrets, intellectual property, data we collect about trial participants in connection with clinical trials, and sensitive third-party data (collectively, sensitive information). Our data processing activities subject us to numerous data privacy and security obligations such as various provincial, state, national, and foreign laws and regulations, as well as guidance, industry standards, internal privacy and security policies, contractual requirements, and other obligations related to data privacy and security. Data privacy and security laws and regulations are evolving and resulting in increased regulatory and public scrutiny and escalating levels of enforcement and sanctions.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federal, state, and local governments have enacted numerous data privacy and security laws, including data breach notification laws, personal data privacy laws, consumer protection laws and other similar laws (e.g., wiretapping laws). Numerous U.S. states have enacted comprehensive privacy laws that impose certain obligations on covered businesses, including providing specific disclosures in privacy notices and affording residents with certain rights concerning their personal data. As applicable, such rights include, in relation to their personal data, the right to access, correct, delete and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Certain of these state laws allow for statutory fines for noncompliance. For example, the California Consumer Privacy Act, or the CCPA, provides for civil penalties and a private right of action for certain data breaches (which could lead to the recovery of significant statutory damages). Although these laws may exempt some data processed in the context of clinical trials, these laws increase compliance costs and potential liability for us and the third parties with whom we work. Similar laws are being considered in other states as well as at the federal and local levels. We expect more states to pass similar laws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Outside the United States, an increasing number of laws, regulations, and industry standards apply to data privacy and security. For example, the European Union’s General Data Protection Regulation, or EU GDPR, and the United Kingdom’s GDPR, or UK GDPR (collectively, GDPR), impose strict requirements for processing personal data. Violators of these laws face significant penalties. For example, government regulators may impose temporary or definitive bans on data processing and other corrective actions, as well as fines of up to 20 million Euros (under the EU GDPR) or 17.5 million pounds sterling (under the UK GDPR), or 4% of annual global revenue, whichever is greater, under either law. Further, the EU and UK GDPR also provide for private litigation related to the processing of personal data that can be brought by classes of data subjects or consumer protection organizations authorized at law to represent the data subjects’ interests.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may be unable to transfer personal data from Europe and other jurisdictions to the United States or other countries due to data localization requirements or limitations on cross-border data transfers.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(such as the EEA standard contractual clauses, the UK’s International Data Transfer Agreement/Addendum, and the EU-U.S. Data Privacy Framework and the UK extension), that may be used to lawfully transfer personal data to the United States or other countries, these mechanisms are subject to legal challenges and there is no assurance that we can satisfy or rely on these measures. An inability or material limitation on our ability to transfer personal data to the United States or other countries could materially impact our business operations. If we cannot implement a valid compliance mechanism for cross-border data transfers, we may face increased exposure to regulatory actions, substantial fines, and injunctions against processing or transferring personal data from Europe and other foreign jurisdictions. The inability to import personal data to the United States could significantly and negatively impact our business operations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jurisdictions at significant expense. Additionally, entities that transfer personal data across borders are subject to increased regulator, individual and activist group scrutiny. Some European regulators have ordered certain companies to suspend or permanently cease certain data transfers out of Europe for allegedly violating the GDPR’s cross-border data transfer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data privacy and security laws, we are contractually subject to industry standards adopted by industry groups and, we are, and may become in the future, subject to such obligations. We are also bound by contractual obligations related to data privacy and security, and our efforts to comply with such obligations may not be successful. We also publish statements regarding data privacy and security. Regulators in the U.S. are increasingly scrutinizing these statements, and if these statements are found to be deficient, lacking in transparency, deceptive, unfair, misleading or misrepresentative of our practices, we may be subject to investigation, enforcement actions and other adverse consequences.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Obligations related to data privacy and security (and individuals’ data privacy and security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If we or any third party with whom we work fail or are perceived to have failed to address or comply with applicable obligations relating to data privacy and security, we could face significant consequences, including but not limited to: regulatory fines and bans on processing personal data; investigations and enforcement actions, penalties and other liabilities, litigation (including class action claims and mass arbitration demands); additional reporting requirements and/or oversight; orders to destroy or not use personal data; interruptions to our development process; and damage to our reputation, any of which could materially affect our business, financial condition, results of operations and growth prospects.</w:t>
      </w:r>
    </w:p>
    <w:p>
      <w:pPr>
        <w:pStyle w:val="TextBody"/>
        <w:bidi w:val="0"/>
        <w:spacing w:before="240" w:after="283"/>
        <w:jc w:val="left"/>
        <w:rPr>
          <w:rFonts w:ascii="Times New Roman" w:hAnsi="Times New Roman"/>
          <w:sz w:val="20"/>
        </w:rPr>
      </w:pPr>
      <w:r>
        <w:rPr>
          <w:rFonts w:ascii="Times New Roman" w:hAnsi="Times New Roman"/>
          <w:b/>
          <w:i/>
          <w:color w:val="000000"/>
          <w:sz w:val="20"/>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Our business activities may be subject to the Foreign Corrupt Practices Act, or FCPA, and similar anti-bribery and anti-corruption laws.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activities may be subject to the FCPA and similar anti-bribery or anti-corruption laws, regulations or rules of other countries in which we operate or may operate in the future,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biotechnology and pharmaceutical companies. There can be no assurance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attract and retain employees, and our business, prospects, operating results, and financial condition.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Reliance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expect to rely on third parties to conduct many aspects of our clinical trials and some aspects of our research and preclinical testing, and those third parties may not perform satisfactorily, including failing to meet deadlines for the completion of such trials, research or testing.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and expect to continue to rely on third parties, such as clinical investigators, medical institutions, clinical data management organizations, and other third-party vendors, to conduct some aspects of our research, preclinical testing and clinical trials. Any of these third parties may terminate their engagements with us or be unable to fulfill their contractual obligations. If we need to enter into alternative arrangements, it would delay our product development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reproducible and accurate and that the rights, integrity and confidentiality of trial participants are protected. We are also required to register on-going clinical trials and to post the results of completed clinical trials on a government-sponsored database within certain timeframes. Failure to do so can result in fines, adverse publicity and civil and criminal sanctions.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 </w:t>
      </w:r>
    </w:p>
    <w:p>
      <w:pPr>
        <w:pStyle w:val="TextBody"/>
        <w:bidi w:val="0"/>
        <w:spacing w:before="240" w:after="283"/>
        <w:jc w:val="left"/>
        <w:rPr>
          <w:rFonts w:ascii="Times New Roman" w:hAnsi="Times New Roman"/>
          <w:sz w:val="20"/>
        </w:rPr>
      </w:pPr>
      <w:r>
        <w:rPr>
          <w:rFonts w:ascii="Times New Roman" w:hAnsi="Times New Roman"/>
          <w:b/>
          <w:i/>
          <w:color w:val="000000"/>
          <w:sz w:val="20"/>
        </w:rPr>
        <w:t>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on a third-party manufacturer, Lonza Group AG, for the manufacture of our materials for preclinical studies and clinical trials and expect to continue to do so for preclinical studies, clinical trials and for commercial supply of any product candidates that we may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establish any further agreements with third-party manufacturers or to do so on acceptable terms. Even if we are able to establish agreements with third-party manufacturers, reliance on third-party manufacturers entails additional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breach of the manufacturing agreement by the third party or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termination or nonrenewal of the agreement by the third party at a time that is costly or inconvenient for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early termination of the agreement by us at a time that requires us to pay a cancellation fee;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the third party for regulatory compliance, quality assurance, safety and pharmacovigilance and related reporting;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produce required volume in a timely manner and to quality standards.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manufacturers may not be able to comply with cGMP regulations or similar regulatory requirements outside the United States. Our failure, or the failure of our third-party manufacturers,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medicines that we may develop may compete with other product candidates and products for access to manufacturing facilities. There are a limited number of manufacturers that operate under cGMP regulations and that might be capable of manufacturing for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performance failure on the part of our existing or future manufacturers could delay clinical development or marketing approval. We do not currently have arrangements in place for redundant supply for any of our product candidates. If any one of our current contract manufacturers cannot perform as agreed, we may be required to replace that manufacturer and may incur added costs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delays in identifying and qualifying any such replacement. Furthermore, securing and reserving production capacity with contract manufacturers may result in significant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anticipated future reliance upon others for the manufacture of any product candidates we may develop or medicines may adversely affect our future profit margins and our ability to commercialize any medicines that receive marketing approval on a timely and competitive basis. </w:t>
      </w:r>
    </w:p>
    <w:p>
      <w:pPr>
        <w:pStyle w:val="TextBody"/>
        <w:bidi w:val="0"/>
        <w:spacing w:before="240" w:after="283"/>
        <w:jc w:val="left"/>
        <w:rPr>
          <w:rFonts w:ascii="Times New Roman" w:hAnsi="Times New Roman"/>
          <w:sz w:val="20"/>
        </w:rPr>
      </w:pPr>
      <w:r>
        <w:rPr>
          <w:rFonts w:ascii="Times New Roman" w:hAnsi="Times New Roman"/>
          <w:b/>
          <w:i/>
          <w:color w:val="000000"/>
          <w:sz w:val="20"/>
        </w:rPr>
        <w:t>We rely on third-party suppliers for key raw materials used in our manufacturing processes, and the loss of these third-party suppliers or their inability to supply us with adequate raw materials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third-party suppliers for the raw materials required for the production of our product candidates. Our reliance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depend on collaborations with third parties for the research, development and commercialization of certain of the product candidates we may develop. If any such collaborations are not successful, we may not be able to realize the market potential of those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third-party collaborators for the research, development and commercialization of certain of the product candidates we may develop. Our likely collaborators for any other collaboration arrangements include large and mid-size pharmaceutical companies, regional and 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involving our product candidates we may develop, pose the following risks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generally have significant discretion in determining the efforts and resources that they will apply to these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obtain, maintain, enforce or defend intellectual property or proprietary rights relating to our product candidates or may use our proprietary information in such a way as to expose us to potential litigation or other intellectual property related proceedings, including proceedings challenging the scope, ownership, validity and enforceability of our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own or co-own intellectual property covering our product candidates that result from our collaboration with them, and in such cases, we may not have the exclusive right to commercialize such intellectual property or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with respect to the ownership of intellectual property developed pursuant to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need the cooperation of our collaborators to enforce or defend any intellectual property we contribute to or that arises out of our collaborations, which may not be provided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infringe the intellectual property rights of third parties, which may expose us to litigation and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between the collaborators and us that result in the delay or termination of the research, development, or commercialization of our product candidates or that result in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stop a clinical trial or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with marketing and distribution rights to one or more product candidates may not commit sufficient resources to the marketing and distribution of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lose certain valuable rights under circumstances identified in our collaborations, including if we undergo a change of control;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undergo a change of control and the new owners may decide to take the collaboration in a direction which is not in our best interest;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become party to a business combination transaction and the continued pursuit and emphasis on our development or commercialization program by the resulting entity under our existing collaboration could be delayed, diminished or terminated;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become bankrupt, which may significantly delay our research or development programs, or may cause us to lose access to valuable technology, know-how or intellectual property of the collaborator relating to our products,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key personnel at our collaborators may leave, which could negatively impact our ability to productively work with our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require us to incur short and long-term expenditures, issue securities that dilute our stockholders, or disrupt our management and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be terminated and, if terminated, may result in a need for additional capital to pursue further development or commercialization of the applicable product candidates or our ABC Platform;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 agreements may not lead to development or commercialization of product candidates in the most efficient manner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Reliance on third parties requires us to share our trade secrets, which increases the possibility that a competitor will discover them or that our trade secrets will be misappropriated or disclosed.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third parties to conduct clinical trials, assist in research and development and to manufacture our product candidates, will at times require us to share trade secrets with them. We seek to protect our proprietary technology by in part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have a material adverse effect on our business.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large part on our ability to obtain and maintain patent protection in the United States and other countries with respect to our ABC Platform and any proprietary product candidates and other technologies we may develop. We seek to protect our proprietary position by in-licensing intellectual property and filing patent applications in the United States and abroad relating to our ABC Platform, product candidates and other technologies that are important to our business. Given that the development of our technology and product candidates is at an early stage, our intellectual property portfolio directed to certain aspects of our technology and product candidates is also at an early stage. We have filed or intend to file patent applications on core aspects of our technology and product candidates; however, there can be no assurance that any such patent applications will issue as granted patents. Furthermore, in some cases, we only have filed provisional patent applications on certain aspects of our technology and product candidates, and none of these provisional patent applications is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 Furthermore, in some cases, we may not be able to obtain issued claims covering compositions relating to our ABC Platform and product candidates, as well as other technologies that are important to our business, and instead may need to rely on filing patent applications with claims covering a method of use and/or method of manufacture for protection of such ABC Platform, product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ABC Platform and product candidates could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If any of our patent applications does not issue as a patent in any jurisdiction, we may not be able to compete effectively.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either the patent laws or their interpretation in the United States and other countries may diminish our ability to protect our inventions, and obtain, maintain and enforce our intellectual property rights and, more generally, could affect the value of our intellectual property or narrow the scope of our owned and licensed patents. We cannot predict whether the patent applications we are currently pursuing will issue as patents in any particular jurisdiction or whether the claims of any issued patents will provide sufficient protection from competitors or other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In addition, our own fixed applications may become prior art against our current or future patent applications. Furthermore, publications of discoveries in the scientific literature often lag behind the actual discoveries, and patent applications in the United States and other jurisdictions are typically not published until 18 months after filing, and in some cases not at all. Therefore, we cannot be certain that we were the first to make the inventions claimed in any of our patents or pending patent applications, or that we were the first to file for patent protection of such inventions.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If the scope of any patent protection we obtain is not sufficiently broad, or if we lose any of our patent protection, our ability to prevent our competitors from commercializing similar or identical technology and product candidates would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that protect our ABC Platform, product candidates or other technologies or that effectively prevent others from commercializing competitive technologies and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may be challenged, narrowed, circumvented, rendered unenforceable or invalidated by third parties. Consequently, we do not know whether our ABC Platform,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issuance of a patent is not conclusive as to its inventorship, scope, validity or enforceability, and our patents may be challenged in the courts or patent offices in the United States and abroad. We may be subject to a third party preissuance submission of prior art to the U.S. Patent and Trademark Office, or USPTO, or become involved in opposition, derivation, revocation, reexamination, post-grant and inter partes review, or interference proceedings or other similar proceedings challenging our patent rights. An adverse determination in any such submission, proceeding or litigation could reduce the scope of, or invalidate or render unenforceable, our patent rights, allow third parties to commercialize our ABC Platform,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and other challenges in a foreign patent office or administrative tribunal,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ABC Platform, product candidates and other technologies. Such proceedings also may result in substantial cost and require significant time from our scientists and management, even if the eventual outcome is favorable to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able to protect our intellectual property and proprietary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prosecuting and defending patents relating to our ABC Platform, product candidates and other technologies in all countries throughout the world would be prohibitively expensive, and the laws of foreign countries may not protect our rights to the same extent as U.S. laws.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costly or impossible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grant a license to third parties with respect to any patents relevant to our business, our competitive position may be impaired, and our business, financial condition, results of operations and prospects may be adversely affected. </w:t>
      </w:r>
    </w:p>
    <w:p>
      <w:pPr>
        <w:pStyle w:val="TextBody"/>
        <w:bidi w:val="0"/>
        <w:spacing w:before="24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Payment within these late fee windows may be employed in order to simplify the payment of these fees generally.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 In addition, while not relevant for tarcocimab, KSI-501, and/or KSI-101, if we rely on a different product, its development could involve the use of government funds, which can require additional compliance aspects to make certain all rights are transferred to or remain with us. </w:t>
      </w:r>
    </w:p>
    <w:p>
      <w:pPr>
        <w:pStyle w:val="TextBody"/>
        <w:bidi w:val="0"/>
        <w:spacing w:before="240" w:after="283"/>
        <w:jc w:val="left"/>
        <w:rPr>
          <w:rFonts w:ascii="Times New Roman" w:hAnsi="Times New Roman"/>
          <w:sz w:val="20"/>
        </w:rPr>
      </w:pPr>
      <w:r>
        <w:rPr>
          <w:rFonts w:ascii="Times New Roman" w:hAnsi="Times New Roman"/>
          <w:b/>
          <w:i/>
          <w:color w:val="000000"/>
          <w:sz w:val="20"/>
        </w:rPr>
        <w:t>Issued patents may be challenged or invalidated, and relatively recent changes in U.S. patent law have diminished and may further diminish the value of patents in general. We rely on patents to protect our products, and any diminishment in the scope or value of our patents would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initiated legal proceedings against a third party to enforce a patent directed to our ABC Platform, product candidates or other technologies, the defendant could allege that such patent is invalid or unenforceable. In patent litigation in the United States, defendant counterclaims alleging invalidity and unenforceability are commonplace. Grounds for a validity challenge include alleged failures to meet any of several statutory requirements, including obviousness, lack of novelty, lack of written description, or non-enablement. Grounds for an unenforceability challenge include an allegation that someone connected with prosecution of the patent withheld material information from the USPTO with an intent to deceive the USPTO, or made a misleading statement, during prosecution. The filing of a legal proceeding could also result in the third party challenging the patent at the USPTO, such as in post-grant and inter partes review.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either the patent laws or interpretation of the patent laws in the United States could increase the uncertainties and costs surrounding the prosecution of patent applications and the enforcement or defense of issued patents. For patent filings beginning in March 2013, the United States employs a first inventor to file system in which, assuming that other requirements for patentability are met, the first inventor to file a patent application will be entitled to the patent on an invention regardless of whether a third party was the first to invent the claimed invention. Under the current patent laws, a third party that files a patent application in the USPTO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 (1) file any patent application related to our ABC Platform, product candidates or other technologies or (2) invent any of the inventions claimed in our or our licensor’s patents or patent applications.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to U.S. patent laws since 2011 also include allowing third party submissions of prior art to the USPTO during patent prosecution and additional procedures for attacking the validity of a patent through USPTO administered post-grant proceedings, including re-examination, post-grant review, inter partes review, interference proceedings and derivation proceedings. Some of these changes apply to patents issued prior to 2011. These and equivalent proceedings in foreign jurisdictions (e.g., opposition proceedings) could result in the revocation of, cancellation of or amendment to our patents in such a way that they no longer cover our ABC Platform, product candidates or other technologies. Because of a lower evidentiary standard in USPTO proceedings compared to the evidentiary standards applied in United States federal courts that apply to actions seeking to invalidate a patent claim, a third party could potentially provide evidence in a USPTO proceeding sufficient for the USPTO to hold a claim invalid even though the same evidence would be insufficient to invalidate the claim if challenged in a district court action. Accordingly, a third party may attempt to use the USPTO procedures to invalidate our patent claims that would not otherwise have been invalidated if first challenged by the third party as a defendant in a district court action.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compared to intellectual property-reliant companies generally, the patent positions of companies in the development and commercialization of biologics and pharmaceuticals are particularly uncertain. U.S. Supreme Court rulings have narrowed the scope of patent protection available in certain circumstances and weakened the rights of patent owners in certain situations. These rulings have created uncertainty with respect to the validity and enforceability of patents, even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future changes to patent laws could increase the uncertainties and costs surrounding the prosecution of our owned or in-licensed patent applications and the enforcement or defense of our owned or in-licensed issued patents. If a third party were to prevail on a legal assertion of invalidity or unenforceability, we would lose at least part, and perhaps all, of the patent protection on our ABC Platform, product candidates or other technologies. Increased uncertainty with respect to, or loss of, patent protection would have a material adverse impact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do not obtain patent term extension and data exclusivity for any product candidates we may develop,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any FDA marketing approval of any product candidates we may develop, one or more of our owned or in-licensed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Patent term extension in the United States and/or foreign countries and territories may not be available if, among other things, we fail to exercise due diligence during the testing phase or regulatory review process, fail to apply within applicable deadlines, fail to apply prior to the expiration of relevant patents, or otherwise fail to satisfy applicable requirements. Moreover, the applicable time period or the scope of patent protection afforded could be less than we request. If we are unable to obtain patent term extension or the term of any such extension received is shorter than what we request, our competitors may obtain approval of competing products following our patent expiration, and our business, financial condition, results of operations and prospects could be materially harmed.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subject to claims challenging the inventorship of our patents and other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claims that former employees, collaborators or other third parties have an interest in our owned or in-licensed patents, trade secrets or other intellectual property as an inventor or co-inventor or owner or co-owner. For example, we may have inventorship disputes arise from conflicting obligations of employees, collaborators, consultants or others who are involved in developing our ABC Platform, product candidates or other technologies. Litigation may be necessary to defend against these and other claims challenging inventorship or our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ABC Platform,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seeking patents for our ABC Platform, product candidates and other technologies, we also rely on trade secrets and confidentiality agreements to protect our unpatented know-how, technology and other proprietary information and to maintain our competitive position. Trade secrets and know-how can be difficult to protect. Over time, we expect our trade secrets and know-how to be disseminated within the industry through independent development, the publication of journal articles describing the methodology and the movement of personnel from academic to industry scientific positions.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train our employees not to bring or use proprietary information or technology from former employers to us or in their work and remind former employees when they leave their employment of their confidentiality obligations to us.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contain such breaches or disclosures or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without the protection of a confidentiality agreement found unenforceable by relevant courts or independently developed by a competitor or other third party, our competitive position would be materially and adversely harmed.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subject to claims that our employees, consultants, or advisors have wrongfully used or disclosed alleged trade secrets of their current or former employers or claims asserting ownership of what we regard as our own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employees, consultants and advisors are currently or were previously employed at universities or other biotechnology or pharmaceutical companies, including our competitors and potential competitors. Although we try to ensure that our employees, consultants and advisors do not use the proprietary information or know-how of others in their work for us, we may be subject to claims that we or these individuals have improperly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Where post-filing date patent assignments are not executed by an inventor, it is our practice to employ and record the assignment provision that can be found in the employee’s employment agreement. This is done when possible, and when the intellectual property is of interest to us. </w:t>
      </w:r>
    </w:p>
    <w:p>
      <w:pPr>
        <w:pStyle w:val="TextBody"/>
        <w:bidi w:val="0"/>
        <w:spacing w:before="240" w:after="283"/>
        <w:jc w:val="left"/>
        <w:rPr>
          <w:rFonts w:ascii="Times New Roman" w:hAnsi="Times New Roman"/>
          <w:sz w:val="20"/>
        </w:rPr>
      </w:pPr>
      <w:r>
        <w:rPr>
          <w:rFonts w:ascii="Times New Roman" w:hAnsi="Times New Roman"/>
          <w:b/>
          <w:i/>
          <w:color w:val="000000"/>
          <w:sz w:val="20"/>
        </w:rPr>
        <w:t>Third-party claims of intellectual property infringement, misappropriation or other violation against us or our collaborators may prevent or delay the development and commercialization of our product candidates, the ABC Platform and other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field of discovering treatments for retinal diseases is highly competitive and dynamic. Due to the focused research and development that is taking place in this field by several companies, including us and our competitors, the intellectual property landscape is in flux, and it may remain uncertain in the future. As such, there may be significant intellectual property related litigation and proceedings relating to our owned, and other third party, intellectual property and proprietary rights in the future.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commercial success depends in part on our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challenging patents, including interference, derivation and reexamination proceedings before the USPTO or oppositions and other comparable proceedings in foreign jurisdictions. As discussed above, due to changes in U.S. law referred to as patent reform, new procedures including </w:t>
      </w:r>
      <w:r>
        <w:rPr>
          <w:rFonts w:ascii="Times New Roman" w:hAnsi="Times New Roman"/>
          <w:i/>
          <w:color w:val="000000"/>
          <w:sz w:val="20"/>
        </w:rPr>
        <w:t>inter partes</w:t>
      </w:r>
      <w:r>
        <w:rPr>
          <w:rFonts w:ascii="Times New Roman" w:hAnsi="Times New Roman"/>
          <w:color w:val="000000"/>
          <w:sz w:val="20"/>
        </w:rPr>
        <w:t xml:space="preserve"> review and post-grant review have been implemented. As stated above, this reform adds uncertainty to the possibility of challenge to our patents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Numerous U.S. and foreign issued patents and pending patent applications owned by third parties exist relating to ABC technology and in the fields in which we are developing our product candidates. As the biotechnology and pharmaceutical industries expand and more patents are issued, the risk increases that our ABC Platform, product candidates and other technologies may give rise to claims of infringement of the patent rights of others. We cannot assure you that our ABC Platform, product candidates and other technologies that we have developed, are developing or may develop in the future will not infringe existing or future patents owned by third parties. We may not be aware of patents that have already been issued or that a third party, including a competitor in the fields in which we are developing our ABC Platform, product candidates and other technologies, might assert are infringed by our current or future ABC Platform, product candidates or other technologies. Such a dispute may concern claims to compositions, formulations, methods of manufacture or methods of use or treatment that cover our ABC Platform, product candidates or other technologies. It is also possible that patents owned by third parties of which we are aware, but which we do not believe are relevant to our ABC Platform, product candidates or other technologies, could be found to be infringed by our ABC Platform, product candidates or other technologies. In addition, because patent applications can take many years to issue, there may be currently pending patent applications that later result in issued patents that our ABC Platform, product candidates or other technologies may infringe.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have patents or obtain patents in the future and claim that the manufacture, use or sale of our ABC Platform, product candidates or other technologies infringes these patents. If a third party alleges that we infringe their patents or that we are otherwise employing their proprietary technology without authorization and initiates litigation against us, a court of competent jurisdiction could hold that such patents are valid, enforceable and infringed by our ABC Platform, product candidates or other technologies, even if we believe such claims are without merit. In that event, the successful plaintiff may be able to impede our ability to commercialize the applicable product candidate or technology unless we obtain a license under the applicable patents, or such patents expire or are finally determined to be invalid or unenforceable. Such a license may not be available on commercially reasonable terms or at all. Even if we are able to obtain a license, the license would likely obligate us to pay license fees, royalties or both. Any license granted to us might be nonexclusive, which could result in our competitors gaining access to the same intellectual property. If we are unable to obtain a necessary license to a third-party patent on commercially reasonable terms, we may be unable to commercialize our ABC Platform, product candidates or other technologies, or our commercialization efforts may be significantly delayed, which could in turn significantly harm our business.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aware of a number of patents and patent applications that are directed to one or more aspects of tarcocimab, KSI-501, and/or KSI-101. Our intent is to maintain our development efforts under 35 U.S.C. Section 271(e)(1) (which provides a safe harbor from patent infringement claims related to certain drug development activities) through to at least the launch of any tarcocimab, KSI-501, or KSI-101 product. We are aware of at least one pending patent application with claims that are directed to some aspect of tarcocimab, KSI-501, and/or KSI-101 that could, if issued, have a patent term beyond a potential launch date for tarcocimab or KSI-501. If this were to occur, we may be required to challenge the validity of the claims, obtain a license, modify tarcocimab or KSI-501, or delay launch. We are also aware of at least one patent family with issued claims that may be relevant to some potential future aspect(s) of KSI-501 and/or KSI-101 and that have a patent term beyond a potential launch date for KSI-501 or KSI-101. If this or any other patent family were perceived as relevant, we may be required to challenge the validity of the claims, obtain a license, modify KSI-501 and/or KSI-101, or delay launch.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choose to further the pipeline and develop a different product, such a product would be delayed until the expiration of any valid patent that is still in force on such product. Alternatively, our options for addressing any such patents relating to these non-tarcocimab, non-KSI-501, and/or non-KSI-101 products would include the following: challenge the validity of the claims, obtain a license, or modify the non-tarcocimab, non-KSI-501, and/or non-KSI-101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Defending against infringement claims, regardless of their merit, would involve substantial litigation expense, would be a substantial diversion of management and other employee resources from our business and may adversely impact our reputation. We may be subject to an injunction that prevents or delays us from commercializing our ABC Platform, product candidates or other technologies during on-going litigation even if we ultimately prevail in the litigation proceedings or the litigation is settled in our favor. We may be subject to an injunction that prevents or delays us from commercializing our ABC Platform, product candidates or other technologies during on-going litigation even if we ultimately prevail in the litigation proceedings or the litigation is settled in our favor. In the event of a successful claim of infringement against us, we may be enjoined from further developing or commercializing our infringing ABC Platform, product candidates or other technologies. In addition, we may have to pay substantial damages (including treble damages and attorneys’ fees for willful infringement) obtain one or more licenses from third parties, pay royalties and/or redesign our infringing product candidates or technologies, which may be impossible or require substantial time and monetary expenditure. If we were unable to further develop and commercialize our ABC Platform, product candidates or other technologies, it would harm our business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or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become involved in lawsuits to protect or enforce our patents and other intellectual property rights, which could be expensive, time 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infringe our patents or the patents of our licensing partners, or we may be required to defend against claims of infringement. If we assert our intellectual property against others, it could increase the likelihood that our patents or the patents of our licensing partners become involved in inventorship, priority or validity disputes. As discussed above, countering or defending against such claims can be expensive and time consuming. In an infringement proceeding, a court may decide that a patent owned or in-licensed by us is invalid or unenforceable, the other party’s use of our patented technology falls under the safe harbor to patent infringement under 35 U.S.C. §271(e)(1),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rendered unenforceable or interpreted narrowly. Furthermore, because of the substantial amount of discovery required in connection with intellectual property litigation, there is a risk that some of our confidential information could be compromised by disclosure during this type of litigation.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prevail in asserting our intellectual property,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or to assert all claims we believe to be viable.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trademarks, service marks, tradenames and brand names. We cannot assure you that our trademark applications will be approved. During trademark registration proceedings, we may receive rejections. Although we are given an opportunity to respond to those rejections, we may be unable to overcome such rejections. In addition, any registered or unregistered trademarks or trade names that we currently have or may in the future acquire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We own a registered trademark for the mark “KODIAK” and “KODIAK SCIENCES” in the United States.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Intellectual property rights do not necessarily address all potential threats.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products that are similar to our product candidates or utilize similar technology but that are not covered by the claims of the patents that we may license or own;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current or future licensors or collaborators, might not have been the first to make the inventions covered by the issued patent or pending patent application that we license or own now or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current or future licensors or collaborators, might not have been the first to file patent applications covering certain of our or their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without infringing our owned or licensed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current or future pending owned or licensed patent applications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hold rights to may be held invalid or unenforceable, including as a result of legal challenges by our competitors or other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or other third parties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harm our business;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not to file a patent in order to maintain certain trade secrets or know-how, and a third party may subsequently file a patent covering such intellectual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any of these events occur, they could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highly dependent on our key personnel, and if we are not successful in attracting, motivating and retaining highly qualified personnel, we may not be able to successfully implement our business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and commercializing new medicines is a challenging exercise and requires diverse expertise in a variety of scientific, clinical, manufacturing, commercial, financial, people and legal functions. Failure to adequately develop these functions will hurt our ability to compete effectively.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compete in the highly competitive biotechnology and pharmaceutical industries depends upon our ability to attract, motivate and retain highly qualified managerial, scientific and medical personnel. We are highly dependent on our management, particularly our Chief Executive Officer, Dr. Victor Perlroth, and our scientific and medical personnel. The loss of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services provided by any of our executive officers, other key employees, and other scientific and medical advisors, and our inability to find suitable replacements, could result in delays in the development of our product candidates and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conduct our U.S. operations at our facilities in Palo Alto,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induce valuable employees to remain at our company, in addition to salary and cash incentives, we have provided restricted stock and stock option grants, including early exercise stock options exercisable for restricted stock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man” insurance policies on the lives of all of these individuals or the lives of any of our other employees. If we are unable to attract, incentivize and retain quality personnel on acceptable terms, or at all, it may cause our business and operating results to suffer. </w:t>
      </w:r>
    </w:p>
    <w:p>
      <w:pPr>
        <w:pStyle w:val="TextBody"/>
        <w:bidi w:val="0"/>
        <w:spacing w:before="240" w:after="283"/>
        <w:jc w:val="left"/>
        <w:rPr>
          <w:rFonts w:ascii="Times New Roman" w:hAnsi="Times New Roman"/>
          <w:sz w:val="20"/>
        </w:rPr>
      </w:pPr>
      <w:r>
        <w:rPr>
          <w:rFonts w:ascii="Times New Roman" w:hAnsi="Times New Roman"/>
          <w:b/>
          <w:i/>
          <w:color w:val="000000"/>
          <w:sz w:val="20"/>
        </w:rPr>
        <w:t>We will need to grow the size and capabilities of our organization, and we may experience difficulties in managing this growth.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2025, we had 121 employees. As our development plans and strategies develop, and as we continue operating as a public company, we must add a significant number of additional managerial, operational, financial and other personnel. Future growth will impose significant added responsibilities on members of management,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recruiting, integrating, retaining and motivating additional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our internal development efforts effectively, including the clinical and FDA review process for our current and future product candidates, while complying with our contractual obligations to contractors and other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expanding our operational, financial and management controls, reporting systems and procedures;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increasing operational and managerial complexity.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 </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information technology systems, or those of third parties with whom we work, or our data, are or were compromised, we could experience adverse consequences resulting from such compromise, including but not limited to regulatory investigations or actions, significant fines or other liability, interruptions of our development programs, harm to our reputation, and other adverse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our business, we and the third parties with whom we work process personal data and other sensitive information, including proprietary and confidential business data, trade secrets, intellectual property, data collected about trial participants in connection with clinical trials, and sensitive third-party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Cyberattacks, malicious internet-based activity, and online and offline fraud are prevalent and continue to increase. These threats are becoming increasingly difficult to detect. The information and data processed and stored in our technology systems, and those of our research collaborators, contractors, consultants, and other third parties with whom we work, are vulnerable to these threats. These threats come from a variety of sources, including traditional computer “hackers,” threat actors, personnel (such as through theft or misuse), sophisticated nation-states, and nation-state-supported actors. During times of war and other major conflicts, we and the third parties with whom we work are vulnerable to a heightened risk of attacks, including retaliatory cyber-attacks that could materially disrupt our systems and operations and supply chain. We and the third parties with whom we work are subject to a variety of evolving threats, including but not limited to social-engineering attacks (including through deep fakes, which may be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increasingly more difficult to identify as fake, and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attacks enhanced or facilitated by artificial intelligence, or AI, and other similar threats.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certain personnel remain in a remote work environment and outside of our corporate network security protection boundaries, which imposes additional risks to our business, including increased risk of industrial espionage, phishing and other cybersecurity attacks, and unauthorized dissemination of proprietary or confidential information, any of which could have a material adverse effect on our business.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to operate critical business systems to process sensitive information in a variety of contexts, including, without limitation, third-party providers of cloud-based infrastructure, encryption and authentication technology, employee email, and other functions. Our ability to monitor these third parties’ information security practices is limited, and these third parties may not have adequate information security measures in place. While we may be entitled to damages if the third parties with whom we work fail to satisfy their privacy or security-related obligations to us, any award may be insufficient to cover our damages, or we may be unable to recover such award. Similarly, supply-chain attacks have increased in frequency and severity, and we cannot guarantee that third parties’ infrastructure in our supply chain or that of the third parties with whom we work have not been compromised. Likewise, we rely on third-party research institution collaborators, other contractors and consultants for many aspects of our business, including research and development activities and manufacturing of our product candidates, and similar events relating to their information systems could also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implemented security measures designed to protect the integrity, confidentiality and security of the sensitive information under our control, we cannot assure you that our security measures, or those of the third parties with whom we work will be effective in preventing security incidents. We take steps designed to detect, mitigate, and remediate vulnerabilities in our information systems (such as our hardware and/or software, including that of third parties with whom we work). We have not, and may not in the future, however, detect and remediate all such vulnerabilities including on a timely basis. There are many different and rapidly evolving cybercrime and hacking techniques, and we may be unable to anticipate attempted security incidents, identify them before our information is exploited, or react in a timely manner. We have in the past and may in the future be unable to detect vulnerabilities in our information technology systems and software. Further, we have in the past (and may in the future) experienced delays in developing and deploying remedial measures designed to address any such identified vulnerabilities. We expend resources and may modify our business activities (including our clinical trial activities) to try to protect against security incidents. Certain data privacy and security obligations have required us to implement and maintain specific security measures, industry-standard or reasonable security measures to protect our information technology systems and sensitive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of the previously identified or similar threats have in the past and may in the future cause a security incident or other interruption that could result in unauthorized, unlawful, or accidental acquisition, modification, destruction, loss, alteration, encryption, disclosure of, access to our sensitive information, or interruptions or stoppages in our business operations (including our clinical trials). For example, we have been the target of unsuccessful phishing attempts in the past, and expect such attempts will continue in the future. Although to our knowledge, we have not experienced a material system failure or security incident to date, if such an event were to occur, it could result in a material disruption of our development programs and our business operations, whether due to a loss of trade secrets or other proprietary information or other similar disruptions. For example, the loss of clinical trial data from completed, on-going or future clinical trials could result in delays in our regulatory approval efforts and significantly increase our costs to recover or reproduce the data. Likewise, we rely on third parties for many aspects of our business, including research and development activities and manufacturing of our product candidates, and similar events relating to their computer systems could also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applicable data protection requirements may require us, or we may voluntarily choose, to notify relevant stakeholders of security incidents, including affected individuals, partners, collaborators, regulators, law enforcement agencies, and others, or to take other actions, such as providing credit monitoring and identity theft protection services. Such disclosures and related actions can be costly, and the disclosure or the failure to comply with such applicable requirements could lead to litigation or other liability, fines, harm to our reputation, significant costs, or other materially adverse effects. Some of our contracts may not contain limitations of liability, and even where they do, there can be no assurance that limitations or exclusions of liability in our contracts may not be enforceable or adequate or protect us from liability or damages.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insurance coverage may not be adequate for cybersecurity liabilities, may not continue to be available to us on economically reasonable terms, or at all, and insurers could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materially and adversely affect our reputation, business, financial condition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Business disruptions could seriously harm our future revenue and financial condition and increase our costs and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and those of our third party vendors,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Reductions in force and decreased funding at FDA may delay review and response to our submissions and applications and have material adverse impact on our business. The occurrence of any of these business disruptions could seriously harm our operations and financial condition and increase our costs and expenses. For example, in connection to health epidemics, the various quarantines, shelter-in-place and similar government orders, or the perception that such orders, shutdowns or other restrictions on the conduct of business operations could occur, related to infectious diseases, could adversely affect our business, financial condition or results of operations by limiting our ability to manufacture product, forcing temporary closure of facilities that we rely upon or increasing the costs associated with obtaining clinical supplies of our product candidates. The extent to which health epidemics could impact our results will depend on future developments, which are highly uncertain and cannot be accurately predicted, including the severity and the actions to contain or treat such outbreaks, epidemics, or pandemics, among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are located at facilities in Palo Alto, California and Switzerland.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enterprise resource planning, or ERP, system is critical to our ability to accurately maintain books and records and prepare our financial statements. If we encounter unforeseen problems with our ERP system or other systems and infrastructure, our business, operations, and financial results could be adversely affected. </w:t>
      </w:r>
    </w:p>
    <w:p>
      <w:pPr>
        <w:pStyle w:val="TextBody"/>
        <w:bidi w:val="0"/>
        <w:spacing w:before="240" w:after="283"/>
        <w:jc w:val="left"/>
        <w:rPr>
          <w:rFonts w:ascii="Times New Roman" w:hAnsi="Times New Roman"/>
          <w:sz w:val="20"/>
        </w:rPr>
      </w:pPr>
      <w:r>
        <w:rPr>
          <w:rFonts w:ascii="Times New Roman" w:hAnsi="Times New Roman"/>
          <w:b/>
          <w:i/>
          <w:color w:val="000000"/>
          <w:sz w:val="20"/>
        </w:rPr>
        <w:t>Our business is subject to economic, political, regulatory and other risks associated with international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is subject to risks associated with conducting business internationally. Some of our suppliers and collaborative relationships are located outside the United States. Accordingly, our future results could be harmed by a variety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economic weakness, including inflation or political instability in particular non-U.S. economies and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differing and changing regulatory requirements, pricing and reimbursement regimes in non-U.S.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challenges enforcing our contractual and intellectual property rights, especially in those foreign countries that do not respect and protect intellectual property rights to the same extent as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 compliance with non-U.S. laws and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non-U.S. regulations and customs, tariffs and trade barriers;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non-U.S. currency exchange rates and currency controls;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a specific country’s or region’s political or economic environment;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trade protection measures, import or export licensing requirements or other restrictive actions by U.S. or non-U.S. governments;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negative consequences from changes in tax 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tax, employment, immigration and labor laws for employees living or traveling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workforce uncertainty in countries where labor unrest is more common than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associated with staffing and managing international operations, including differing labor relations;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liability under the FCPA or comparable foreign 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interruptions resulting from geo-political actions, including war and terrorism or natural disasters.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international, geo-political, and macroeconomic events could also have an adverse impact on our business. The United States and certain other countries may impose significant sanctions, trade restrictions, and other retaliatory actions in response to these events. While we cannot predict the broader consequences of these types of events, the conflict and retaliatory and counter-retaliatory actions could materially adversely affect global trade, currency exchange rates, inflation, regional economies, and the global economy, which in turn may increase our costs, disrupt our supply chain, or otherwise adversely affect our business, financial condition, and results of operations. These and other risks associated with our planned international operations may materially adversely affect our business, financial condition, and ability to attain profitable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International trade policies, including tariffs, sanctions and trade barriers may adversely affect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a global economy, which includes utilizing third-party suppliers in several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rely, and expect to continue to rely, on third parties that are located outside the United States for the manufacture of our product candidates for clinical testing, as well as for manufacture of any products that we may commercialize, if approved. Current or future tariffs may result in increased research and development expenses, including with respect to increased manufacturing costs. In addition, such tariffs may increase our supply chain complexity and could also potentially disrupt our existing supply chain.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In addition, as we advance toward commercialization in the future, tariffs and trade restrictions could hinder our ability to establish cost-effective manufacturing capabilities.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governments may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Quarterly Report and in our Annual Report for the fiscal year ended December 31, 2024.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 could be materially and adversely affected in the future by the effects of disease outbreaks, epidemics and pandemics, as well as the business or operations of our third parties with whom we conduct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could be materially and adversely affected by health epidemics in regions where we have concentrations of clinical trial sites or other business operations and could cause significant disruption in the operations of third parties upon whom we rely.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current and future clinical trials may be materially and adversely affected by health epidemics in the future. Site initiation and patient enrollment may be further delayed due to prioritization of hospital resources toward health epidemics. Some patients may not be able to comply with clinical trial protocols if quarantines impede patient movement or interrupt healthcare services. Our ability to recruit and retain patients and principal investigators and site staff who, as healthcare providers, may have heightened exposure during health epidemics, and may adversely impact our clinical trial operations. Our employees and our third parties may not be able to travel to study sites, impacting further site initiations and in-person monitoring of study data quality. Our other vendors on whom we depend, such as supply chain and logistics partners and our image reading centers may be disrupted, and our operations could be affected. Our clinical studies enroll patients who have underlying risk factors such as advanced age,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hypertension and/or diabetes which could lead to higher than expected study discontinuation rates and/or missed visit rates if these patients are adversely affected by health epidemics.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the risks and evolving effects of health epidemics impact our business and our clinical development and regulatory efforts will depend on future developments that are highly uncertain and cannot be predicted with confidence, such as the ultimate duration and severity of the pandemic, government actions, such as travel restrictions, quarantines and social distancing requirements, business closures or business disruptions and the effectiveness of actions taken in the United States and in other countries to contain and treat the disease, including the effectiveness and timing of vaccine programs in the United States and worldwide. Health epidemics may also have the effect of heightening many of the other risks described in this “Risk Factors” section.</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Business, Financial Condition and Capital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incurred significant net losses in each period since our inception and anticipate that we will continue to incur significant and increasing net losses for the foreseeable future.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net losses in each reporting period since our inception, including net losses of $111.8 million for the six months ended June 30, 2025. As of June 30, 2025, we had an accumulated deficit of $1,441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invested significant financial resources in research and development activities, including for our product candidates and our ABC Platform. We do not expect to generate revenue from product sales for several years, if at all. The amount of our future net losses will depend, in part, on the level of our future expenditures and our ability to generate revenue. Moreover, our net losses may fluctuate significantly from quarter-to-quarter and year-to-year, such that a period-to-period comparison of our results of operations may not be a good indication of our future performance.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continue to incur significant and increasingly higher expenses and operating losses for the foreseeable future. We anticipate that our expenses will increase substantially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progress our current and any future product candidates through preclinical and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 with our contract manufacturers to scale up the manufacturing processes for our product candidates or, in the future, establish and operate a manufacturing facility;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our research and discovery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initiate and conduct additional preclinical, clinical or other studies for our current and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or add additional contract manufacturers or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regulatory approvals and marketing authorizations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sales, marketing and distribution infrastructure to commercialize any products for which we obtain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the development of our ABC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 or in-license product candidates, intellectual property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make milestone, royalty or other payments due under any current or future collaboration or 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maintain, expand, protect and enforce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 hire and retain qualified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any delays or encounter other issues related to our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meet the requirements and demands of being a public company;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 against any product liability claims or other lawsuits related to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prior losses and expected future losses have had and will continue to have an adverse effect on our stockholders’ equity and working capital. In any particular quarter or quarters, our operating results could be below the expectations of securities analysts or investors, which could cause our stock price to decline.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Drug development is a highly uncertain undertaking and involves a substantial degree of risk. We have never generated any revenue from product sales, and we may never generate revenue or be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if ever.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profitability depends significantly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successfully completing research and preclinical and clinical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regulatory approvals and marketing authorizations for product candidates for which we successfully complete clinical development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assessing, acquiring and/or developing new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negotiating favorable terms in any collaboration, licensing or other arrangements into which we may enter;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launching and successfully commercializing product candidates for which we obtain regulatory and marketing approval, either by collaborating with a partner or, if launched independently, by establishing a sales, marketing and distribution infrastructure;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an adequate price for our product candidates, both in the United States and in foreign countries where our products are commercialized;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adequate reimbursement for our product candidates from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market acceptance of our product candidates as viable treatment options;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addressing any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protecting, expanding and enforcing our portfolio of intellectual property rights, including patents, trade secrets and know-how;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attracting, hiring and retaining qualified personnel.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are able to generate revenue from the sale of any approved products, we may not become profitable, and we will need to obtain additional funding through one or more debt or equity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become and remain profitable could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adversely affect our viability.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financial condition raises substantial doubt about our ability to continue as a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2025, we had cash and cash equivalents of $104.2 million. We have incurred net losses and negative cash flows from operations since inception. We expect to continue to incur operating losses and negative operating cash flows for the foreseeable future and as a result, there is substantial doubt regarding our ability to continue as a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historically funded our operations primarily through the issuance of common stock and the sale of future royalties. Our ability to achieve and sustain profitability will depend on the successful development, approval and commercialization of our product candidates and on the achievement of sufficient revenue to support our cost structure and, unless and until we do, we will need to raise additional capital to maintain current operations and to continue research and development activities. We continue to monitor and reduce certain expenditures and plan to raise additional capital through approaches that include equity or debt financings, collaborations or a combination of similar transactions. While we have been able to raise multiple rounds of financing, there can be no assurance that such financing will be available on terms which are favorable or at all. We could be required to pause, scale back or discontinue one or more of our development programs, which could adversely affect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If any of our future investments or allocations of research and development financial resources result in failed product candidates, our financial condition and business prospects may be significantly adversely impacted and we may never become profitable. Similarly, our potential decisions to delay, terminate or collaborate with third parties in respect of certain product candidates may subsequently also prove to be suboptimal and could cause us to miss valuable opportunities. If we make incorrect determinations regarding the viability or market potential of any of our product candidates or misread trends in the biopharmaceutical industry, in particular for retinal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obtain additional financing, we may be unable to complete the development and, if approved,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have required substantial amounts of cash since inception. To date, we have funded our operations primarily through the issuance of common stock and the sale of future royalties. Developing our product candidates is expensive, and we expect to continue our spending as we advance our product candidate development efforts. Even if we are successful in developing our product candidates, obtaining regulatory approvals and launching and commercializing any product candidate will require substantial additional funding.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 as to how long we expect our existing cash to be available to fund our operations is based on assumptions that may prove inaccurate, and we could deplete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require additional capital for the further development and, if approved, commercialization of our product candidates. Additional capital may not be available when we need it, on terms acceptable to us or at all. For example, geopolitical conflicts in Europe and the Middle East are expected to have further global economic consequences, including disruptions of the global supply chain. Further, inflation rates, particularly in the United States, have increased relatively recently, and the Federal Reserve has raised, and may again raise, interest rates. These conditions of economic uncertainty and market volatility could limit additional capital available to us, if and when needed, and increase its cost if available. In addition, it is possible that we may not be able to access a portion of our existing cash, cash equivalents and investments due to unforeseen market conditions. For example, on March 10, 2023, the Federal Deposit Insurance Corporation (FDIC), took control and was appointed receiver of Silicon Valley Bank.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We currently have no committed source of additional capital. If adequate capital is not available to us on a timely basis, we may be required to significantly delay, scale back or discontinue our research and development programs or the commercialization of any product candidates, if approved, or be unable to continue 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our operations or otherwise capitalize on our business opportunities, as desired, which could materially affect our business, financial condition and results of operations and cause the price of our common stock to decline.</w:t>
      </w:r>
    </w:p>
    <w:p>
      <w:pPr>
        <w:pStyle w:val="TextBody"/>
        <w:bidi w:val="0"/>
        <w:spacing w:before="240" w:after="283"/>
        <w:jc w:val="left"/>
        <w:rPr>
          <w:rFonts w:ascii="Times New Roman" w:hAnsi="Times New Roman"/>
          <w:sz w:val="20"/>
        </w:rPr>
      </w:pPr>
      <w:r>
        <w:rPr>
          <w:rFonts w:ascii="Times New Roman" w:hAnsi="Times New Roman"/>
          <w:b/>
          <w:i/>
          <w:color w:val="000000"/>
          <w:sz w:val="20"/>
        </w:rPr>
        <w:t>If we engage in acquisitions, in-licensing or strategic partnerships, this may increase our capital requirements, dilute our stockholders, cause us to incur debt or assume contingent liabilities and subject us to other risks.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engage in various acquisitions and strategic partnerships in the future, including licensing or acquiring complementary products, intellectual property rights, technologies or businesses. Any acquisition or strategic partnership may entail numerous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operating expenses and cash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assumption of indebtedness or contingent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issuance of our equity securities which would result in dilution to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assimilation of operations, intellectual property, products and product candidates of an acquired company, including difficulties associated with integrating new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diversion of our management’s attention from our existing product candidates and initiatives in pursuing such an acquisition or strategic partnership;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retention of key employees, the loss of key personnel, and uncertainties in our ability to maintain key business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risks and uncertainties associated with the other party to such a transaction, including the prospects of that party and their existing products or product candidates and regulatory approvals;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generate revenue from acquired intellectual property, technology and/or products sufficient to meet our objectives or even to offset the associated transaction and maintenance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we undertake such a transaction, we may incur large one-time expenses and acquire intangible assets that could result in significant future amortization expense.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Unfavorable U.S. and global economic conditions could adversely affect our business,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could be adversely affected by general conditions in the U.S. and global economies, the U.S. and global financial markets and adverse geopolitical and macroeconomic developments. U.S. and global market and economic conditions have been, and continue to be, disrupted and volatile due to many factors, including heightened inflation rates, tariffs, geopolitical conflicts, and bank failures, among others. General business and economic conditions that could affect our business, financial condition or results of operations include fluctuations in economic growth, debt and equity capital markets, liquidity of the global financial markets, access to our liquidity within the U.S. banking system, the availability and cost of credit, investor and consumer confidence, and the strength of the economies in which we, our manufacturers and our suppliers operate.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severe or prolonged global economic downturn could result in a variety of risks to our business. For example, inflation rates, particularly in the United States, have increased relatively recently,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further increasing economic uncertainty and heightening these risks. Risks of a prolonged global economic downturn are particularly true in Europe, which is undergoing a continued severe economic crisis. A weak or declining economy could also strain our suppliers and manufacturers,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Deposit Insurance Corporation only insures amounts up to $250,000 per depositor. Recently, we have seen the abrupt failure of more than one regional bank. We may from time to time have balances in bank accounts that are in excess of insured deposit limits, and could be subject to risks of bank failures. Similar bank failures could significantly impair our access to funding sources in amounts adequate to finance or capitalize our current and projected future business operations and could negatively impact the financial institutions with which we have direct arrangements, or the financial services industry or economy in 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financial markets around the world experienced volatility following the invasion of Ukraine by Russia. Further, a weak or declining economy could strain our suppliers and manufacturers. As a result, our business and results of operations may be adversely affected by the on-going conflict between Ukraine and Russia and related sanctions, particularly to the extent it escalates to involve additional countries, further economic sanctions or wider military conflict.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operations, as well as current and potential new suppliers and manufacturers, throughout Europe. If economic conditions in Europe and other key markets for our business remain uncertain or deteriorate further, we could experience adverse effects on our business, financial condition or results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Our ability to use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2024, the Company had $111.5 million of federal and $616.3 million of state net operating loss, or NOLs, that may be available to offset future taxable income. A portion of the federal NOL carryforwards begin to expire in 2035 and the state NOL carryforwards begin to expire in 2035, if not utilized. Under Sections 382 and 383 of the United States Internal Revenue Code of 1986, as amended, or the Code, if a corporation undergoes an “ownership change” (generally defined as a greater than 50-percentage-point cumulative change (by value) in the equity ownership of certain stockholders over a rolling three-year period), the corporation’s ability to use its pre-change NOL carryforwards and other pre-change tax attributes to offset its post-change taxable income or taxes may be limited. We may also experience ownership changes in the future as a result of subsequent shifts in our stock ownership, some of which are outside our control. As a result, our ability to use our pre-change net operating loss carryforwards and other pre-change tax attributes to offset post-change taxable income or taxes may be subject to limitation.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 federal tax legislation enacted in 2017, informally titled The Tax Cuts and Jobs Act, or the Tax Act, as modified by the Coronavirus Aid, Relief, and Economic Security Act, or the CARES Act, enacted in March 2020, among other things, includes changes to U.S. federal tax rates and the rules governing NOL carryforwards. Federal NOLs arising in tax years beginning after December 31, 2017 are permitted to be carried forward indefinitely, but carryback of such NOLs is generally permitted to the prior five taxable years only for NOLs arising in taxable years beginning before 2021. In addition, under the Tax Act, as modified by the CARES Act, the deductibility of federal NOLs incurred in taxable years beginning after December 31, 2017 is limited in taxable years beginning after December 31, 2020. For state income tax purposes, there may be periods during which the use of net operating loss carryforwards is suspended or otherwise limited, which could accelerate or permanently increase state taxes owed. The new limitations on use of NOLs may significantly impact our ability to utilize our NOLs to offset taxable income in the future.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or our customers may have a material adverse effect on our business, cash flow,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More recently, the IRA was enacted which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In addition, it is uncertain if and to what extent various states will conform to the Tax Act, the CARES Act, the IRA,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net deferred tax assets, could result in significant one-time charges, and could increase our future U.S. tax expense.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exchange rate risk may impact our financial position and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foreign currency forward contracts to protect against changes in anticipated foreign currency cash flows resulting from changes in foreign currency exchange rates, primarily associated with non-functional currency denominated expenses. We regularly monitor our foreign currency exchange rate exposures to ensure the overall effectiveness of its foreign currency exposures. While we engage in foreign currency hedging activity to reduce our risk, for accounting purposes, none of its foreign currency forward contracts are designated as hedges.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 failure to maintain an effective system of internal control over financial reporting could result in material misstatements of our financial statements in future periods and may impair our ability to comply with the accounting and reporting requirements applicable to public companies. Furthermore, our business, financial position, and results of operations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are subject to reporting and other obligations under the Exchange Act, including the requirements of the Sarbanes-Oxley Act of 2002, or SOX, Section 404, which require annual management assessments of the effectiveness of our internal control over financial reporting.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SOX. These reporting and other obligations place significant demands on our management and administrative and operational resources, including accounting resources.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 material weakness is a deficiency, or a combination of deficiencies, in internal control over financial reporting such that there is a reasonable possibility that a material misstatement of annual or interim consolidated financial statements will not be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prevented or detected on a timely basis. Any failure to maintain effective internal controls could also have an adverse effect on our business, financial position and results of operations.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Ownership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market price of our common stock may be volatile, which could result in substantial losses for investors purchasing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stock may be volatile. For example, the closing price of our common stock from December 31, 2023 to December 31, 2024 ranged from a low of $2.20 to a high of $10.90 and from January 1, 2025 to August 6, 2025, ranged from a low of $2.06 to a high of $9.57. As a result, shareholders may not be able to sell their common stock at or above the price that they paid for such shares. Some of the factors that may cause the market price of our common stock to fluctuate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existing or new competitive products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results of clinical trials for our current product candidates and any future product candidates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commencement or termination of collaborations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or discontinuation of any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develop our ABC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preclinical studies, clinical trials or regulatory approvals of product candidates of our competitors, or announcements about new research programs or product candidates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or legal developments in the United States and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or disputes concerning patent applications, issued patents or other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commencement of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expenses related to any of our research programs, product candidates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our efforts to develop additional product candidates 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estimates as to financial results, development timelines or recommendations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 or expectation of additional financing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our insiders, or other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variations in our financial results or those of companies that are perceived to be similar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estimates or recommendations by securities analysts, if any, that cover our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conditions in the pharmaceutical and biotechnology sectors;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 including the current inflationary environment, lowered consumer confidence, bank failures, major geopolitical conflicts;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other factors described in this “Risk Factors” section.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including recently in connection with health epidemics, bank failures, broader macroeconomic conditional and/or geopolitical instability, which has resulted in decreased market prices, notwithstanding the lack of a fundamental change in the underlying business models or prospects of those companies. Broad market and industry factors may seriously affect the market price of our common stock, regardless of our actual operating performance. In this regard, worsening economic conditions, relatively heightened interest rates and/or other tapering policies from the government, and other adverse effects or developments relating to health epidemics or general economic environment may negatively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Future sales of our common stock in the public market could cause our share price to decline, even if our business is doing well.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particularly sales by our directors, executive officers and significant stockholders, may have on the prevailing market price of our common stock. All of our outstanding shares of common stock are available for sale in the public market, subject only to the restrictions of Rule 144 under the Securities Act in the case of our affiliates. In addition, the shares of common stock subject to outstanding options under our equity incentive plans and the shares reserved for future issuance under our equity incentive plans, as well as shares issuable upon vesting of restricted stock unit awards, will become eligible for sale in the public market in the future, subject to certain legal and contractual limitations. In addition, certain holders of our common stock have the right, subject to various conditions and limitations, to request we include their shares of our common stock in registration statements we may file relating to our securities. If any of these additional shares are sold, or if it is perceived that they will be sold, in the public market, the market price of our common stock could decline.</w:t>
      </w:r>
    </w:p>
    <w:p>
      <w:pPr>
        <w:pStyle w:val="TextBody"/>
        <w:bidi w:val="0"/>
        <w:spacing w:before="240" w:after="283"/>
        <w:jc w:val="left"/>
        <w:rPr>
          <w:rFonts w:ascii="Times New Roman" w:hAnsi="Times New Roman"/>
          <w:sz w:val="20"/>
        </w:rPr>
      </w:pPr>
      <w:r>
        <w:rPr>
          <w:rFonts w:ascii="Times New Roman" w:hAnsi="Times New Roman"/>
          <w:b/>
          <w:i/>
          <w:color w:val="000000"/>
          <w:sz w:val="20"/>
        </w:rPr>
        <w:t>If securities analysts do not publish research or reports about our business or if they publish negative evaluations of our stock, the price of our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will rely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 </w:t>
      </w:r>
    </w:p>
    <w:p>
      <w:pPr>
        <w:pStyle w:val="TextBody"/>
        <w:bidi w:val="0"/>
        <w:spacing w:before="240" w:after="283"/>
        <w:jc w:val="left"/>
        <w:rPr>
          <w:rFonts w:ascii="Times New Roman" w:hAnsi="Times New Roman"/>
          <w:sz w:val="20"/>
        </w:rPr>
      </w:pPr>
      <w:r>
        <w:rPr>
          <w:rFonts w:ascii="Times New Roman" w:hAnsi="Times New Roman"/>
          <w:b/>
          <w:i/>
          <w:color w:val="000000"/>
          <w:sz w:val="20"/>
        </w:rPr>
        <w:t>Raising additional capital may cause dilution to our existing stockholders,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seek additional capital through one or a combination of public and private equity offerings, debt financings, strategic partnerships and alliances or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 </w:t>
      </w:r>
    </w:p>
    <w:p>
      <w:pPr>
        <w:pStyle w:val="TextBody"/>
        <w:bidi w:val="0"/>
        <w:spacing w:before="240" w:after="283"/>
        <w:jc w:val="left"/>
        <w:rPr>
          <w:rFonts w:ascii="Times New Roman" w:hAnsi="Times New Roman"/>
          <w:sz w:val="20"/>
        </w:rPr>
      </w:pPr>
      <w:r>
        <w:rPr>
          <w:rFonts w:ascii="Times New Roman" w:hAnsi="Times New Roman"/>
          <w:b/>
          <w:i/>
          <w:color w:val="000000"/>
          <w:sz w:val="20"/>
        </w:rPr>
        <w:t>Our principal stockholders own a significant percentage of our common stock, which could limit your ability to affect the outcome of key transactions, including a change of control.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directors, executive officers, significant holders of outstanding common stock and their respective affiliates beneficially own a significant amount of our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Delaware law and provisions in our certificate of incorporation and bylaws might discourage, delay, or prevent a change in control of our company or changes in our management and, therefore, depress the trading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in our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vacancies on our board of directors may be filled only by a majority of directors then in office, even though less than a quorum;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eliminate cumulative voting in the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to issue shares of preferred stock and determine the price and other terms of those shares, including preferences and voting rights, without stockholder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our board of directors with the exclusive right to elect a director to fill a vacancy or newly created directorship;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permit stockholders to only take actions at a duly called annual or special meeting and not by written consent;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stockholders from calling a special meeting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that stockholders give advance notice to nominate directors or submit proposals for consideration at stockholder meetings;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by a majority vote, to amend the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the affirmative vote of at least 66 2/3% or more of the outstanding shares of common stock to amend many of the provisions described above.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Our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bylaws provide that the Court of Chancery of the State of Delaware will be the exclusive forum for: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derivative action or proceeding brought on our behalf;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of breach of fiduciary duty;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against us arising under the DGCL, our certificate of incorporation, or our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against us that is governed by the internal-affairs doctrine.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bylaws further provide that the U.S. federal district courts will be the exclusive forum for resolving any complaint asserting a cause of action arising under the Securities Act of 1933, as amended.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bylaws to be inapplicable or unenforceable in an action, we may incur additional costs associated with resolving the dispute in other jurisdictions, which could seriously harm our business. Our bylaws further provide that unless we otherwise consent in writing,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9" w:name="ii_item2"/>
      <w:bookmarkEnd w:id="19"/>
      <w:r>
        <w:rPr>
          <w:rFonts w:ascii="Times New Roman" w:hAnsi="Times New Roman"/>
          <w:b/>
          <w:color w:val="000000"/>
          <w:sz w:val="20"/>
        </w:rPr>
        <w:t xml:space="preserve">Item 2. </w:t>
      </w:r>
      <w:bookmarkStart w:id="20" w:name="item_2_unregistered_sales_equity_securit"/>
      <w:bookmarkEnd w:id="20"/>
      <w:r>
        <w:rPr>
          <w:rFonts w:ascii="Times New Roman" w:hAnsi="Times New Roman"/>
          <w:b/>
          <w:color w:val="000000"/>
          <w:sz w:val="20"/>
        </w:rPr>
        <w:t>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21" w:name="item_3_defaults_upon_senior_securities"/>
      <w:bookmarkEnd w:id="21"/>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22" w:name="item_4_mine_safety_disclosures"/>
      <w:bookmarkEnd w:id="22"/>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23" w:name="item_5_or_information"/>
      <w:bookmarkEnd w:id="23"/>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2025, none of our directors or officers (as defined in Section 16 of the Securities Exchange Act of 1934, as amended) adopted or terminated any contract, instruction or written plan for the purchase or sale of our securities that was intended to satisfy the affirmative defense conditions of Rule 10b5-1(c) or any “non-Rule 10b5-1 trading arrangement,” as defined in Item 408(a) of Regulation S-K.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4" w:name="ii_item6"/>
      <w:bookmarkEnd w:id="24"/>
      <w:r>
        <w:rPr>
          <w:rFonts w:ascii="Times New Roman" w:hAnsi="Times New Roman"/>
          <w:b/>
          <w:color w:val="000000"/>
          <w:sz w:val="20"/>
        </w:rPr>
        <w:t>Item 6. E</w:t>
      </w:r>
      <w:bookmarkStart w:id="25" w:name="item_6_exhibits"/>
      <w:bookmarkEnd w:id="25"/>
      <w:r>
        <w:rPr>
          <w:rFonts w:ascii="Times New Roman" w:hAnsi="Times New Roman"/>
          <w:b/>
          <w:color w:val="000000"/>
          <w:sz w:val="20"/>
        </w:rPr>
        <w:t>xhibits.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8"/>
        <w:gridCol w:w="146"/>
        <w:gridCol w:w="6001"/>
        <w:gridCol w:w="146"/>
        <w:gridCol w:w="527"/>
        <w:gridCol w:w="146"/>
        <w:gridCol w:w="842"/>
        <w:gridCol w:w="146"/>
        <w:gridCol w:w="631"/>
        <w:gridCol w:w="146"/>
        <w:gridCol w:w="726"/>
      </w:tblGrid>
      <w:tr>
        <w:trPr/>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4"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48"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Kodiak Sciences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11/16/2018</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Kodiak Sciences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11/16/2018</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Common Stock Certificate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333-227237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9/24/2018</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Form of Class B Share Warrant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333-227237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9/7/2018</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Registration Rights Agreement, dated March 1, 2021, by and among the registrant and the investors named therein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3/1/2021</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1_2.htm">
              <w:r>
                <w:rPr>
                  <w:rStyle w:val="InternetLink"/>
                  <w:rFonts w:ascii="Times New Roman" w:hAnsi="Times New Roman"/>
                  <w:color w:val="0000FF"/>
                  <w:sz w:val="20"/>
                  <w:u w:val="single"/>
                </w:rPr>
                <w:t>Certification of Principal Accounting and Financial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2_2.htm">
              <w:r>
                <w:rPr>
                  <w:rStyle w:val="InternetLink"/>
                  <w:rFonts w:ascii="Times New Roman" w:hAnsi="Times New Roman"/>
                  <w:color w:val="0000FF"/>
                  <w:sz w:val="20"/>
                  <w:u w:val="single"/>
                </w:rPr>
                <w:t>Certification of Principal Accounting and Financial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(the instance document does not appear in the Interactive Data File because its XBRL tags are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with applicable taxonomy extension information contained in Exhibits 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The certifications attached as Exhibits 32.1 and 32.2 are deemed “furnished” and not deemed “filed” for purposes of Section 18 of the Securities Exchange Act of 1934, as amended, and are not to be incorporated by reference into any filing of Kodiak Sciences Inc. under the Securities Act of 1933, as amended, or the Securities Exchange Act of 1934, as amended, whether made before or after the date hereof irrespective of any general incorporation by reference language contained in any such filing, except to the extent that the registrant specifically incorporates it by reference.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6" w:name="signatures"/>
      <w:bookmarkEnd w:id="26"/>
      <w:r>
        <w:rPr>
          <w:rFonts w:ascii="Times New Roman" w:hAnsi="Times New Roman"/>
          <w:b/>
          <w:color w:val="000000"/>
          <w:sz w:val="20"/>
        </w:rPr>
        <w:t>SIGNAT</w:t>
      </w:r>
      <w:bookmarkStart w:id="27" w:name="signature"/>
      <w:bookmarkEnd w:id="27"/>
      <w:r>
        <w:rPr>
          <w:rFonts w:ascii="Times New Roman" w:hAnsi="Times New Roman"/>
          <w:b/>
          <w:color w:val="000000"/>
          <w:sz w:val="20"/>
        </w:rPr>
        <w: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397" w:type="dxa"/>
        <w:jc w:val="left"/>
        <w:tblInd w:w="0" w:type="dxa"/>
        <w:tblLayout w:type="fixed"/>
        <w:tblCellMar>
          <w:top w:w="28" w:type="dxa"/>
          <w:left w:w="28" w:type="dxa"/>
          <w:bottom w:w="28" w:type="dxa"/>
          <w:right w:w="28" w:type="dxa"/>
        </w:tblCellMar>
      </w:tblPr>
      <w:tblGrid>
        <w:gridCol w:w="1951"/>
        <w:gridCol w:w="109"/>
        <w:gridCol w:w="406"/>
        <w:gridCol w:w="39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KODIAK SCIENCES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Victor Perlroth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Victor Perlroth, M.D.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Chairman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Borgeson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John Borgeson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and Financial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bookmarkStart w:id="28" w:name="kod-ex31_1.htm"/>
      <w:bookmarkStart w:id="29" w:name="kskodex31_1"/>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Victor Perlroth, M.D.,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Kodiak Sciences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872" w:type="dxa"/>
        <w:jc w:val="left"/>
        <w:tblInd w:w="0" w:type="dxa"/>
        <w:tblLayout w:type="fixed"/>
        <w:tblCellMar>
          <w:top w:w="28" w:type="dxa"/>
          <w:left w:w="28" w:type="dxa"/>
          <w:bottom w:w="28" w:type="dxa"/>
          <w:right w:w="28" w:type="dxa"/>
        </w:tblCellMar>
      </w:tblPr>
      <w:tblGrid>
        <w:gridCol w:w="1951"/>
        <w:gridCol w:w="109"/>
        <w:gridCol w:w="406"/>
        <w:gridCol w:w="340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4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Victor Perlroth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Victor Perlroth, M.D.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Chairman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kod-ex31_2.htm"/>
      <w:bookmarkStart w:id="31" w:name="kskodex31_2"/>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John Borgeson,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Kodiak Sciences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397" w:type="dxa"/>
        <w:jc w:val="left"/>
        <w:tblInd w:w="0" w:type="dxa"/>
        <w:tblLayout w:type="fixed"/>
        <w:tblCellMar>
          <w:top w:w="28" w:type="dxa"/>
          <w:left w:w="28" w:type="dxa"/>
          <w:bottom w:w="28" w:type="dxa"/>
          <w:right w:w="28" w:type="dxa"/>
        </w:tblCellMar>
      </w:tblPr>
      <w:tblGrid>
        <w:gridCol w:w="1951"/>
        <w:gridCol w:w="109"/>
        <w:gridCol w:w="406"/>
        <w:gridCol w:w="39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Borgeson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John Borgeson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and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kod-ex32_1.htm"/>
      <w:bookmarkStart w:id="33" w:name="kskodex32_1"/>
      <w:bookmarkEnd w:id="32"/>
      <w:bookmarkEnd w:id="3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Kodiak Sciences Inc. (the “Company”) on Form 10-Q for the period ended June 30, 2025 as filed with the Securities and Exchange Commission on the date hereof (the “Report”), I certify, pursuant to 18 U.S.C. § 1350, as adopted pursuant to § 906 of the Sarbanes-Oxley Act of 2002, to the best of my knowledge,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872" w:type="dxa"/>
        <w:jc w:val="left"/>
        <w:tblInd w:w="0" w:type="dxa"/>
        <w:tblLayout w:type="fixed"/>
        <w:tblCellMar>
          <w:top w:w="28" w:type="dxa"/>
          <w:left w:w="28" w:type="dxa"/>
          <w:bottom w:w="28" w:type="dxa"/>
          <w:right w:w="28" w:type="dxa"/>
        </w:tblCellMar>
      </w:tblPr>
      <w:tblGrid>
        <w:gridCol w:w="1951"/>
        <w:gridCol w:w="109"/>
        <w:gridCol w:w="406"/>
        <w:gridCol w:w="340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4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Victor Perlroth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Victor Perlroth, M.D.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Chairman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4" w:name="kod-ex32_2.htm"/>
      <w:bookmarkStart w:id="35" w:name="kskodex32_2"/>
      <w:bookmarkEnd w:id="34"/>
      <w:bookmarkEnd w:id="3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Kodiak Sciences Inc. (the “Company”) on Form 10-Q for the period ended June 30, 2025 as filed with the Securities and Exchange Commission on the date hereof (the “Report”), I certify, pursuant to 18 U.S.C. § 1350, as adopted pursuant to § 906 of the Sarbanes-Oxley Act of 2002, to the best of my knowledge,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397" w:type="dxa"/>
        <w:jc w:val="left"/>
        <w:tblInd w:w="0" w:type="dxa"/>
        <w:tblLayout w:type="fixed"/>
        <w:tblCellMar>
          <w:top w:w="28" w:type="dxa"/>
          <w:left w:w="28" w:type="dxa"/>
          <w:bottom w:w="28" w:type="dxa"/>
          <w:right w:w="28" w:type="dxa"/>
        </w:tblCellMar>
      </w:tblPr>
      <w:tblGrid>
        <w:gridCol w:w="1951"/>
        <w:gridCol w:w="109"/>
        <w:gridCol w:w="406"/>
        <w:gridCol w:w="39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Borgeson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John Borgeson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and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68748/000156459018029743/kod-ex31_303.htm" TargetMode="External"/><Relationship Id="rId3" Type="http://schemas.openxmlformats.org/officeDocument/2006/relationships/hyperlink" Target="https://www.sec.gov/Archives/edgar/data/1468748/000156459018029743/kod-ex32_302.htm" TargetMode="External"/><Relationship Id="rId4" Type="http://schemas.openxmlformats.org/officeDocument/2006/relationships/hyperlink" Target="https://www.sec.gov/Archives/edgar/data/1468748/000119312518280419/d516071dex41.htm" TargetMode="External"/><Relationship Id="rId5" Type="http://schemas.openxmlformats.org/officeDocument/2006/relationships/hyperlink" Target="https://www.sec.gov/Archives/edgar/data/1468748/000119312518269221/d516071dex45.htm" TargetMode="External"/><Relationship Id="rId6" Type="http://schemas.openxmlformats.org/officeDocument/2006/relationships/hyperlink" Target="https://www.sec.gov/Archives/edgar/data/1468748/000156459021009946/kod-ex47_8.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51843</Words>
  <Characters>293352</Characters>
  <CharactersWithSpaces>345413</CharactersWithSpaces>
  <Paragraphs>4219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