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od-20251231.htm"/>
      <w:bookmarkStart w:id="1" w:name="kskod20251231"/>
      <w:bookmarkEnd w:id="0"/>
      <w:bookmarkEnd w:id="1"/>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spacing w:before="40" w:after="283"/>
        <w:jc w:val="center"/>
        <w:rPr/>
      </w:pPr>
      <w:r>
        <w:rPr/>
        <w:t> </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FORM 10-K</w:t>
      </w:r>
    </w:p>
    <w:p>
      <w:pPr>
        <w:pStyle w:val="TextBody"/>
        <w:pBdr>
          <w:bottom w:val="single" w:sz="4" w:space="1" w:color="000000"/>
        </w:pBdr>
        <w:bidi w:val="0"/>
        <w:spacing w:before="40" w:after="283"/>
        <w:jc w:val="center"/>
        <w:rPr/>
      </w:pPr>
      <w:r>
        <w:rPr/>
        <w:t> </w:t>
      </w:r>
    </w:p>
    <w:p>
      <w:pPr>
        <w:pStyle w:val="TextBody"/>
        <w:bidi w:val="0"/>
        <w:spacing w:before="40" w:after="283"/>
        <w:jc w:val="left"/>
        <w:rPr/>
      </w:pPr>
      <w:r>
        <w:rPr/>
        <w:t> </w:t>
      </w:r>
    </w:p>
    <w:p>
      <w:pPr>
        <w:pStyle w:val="TextBody"/>
        <w:bidi w:val="0"/>
        <w:spacing w:before="40" w:after="283"/>
        <w:jc w:val="left"/>
        <w:rPr/>
      </w:pPr>
      <w:r>
        <w:rPr>
          <w:color w:val="000000"/>
        </w:rPr>
        <w:t xml:space="preserve">☒ </w:t>
      </w:r>
      <w:r>
        <w:rPr>
          <w:rFonts w:ascii="Times New Roman" w:hAnsi="Times New Roman"/>
          <w:b/>
          <w:color w:val="000000"/>
          <w:sz w:val="18"/>
        </w:rPr>
        <w:t>ANNUAL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color w:val="000000"/>
          <w:sz w:val="18"/>
        </w:rPr>
        <w:t>For the fiscal year ended December 31, 2025</w:t>
      </w:r>
      <w:r>
        <w:rPr>
          <w:rFonts w:ascii="Times New Roman" w:hAnsi="Times New Roman"/>
          <w:color w:val="000000"/>
          <w:sz w:val="20"/>
        </w:rPr>
        <w:t xml:space="preserve"> </w:t>
      </w:r>
    </w:p>
    <w:p>
      <w:pPr>
        <w:pStyle w:val="TextBody"/>
        <w:bidi w:val="0"/>
        <w:spacing w:before="40" w:after="283"/>
        <w:jc w:val="center"/>
        <w:rPr>
          <w:rFonts w:ascii="Times New Roman" w:hAnsi="Times New Roman"/>
          <w:color w:val="000000"/>
          <w:sz w:val="16"/>
        </w:rPr>
      </w:pPr>
      <w:r>
        <w:rPr>
          <w:rFonts w:ascii="Times New Roman" w:hAnsi="Times New Roman"/>
          <w:color w:val="000000"/>
          <w:sz w:val="16"/>
        </w:rPr>
        <w:t>or</w:t>
      </w:r>
    </w:p>
    <w:p>
      <w:pPr>
        <w:pStyle w:val="TextBody"/>
        <w:bidi w:val="0"/>
        <w:spacing w:before="40" w:after="283"/>
        <w:jc w:val="left"/>
        <w:rPr/>
      </w:pPr>
      <w:r>
        <w:rPr>
          <w:color w:val="00000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40" w:after="283"/>
        <w:jc w:val="center"/>
        <w:rPr>
          <w:rFonts w:ascii="Times New Roman" w:hAnsi="Times New Roman"/>
          <w:color w:val="000000"/>
          <w:sz w:val="16"/>
        </w:rPr>
      </w:pPr>
      <w:r>
        <w:rPr>
          <w:rFonts w:ascii="Times New Roman" w:hAnsi="Times New Roman"/>
          <w:color w:val="000000"/>
          <w:sz w:val="16"/>
        </w:rPr>
        <w:t>For the transition period from __________ to _________</w:t>
      </w:r>
    </w:p>
    <w:p>
      <w:pPr>
        <w:pStyle w:val="TextBody"/>
        <w:bidi w:val="0"/>
        <w:spacing w:before="40" w:after="283"/>
        <w:jc w:val="center"/>
        <w:rPr>
          <w:rFonts w:ascii="Times New Roman" w:hAnsi="Times New Roman"/>
          <w:sz w:val="20"/>
        </w:rPr>
      </w:pPr>
      <w:r>
        <w:rPr>
          <w:rFonts w:ascii="Times New Roman" w:hAnsi="Times New Roman"/>
          <w:color w:val="000000"/>
          <w:sz w:val="16"/>
        </w:rPr>
        <w:t>Commission File Number:</w:t>
      </w:r>
      <w:r>
        <w:rPr>
          <w:rFonts w:ascii="Times New Roman" w:hAnsi="Times New Roman"/>
          <w:color w:val="000000"/>
          <w:sz w:val="20"/>
        </w:rPr>
        <w:t xml:space="preserve"> </w:t>
      </w:r>
      <w:r>
        <w:rPr>
          <w:rFonts w:ascii="Times New Roman" w:hAnsi="Times New Roman"/>
          <w:b/>
          <w:color w:val="000000"/>
          <w:sz w:val="16"/>
        </w:rPr>
        <w:t>001-38682</w:t>
      </w:r>
    </w:p>
    <w:p>
      <w:pPr>
        <w:pStyle w:val="TextBody"/>
        <w:pBdr>
          <w:bottom w:val="single" w:sz="4" w:space="1" w:color="000000"/>
        </w:pBdr>
        <w:bidi w:val="0"/>
        <w:spacing w:before="40" w:after="283"/>
        <w:jc w:val="center"/>
        <w:rPr/>
      </w:pPr>
      <w:r>
        <w:rPr/>
        <w:t> </w:t>
      </w:r>
    </w:p>
    <w:p>
      <w:pPr>
        <w:pStyle w:val="TextBody"/>
        <w:bidi w:val="0"/>
        <w:spacing w:before="40" w:after="283"/>
        <w:jc w:val="center"/>
        <w:rPr>
          <w:rFonts w:ascii="Times New Roman" w:hAnsi="Times New Roman"/>
          <w:b/>
          <w:color w:val="000000"/>
          <w:sz w:val="42"/>
        </w:rPr>
      </w:pPr>
      <w:r>
        <w:rPr>
          <w:rFonts w:ascii="Times New Roman" w:hAnsi="Times New Roman"/>
          <w:b/>
          <w:color w:val="000000"/>
          <w:sz w:val="42"/>
        </w:rPr>
        <w:t>KODIAK SCIENCES INC.</w:t>
      </w:r>
    </w:p>
    <w:p>
      <w:pPr>
        <w:pStyle w:val="TextBody"/>
        <w:bidi w:val="0"/>
        <w:spacing w:before="40" w:after="283"/>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spacing w:before="40" w:after="283"/>
        <w:jc w:val="left"/>
        <w:rPr/>
      </w:pPr>
      <w:r>
        <w:rPr/>
        <w:t> </w:t>
      </w:r>
    </w:p>
    <w:tbl>
      <w:tblPr>
        <w:tblW w:w="5908" w:type="dxa"/>
        <w:jc w:val="left"/>
        <w:tblInd w:w="0" w:type="dxa"/>
        <w:tblLayout w:type="fixed"/>
        <w:tblCellMar>
          <w:top w:w="28" w:type="dxa"/>
          <w:left w:w="28" w:type="dxa"/>
          <w:bottom w:w="28" w:type="dxa"/>
          <w:right w:w="28" w:type="dxa"/>
        </w:tblCellMar>
      </w:tblPr>
      <w:tblGrid>
        <w:gridCol w:w="3586"/>
        <w:gridCol w:w="146"/>
        <w:gridCol w:w="2176"/>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35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217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27-0476525</w:t>
            </w:r>
          </w:p>
        </w:tc>
      </w:tr>
      <w:tr>
        <w:trPr/>
        <w:tc>
          <w:tcPr>
            <w:tcW w:w="35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4"/>
              </w:rPr>
            </w:pPr>
            <w:r>
              <w:rPr>
                <w:rFonts w:ascii="Times New Roman" w:hAnsi="Times New Roman"/>
                <w:color w:val="000000"/>
                <w:sz w:val="14"/>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217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4"/>
              </w:rPr>
            </w:pPr>
            <w:r>
              <w:rPr>
                <w:rFonts w:ascii="Times New Roman" w:hAnsi="Times New Roman"/>
                <w:color w:val="000000"/>
                <w:sz w:val="14"/>
              </w:rPr>
              <w:t>(I.R.S. Employer Identification No.)</w:t>
            </w:r>
          </w:p>
        </w:tc>
      </w:tr>
      <w:tr>
        <w:trPr/>
        <w:tc>
          <w:tcPr>
            <w:tcW w:w="3586" w:type="dxa"/>
            <w:tcBorders/>
            <w:tcMar>
              <w:top w:w="0" w:type="dxa"/>
              <w:left w:w="0" w:type="dxa"/>
              <w:bottom w:w="0" w:type="dxa"/>
              <w:right w:w="0" w:type="dxa"/>
            </w:tcMar>
            <w:vAlign w:val="center"/>
          </w:tcPr>
          <w:p>
            <w:pPr>
              <w:pStyle w:val="TableContents"/>
              <w:bidi w:val="0"/>
              <w:spacing w:before="40" w:after="15"/>
              <w:jc w:val="center"/>
              <w:rPr>
                <w:rFonts w:ascii="Times New Roman" w:hAnsi="Times New Roman"/>
                <w:b/>
                <w:color w:val="000000"/>
                <w:sz w:val="16"/>
              </w:rPr>
            </w:pPr>
            <w:r>
              <w:rPr>
                <w:rFonts w:ascii="Times New Roman" w:hAnsi="Times New Roman"/>
                <w:b/>
                <w:color w:val="000000"/>
                <w:sz w:val="16"/>
              </w:rPr>
              <w:t>1250 Page Mill Road</w:t>
            </w:r>
          </w:p>
          <w:p>
            <w:pPr>
              <w:pStyle w:val="TableContents"/>
              <w:bidi w:val="0"/>
              <w:spacing w:before="25" w:after="15"/>
              <w:jc w:val="center"/>
              <w:rPr>
                <w:rFonts w:ascii="Times New Roman" w:hAnsi="Times New Roman"/>
                <w:b/>
                <w:color w:val="000000"/>
                <w:sz w:val="16"/>
              </w:rPr>
            </w:pPr>
            <w:r>
              <w:rPr>
                <w:rFonts w:ascii="Times New Roman" w:hAnsi="Times New Roman"/>
                <w:b/>
                <w:color w:val="000000"/>
                <w:sz w:val="16"/>
              </w:rPr>
              <w:t>Palo Alto, CA</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217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94304</w:t>
            </w:r>
          </w:p>
        </w:tc>
      </w:tr>
      <w:tr>
        <w:trPr/>
        <w:tc>
          <w:tcPr>
            <w:tcW w:w="35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217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spacing w:before="40" w:after="283"/>
        <w:jc w:val="center"/>
        <w:rPr>
          <w:rFonts w:ascii="Times New Roman" w:hAnsi="Times New Roman"/>
          <w:sz w:val="20"/>
        </w:rPr>
      </w:pPr>
      <w:r>
        <w:rPr>
          <w:rFonts w:ascii="Times New Roman" w:hAnsi="Times New Roman"/>
          <w:color w:val="000000"/>
          <w:sz w:val="16"/>
        </w:rPr>
        <w:t>Registrant’s telephone number, including area code:</w:t>
      </w:r>
      <w:r>
        <w:rPr>
          <w:rFonts w:ascii="Times New Roman" w:hAnsi="Times New Roman"/>
          <w:color w:val="000000"/>
          <w:sz w:val="20"/>
        </w:rPr>
        <w:t xml:space="preserve"> </w:t>
      </w:r>
      <w:r>
        <w:rPr>
          <w:rFonts w:ascii="Times New Roman" w:hAnsi="Times New Roman"/>
          <w:b/>
          <w:color w:val="000000"/>
          <w:sz w:val="16"/>
        </w:rPr>
        <w:t>(650) 281-0850</w:t>
      </w:r>
    </w:p>
    <w:p>
      <w:pPr>
        <w:pStyle w:val="TextBody"/>
        <w:bidi w:val="0"/>
        <w:spacing w:before="40" w:after="283"/>
        <w:jc w:val="center"/>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left"/>
        <w:rPr/>
      </w:pPr>
      <w:r>
        <w:rPr/>
        <w:t> </w:t>
      </w:r>
    </w:p>
    <w:tbl>
      <w:tblPr>
        <w:tblW w:w="7263" w:type="dxa"/>
        <w:jc w:val="left"/>
        <w:tblInd w:w="0" w:type="dxa"/>
        <w:tblLayout w:type="fixed"/>
        <w:tblCellMar>
          <w:top w:w="28" w:type="dxa"/>
          <w:left w:w="28" w:type="dxa"/>
          <w:bottom w:w="28" w:type="dxa"/>
          <w:right w:w="28" w:type="dxa"/>
        </w:tblCellMar>
      </w:tblPr>
      <w:tblGrid>
        <w:gridCol w:w="2611"/>
        <w:gridCol w:w="1426"/>
        <w:gridCol w:w="3226"/>
      </w:tblGrid>
      <w:tr>
        <w:trPr/>
        <w:tc>
          <w:tcPr>
            <w:tcW w:w="261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par value $0.0001</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KOD</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spacing w:before="40" w:after="283"/>
        <w:jc w:val="center"/>
        <w:rPr>
          <w:rFonts w:ascii="Times New Roman" w:hAnsi="Times New Roman"/>
          <w:color w:val="000000"/>
          <w:sz w:val="16"/>
        </w:rPr>
      </w:pPr>
      <w:r>
        <w:rPr>
          <w:rFonts w:ascii="Times New Roman" w:hAnsi="Times New Roman"/>
          <w:color w:val="000000"/>
          <w:sz w:val="16"/>
        </w:rPr>
        <w:t>Securities registered pursuant to Section 12(g) of the Act: None</w:t>
      </w:r>
    </w:p>
    <w:p>
      <w:pPr>
        <w:pStyle w:val="TextBody"/>
        <w:pBdr>
          <w:bottom w:val="single" w:sz="4" w:space="1" w:color="000000"/>
        </w:pBdr>
        <w:bidi w:val="0"/>
        <w:spacing w:before="40" w:after="283"/>
        <w:jc w:val="center"/>
        <w:rPr/>
      </w:pPr>
      <w:r>
        <w:rPr/>
        <w: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w:t>
      </w:r>
      <w:r>
        <w:rPr>
          <w:rFonts w:ascii="Times New Roman" w:hAnsi="Times New Roman"/>
          <w:color w:val="008000"/>
          <w:sz w:val="20"/>
        </w:rPr>
        <w:t xml:space="preserve"> </w:t>
      </w:r>
      <w:r>
        <w:rPr>
          <w:rFonts w:ascii="Times New Roman" w:hAnsi="Times New Roman"/>
          <w:color w:val="000000"/>
          <w:sz w:val="16"/>
        </w:rPr>
        <w:t>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4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bookmarkStart w:id="2" w:name="dp001"/>
      <w:bookmarkEnd w:id="2"/>
      <w:r>
        <w:rPr>
          <w:rFonts w:ascii="Times New Roman" w:hAnsi="Times New Roman"/>
          <w:color w:val="000000"/>
          <w:sz w:val="16"/>
        </w:rPr>
        <w:t>The aggregate market value of the common stock held by non-affiliates of the registrant, based on the closing price of a share of the registrant’s common stock on June 28, 2025, the last business day of the registrant’s most recently completed second fiscal quarter, as reported by the Nasdaq Global Market on such date, was approximately $121.6</w:t>
      </w:r>
      <w:r>
        <w:rPr>
          <w:rFonts w:ascii="Times New Roman" w:hAnsi="Times New Roman"/>
          <w:color w:val="000000"/>
          <w:sz w:val="20"/>
        </w:rPr>
        <w:t xml:space="preserve"> </w:t>
      </w:r>
      <w:r>
        <w:rPr>
          <w:rFonts w:ascii="Times New Roman" w:hAnsi="Times New Roman"/>
          <w:color w:val="000000"/>
          <w:sz w:val="16"/>
        </w:rPr>
        <w:t>million.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pStyle w:val="TextBody"/>
        <w:bidi w:val="0"/>
        <w:spacing w:before="40" w:after="283"/>
        <w:jc w:val="left"/>
        <w:rPr>
          <w:rFonts w:ascii="Times New Roman" w:hAnsi="Times New Roman"/>
          <w:sz w:val="20"/>
        </w:rPr>
      </w:pPr>
      <w:r>
        <w:rPr>
          <w:rFonts w:ascii="Times New Roman" w:hAnsi="Times New Roman"/>
          <w:color w:val="000000"/>
          <w:sz w:val="16"/>
        </w:rPr>
        <w:t>As of March 19, 2026, the registrant had 61,847,870</w:t>
      </w:r>
      <w:r>
        <w:rPr>
          <w:rFonts w:ascii="Times New Roman" w:hAnsi="Times New Roman"/>
          <w:color w:val="000000"/>
          <w:sz w:val="20"/>
        </w:rPr>
        <w:t xml:space="preserve"> </w:t>
      </w:r>
      <w:r>
        <w:rPr>
          <w:rFonts w:ascii="Times New Roman" w:hAnsi="Times New Roman"/>
          <w:color w:val="000000"/>
          <w:sz w:val="16"/>
        </w:rPr>
        <w:t>shares of common stock, $0.0001 par value per share, outstanding.</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Portions of the registrant’s definitive Proxy Statement relating to the 2026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2025.</w:t>
      </w:r>
    </w:p>
    <w:p>
      <w:pPr>
        <w:pStyle w:val="TextBody"/>
        <w:pBdr>
          <w:bottom w:val="double" w:sz="4" w:space="1" w:color="000000"/>
        </w:pBdr>
        <w:bidi w:val="0"/>
        <w:spacing w:before="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Annual Report on Form 10-K</w:t>
        <w:br/>
        <w:t>For the Fiscal Year Ended December 31, 2025</w:t>
        <w:br/>
      </w:r>
      <w:r>
        <w:rPr>
          <w:rFonts w:ascii="Times New Roman" w:hAnsi="Times New Roman"/>
          <w:color w:val="000000"/>
          <w:sz w:val="20"/>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9"/>
        <w:gridCol w:w="8884"/>
        <w:gridCol w:w="512"/>
      </w:tblGrid>
      <w:tr>
        <w:trPr/>
        <w:tc>
          <w:tcPr>
            <w:tcW w:w="809" w:type="dxa"/>
            <w:tcBorders/>
            <w:vAlign w:val="center"/>
          </w:tcPr>
          <w:p>
            <w:pPr>
              <w:pStyle w:val="TableContents"/>
              <w:bidi w:val="0"/>
              <w:spacing w:before="0" w:after="283"/>
              <w:jc w:val="left"/>
              <w:rPr>
                <w:sz w:val="4"/>
                <w:szCs w:val="4"/>
              </w:rPr>
            </w:pPr>
            <w:r>
              <w:rPr>
                <w:sz w:val="4"/>
                <w:szCs w:val="4"/>
              </w:rPr>
            </w:r>
          </w:p>
        </w:tc>
        <w:tc>
          <w:tcPr>
            <w:tcW w:w="888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0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Page</w:t>
            </w:r>
          </w:p>
        </w:tc>
      </w:tr>
      <w:tr>
        <w:trPr/>
        <w:tc>
          <w:tcPr>
            <w:tcW w:w="8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Special Note Regarding Forward-Looking Statements</w:t>
              </w:r>
            </w:hyperlink>
          </w:p>
        </w:tc>
        <w:tc>
          <w:tcPr>
            <w:tcW w:w="5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r>
      <w:tr>
        <w:trPr/>
        <w:tc>
          <w:tcPr>
            <w:tcW w:w="8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summary">
              <w:r>
                <w:rPr>
                  <w:rStyle w:val="InternetLink"/>
                  <w:rFonts w:ascii="Times New Roman" w:hAnsi="Times New Roman"/>
                  <w:color w:val="0000FF"/>
                  <w:sz w:val="20"/>
                  <w:u w:val="single"/>
                </w:rPr>
                <w:t>Risk Factor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iv</w:t>
            </w:r>
          </w:p>
        </w:tc>
      </w:tr>
      <w:tr>
        <w:trPr/>
        <w:tc>
          <w:tcPr>
            <w:tcW w:w="8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4"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u w:val="single"/>
                </w:rPr>
                <w:t>PART I</w:t>
              </w:r>
            </w:hyperlink>
          </w:p>
        </w:tc>
        <w:tc>
          <w:tcPr>
            <w:tcW w:w="5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8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r>
      <w:tr>
        <w:trPr/>
        <w:tc>
          <w:tcPr>
            <w:tcW w:w="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8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r>
      <w:tr>
        <w:trPr/>
        <w:tc>
          <w:tcPr>
            <w:tcW w:w="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88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r>
      <w:tr>
        <w:trPr/>
        <w:tc>
          <w:tcPr>
            <w:tcW w:w="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2. </w:t>
            </w:r>
          </w:p>
        </w:tc>
        <w:tc>
          <w:tcPr>
            <w:tcW w:w="88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r>
              <w:rPr>
                <w:rFonts w:ascii="Times New Roman" w:hAnsi="Times New Roman"/>
                <w:color w:val="0000FF"/>
                <w:sz w:val="20"/>
              </w:rPr>
              <w:t xml:space="preserve">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r>
      <w:tr>
        <w:trPr/>
        <w:tc>
          <w:tcPr>
            <w:tcW w:w="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8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r>
      <w:tr>
        <w:trPr/>
        <w:tc>
          <w:tcPr>
            <w:tcW w:w="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r>
              <w:rPr>
                <w:rFonts w:ascii="Times New Roman" w:hAnsi="Times New Roman"/>
                <w:color w:val="0000FF"/>
                <w:sz w:val="20"/>
              </w:rPr>
              <w:t xml:space="preserve">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r>
      <w:tr>
        <w:trPr/>
        <w:tc>
          <w:tcPr>
            <w:tcW w:w="8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4"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w:t>
              </w:r>
            </w:hyperlink>
          </w:p>
        </w:tc>
        <w:tc>
          <w:tcPr>
            <w:tcW w:w="5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Stockholders Matters and Issuer Purchases of Equity Securities</w:t>
              </w:r>
            </w:hyperlink>
            <w:r>
              <w:rPr>
                <w:rFonts w:ascii="Times New Roman" w:hAnsi="Times New Roman"/>
                <w:color w:val="0000FF"/>
                <w:sz w:val="20"/>
              </w:rPr>
              <w:t xml:space="preserve">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r>
      <w:tr>
        <w:trPr/>
        <w:tc>
          <w:tcPr>
            <w:tcW w:w="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8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6_selected_consolidated_financial_d">
              <w:r>
                <w:rPr>
                  <w:rStyle w:val="InternetLink"/>
                  <w:rFonts w:ascii="Times New Roman" w:hAnsi="Times New Roman"/>
                  <w:color w:val="0000FF"/>
                  <w:sz w:val="20"/>
                  <w:u w:val="single"/>
                </w:rPr>
                <w:t>[Reserved]</w:t>
              </w:r>
            </w:hyperlink>
          </w:p>
        </w:tc>
        <w:tc>
          <w:tcPr>
            <w:tcW w:w="5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r>
      <w:tr>
        <w:trPr/>
        <w:tc>
          <w:tcPr>
            <w:tcW w:w="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8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r>
      <w:tr>
        <w:trPr/>
        <w:tc>
          <w:tcPr>
            <w:tcW w:w="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88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r>
      <w:tr>
        <w:trPr/>
        <w:tc>
          <w:tcPr>
            <w:tcW w:w="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8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r>
              <w:rPr>
                <w:rFonts w:ascii="Times New Roman" w:hAnsi="Times New Roman"/>
                <w:color w:val="0000FF"/>
                <w:sz w:val="20"/>
              </w:rPr>
              <w:t xml:space="preserve">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r>
      <w:tr>
        <w:trPr/>
        <w:tc>
          <w:tcPr>
            <w:tcW w:w="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88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Disclosures</w:t>
              </w:r>
            </w:hyperlink>
            <w:r>
              <w:rPr>
                <w:rFonts w:ascii="Times New Roman" w:hAnsi="Times New Roman"/>
                <w:color w:val="0000FF"/>
                <w:sz w:val="20"/>
              </w:rPr>
              <w:t xml:space="preserve">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8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88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r>
              <w:rPr>
                <w:rFonts w:ascii="Times New Roman" w:hAnsi="Times New Roman"/>
                <w:color w:val="0000FF"/>
                <w:sz w:val="20"/>
              </w:rPr>
              <w:t xml:space="preserve">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8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_foreign_juris">
              <w:r>
                <w:rPr>
                  <w:rStyle w:val="InternetLink"/>
                  <w:rFonts w:ascii="Times New Roman" w:hAnsi="Times New Roman"/>
                  <w:color w:val="0000FF"/>
                  <w:sz w:val="20"/>
                  <w:u w:val="single"/>
                </w:rPr>
                <w:t>Disclosure Regarding Foreign Jurisdictions that Prevent Inspections</w:t>
              </w:r>
            </w:hyperlink>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8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4"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Times New Roman" w:hAnsi="Times New Roman"/>
                  <w:b/>
                  <w:color w:val="0000FF"/>
                  <w:sz w:val="20"/>
                  <w:u w:val="single"/>
                </w:rPr>
                <w:t>PART III</w:t>
              </w:r>
            </w:hyperlink>
          </w:p>
        </w:tc>
        <w:tc>
          <w:tcPr>
            <w:tcW w:w="5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8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88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8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Stockholders Matters</w:t>
              </w:r>
            </w:hyperlink>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88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pa">
              <w:r>
                <w:rPr>
                  <w:rStyle w:val="InternetLink"/>
                  <w:rFonts w:ascii="Times New Roman" w:hAnsi="Times New Roman"/>
                  <w:color w:val="0000FF"/>
                  <w:sz w:val="20"/>
                  <w:u w:val="single"/>
                </w:rPr>
                <w:t>Certain Relationships and Related Transactions, and Director Independence</w:t>
              </w:r>
            </w:hyperlink>
            <w:r>
              <w:rPr>
                <w:rFonts w:ascii="Times New Roman" w:hAnsi="Times New Roman"/>
                <w:color w:val="0000FF"/>
                <w:sz w:val="20"/>
              </w:rPr>
              <w:t xml:space="preserve">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14. </w:t>
            </w:r>
          </w:p>
        </w:tc>
        <w:tc>
          <w:tcPr>
            <w:tcW w:w="88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Accountant Fees and Services</w:t>
              </w:r>
            </w:hyperlink>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8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4"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Times New Roman" w:hAnsi="Times New Roman"/>
                  <w:b/>
                  <w:color w:val="0000FF"/>
                  <w:sz w:val="20"/>
                  <w:u w:val="single"/>
                </w:rPr>
                <w:t>PART IV</w:t>
              </w:r>
            </w:hyperlink>
          </w:p>
        </w:tc>
        <w:tc>
          <w:tcPr>
            <w:tcW w:w="5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15. </w:t>
            </w:r>
          </w:p>
        </w:tc>
        <w:tc>
          <w:tcPr>
            <w:tcW w:w="88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and Financial Statement Schedules</w:t>
              </w:r>
            </w:hyperlink>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r>
      <w:tr>
        <w:trPr/>
        <w:tc>
          <w:tcPr>
            <w:tcW w:w="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16. </w:t>
            </w:r>
          </w:p>
        </w:tc>
        <w:tc>
          <w:tcPr>
            <w:tcW w:w="888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r>
      <w:tr>
        <w:trPr/>
        <w:tc>
          <w:tcPr>
            <w:tcW w:w="8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forward_looking_statements"/>
      <w:bookmarkEnd w:id="3"/>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Annual Report on Form 10-K contains “forward-looking statements” within the meaning of Section 21E of the Securities Exchange Act of 1934, or Exchange Act. We have based these forward-looking statements largely on our current expectations about future events. Forward-looking statements are not guarantees of future performance or results. Forward-looking statements are based on information available at the time those statements are made and are subject to risks and uncertainties that could cause actual performance or results to differ materially from those in the forward-looking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include all statements that are not historical facts. In some cases, you can identify forward-looking statements by terms such as “may,” “might,” “will,” “objective,” “intend,” “should,” “could,” “can,” “would,” “expect,” “believe,” “intend,” “anticipate,” “project,” “target,” “design,” “estimate,” “predict,” “potential,” “plan”, “hope” or the negative of these terms, or similar expressions and comparable terminology intended to identify forward-looking statements. These statements reflect our current views and are based on assumptions and subject to risks and uncertainties, including those set forth in “Part I, Item 1A — Risk Factors.”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cost and timing of our development activities, preclinical studies, clinical trials and regulatory filings;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 including funding necessary to develop, manufacture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translation of our preclinical results and data and early clinical trial results in particular relating to safety, efficacy and durability into future clinical trials in humans;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durability, efficacy and safety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progress each of our product candidates, including tarcocimab, KSI-501 and KSI-101, into later stages of development and towards a Biologics License Application, or BLA;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developing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size and design of clinical trials that regulatory authorities may require to obtain marketing approval, including the order and number of clinical studies required to support a BLA in retinal vein occlusion, or RVO, diabetic retinopathy, or DR, and wet age-related macular degeneration, or wet AMD, or any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Lonza’s ability to successfully execute on our manufacturing development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chemistry manufacturing and controls, or CMC, requirements of the United States Food and Drug Administration, or FDA, and other regulatory bodies to support any BLA submission and potential commercial launch;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enhancements and benefits of new formulations of tarcocimab, KSI-501, KSI-101 or other Antibody Biopolymer Conjugate, or ABC, Platform derived molecules;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or likelihood of regulatory filings and approvals and any related restrictions, limitations and/or warnings in the label of any approved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potential of the markets for our product candidates, if approved for commercial use,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reimbursement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competing products or platform technologies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establish sales, marketing and distribution infrastructure to commercialize any product candidates for which we obtain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 as to the concentration of retinal specialists in the United States and its impact on our sales and marketing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regarding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 and technology;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claims relating to our intellectual property and third-party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regulations and regulatory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the unfavorable U.S. and global economic conditions on our business and operations, the business and operations of our collaborators, and on the global economy;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accuracy of our estimates regarding the sufficiency of our cash resources, expenses, future revenue, capital requirements and needs for additional financing, as well as, our ability to continue as a going concern;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aspirational goals and objectives related to our human capital resources and workforce objectives, including our ability to attract and retain key managerial, scientific and medical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forward-looking statements are based on information available to us on the date of this Annual Report on Form 10-K and we will not update any of the forward-looking statements after the date of this Annual Report on Form 10-K, except as required by law. Our actual results could differ materially from those discussed in this Annual Report on Form 10-K. The forward-looking statements contained in this Annual Report on Form 10-K,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Annual Report on Form 10-K titled “Part I, Item 1A — Risk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on Form 10-K,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All brand names or trademarks appearing in this Annual Report are the property of their respective holders. Unless the context requires otherwise, references in this Annual Report to “Kodiak” the “Company,” “we,” “us” and “our” refer to Kodiak Sciences Inc. and its subsidiaries.</w:t>
      </w:r>
    </w:p>
    <w:p>
      <w:pPr>
        <w:pStyle w:val="TextBody"/>
        <w:bidi w:val="0"/>
        <w:spacing w:before="120" w:after="283"/>
        <w:jc w:val="left"/>
        <w:rPr>
          <w:rFonts w:ascii="Times New Roman" w:hAnsi="Times New Roman"/>
          <w:sz w:val="20"/>
        </w:rPr>
      </w:pPr>
      <w:r>
        <w:rPr>
          <w:rFonts w:ascii="Times New Roman" w:hAnsi="Times New Roman"/>
          <w:i/>
          <w:color w:val="000000"/>
          <w:sz w:val="20"/>
        </w:rPr>
        <w:t>Kodiak</w:t>
      </w:r>
      <w:r>
        <w:rPr>
          <w:rFonts w:ascii="Times New Roman" w:hAnsi="Times New Roman"/>
          <w:i/>
          <w:color w:val="000000"/>
          <w:sz w:val="13"/>
        </w:rPr>
        <w:t>®</w:t>
      </w:r>
      <w:r>
        <w:rPr>
          <w:rFonts w:ascii="Times New Roman" w:hAnsi="Times New Roman"/>
          <w:i/>
          <w:color w:val="000000"/>
          <w:sz w:val="20"/>
        </w:rPr>
        <w:t>, Kodiak Sciences</w:t>
      </w:r>
      <w:r>
        <w:rPr>
          <w:rFonts w:ascii="Times New Roman" w:hAnsi="Times New Roman"/>
          <w:i/>
          <w:color w:val="000000"/>
          <w:sz w:val="13"/>
        </w:rPr>
        <w:t>®</w:t>
      </w:r>
      <w:r>
        <w:rPr>
          <w:rFonts w:ascii="Times New Roman" w:hAnsi="Times New Roman"/>
          <w:i/>
          <w:color w:val="000000"/>
          <w:sz w:val="20"/>
        </w:rPr>
        <w:t>, ABC</w:t>
      </w:r>
      <w:r>
        <w:rPr>
          <w:rFonts w:ascii="Times New Roman" w:hAnsi="Times New Roman"/>
          <w:i/>
          <w:color w:val="000000"/>
          <w:sz w:val="13"/>
        </w:rPr>
        <w:t>®</w:t>
      </w:r>
      <w:r>
        <w:rPr>
          <w:rFonts w:ascii="Times New Roman" w:hAnsi="Times New Roman"/>
          <w:i/>
          <w:color w:val="000000"/>
          <w:sz w:val="20"/>
        </w:rPr>
        <w:t>, ABC Platform</w:t>
      </w:r>
      <w:r>
        <w:rPr>
          <w:rFonts w:ascii="Times New Roman" w:hAnsi="Times New Roman"/>
          <w:i/>
          <w:color w:val="000000"/>
          <w:sz w:val="13"/>
        </w:rPr>
        <w:t></w:t>
      </w:r>
      <w:r>
        <w:rPr>
          <w:rFonts w:ascii="Times New Roman" w:hAnsi="Times New Roman"/>
          <w:i/>
          <w:color w:val="000000"/>
          <w:sz w:val="20"/>
        </w:rPr>
        <w:t>, ABCD</w:t>
      </w:r>
      <w:r>
        <w:rPr>
          <w:rFonts w:ascii="Times New Roman" w:hAnsi="Times New Roman"/>
          <w:i/>
          <w:color w:val="000000"/>
          <w:sz w:val="13"/>
        </w:rPr>
        <w:t></w:t>
      </w:r>
      <w:r>
        <w:rPr>
          <w:rFonts w:ascii="Times New Roman" w:hAnsi="Times New Roman"/>
          <w:i/>
          <w:color w:val="000000"/>
          <w:sz w:val="20"/>
        </w:rPr>
        <w:t>, Zenkuda</w:t>
      </w:r>
      <w:r>
        <w:rPr>
          <w:rFonts w:ascii="Times New Roman" w:hAnsi="Times New Roman"/>
          <w:i/>
          <w:color w:val="000000"/>
          <w:sz w:val="13"/>
        </w:rPr>
        <w:t></w:t>
      </w:r>
      <w:r>
        <w:rPr>
          <w:rFonts w:ascii="Times New Roman" w:hAnsi="Times New Roman"/>
          <w:i/>
          <w:color w:val="000000"/>
          <w:sz w:val="20"/>
        </w:rPr>
        <w:t>, VETi</w:t>
      </w:r>
      <w:r>
        <w:rPr>
          <w:rFonts w:ascii="Times New Roman" w:hAnsi="Times New Roman"/>
          <w:i/>
          <w:color w:val="000000"/>
          <w:sz w:val="13"/>
        </w:rPr>
        <w:t></w:t>
      </w:r>
      <w:r>
        <w:rPr>
          <w:rFonts w:ascii="Times New Roman" w:hAnsi="Times New Roman"/>
          <w:color w:val="000000"/>
          <w:sz w:val="20"/>
        </w:rPr>
        <w:t xml:space="preserve"> </w:t>
      </w:r>
      <w:r>
        <w:rPr>
          <w:rFonts w:ascii="Times New Roman" w:hAnsi="Times New Roman"/>
          <w:i/>
          <w:color w:val="000000"/>
          <w:sz w:val="20"/>
        </w:rPr>
        <w:t>and the Kodiak logo are registered trademarks or trademarks of Kodiak Sciences Inc. in various global jurisdictions.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4" w:name="risk_summary"/>
      <w:bookmarkEnd w:id="4"/>
      <w:r>
        <w:rPr>
          <w:rFonts w:ascii="Times New Roman" w:hAnsi="Times New Roman"/>
          <w:b/>
          <w:color w:val="000000"/>
          <w:sz w:val="20"/>
        </w:rPr>
        <w:t>SELECTED RISKS AFFECTING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common stock involves numerous risks, including the risks described in “Part I, Item 1A — Risk Factors” of this Annual Report on Form 10-K, any one of which could materially adversely affect our business, financial condition, results of operations and prospects. These risks include,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 the clinical stage of drug development and have a limited operating history and no products approved for commercial sale, which may make it difficult to evaluate our current business and predict our future success and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in each period since our inception and anticipate that we will continue to incur significant and increasing net losses for the foreseeable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condition raises substantial doubt about our ability to continue as a going concern.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obtain additional financing, we may be unable to complete the development and, if approved,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development is a highly uncertain undertaking and involves a substantial degree of risk. We have never generated any revenue from product sales, and we may never generate revenue or be profitable.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prospects are heavily dependent on our ability to successfully develop, obtain regulatory approval for and successfully commercialize tarcocimab, KSI-501 and KSI-101, our product candidates, which are currently in clinical development for multiple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pivotal studies to meet their primary efficacy endpoints may lead us to pause, change or discontinue development of other product candidates based on our ABC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for the development of tarcocimab, KSI-501 or KSI-101 may be unsuccessful.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of biopharmaceutical products is inherently risky. We cannot give any assurance that any of our product candidates will receive regulatory, including marketing, approval, which is necessary before they can be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encounter substantial delays in our clinical trials or may not be able to conduct or complete our clinical trials on the timelines we expect,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fail to demonstrate substantial evidence of the durability, efficacy and safety of our product candidates, which would prevent, delay or limit the scope of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FDA, European Medicines Agency, or EMA, and comparable foreign regulatory authorities are lengthy, time consuming, expensive and inherently unpredictable. If we are ultimately unable to obtain regulatory approval for our product candidates, we will be unable to generate product revenue and our business will be substantially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key personnel, and if we are not successful in attracting, motivating and retaining highly qualified personnel, we may not be able to successfully implement our business strategy.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part_i"/>
      <w:bookmarkEnd w:id="5"/>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bookmarkStart w:id="6" w:name="item_1_business"/>
      <w:bookmarkEnd w:id="6"/>
      <w:r>
        <w:rPr>
          <w:rFonts w:ascii="Times New Roman" w:hAnsi="Times New Roman"/>
          <w:b/>
          <w:color w:val="000000"/>
          <w:sz w:val="20"/>
        </w:rPr>
        <w:t>ITEM 1.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its founding in 2009, Kodiak Sciences Inc. (“Kodiak,” the “Company,” “we” or “our”) has developed a new technology platform, the Antibody Biopolymer Conjugate (“ABC”) platform, for retinal medicines. Our goal is to prevent and treat the major causes of blindness by developing and commercializing next-generation therapeutics to address multiple unmet needs on the spectrum of retinal diseases.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has developed three late-stage clinical programs based on its internal discovery and development engine. The lead investigational medicine, tarcocimab tedromer (“Zenkuda” or “KSI-301” or “tarcocimab”), is an anti-VEGF therapy built on Kodiak's proprietary ABC platform. Zenkuda has a mean ocular half-life in humans of 20 days, approximately three times longer than approved anti-vascular endothelial growth factor ("VEGF") therapies, and is designed to maintain effective drug levels in ocular tissues for longer. Zenkuda is being developed as a mainstay intravitreal biologic monotherapy that provides high immediacy, driven by the enhanced formulation, and high durability, driven by the ABC platform and our science of durability, with the ultimate objective of providing, once approved, a flexible 1-month through 6-month label for all patients with retinal vascular disease (treatment-naïve, treatment-experienced, mild patients and severe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Zenkuda has completed four successful Phase 3 pivotal studies: the Phase 3 GLOW1 and GLOW2 studies in diabetic retinopathy ("DR"), the Phase 3 BEACON study in retinal vein occlusion ("RVO"), and the Phase 3 DAYLIGHT study in wet AMD. In the GLOW1 and GLOW2 studies, Zenkuda successfully treated DR patients and prevented disease progression with 100% of patients on extended 6-month dosing at Year 1. In the BEACON study, during the first 6 months, Zenkuda-treated patients were dosed at 8-week intervals (as opposed to 4-week intervals for aflibercept). In the second 6 months, identical retreatment criteria were used for the Zenkuda and aflibercept arms, and nearly half of Zenkuda patients did not require any treatment while achieving similar vision and anatomical outcomes as the aflibercept group at one year. In the DAYLIGHT study, Zenkuda demonstrated non-inferior efficacy results and compelling safety and tolerability at a once-monthly dosing interval. Zenkuda is currently being studied in the Phase 3 DAYBREAK study in wet AMD, the final anticipated Phase 3 study in the program. In DAYBREAK, patients are treated on an every 1-month through every 6-month treatment interval, depending on an AI-driven assessment of disease activity. DAYBREAK has completed enrollment. DAYBREAK uses Zenkuda’s enhanced commercial 50 mg/mL formulation containing both conjugated and unconjugated antibody that is intended to balance immediacy and durability. Topline results for the DAYBREAK one-year primary endpoint are expected in 3Q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Kodiak’s second investigational medicine, KSI-501, is an anti-interleukin 6, or IL-6, VEGF-trap bispecific therapy built on the ABC platform and is being developed for high prevalence retinal vascular diseases and intended to address the leading unmet needs of extended durability and targeting disease biology beyond VEGF for differentiated efficacy. KSI-501 is designed to provide high immediacy/efficacy, driven by the enhanced formulation, and high durability, driven by the ABC platform and our science of durability. In preclinical models, KSI-501 was shown to be a potent inhibitor of VEGF and IL-6 and, further, was shown to normalize the blood retinal barrier, opening up the possibility that KSI-501 may be a disease-modifying therapy for retinal vascular diseases. Furthermore, higher intraocular levels of IL-6 correlated with poorer best corrected visual acuity (“BCVA”) outcomes over time in wet AMD patients treated with anti-VEGF monotherapy, which may indicate that IL-6 inhibition in combination with anti-VEGF therapy could lead to improved outcomes. Kodiak has advanced KSI-501 into the Phase 3 study DAYBREAK to evaluate its efficacy and safety in wet AMD. DAYBREAK has completed enrollment. DAYBREAK uses KSI-501's enhanced 50 mg/mL formulation containing both conjugated and unconjugated antibody that is intended to balance immediacy and durability. Topline results for the DAYBREAK one-year primary endpoint are expected in 3Q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Kodiak’s third investigational medicine, KSI-101, is a high strength (100 mg/mL) bispecific protein targeting IL-6 and VEGF. We are developing KSI-101 for patients with macular edema (retinal fluid) secondary to inflammation ("MESI"). MESI is a heterogenous group of diseases that clinically present with macular edema and visual impairment which are caused by a common pathophysiology–inflammation and blood retinal barrier disruption. The clinical presentation of retinal fluid and visual impairment is a mainstay in these patients, irrespective of the location of the inflammation inside of the eye (anterior, intermediate, posterior, or all intraocular compartments) or the specific etiology (defined autoimmune associated, idiopathic, post-procedural, or inflammatory choroidal neovascularization). Currently there are no available intravitreal biologic therapies addressing the spectrum of MESI diseases. We believe that MESI represents a new market segment separate from the established anti-VEGF market. Our completed dose-finding Phase 1b study APEX evaluated KSI-101 in two cohorts, Cohort 1 in patients with diabetic macular edema ("DME") and Cohort 2 in patients with MESI. APEX indicated that KSI-101 provided meaningful visual and anatomical gains in both DME and MESI and that KSI-101 was well tolerated. Meaningful treatment responses were seen in the MESI population, irrespective of the location of inflammation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 MESI etiology, opening up the potential for KSI-101 to become a unifying treatment for this patient population. Based on APEX, the top two dose levels tested were selected to advance into the Phase 3 program. The PEAK and PINNACLE Phase 3 studies are actively enrolling MESI subjects at the 5 mg and 10 mg dose levels versus sham. Topline data readouts for PEAK and PINNACLE are expected in 4Q 2026 and 2Q 2027,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Beyond its clinical pipeline, Kodiak is advancing its platform technology to embed small molecules and other active pharmaceutical ingredients (“API”), into Kodiak’s proprietary biopolymer backbone to enable high drug-antibody ratio (“DAR”) medicines. The diverse APIs are designed to be released over time to achieve targeted, multi-specific and tailored modulation of biological pathways. We believe this unique combination of high DAR and extended therapeutic benefit offers potential for broad and important utility for multifactorial ophthalmic and systemic diseases. We call this platform extension our Antibody Biopolymer Conjugate Drug (“ABCD”) Platform because we are extending our platform capabilities to include the conjugation of small molecule drugs whereas historically we primarily conjugated biologics such as antibodies. Our ABCD platform is advancing a next set of investigational therapies for high prevalence retinal diseases, including our novel “duet” technology for glaucoma and geographic atrophy.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advancing our pipeline, we have made progress in process development and commercial scale manufacturing, including the commissioning and regulatory approval of Ursus, our dedicated commercial-scale drug substance manufacturing facility that was custom-designed and built in collaboration with Lonza, a leading drug contract manufacturing firm. We believe these manufacturing efforts could position Kodiak for potential market share capture if tarcocimab and KSI-501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retained all global rights to make, use and sell its product candidates, which we believe preserves future value and allows for agile decision-making. Our objective is to develop our retina-focused product candidates, seek FDA approval and ultimately commercialize our product candidates in major markets.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Zenkuda (tarcocimab) Clinical Program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Kodiak’s lead clinical program Zenkuda is an investigational anti-VEGF therapy built on Kodiak’s ABC platform and is designed to maintain potent and effective drug levels in ocular tissues for longer than existing available agents. It is being developed as a mainstay intravitreal biologic monotherapy intended to provide high immediacy, driven by its enhanced formulation and high durability from our ABC platform. Our ultimate objective is to provide a flexible 1-month through 6-month label to enable earlier treatment and prevention of vision loss for patients with diabetic retinopathy and to develop a new high immediacy and high durability agent to improve outcomes for patients with other retinal vascular diseases.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the original, clinical formulation of tarcocimab was studied in six pivotal clinical studies: Phase 3 GLOW1 study in diabetic retinopathy (“DR”), Phase 3 BEACON study in retinal vein occlusion (“RVO”), Phase 3 DAYLIGHT study in wet AMD, Phase 3 GLEAM and GLIMMER studies with identical study design in diabetic macular edema (“DME”), and Phase 2/3 DAZZLE study in wet AMD. Of the six registrational studies, GLOW1, BEACON and DAYLIGHT successfully met the primary endpoint. An enhanced, commercial formulation of tarcocimab was studied in one Phase 3 clinical trial, GLOW2, and is currently being studied in a second Phase 3 clinical trial DAYBREAK. The GLOW2 study in DR successfully met the primary endpoint, and DAYBREAK has completed enrollment. We anticipate being in a position to announce topline data for the primary endpoint for DAYBREAK in 3Q 2026 and intend to file a BLA for tarcocimab in DR, RVO and wet AMD.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Both GLOW2 and DAYBREAK use tarcocimab’s enhanced 50 mg/mL formulation containing both conjugated and unconjugated antibody that is intended to deliver high immediacy and high durability.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information about study design and results, if completed, from each individual pivotal study are summarized next.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Ongoing Phase 3 Studies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DAYBREAK – Phase 3 Study in Patients with Wet Age-Related Macular Degeneration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3 DAYBREAK study is a non-inferiority study evaluating parallel investigational arms of Zenkuda and KSI-501 against active comparator aflibercept. The DAYBREAK study incorporates learnings from prior pivotal trials of Zenkuda and was designed to maximize the probability of meeting the primary endpoint of non-inferiority in visual acuity gains. Patients randomized to Zenkuda will receive individualized dosing every 4 to 24 weeks on an as needed basis following four monthly loading doses. Patients randomized to aflibercept will be dosed per label. The individualized dosing of Zenkuda is determined by a treat-to-dryness proactive approach using the presence of retinal fluid as a disease activity marker, which resembles retina specialists' practice and optimizes each patient's treatment, instead of using a combination of central subfield thickness ("CST") and vision loss. The objectives for Zenkuda in DAYBREAK are to assess its durability potential, strengthen its competitive position in wet AMD and bolster the possible regulatory application package for the program. DAYBREAK was designed to demonstrate the potential for Zenkuda to be a mainstay biologic for VEGF-driven retinal vascular diseases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both a strong efficacy/immediacy (driven by its enhanced formulation) and a strong durability (driven by its ABC design and science of durability). Topline data for the one-year primary endpoint in DAYBREAK are expected in 3Q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Completed Studies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GLOW1 and GLOW2 – Phase 3 studies in patients with diabetic retinopathy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GLOW1 and GLOW2 were prospective, randomized, double-masked, sham-controlled, multicenter Phase 3 studies evaluating Zenkuda 5mg in participants with diabetic retinopathy. Both studies employed extended-interval dosing regimens with an ultimate treatment interval of every six months. The primary endpoint was the proportion of eyes improving by ≥2 steps on the Diabetic Retinopathy Severity Scale ("DRSS") from baseline to Week 48. Additional outcome measures include the proportion of eyes developing a sight-threatening complication of diabetic retinopathy and the proportion of eyes improving ≥3 steps on DRSS from baseline to Week 48.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GLOW1 study, patients were randomized 1:1 to receive either sham injections or Zenkuda via intravitreal injection at baseline, Week 8, Week 20 and Week 44, for a planned four injections in year one. The Phase 3 GLOW1 study demonstrated that, with extended 6-month dosing in every patient, Zenkuda can achieve strong efficacy both in treating existing disease (primary endpoint) and preventing vision threatening complications and disease progression (key secondary endpoint). In GLOW1, Zenkuda met its primary endpoint of the proportion of patients with at least a 2-step improvement on the DRSS score with 41.1% of Zenkuda-treated patients demonstrating at least a 2-step improvement versus 1.4% of patients in the sham group, a 29-fold increased response rate ratio (p-value &lt; 0.0001). Zenkuda also met all key secondary endpoints, including greater reductions in the proportion of patients developing sight-threatening complications (such as diabetic macular edema and proliferative diabetic retinopathy) versus sham, demonstrating an 89% decreased risk (2.3% with Zenkuda versus 21.0% with sham, p-value &lt; 0.0001).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3 GLOW2 study was designed as a confirmatory study to the Phase 3 GLOW1 study. Patients were randomized 1:1 to receive either sham injections or Zenkuda via intravitreal injection at baseline, Week 4, Week 8, Week 20 and Week 44, for a planned five injections in year one. The Phase 3 GLOW2 study confirmed findings from GLOW1 that, with extended 6-month dosing in all Zenkuda-treated patients, Zenkuda can achieve strong efficacy both in treating existing disease (primary endpoint) and preventing vision threatening complications and disease progression (key secondary endpoint). In GLOW2, Zenkuda met its primary endpoint of the proportion of patients with at least a 2-step improvement on the DRSS, with 62.5% of Zenkuda-treated patients demonstrating at least a 2-step improvement versus 3.3% of patients in the sham group, a 19-fold increased response rate ratio (p-value &lt; 0.0001). Zenkuda also met all key secondary endpoints, including greater reductions in the proportion of patients developing sight-threatening complications (such as diabetic macular edema and proliferative diabetic retinopathy), versus sham, demonstrating an 85% decreased risk (2.4% with Zenkuda versus 15.8% with sham, p-value ≤ 0.0001). Zenkuda was well-tolerated with low rates of common ocular adverse events. No cases of intraocular inflammation were reported in the study, and no cases of retinal vasculitis or occlusive retinal vasculitis were observed. The incidence of cataract in the study eye was low (2.3% with Zenkuda versus 1.6% with sham) and in line with expected background rates in patients with DR.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BEACON – Phase 3 Study in Patients with Treatment-Naïve Retinal Vein Occlusion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3 BEACON study was a randomized, double-masked, multicenter, active comparator-controlled study in treatment naïve patients with vision loss and macular edema due to retinal vein occlusion, including both branch (“BRVO”) and central (“CRVO”) subtypes. In the initial six months of the study, patients received tarcocimab on a fixed every-8-week dosing regimen following 2 monthly loading doses or aflibercept 2mg on a fixed monthly dosing regimen per its label. In the second six months of the study, tarcocimab and aflibercept were tested head-to-head according to a pro re nata (“PRN”) protocol in which patients in both groups were treated only when disease reactivated according to matched predefined disease activity criteria.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2022, Kodiak announced that the BEACON study met the primary efficacy endpoint of non-inferior visual acuity change from baseline at week 24 for subjects given tarcocimab every two months after 2 monthly loading doses compared to subjects given monthly aflibercept.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7, 2023, Kodiak announced new one-year results from the BEACON study. Tarcocimab demonstrated matched efficacy with differentiated durability versus aflibercept in the head-to-head comparison. After 4 initiating doses in the first 6 months, 47% of tarcocimab-treated patients required no additional injections in the second 6 months while matching the vision and anatomic outcomes of aflibercept-treated patients. Despite receiving 6 initiating monthly doses, only 37% of aflibercept patients were injection free in the second half of the study. 77% of tarcocimab treated patients received 5 or fewer doses in year one, while 93% of aflibercept treated patients received 6 or more doses. BRVO patients received a median of 4.0 injections on tarcocimab versus 7.0 injections of aflibercept. Despite materially fewer injections in tarcocimab treated patients, vision outcomes favored tarcocimab-treated patients achieving an observed mean of 76.6 letters versus 75.6 letters for aflibercept treated patients. All RVO patients received a median of 5.0 injections on tarcocimab versus 7.0 injections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aflibercept. Despite materially fewer injections in tarcocimab treated patients, vision outcomes favored tarcocimab-treated patients achieving an observed mean of 74.6 letters versus 74.3 letters for aflibercept treated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and tolerability were comparable between tarcocimab and aflibercept. Intraocular inflammation (“IOI”) rate was comparable between groups (tarcocimab 2.5% vs aflibercept 0.7%). No cases of inflammation associated with vascular occlusion or vasculitis were reported.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DAYLIGHT – Phase 3 Study in Patients with Treatment-Naïve Wet AMD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DAYLIGHT study was a randomized, double-masked, active comparator-controlled study evaluating the efficacy and safety of a high intensity dosing regimen of tarcocimab in 557 treatment-naïve subjects with wet AMD. On July 24, 2023, Kodiak announced that the DAYLIGHT study met the primary endpoint of non-inferior visual acuity gains at year 1 for tarcocimab dosed monthly compared to aflibercept dosed every 8 weeks following 3 monthly loading doses. Intraocular inflammation occurred in 3.3% of patients treated with monthly tarcocimab and 0.4% of patients treated with aflibercept with no vasculitis or occlusion.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GLEAM / GLIMMER – Paired Phase 3 Studies in Patients with Treatment-Naïve Diabetic Macular Edema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GLEAM and GLIMMER studies were identically designed, randomized, double-masked, active comparator-controlled studies evaluating the efficacy, durability and safety of tarcocimab in 460 and 457 treatment-naïve subjects with DME, respectively, run in parallel.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24, 2023, Kodiak announced that although high proportions of patients on meaningfully longer treatment intervals were observed with tarcocimab, with half of patients on every 24-week dosing at the primary endpoint, the GLEAM and GLIMMER studies did not meet their primary efficacy endpoints of showing non-inferior visual acuity gains for tarcocimab dosed every 8 to 24 weeks after 3 monthly loading doses compared to aflibercept given every 8 weeks after 5 monthly loading doses. At the primary efficacy endpoint of the GLEAM study, patients treated with tarcocimab gained an observed average of 6.4 eye chart letters (to 73.1 letters), compared with 10.3 letters for patients treated with aflibercept (to 76.5 letters). In GLIMMER, patients treated with tarcocimab gained an observed average of 7.4 eye chart letters at the primary endpoint (to 72.5 letters) compared with 12.2 letters (to 76.4 letters) for patients treated with aflibercept.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unexpected increase in cataract adverse events was reported over time in the tarcocimab arms of both GLEAM and GLIMMER, with 19% on tarcocimab versus 9% on aflibercept at the primary endpoint based on the pooled safety population. Kodiak’s evaluation suggested that the decline in visual acuity associated with cataracts likely contributed meaningfully to the failure of each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Half of tarcocimab treated patients in the GLEAM and GLIMMER studies were on every 24-week dosing at the primary endpoint, two-thirds achieved at least one 6-month dosing interval during the studies, and three-quarters achieved at least one 5-month or longer treatment interval. Intraocular inflammation was rare, occurring in 1.3% and 0.2% of tarcocimab and aflibercept treated patients, respectively. No cases of intraocular inflammation with vasculitis or vascular occlusion were observed.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DAZZLE – Phase 2b/3 Study in Patients with Treatment-Naïve Wet AMD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DAZZLE study was a global, multi-center, randomized pivotal study designed to evaluate the durability, efficacy and safety of tarcocimab in patients with treatment-naïve wet AMD. In February 2022 Kodiak announced that this initial pivotal study did not meet its primary efficacy endpoint of non-inferior visual acuity gains for subjects dosed on extended regimens every 12-, 16- or 20 weeks with tarcocimab compared to subjects given aflibercept every 8 weeks. Following this announcement, Kodiak discontinued the study and concluded remaining trial-associated activities.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KSI-501 Clinical Program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KSI-501 is an investigational anti-IL-6, VEGF-trap bispecific therapy built on the ABC platform and is being developed for high prevalence retinal vascular diseases to address the leading unmet needs of extended durability and targeting disease biology beyond VEGF for differentiated efficacy. KSI-501 is designed to provide high immediacy/efficacy, driven by the enhanced formulation, and high durability, driven by the ABC platform and our science of durability.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preclinical models, KSI-501 was shown to be a potent inhibitor of VEGF and IL-6 and, further, was shown to normalize the blood retinal barrier, opening up the possibility that KSI-501 may be a disease-modifying therapy for retinal vascular diseases. Furthermore, higher intraocular levels of IL-6 correlated with poorer BCVA outcomes over time in wet AMD patients treated with anti-VEGF monotherapy, which suggests that IL-6 inhibition in combination with anti-VEGF therapy could lead to improved outcomes.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has advanced KSI-501 into the Phase 3 study DAYBREAK to evaluate its efficacy and safety in wet AMD. DAYBREAK has completed enrollment. DAYBREAK uses KSI-501's enhanced 50 mg/mL formulation containing both conjugated and unconjugated antibody that is intended to balance immediacy and durability.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About DAYBREAK (and KSI-501)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DAYBREAK study is a non-inferiority study evaluating parallel investigational arms of KSI-501 and Zenkuda against active comparator aflibercept. Patients randomized to KSI-501 will receive fixed every 8-week dosing with additional individualized dosing (up to monthly dosing) on an as needed basis after four monthly loading doses. Patients randomized to aflibercept will be dosed per label. Using the same treat-to-dryness approach as Zenkuda, coupled with fixed intensive proactive dosing, our goal is to maximize both the probability of meeting the primary endpoint as well as the probability of demonstrating additional efficacy benefits. The primary endpoint is non-inferiority in change in visual acuity from baseline to the average of Week 40, 44 and 48. The objective for KSI-501 in DAYBREAK is to explore the efficacy potential of bispecific IL-6 and VEGF inhibition in a broad treatment-naïve wet AMD population. DAYBREAK has completed enrollment. Topline data for the one-year primary endpoint in DAYBREAK are expected in 3Q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KSI-101 Clinical Program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KSI-101 is a high strength (100 mg/mL) bispecific protein targeting IL-6 and VEGF. We are developing KSI-101 for patients with macular edema (retinal fluid) secondary to inflammation ("MESI"). MESI is a heterogenous group of diseases that clinically present with macular edema and visual impairment which are caused by a common pathophysiology–inflammation and blood retinal barrier disruption. The clinical presentation of retinal fluid and visual impairment is a mainstay in these patients, irrespective of the location of the inflammation inside of the eye (anterior, intermediate, posterior or all intraocular compartments) or the specific etiology (defined autoimmune associated, idiopathic, post-procedural or inflammatory choroidal neovascularization).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there are no available intravitreal biologic therapies addressing the spectrum of MESI diseases. We believe that MESI represents a new market segment separate from the established anti-VEGF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completed dose-finding Phase 1b study APEX evaluated KSI-101 in two cohorts, Cohort 1 in patients with diabetic macular edema (DME) and Cohort 2 in patients with MESI. APEX demonstrated that KSI-101 provides meaningful visual and anatomical gains in both DME and MESI and that KSI-101 is well tolerated. Meaningful treatment responses were seen in the MESI population, irrespective of the location of inflammation and specific MESI etiology, opening up the potential for KSI-101 to become a unifying treatment for this patient population.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APEX, the top two dose levels tested were selected to advance into the Phase 3 program. The PEAK and PINNACLE Phase 3 studies are actively enrolling MESI subjects at the 5 mg and 10 mg dose levels versus sham.</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About PEAK and PINNACLE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PEAK and PINNACLE studies are superiority studies evaluating two dose levels of KSI-101 (5 mg and 10 mg) compared to sham treatment in patients with MESI. PEAK and PINNACLE are identical in study design with key differences in patient population. PEAK includes patients with more severe disease (moderate to severe macular edema and vision impairment) and PINNACLE includes patients with milder disease (mild macular edema and any vision impairment), as well as patients with moderate to severe macular edema with good vision. Together, PEAK and PINNACLE are designed to enroll complementary patient populations and to cover a wide spectrum of MESI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randomized to the KSI-101 treatment arms will receive fixed monthly dosing for 6 doses (from Day 1 to Week 20), with subsequent individualized dosing (up to monthly dosing) for 6 additional visits (Week 24 to Week 44). Patients in the sham arm will receive monthly sham dosing for 6 doses followed by sham PRN. The primary and key secondary endpoints will be evaluated at Week 24. PEAK and PINNACLE are now actively enrolling patients. Topline data readouts for PEAK and PINNACLE are expected in 4Q 2026 and 2Q 2027,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Antibody Biopolymer Conjugate Drug Substance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2020, we entered into a manufacturing agreement with Lonza for the clinical and commercial supply of the Company’s antibody biopolymer conjugate drug substance which included a custom-built manufacturing facility. The manufacturing agreement has an initial term of 8 years, and the Company has the right to extend the term up to a total of 16 years. The Company and Lonza each have the ability to terminate this agreement upon the occurrence of certain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agreement, Kodiak and Lonza planned a custom-built facility (“Ursus”) dedicated to the commercial-scale manufacturing of Kodiak’s drug substance. In January 2023, the custom-built manufacturing suite Ursus was commissioned as a cGMP facility. Kodiak worked together with Lonza and regulatory authorities to obtain approval for Ursus, and we released our first commercial scale cGMP batch of tarcocimab in July 2023. Separately, tarcocimab drug product based on our enhanced formulation was released in March 2024 and is being used in the GLOW2 and DAYBREAK pivotal studies.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KSI-501 and KSI-101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been progressing the manufacturing of KSI-501 and KSI-101 in support of ongoing clinical studies. Clinical material for both KSI-501 (50 mg/mL strength in our enhanced formulation) and KSI-101 (100 mg/mL strength) were successfully manufactured in the first quarter of 2024.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ABC Platform Development and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regards to our pipeline programs, dual cytokine-targeting bispecific antibody programs KSI-102 (anti-TNFa/IL-6) and KSI-103 (anti-IL-1/IL-6) continue to progress through pre-IND activities, targeting diseases of ocular inflammation and following on our development activities with KSI-101 for the treatment of macular edema secondary to inflammation.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advancing our platform technology to embed small molecules and other active pharmaceutical ingredients (“API”) into our proprietary biopolymer backbone to enable high drug-antibody-ratio (“DAR”) medicines. The diverse APIs are designed to be released over time to achieve targeted, multi-specific and tailored modulation of biological pathways. The unique combination of high DAR and tailored therapeutic benefit offers potential for broad application to multifactorial systemic and ocular diseases and builds directly from our Antibody Biopolymer Conjugate technology and its 15 years of design, development and manufacturing experience. We call this platform extension our Antibody Biopolymer Conjugate Drug (“ABCD”) Platform because we are extending our platform capabilities to include the conjugation of small molecule drugs whereas historically we primarily conjugated biologics such as antibodies.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program is for the treatment of glaucoma, embedding in the biopolymer backbone (i) an NLRP3 small molecule inhibitor, and (ii) a second small molecule that lowers intraocular pressure (“IOP”). The NLRP3 inflammasome is an intracellular complex that drives inflammation and cell death and is known to play a key role in glaucoma progression. The goal of this duet program is to create an intravitreally injected therapy that delivers two mechanisms of action (“MOA”) in a sustained release fashion, to fulfill the unmet needs in the glaucoma field for a long-durability therapy that delivers MOAs beyond IOP lowering and has the potential for quarterly dosing.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second program is for the treatment of geographic atrophy (“GA”). There are two approved therapies, both complement inhibitors, and they require monthly or every other month intravitreal injections and neither sufficiently halts disease progression. Our program explores the potential to embed in the biopolymer backbone (i) a macrocyclic peptide inhibitor of the complement pathway, and (ii) an NLRP3 small molecule inhibitor. The NLRP3 inflammasome is known to play a key role in AMD disease biology. The objective of this duet program is to create an intravitreally injected ABCD platform-enabled therapy with a dual mechanism of action to achieve better efficacy and extended durability, for quarterly dosing, as compared to currently approved therapies for GA, which are based on a single mechanism of action and are dosed monthly or every other month.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retina duet programs in glaucoma and GA built with our ABC platform continue to progress towards IND.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Digital Health Platform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VETi (Visual Engagement Technology and imager) program has achieved significant advancements in hardware, software and algorithms development. VETi is our AI- and machine-learning-enabled wearable headset with applications in retina care alongside broader opportunities in identity security and cognitive sciences. This progress is reflective of Kodiak’s long term planning and execution towards an enhanced identity as a vision sciences company, integrating proprietary therapeutics and next-generation vision technologies.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standard of care for DR (including DME), RVO and wet AMD consists of intravitreal administration of anti-VEGF therapies. Leading agents include Avastin, Eylea and Eylea HD, Vabysmo, Lucentis and its biosimilars. These therapies are well-established, widely utilized and broadly reimbursed by third-party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Among these, Vabysmo, a bispecific antibody targeting both VEGF-A and angiopoietin-2 (Ang-2), has achieved significant market adoption since its launch and now treats a substantial share of treated patients. Vabysmo demonstrated non-inferior visual acuity outcomes versus Eylea in Phase 3 trials across wet AMD, DME and RVO, with extended dosing intervals of up to every 16 weeks in a meaningful proportion of patients.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Regeneron’s Eylea HD is a major competitive product, with FDA approvals across wet AMD, DME, DR and RVO. In Phase 3 trials, Eylea HD demonstrated non-inferior visual acuity compared to standard-dose Eylea with extended dosing intervals of up to every 12–16 weeks for many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also other companies and research organizations developing treatments targeting other molecular targets, potential gene therapy treatments, stem cell transplant treatments, medical devices as well as biosimilars for the treatment of DR, RVO and wet AMD. We believe the therapeutic space of retinal diseases may become increasingly competitive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the retinal disease treatment landscape is increasingly competitive, with multiple established agents and a continued shift toward therapies offering extended durability and reduced treatment burden.</w:t>
      </w:r>
    </w:p>
    <w:p>
      <w:pPr>
        <w:pStyle w:val="TextBody"/>
        <w:bidi w:val="0"/>
        <w:spacing w:before="240" w:after="283"/>
        <w:jc w:val="left"/>
        <w:rPr>
          <w:rFonts w:ascii="Times New Roman" w:hAnsi="Times New Roman"/>
          <w:sz w:val="20"/>
        </w:rPr>
      </w:pPr>
      <w:r>
        <w:rPr>
          <w:rFonts w:ascii="Times New Roman" w:hAnsi="Times New Roman"/>
          <w:b/>
          <w:i/>
          <w:color w:val="000000"/>
          <w:sz w:val="20"/>
        </w:rPr>
        <w:t>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pStyle w:val="TextBody"/>
        <w:bidi w:val="0"/>
        <w:spacing w:before="240" w:after="283"/>
        <w:jc w:val="left"/>
        <w:rPr>
          <w:rFonts w:ascii="Times New Roman" w:hAnsi="Times New Roman"/>
          <w:sz w:val="20"/>
        </w:rPr>
      </w:pPr>
      <w:r>
        <w:rPr>
          <w:rFonts w:ascii="Times New Roman" w:hAnsi="Times New Roman"/>
          <w:b/>
          <w:i/>
          <w:color w:val="000000"/>
          <w:sz w:val="20"/>
        </w:rPr>
        <w:t>U.S. Drug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 FDA regulates drugs under the Federal Food, Drug, and Cosmetic Act, or FDCA, and its implementing regulations, and biologics under the FDCA, the Public Health Service Act, or PHSA, and their implementing regulations. Both drugs and biologics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product candidates must be approved by the FDA through either a new drug application, or NDA, or a BLA, process before they may be legally marketed in the United States. The process generally involves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completion of extensive preclinical studies in accordance with applicable regulations, including studies conducted in accordance with good laboratory practice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to the FDA of an IND, which must become effective before human clinical trials may begin;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by an independent institutional review board, or IRB, or ethics committee at each clinical trial site before each trial may be initiated;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of adequate and well-controlled human clinical trials in accordance with applicable IND regulations, good clinical practice, or GCP, requirements and other clinical trial-related regulations to establish the safety and efficacy of the investigational product for each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to the FDA of an NDA or BLA;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determination by the FDA within 60 days of its receipt of an NDA or BLA to accept the filing for review;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FDA pre-approval inspection of the manufacturing facility or facilities where the drug or biologic will be produced to assess compliance with current good manufacturing practices, or cGMP, requirements to assure that the facilities, methods and controls are adequate to preserve the drug or biologic’s identity, strength, quality and purity;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FDA audit of the preclinical and/or clinical trial sites that generated the data in support of the NDA or BLA;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review and approval of the NDA or BLA, including consideration of the views of any FDA advisory committee, prior to any commercial marketing or sale of the drug or biologic in the United States;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any post-approval requirements, including the potential requirement to implement a Risk Evaluation and Mitigation Strategy, or REMS, and the potential requirement to conduct post-approval studies.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required to support an NDA or BLA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 </w:t>
      </w:r>
    </w:p>
    <w:p>
      <w:pPr>
        <w:pStyle w:val="TextBody"/>
        <w:bidi w:val="0"/>
        <w:spacing w:before="240" w:after="283"/>
        <w:jc w:val="left"/>
        <w:rPr>
          <w:rFonts w:ascii="Times New Roman" w:hAnsi="Times New Roman"/>
          <w:sz w:val="20"/>
        </w:rPr>
      </w:pPr>
      <w:r>
        <w:rPr>
          <w:rFonts w:ascii="Times New Roman" w:hAnsi="Times New Roman"/>
          <w:b/>
          <w:i/>
          <w:color w:val="000000"/>
          <w:sz w:val="20"/>
        </w:rPr>
        <w:t>Preclinical Studies and IND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good laboratory practice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w:t>
      </w:r>
    </w:p>
    <w:p>
      <w:pPr>
        <w:pStyle w:val="TextBody"/>
        <w:bidi w:val="0"/>
        <w:spacing w:before="240" w:after="283"/>
        <w:jc w:val="left"/>
        <w:rPr>
          <w:rFonts w:ascii="Times New Roman" w:hAnsi="Times New Roman"/>
          <w:sz w:val="20"/>
        </w:rPr>
      </w:pPr>
      <w:r>
        <w:rPr>
          <w:rFonts w:ascii="Times New Roman" w:hAnsi="Times New Roman"/>
          <w:b/>
          <w:i/>
          <w:color w:val="000000"/>
          <w:sz w:val="20"/>
        </w:rPr>
        <w:t>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or BLA. The FDA will accept a well-designed and well-conducted foreign clinical study not conducted under an IND if the study was conducted in accordance with GCP requirements and the FDA is able to validate the data through an onsite inspection if deemed necessary.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in the United States generally are conducted in three sequential phases, known as Phase 1, Phase 2 and Phase 3, and may overlap.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 or BLA.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 or investigator brochure.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our product candidates do not undergo unacceptable deterioration over their shelf life. </w:t>
      </w:r>
    </w:p>
    <w:p>
      <w:pPr>
        <w:pStyle w:val="TextBody"/>
        <w:bidi w:val="0"/>
        <w:spacing w:before="240" w:after="283"/>
        <w:jc w:val="left"/>
        <w:rPr>
          <w:rFonts w:ascii="Times New Roman" w:hAnsi="Times New Roman"/>
          <w:sz w:val="20"/>
        </w:rPr>
      </w:pPr>
      <w:r>
        <w:rPr>
          <w:rFonts w:ascii="Times New Roman" w:hAnsi="Times New Roman"/>
          <w:b/>
          <w:i/>
          <w:color w:val="000000"/>
          <w:sz w:val="20"/>
        </w:rPr>
        <w:t>NDA/BLA Review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completion of the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In short, the NDA or BLA is a 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Prescription Drug User Fee Act, or PDUFA, as amended, each NDA or BLA must be accompanied by a user fee. The FDA adjusts the PDUFA user fees on an annual basis. PDUFA also imposes an annual program fee for approved human drugs and biologics.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reviews all submitted NDAs and BLAs before it accepts them for filing, and may request additional information rather than accepting the NDA or BLA for filing. The FDA must make a decision on accepting an NDA or BLA for filing within 60 days of receipt. Once the submission is accepted for filing, the FDA begins an in-depth review of the NDA or BLA. Under the goals and policies agreed to by the FDA under PDUFA, the FDA has ten months, from the filing date, in which to complete its initial review of a new molecular-entity NDA or original BLA and respond to the applicant, and six months from the filing date of a new molecular-entity NDA or original BLA designated for priority review. The FDA does not always meet its PDUFA goal dates for standard and priority NDAs or BLAs, and the review process is often extended by FDA requests for additional information or clarification.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additional clinical data, additional pivotal Phase 3 clinical trial(s) and/or other significant and time-consuming requirements related to clinical trials, preclinical studies or manufacturing. If a Complete Response Letter is issued, the 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pStyle w:val="TextBody"/>
        <w:bidi w:val="0"/>
        <w:spacing w:before="240" w:after="283"/>
        <w:jc w:val="left"/>
        <w:rPr>
          <w:rFonts w:ascii="Times New Roman" w:hAnsi="Times New Roman"/>
          <w:sz w:val="20"/>
        </w:rPr>
      </w:pPr>
      <w:r>
        <w:rPr>
          <w:rFonts w:ascii="Times New Roman" w:hAnsi="Times New Roman"/>
          <w:b/>
          <w:i/>
          <w:color w:val="000000"/>
          <w:sz w:val="20"/>
        </w:rPr>
        <w:t>Expedited Development and Review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a fast track program that is intended to expedite or facilitate the process for reviewing new drugs and biologics that meet certain criteria. Specifically, new drugs and biologics are eligible for fast 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or BLA approval, but ideally no later than the pre-NDA or pre-BLA meeting.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may require that a sponsor of a drug or biologic receiving accelerated approval perform adequate and well-controlled post-marketing clinical trials. If the FDA concludes that a drug or biologic shown to be effective can be safely used only if distribution or use is restricted, it may require such post-marketing restrictions, as it deems necessary to assure safe use of the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 </w:t>
      </w:r>
    </w:p>
    <w:p>
      <w:pPr>
        <w:pStyle w:val="TextBody"/>
        <w:bidi w:val="0"/>
        <w:spacing w:before="240" w:after="283"/>
        <w:jc w:val="left"/>
        <w:rPr>
          <w:rFonts w:ascii="Times New Roman" w:hAnsi="Times New Roman"/>
          <w:sz w:val="20"/>
        </w:rPr>
      </w:pPr>
      <w:r>
        <w:rPr>
          <w:rFonts w:ascii="Times New Roman" w:hAnsi="Times New Roman"/>
          <w:b/>
          <w:i/>
          <w:color w:val="000000"/>
          <w:sz w:val="20"/>
        </w:rPr>
        <w:t>Abbreviated Licensure Pathway of Biological Products as Biosimilar or Interchangeable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Biologics Price Competition and Innovation Act of 2009, or BPCIA, created an abbreviated approval pathway for biological products shown to be highly similar to an FDA-licensed reference biological product. An application for licensure of a biosimilar product must include information demonstrating biosimilarity based upon the following, unless the FDA determines otherwise: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analytical studies demonstrating that the proposed biosimilar product is highly similar to the approved product notwithstanding minor differences in clinically inactive components;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animal studies (including the assessment of toxicity);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clinical study or studies (including the assessment of immunogenicity and pharmacokinetics or pharmacodynamics) sufficient to demonstrate safety, purity and potency in one or more conditions for which the reference product is licensed and intended to be used.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an application must include information demonstrating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proposed biosimilar product and reference product utilize the same MOA for the condition(s) of use prescribed, recommended, or suggested in the proposed labeling, but only to the extent the MOA are known for the reference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condition or conditions of use prescribed, recommended, or suggested in the labeling for the proposed biosimilar product have been previously approved for the reference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route of administration, the dosage form, and the strength of the proposed biosimilar product are the same as those for the reference product;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facility in which the biological product is manufactured, processed, packed or held meets standards designed to assure that the biological product continues to be safe, pure, and potent.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 care provider who prescribed the reference product. The higher standard of interchangeability must be demonstrated by information sufficient to show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proposed product is biosimilar to the reference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proposed product is expected to produce the same clinical result as the reference product in any given patient;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approval is required before a biosimilar may be marketed in the United States. In addition, as with BLAs, biosimilar product applications will not be approved unless the product is manufactured in facilities designed to assure and preserve the biological product’s safety, purity and potency.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12 years from the date of first licensure of the reference product. 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12-year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 </w:t>
      </w:r>
    </w:p>
    <w:p>
      <w:pPr>
        <w:pStyle w:val="TextBody"/>
        <w:bidi w:val="0"/>
        <w:spacing w:before="240" w:after="283"/>
        <w:jc w:val="left"/>
        <w:rPr>
          <w:rFonts w:ascii="Times New Roman" w:hAnsi="Times New Roman"/>
          <w:sz w:val="20"/>
        </w:rPr>
      </w:pPr>
      <w:r>
        <w:rPr>
          <w:rFonts w:ascii="Times New Roman" w:hAnsi="Times New Roman"/>
          <w:b/>
          <w:i/>
          <w:color w:val="000000"/>
          <w:sz w:val="20"/>
        </w:rPr>
        <w:t>Post-Approval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or biologic, including changes in indications, labeling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processes or facilities, the applicant may be required to submit and obtain FDA approval of a new NDA/BLA or NDA/BLA supplement, which may require the development of additional data or preclinical studies and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also place other conditions on approvals including the requirement for a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restrictions on the marketing or manufacturing of the product, complete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holds on post-approval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of the FDA to approve pending applications or supplements to approved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or suspension or revocation of product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U.S. Regulatory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sales, promotion and other activities following product approval are also subject to regulation by numerous regulatory authorities in the United States in addition to the FDA, including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the United States, our business operations, including any sales, marketing and scientific and educational programs, also must comply with state and federal fraud and abuse laws, including the federal Anti-Kickback Statue and false claims laws; federal data privacy and security laws; and federal transparency laws related to payments and/or other transfers of value made to physicians and other healthcare professionals and teaching hospitals. The federal Anti-Kickback Statute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Health Care Act, as amended by the Health Care and Education Reconciliation Act, or collectively the ACA, provides that the government may assert that a claim including items or services resulting from a violation of the federal Anti-Kickback Statute constitutes a false or fraudulent claim for purposes of the False Claims Act. Federal false claims laws, including the False Claims Act,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states have similar laws and regulations that may differ from federal law in significant ways, thus complicating compliance efforts. For example, states have anti-kickback and false claims laws that may be broader in scope than analogous federal laws and may apply regardless of payor. In addition, the federal physician payment transparency requirements, sometimes referred to as the “Physician Payments Sunshine Act,” created under the ACA and its implementing regulations, require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or HITECH, and their respective implementing regulations, impose requirements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relating to the privacy, security, and transmission of such individually identifiable health information. In addition, state data privacy laws that protect the security of health information may differ from each other and may not be preempted by federal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several states and local jurisdictions have enacted legislation requiring pharmaceutical manufacturers to, among other things, establish marketing compliance programs, file periodic reports with the state, make periodic public disclosures on sales and marketing activities, report information related to drug pricing, require certain regulatory licenses to manufacture or distribute products commercially and/or the registration of sales representatives, and prohibit certain other sales and marketing practices. In addition, the approval and commercialization of any of our product candidates outside the United States will also likely subject us to foreign equivalents of the healthcare laws mentioned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manufacturing and distribution of biologic and pharmaceutical products is subject to additional requirements and regulations, including extensive record-keeping, licensing, storage and security requirements intended to prevent the unauthorized sale of pharmaceutical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maintain compliance with these healthcare laws could result in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Data Privacy and 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privacy and security laws in the U.S. are also increasingly complex and changing rapidly. Numerous U.S. states have enacted comprehensive privacy laws that impose certain obligations on covered businesses, including providing specific disclosures in privacy notices and affording residents with certain rights concerning their personal data. These state laws allow for statutory fines for noncompliance.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processing of personal data in connection with clinical trials in the EU must comply with the EU’s General Data Protection Regulation, or EU GDPR. The EU GDPR imposes stringent data protection requirements and provides for penalties for noncompliance that can include bans on processing personal data and fines of up to the greater of 20 million euros or four percent of worldwide annual revenues. The EU GDPR requires organizations to give detailed disclosures about how they collect, use and share personal data; under certain conditions, obtain explicit consent to process sensitive personal data, such as health or genetic information; contractually require vendors to meet data protection requirements; maintain adequate data security measures; notify regulators and affected individuals of certain data breaches; meet extensive privacy governance and documentation requirements; and afford individuals’ data protection rights, including their rights to access, correct and delete their personal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European data protection laws generally restrict the transfer of personal data from Europe, including from the European Economic Area, or EEA, the United Kingdom and Switzerland, to the U.S. and most other countries unless the parties to the transfer have implemented specific safeguards to protect the transferred personal data. Legal challenges have in the past and may in the future be successful in limiting the mechanisms available to transfer personal data across national borders.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address or comply with applicable data privacy and security obligations could result in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and orders to destroy or not use personal data. Any of these events could have a material adverse effect on our reputation, business, or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 Health Care Reform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other jurisdictions, there have been, and we expect there will continue to be, a number of legislative and regulatory changes and proposed changes to the healthcare system that could affect our future financial results or operations. In particular, there have been and continue to be a number of initiatives at the U.S. federal and state levels that seek to reduce healthcare costs and improve the quality of healthcare. The ACA was enacted in 2010 and since its enactment, there have been amendments and judicial, Congressional and executive branch challenges to certain aspects.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also considering proposed legislation intended to further reduce healthcare costs with alternatives to replace the expired ACA subsidies. 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or TrumpRx, U.S. patients and Medicaid programs prescription drug Most-Favored Nation pricing equal to or lower than those paid in other developed nations, with additional mandates for direct-to-patient discounts and repatriation of foreign revenues. Other recent actions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are intended to significantly reduce U.S. drug prices, potentially impacting manufacturers’ global pricing strategies and profitability, while increasing their operational costs and compliance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40" w:after="283"/>
        <w:jc w:val="left"/>
        <w:rPr>
          <w:rFonts w:ascii="Times New Roman" w:hAnsi="Times New Roman"/>
          <w:sz w:val="20"/>
        </w:rPr>
      </w:pPr>
      <w:r>
        <w:rPr>
          <w:rFonts w:ascii="Times New Roman" w:hAnsi="Times New Roman"/>
          <w:b/>
          <w:i/>
          <w:color w:val="000000"/>
          <w:sz w:val="20"/>
        </w:rPr>
        <w:t>U.S. Patent-Term Restoration and Marketing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FDA approval of any future product candidates, some of our U.S. patents may be eligible for limited patent term extension under the Drug Price Competition and Patent Term Restoration Act of 1984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exclusivity provisions under the FDCA also can delay the submission or the approval of certain applications. The FDCA provides a five-year period of non-patent marketing exclusivity within the United States to the first applicant to gain approval of a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 </w:t>
      </w:r>
    </w:p>
    <w:p>
      <w:pPr>
        <w:pStyle w:val="TextBody"/>
        <w:bidi w:val="0"/>
        <w:spacing w:before="240" w:after="283"/>
        <w:jc w:val="left"/>
        <w:rPr>
          <w:rFonts w:ascii="Times New Roman" w:hAnsi="Times New Roman"/>
          <w:sz w:val="20"/>
        </w:rPr>
      </w:pPr>
      <w:r>
        <w:rPr>
          <w:rFonts w:ascii="Times New Roman" w:hAnsi="Times New Roman"/>
          <w:b/>
          <w:i/>
          <w:color w:val="000000"/>
          <w:sz w:val="20"/>
        </w:rPr>
        <w:t>European Union Drug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in the United States, medicinal products can be marketed only if a marketing authorization from the competent regulatory agencies has been obtained.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 </w:t>
      </w:r>
    </w:p>
    <w:p>
      <w:pPr>
        <w:pStyle w:val="TextBody"/>
        <w:bidi w:val="0"/>
        <w:spacing w:before="240" w:after="283"/>
        <w:jc w:val="left"/>
        <w:rPr>
          <w:rFonts w:ascii="Times New Roman" w:hAnsi="Times New Roman"/>
          <w:sz w:val="20"/>
        </w:rPr>
      </w:pPr>
      <w:r>
        <w:rPr>
          <w:rFonts w:ascii="Times New Roman" w:hAnsi="Times New Roman"/>
          <w:b/>
          <w:i/>
          <w:color w:val="000000"/>
          <w:sz w:val="20"/>
        </w:rPr>
        <w:t>European Union Drug Review and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EEA, which is comprised of the 27 Member States of the European Union (including Norway and excluding Croatia), Iceland and Liechtenstein, medicinal products can only be commercialized after obtaining a Marketing Authorization, or MA. There are two types of marketing authorizations.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Community MA is issued by the European Commission through the Centralized Procedure,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w:t>
      </w:r>
      <w:r>
        <w:rPr>
          <w:rFonts w:ascii="Times New Roman" w:hAnsi="Times New Roman"/>
          <w:i/>
          <w:color w:val="000000"/>
          <w:sz w:val="20"/>
        </w:rPr>
        <w:t>i.e.,</w:t>
      </w:r>
      <w:r>
        <w:rPr>
          <w:color w:val="000000"/>
        </w:rPr>
        <w:t xml:space="preserve"> </w:t>
      </w:r>
      <w:r>
        <w:rPr>
          <w:rFonts w:ascii="Times New Roman" w:hAnsi="Times New Roman"/>
          <w:color w:val="000000"/>
          <w:sz w:val="20"/>
        </w:rPr>
        <w:t xml:space="preserve">in the RMS and the Member States Concerned).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Coverage and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As a result, the coverage determination process is often a time-consuming and costly process that could require us to provide scientific and clinical support for the use of our products to each payor separately, with no assurance that coverage and adequate reimbursement will be obtained. Coverage policies and third-party reimbursement rates may change at any time. Therefore,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government, state legislatures and foreign governments have shown significant interest in implementing cost containment programs to limit the growth of government-paid health care costs, including price-controls, restrictions on reimbursement and requirements for substitution of generic products for branded prescription drugs.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Adoption of general controls and measures, coupled with the tightening of restrictive policies in jurisdictions with existing controls and measures, could limit payments for pharmaceutical drugs.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strive to protect and enhance the proprietary technology, inventions and improvements that are commercially important to our business, including seeking, maintaining and defending patent rights. We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Although we are not party to any material in-license agreements as of the date of this Annual Report, we may in the future pursue in-licensing opportunities to strengthen our proprietary position in the field. We additionally rely on data exclusivity, market exclusivity, and patent term extensions when available, and may seek and rely on regulatory protection afforded through orphan drug designations. Our commercial success may depend in part on our ability to obtain and maintain patent and other proprietary protection for our technology, inventions, and improvements; to preserve the confidentiality of our trade secrets; to defend and enforce our proprietary rights, including our patents; and to operate without infringing the valid and enforceable patents and other proprietary rights of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prosecuted numerous patents and patent applications and possess know-how and trade secrets relating to the development and commercialization of our ABC Platform, tarcocimab, KSI-501 or KSI-101, including related manufacturing processes and technology. As of December 31, 2025, we were the assignee of record for approximately 15 U.S. issued patents, and the applicant for approximately 20 U.S. pending patent applications and seven pending PCT applications directed to certain of our proprietary technology, inventions, and improvements and our most advanced product candidates. In addition, 54 patents are issued in jurisdictions outside of the United States and 88 patent applications are pending in jurisdictions outside of the United States, including Australia, Brazil, Canada, China, Europe, Hong Kong, India, Israel, Japan, Mexico, Macau, New Zealand, Singapore, South Africa and South Korea. In many cases, these patents and patent applications in jurisdictions outside of the United States are counterparts to the foregoing U.S. patents and patent applications. For example, these patents and patent applications include claims directed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therapeutic proteins and biologically active agents conjugated to a biopolymer;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specific therapeutics;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components of our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we intend to pursue, when possible, composition, method of use, dosing and formulation patent protection, as well as manufacturing and drug development processes and technology. The patents and patent applications we have filed outside of the United States are in Europe, Japan and various other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issued U.S. patents will expire on dates ranging from 2027 to 2040. If patents are issued on our pending patent applications, the resulting patents are projected to expire on dates ranging from 2030 to 2045.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have a total of 36 pending trademark applications and issued trademark registrations. These include four trademark registrations and four pending trademark applications in the United States, and 27 trademark registrations and one pending trademark application in jurisdictions outside of the United States. Of the trademark registrations in jurisdictions outside of the United States, 17 are in China, two are in each of the European Union, Japan and the United Kingdom, and one is in each of Canada, India, Singapore and Switzerland. The pending trademark application in a jurisdiction outside of the United States is in Canada. We also may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proprietary technology, inventions, improvements and products, please refer to the section on “Part I, Item 1A — Risk Factors—Risks Related to Our Intellectual Property.”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Human Capital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124 employees worldwide, of whom 10 were based outside of the United States. Of our employees, 36 hold a Ph.D. or M.D. (or equivalent) degree. None of our employees is subject to a collective bargaining agreement. We continually assess employee turnover, recruitment initiatives, compensation and benefits programs, safety in performing critical laboratory work and other matters relevant to human capital management, and we review results with our Board of Directors on a periodic basis. We aim to offer competitive compensation (including salary, incentive bonus, and equity) and benefits packages in each of our locations and in each of employee groups at each level around the globe as assessed with internal and external benchmarking data.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organized in June 2009 in Delaware as a limited liability company. In September 2015, we converted to a Delaware corporation and, in connection with the conversion, changed our name to "Kodiak Sciences Inc." Our principal executive office is located at 1250 Page Mill Road, Palo Alto, California 94304. Our telephone number is (650) 281-0850.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an internet website at the following address: www.kodiak.com. The information on our website is not incorporated by reference in this Annual Report on Form 10-K or in any other filings we make with the Securities and Exchange Commission, or SEC.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make available on or through our website certain reports and amendments to those reports that we file with or furnish to the SEC in accordance with the Securities Exchange Act of 1934, as amended, or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In addition, the SEC maintains a website at www.sec.gov that contains reports, proxy and information statements, and other information regarding issuers that file electronically with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7" w:name="item_1a_risk_factors"/>
      <w:bookmarkEnd w:id="7"/>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consider carefully the following risk factors, together with all the other information in this report, including the section of this report titled “Part II, Item 7 — Management’s Discussion and Analysis of Financial Condition and Results of Operations” and our consolidated financial statements and notes thereto. The occurrence of any events described in the following risk factors and the risks described elsewhere in this report could harm our business, operating results, financial condition or growth prospects or cause our actual results to differ materially from those contained in forward-looking statements that we have made in this report and that we may make from time to time. You should consider all of the risk factors described when evaluating our business. The risks described below are not intended to be exhaustive and are not the only risks that we face. New risk factors can emerge from time to time, and it is not possible to predict the impact that any factor or combination of factors may have on our business, operating results, financial condition, and/or growth prospects.</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in the clinical stage of drug development and have a limited operating history and no products approved for commercial sale, which may make it difficult to evaluate our current business and predict our future success and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 stage biopharmaceutical company committed to researching, developing and commercializing transformative therapeutics to treat a broad spectrum of retinal diseases. We commenced operations in June 2009, have no products approved for commercial sale and have not generated any revenue. Drug development is a highly uncertain undertaking and involves a substantial degree of risk. We have conducted clinical trials, including Phase 3 pivotal clinical trials, of tarcocimab in patients with wet AMD, DME, DR and RVO. We completed enrollment for the Phase 3 DAYBREAK clinical trial of tarcocimab and KSI-501 in patients with wet AMD. We are continuing enrollment for the on-going Phase 3 PEAK and PINNACLE clinical trials of KSI-101 in patients with MESI.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obtained marketing approval for any of our product candidates or conducted sales and marketing activities necessary for successful product commercialization. Our limited operating history as a company and stage of drug development make any assessment of our future success and viability subject to significant uncertainty. We will encounter risks and difficulties frequently experienced by biopharmaceutical companies in rapidly evolving fields, and we have not yet demonstrated an ability to successfully overcome such risks and difficulties. If we do not address these risks and difficulties successfully, our business will suffer.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prospects are heavily dependent on our ability to successfully develop, obtain regulatory approval for and successfully commercialize tarcocimab, KSI-501 and KSI-101, our product candidates, which are currently in clinical development for multiple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prospects are heavily dependent on our ability to successfully develop, obtain regulatory approval for and successfully commercialize tarcocimab, KSI-501 and KSI-101, our product candidates. We cannot be certain that our product candidates will be successful in any of the planned or pending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previous clinical trial results are not necessarily predictive of the results of our on-going or future discovery programs or any future preclinical or clinical studies. Our ability to demonstrate efficacy, safety and/or clinical durability in pivotal studies may be affected by the patient populations sampled and the design of our pivotal studies. Many companies in the pharmaceutical and biotechnology industries have suffered significant setbacks in late-stage clinical studies after achieving positive results in previous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and followed for longer periods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We have never submitted a BLA, and even if GLOW1, GLOW2, BEACON, DAYLIGHT or DAYBREAK clinical data support submission of a tarcocimab BLA to the FDA in 2026, we may need to delay submission which would delay review and potential approval. If approved, clinical study designs and data are not necessarily predictive of the final marketed product label. FDA may not approve a label for a particular dosing frequency, even if we believe the data demonstrate support for that dosing. For example, our DAYBREAK trial uses an AI-based tool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measure retinal fluid and individualize dosing, and this dosing may not be incorporated into labeling or may require separate FDA review of the AI-based tool.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develop other product candidates, advance additional product candidates into clinical trials and terminate such trials prior to their completion. It will take additional investment and time for such programs to reach the same stage of development as tarcocimab, KSI-501 and KSI-101.</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failure of pivotal studies to meet their primary efficacy endpoints may lead us to pause, change or discontinue development of other product candidates based on our ABC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we announced that the Phase 3 GLEAM and GLIMMER clinical trials of tarcocimab did not meet their primary efficacy endpoints and, as a result, we paused further development of tarcocimab pending review of Year 1 data from the Phase 3 BEACON study in patients with RVO and the Phase 3 GLOW1 study of patients with DR. Although we resumed the development of tarcocimab in November 2023, we may again determine to discontinue development of tarcocimab or our ABC Platform or other product candidates, including KSI-501, based on future information such as in process or completed clinical trial results, which could prevent us from, or significantly delay, achieving profitability and could result in disruptions to our business including potential impairment charges, restructuring costs, or costs that are greater than expected.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plans for the development of tarcocimab, KSI-501 or KSI-101 may be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resumed further development of tarcocimab in November 2023 following the outcomes of Year 1 data from the Phase 3 BEACON study in patients with RVO and the Phase 3 GLOW1 study of patients with DR. In connection with our development program, we developed an enhanced, commercial formulation of tarcocimab. While the FDA has advised that the additional clinical studies to be conducted with the revised formulation should be sufficient to bridge the former material to the go-to-market material, we cannot be sure that the FDA, EMA or comparable foreign regulatory authorities would agree or accept our planned BLA even if our planned additional trials are successful and, as a result, further development of tarcocimab and KSI-501 may ultimately not be successful.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Preliminary, interim and ongoing data from our preclinical studies and clinical trials is subject to a number of risks and uncertainties and may change as more patient data become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have access to certain data from our preclinical studies and clinical trials on a preliminary, interim or ongoing basis. Such data is typically incomplete and is subject to a number of risks and uncertainties. In particular, any analysis of preliminary, interim or ongoing data typically involves only a preliminary analysis of then-available data. The results and related findings and conclusions based on such preliminary analysis may change following a more comprehensive review, evaluation, audit and verification of the data. Further, such preliminary, interim or ongoing data are subject to the risk that one or more of the clinical outcomes may materially change as patient enrollment continues and more patient data become available or as patients from our clinical trials continue other treatments. We may also make assumptions, estimations, calculations and conclusions as part of any analyses of these data, without the opportunity to fully and carefully evaluate complete data. As a result, the preliminary, interim or ongoing data from any of our preclinical studies or clinical trials, as well as any analysis of such data and any related findings and conclusions, may differ from, and may not be indicative of, future data, findings and conclusions for the same preclinical studies or clinical trials, and different conclusions or considerations may qualify such results once additional data have been received and fully evaluated or subsequently made subject to audit and verification procedures. We may from time to time make business decisions, prioritize certain product candidates, or otherwise allocate resources based on such preliminary, interim or ongoing data, and any such actions are subject to similar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also disclose any such preliminary, interim or ongoing data from our preclinical studies and clinical trials. Any such preliminary, interim or ongoing data are subject to the risks and uncertainties described above, and accordingly investors should not place undue reliance on any such data, or any related findings and conclusions, that we may disclose from time to time. Further, others, including regulatory agencies, may not accept or agree with our assumptions, estimates, calculations, conclusions or analyses based on any such preliminary, interim or ongoing data, or may interpret or weigh the importance of such data differently, which could impact the value of the particular program, the approvability or commercialization of tarcocimab, KSI-501 or KSI-101 and our company in general. In addition, any preliminary, interim or ongoing data we may choose to publicly disclose from time to time regarding a particular preclinical study or clinical trial would be based on what is typically extensive information, but may not reflect all of the data we have received. It is possible that investors and others may not agree with what we determine is material or otherwise appropriate information to include in our disclosure. If any preliminary, interim or ongoing data, or any related findings or conclusion, that we choose to publicly disclose differ from final results, findings and conclusions for the same preclinical study or clinical trial, or if others, including regulatory authorities, disagree with the conclusions reached, our ability to obtain approval for, and commercialize, tarcocimab, KSI-501 or KSI-101 may be harmed, which could harm our business, operating results, prospects or financial condition. Conversely, any preliminary or interim information we determine not to publicly disclose, including because it has yet to be fully and carefully evaluated, may in the future be deemed significant with respect to decisions, conclusions, views, activities or otherwise regarding a particular product candidate or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of biopharmaceutical products is inherently risky. We cannot give any assurance that any of our product candidates will receive regulatory, including marketing, approval, which is necessary before they can be commercialized.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have in the past and may in the future not successfully complete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candidate obtains regulatory approval, approval may be for indications, dosage and administration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on further study, be shown to have harmful side effects or other characteristics that indicate it is unlikely to be effective or otherwise does not meet applicable regulatory criteria, for example a positive benefit-risk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therapeutics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platform technologies that render our ABC Platform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candidates and the ABC Platform that we develop may not be sufficiently covered by intellectual property for which we hold exclusive rights or may be covered by third party patents or other intellectual property or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for a product candidate may change so that the continued development of that product candidate is no longer commercially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capable of being produced in commercial quantities at an acceptable cost,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candidate obtains regulatory approval, we may be unable to establish sales and marketing capabilities, or successfully market such approved product candidate, to gain market acceptance;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product candidate may not be accepted as safe and effective by patients, the medical community or third-party payors, if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we may not be successful in our efforts to further develop our product candidates and our ABC Platform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various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in any jurisdiction. We may never receive regulatory approval to market any product candidate in any jurisdiction even if such product candidate successfully completes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jurisdiction, we cannot ensure that we will obtain approval in any other jurisdictions. If we are unable to obtain approval for our product candidates in multiple jurisdictions, our revenue and results of operations could be negatively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REMS. The failure to obtain timely regulatory approval of product candidates, any product marketing limitations or a product withdrawal would negatively impact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encounter substantial delays in our clinical trials or may not be able to conduct or complete our clinical trials on the timelines we expect,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EMA,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inability to generate sufficient preclinical, toxicology, or other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study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determination by the reviewing regulatory authority to require more costly or lengthy clinical trials than we currently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clinical trial sites or other third-party vendors, the terms of which can be subject to extensive negotiation and may vary significantly among different clinical trial sites or vendors;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required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or any other regulatory authority concerns about risk to patients of the technology broadly; or if the FDA, EMA or any other regulatory authority finds that the investigational protocol or plan is clearly deficient to meet its stated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enrolling suitable patients to participate in our clinical trials, and delays caused by patients withdrawing from clinical trials or failing to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collaborating with patient groups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third parties or us to adhere to clinical trial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perform in accordance with the FDA’s or any other regulatory authority’s good clinical practices, or GCPs, requirements, or applicable EMA or other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adverse events associated with the product candidate that are viewed to outweigh its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being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development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transfer of manufacturing processes to larger-scale facilities operated by CMOs or by us, and delays or failure by our CMOs or us to make any necessary changes to such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manufacturing, testing, releasing, validating, or importing/exporting sufficient stable quantities of our product candidates for use in clinical trials and for use in regulatory filings or the inability to do any of the foregoing.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 Regulatory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or other regulatory authorities regarding CMC matters, including methodologies for, and assessment of, comparability of manufacturing procedures and lots.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the commencement, conduct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halt their clinical development, prevent their regulatory approval, limit their commercial potential or result in other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in the tarcocimab arms of our completed GLEAM and GLIMMER clinical trials, we observed an unexpected increase in cataracts, which we believe may have contributed meaningfully to the failure of each study to meet its primary efficacy endpoint.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most advanced product candidate, tarcocimab, is an anti-VEGF biologic that we have studied in wet AMD, DME, DR and RVO. Our KSI-501 product candidate is a first-in-class bispecific antibody conjugate designed to inhibit two mechanisms implicated in retinal diseases: IL-6 and VEGF. Our KSI-101 product candidate is the unconjugated protein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portion of KSI-501 and is a novel bispecific protein targeting IL-6 and VEGF. There are some potential side effects associated with intravitreal anti-VEGF therapies such as intraocular hemorrhage, intraocular pressure elevation, retinal detachment, inflammation, vasculitis, artery occlusion or infection inside the eye, progression of cataract,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tarcocimab, KSI-501 and KSI-101 may heighten the risk of adverse effects associated with anti-VEGF treatments generally, both in the eye and in the rest of the body. There are risks inherent in the intravitreal injection procedure of drugs like tarcocimab, KSI-501 and KSI-101 which can cause injury to the eye and other complications including conjunctival hemorrhage, punctate keratitis, eye pain, conjunctival hyperemia, intra-ocular inflammation and endophthalmitis. Any additional toxicology signal observed, be it real or perceived, may negatively impact perceptions of utilization of tarcocimab, KSI-501 and KSI-101 in broader populations and impact clinical trial enrollment, regulatory approval and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approvals of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or conduct additional clinical trials or post-approval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particular product candidate, if approved, and could significantly harm our business,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encounter difficulties enrolling patients in our clinical trials and our clinical development activities could thereby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study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a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health epidemics, including the resulting shelter-in-place, travel or similar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safety events may cause physicians to decrease patient enrollment in our current or planned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for similar therapies or targeting patient populations meeting our patient eligibility criteria;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and side effects of the product candidate being studied in relation to other available therapies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patients enrolled in clinical trials will not complete such trials, for any reason.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 </w:t>
      </w:r>
    </w:p>
    <w:p>
      <w:pPr>
        <w:pStyle w:val="TextBody"/>
        <w:bidi w:val="0"/>
        <w:spacing w:before="240" w:after="283"/>
        <w:jc w:val="left"/>
        <w:rPr>
          <w:rFonts w:ascii="Times New Roman" w:hAnsi="Times New Roman"/>
          <w:sz w:val="20"/>
        </w:rPr>
      </w:pPr>
      <w:r>
        <w:rPr>
          <w:rFonts w:ascii="Times New Roman" w:hAnsi="Times New Roman"/>
          <w:b/>
          <w:i/>
          <w:color w:val="000000"/>
          <w:sz w:val="20"/>
        </w:rPr>
        <w:t>Our clinical trials may fail to demonstrate substantial evidence of the durability, efficacy and safety of our product candidates, which would prevent, delay or limit the scope of regulatory approval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which is especially true for anti-VEGF biologic agents, where available marketed therapies are well-established products with accepted safety profiles.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testing is expensive and can take many years to complete, and its outcome is inherently uncertain. Failure can occur at any time during the clinical trial process. Most product candidates that begin clinical trials are never approved by regulatory authorities for commercialization.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To the extent that the results of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our efforts to continue to create a pipeline of product candidates or to develop commercially successful products. If we fail to successfully identify and develop additional product candidates, our commercial opportunity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our strategies is to identify and pursue clinical development of product candidates based on our ABC Platform. Our ABC Platform may not produce a pipeline of viable product candidates, or our competitors may develop platform technologies that render our ABC Platform obsolete or less attractive.</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 number of large pharmaceutical and biotechnology companies that are currently pursuing the development of products for the treatment of the retinal diseases for which we have product candidates. Several of our competitors have commercially approved products for the treatment of retinal diseases that we are pursuing or may pursue in the future, including Roche, Regeneron and Novartis for the treatment of wet AMD, DME, DR and RVO. These drugs are well established therapies and are widely accepted by physicians, patients and third-party payors, which may make it difficult to educate these parties on the benefits of switching to any product candidates developed by us. In addition, multiple biosimilars referencing established anti-VEGF therapies have been approved in the United States and are entering the market, which may increase pricing and competitive pressures. Companies that we are aware are developing and/or commercializing therapeutics in the retinal disease area include large companies with significant financial resources, such as Roche, Novartis, Bayer, Regeneron, AbbVie, Boehringer Ingelheim, Amgen, and Samsung Bioepis. In addition to competition from other companies targeting retinal indications, any products we may develop may also face competition from other types of therapies, such as gene-editing therapies and drug delivery devices.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Roche’s product, Vabysmo (faricimab) received FDA approval for the treatment of wet AMD and DME in January 2022 and received FDA approval for RVO in October 2023. Vabysmo has gained rapid adoption since launch and garnered significant market share. Regeneron’s product, Eylea HD (high dose aflibercept) gained FDA approval for the treatment of wet AMD, DME and DR in August 2023 and received FDA approval for RVO in November 2025. It has also become an important therapy in the marketplace due to Regeneron’s incumbent position in retinal diseases. Even if our product candidates present a compelling clinical profile, we may not be able to market our product candidates as effectively as our competitors. For example, entrenched franchises may seek to impede adoption of our product candidates through significant discounts or rebates.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product candidates uneconomical or obsolete, and we may not be successful in marketing any product candidates we may develop against competitors.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The manufacture of our product candidates is highly complex and requires substantial lead time to produce.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health epidemics, on-going geopolitical conflicts, global macroeconomic conditions, bank failures or other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employ multiple steps to attempt to control our manufacturing process to assure that the process works, and the product candidate is made strictly and consistently in compliance with the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In the event of significant product loss and materials shortages, we may be unable to produce adequate amounts of our product candidates or products for our operational needs.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for raw materials needed for manufacturing our product candidates. We may not be able to obtain adequate amounts in the future. These challenges are magnified by the international nature of our supply chain, which, for tarcocimab, KSI-501 and KSI-101, requires drug substance and drug product sourced from single source suppliers from China, Japan, the United Kingdom, the United States and Switzerland.</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limited experience manufacturing any of our product candidates on a commercial scale. If we or any of our third-party manufacturers encounter difficulties in production, or fail to meet rigorously enforced regulatory standards, our ability to provide supply of our product candidates for clinical trials, or our ability to supply our products for patients, if approved, could be delayed or stopped, or we may be unable to establish a commercially viable cost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order to conduct clinical trials of our product candidates, or supply commercial products, if approved, we will need to manufacture them in small and large quantities. Our third-party manufacturer has made only a limited number of commercial scale lots of tarcocimab based on our ABC Platform. Our manufacturing partners may be unable to successfully increase the manufacturing capacity for any of our product candidates in a timely or cost-effective manner, or at all. In addition, quality issues may arise during scale-up activities.</w:t>
      </w:r>
      <w:r>
        <w:rPr>
          <w:rFonts w:ascii="Times New Roman" w:hAnsi="Times New Roman"/>
          <w:color w:val="FF0000"/>
          <w:sz w:val="20"/>
        </w:rPr>
        <w:t xml:space="preserve"> </w:t>
      </w:r>
      <w:r>
        <w:rPr>
          <w:rFonts w:ascii="Times New Roman" w:hAnsi="Times New Roman"/>
          <w:color w:val="000000"/>
          <w:sz w:val="20"/>
        </w:rPr>
        <w:t>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manufacturing process for any products that we may develop is subject to FDA, EMA and foreign regulatory authority approval processes and continuous oversight. We will need to contract with manufacturers who can meet all applicable FDA, EMA and foreign regulatory authority requirements, including complying with current good manufacturing practices, or cGMPs, on an on-going basis.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specifications acceptable to the FDA, EMA or other regulatory authorities, to produce it in sufficient quantities to meet the requirements for the potential launch of the product, or to meet potential future demand. For example, our manufacturers are also engaged in the manufacturing of vaccines and other therapeutic treatments, and the success of and demand for these vaccines and other therapeutic treatments means we and our programs are competing for scarce manufacturing resources. We hope to distribute tarcocimab in a prefilled syringe early in our commercial rollout. We may not be able to complete our prefilled syringe activities in a timely manner, or we may fail technically to design and develop a prefilled syringe for tarcocimab.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methods of manufacturing or formulation of product candidates may result in additional costs or delay.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proceed through preclinical studies to late-stage clinical trials towards potential approval and commercialization, our manufacturing methods and formulation of product candidates may be altered in an effort to optimize manufacturing processes and results. For example, we have created an enhanced, commercial formulation of tarcocimab; however, these changes could cause tarcocimab to perform differently and affect the results of on-going clinical trials or other future clinical trials, and we may need to revert to a prior formulation and may be unable to recover the manufacturing costs of the drug product. In addition, changes to commercial formulations from those studied clinically could also lead regulatory authorities to delay the approval of our marketing applications until we can demonstrate through additional clinical data that there is comparability in the bioavailability of the two different formulations, or they may require us to revert to the prior formulation evaluated clinically. This could delay completion of clinical trials, require the repetition of one or more clinical trials, increase clinical trial costs, delay approval of tarcocimab or any future product candidates and jeopardize our ability to commence sales and generate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development program and timeline of tarcocimab may impact our ability to use the Ursus Facility as intended, which could be costly.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2020, we, together with our wholly owned subsidiary Kodiak Sciences GmbH, entered into a manufacturing agreement with Lonza Ltd for the clinical and commercial supply of the Company’s antibody biopolymer conjugate drug substance, which included a custom-built manufacturing facility for the potential clinical and commercial supply of tarcocimab, or the Ursus Facility. The development plan for tarcocimab, and any further changes thereto, as well as the timeline and success of tarcocimab, may impact our ability to fully utilize the Ursus Facility. We may not realize any benefit from the capital expenditures to date, and we may incur substantial additional expenses and capital expenditures to repurpose the Ursus Facility for our other product candidates or for use by third parties, any of which may negatively impact our operating results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are successful in utilizing the Ursus Facility, our manufacturing capabilities could be affected by cost-overruns, additional changes in our development plans, unexpected delays, equipment failures, labor shortages, natural disasters, power failures and numerous other factors that could prevent us from realizing the intended benefits of our manufacturing strategy and have a material adverse effect on our business. 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establish sales and marketing capabilities or enter into agreements with third parties to sell and market any product candidates we may develop, we may not be successful in commercializing those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Factors that may inhibit our efforts to commercialize any approved product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and retain adequate numbers of effective sales, marketing, reimbursement, customer service, medical affairs and other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physicians or educate adequate numbers of physicians on the benefits of prescribing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reimbursement professionals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price our products at a sufficient price point to ensure an adequate and attractive level of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or closed distribution channels that make it difficult to distribute our products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commercialization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any product candidates we develop receive marketing approval, they may fail to achieve the degree of market acceptance by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such product candidates as demonstrated in pivotal clinical trials and published in peer-reviewed journals;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our product label as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our products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appropriate patient access programs, such as appropriate co-pay assistance;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physicians recommend our products to their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convenience and ease of dosing and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FDA, EMA or other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EMA or other comparable foreign regulatory authorities, including any limitations, contraindications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how the product is distributed;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concerning our products or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third-party coverage or reimbursement;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product candidates we develop do not achieve an adequate level of acceptance, we may not generate significant product revenue, and we may not become profitable.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are able to commercialize any product candidates, such products may become subject to unfavorable pricing regulations, third-party reimbursement practices or healthcare reform initiatives,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pricing and access policies in the United States and internationally may change and negatively impact the commercial viability of our product candidates. Proposed policy changes, including the Medicare Drug Price Negotiation Program, may limit our ability to competitively price our product candidates, if approved. Further, commercial insurers may limit patient access to our product candidates,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face competition from biological products that are biosimilar to or interchangeable with our product candidates sooner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24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or interrupted demand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of our business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and inability to continue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our share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Regulatory Approval and Other Legal Compliance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European Medicines Agency, or EMA, and comparable foreign regulatory authorities are lengthy, time consuming, expensive and inherently unpredictable. If we are ultimately unable to obtain regulatory approval for our product candidates, we will be unable to generate product revenue and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for our product candidates could fail to receive regulatory approval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disagree with the design, implementation or results of our clinical trials or the portfolio of clinical trials planned for submission in our BLA;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in the clinical program may not be sufficiently broad or representative to assure efficacy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FDA, EMA or comparable foreign regulatory authorities that a product candidate’s risk-benefit ratio for its proposed indication(s), when compared to the standard of care,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BLA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study data may not be positive in all clinical trials demonstrating a mix of positive and negative clinical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fail to approve the chemistry, manufacturing and controls processes, test procedures and specifications, or facilities or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EMA or comparable foreign regulatory authorities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the results of clinical trials, may result in our failing to obtain regulatory approval to market any of our product candidates, which would significantly harm our business,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conducted clinical trials for our product candidates outside the United States (or the respective jurisdictions of other regulatory authorities), and the FDA (or EMA and applicable foreign regulatory authorities) may not accept data from such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conducted one or more of our clinical trials outside the United States, including Europe and other foreign countries. The acceptance of study data from global clinical trials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their respective jurisdiction. If the FDA, EMA or any applicable foreign regulatory authority does not accept such data, it would result in the need for additional trials, which would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costly and time-consuming, would delay aspects of our business plan and which may result in our product candidates not receiving approval or clearance for commercialization in the applicable jurisdiction.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regulatory approval for a product candidate, our products will remain subject to extensive obligations and continued regulatory review, which may result in significant additional expense, and we may be subject to penalties if we fail to comply with regulatory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fines, warning letters or other enforcement-related letters that would result in adverse publicity;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or withdraw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any of our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restrictions on our operations, including closing our contract manufacturers’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seize or detain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a product recall.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the policies of the FDA and of other regulatory authorities may change and additional government regulations may be enacted that could prevent, limit or delay regulatory approval of our product candidates. For example, the U.S. Supreme Court’s June 2024 decision in </w:t>
      </w:r>
      <w:r>
        <w:rPr>
          <w:rFonts w:ascii="Times New Roman" w:hAnsi="Times New Roman"/>
          <w:i/>
          <w:color w:val="000000"/>
          <w:sz w:val="20"/>
        </w:rPr>
        <w:t>Loper Bright Enterprises v. Raimondo</w:t>
      </w:r>
      <w:r>
        <w:rPr>
          <w:rFonts w:ascii="Times New Roman" w:hAnsi="Times New Roman"/>
          <w:color w:val="000000"/>
          <w:sz w:val="20"/>
        </w:rPr>
        <w:t xml:space="preserve"> overturned the longstanding Chevron doctrine, under which courts were required to give deference to regulatory agencies’ reasonable interpretations of ambiguous federal statutes. The </w:t>
      </w:r>
      <w:r>
        <w:rPr>
          <w:rFonts w:ascii="Times New Roman" w:hAnsi="Times New Roman"/>
          <w:i/>
          <w:color w:val="000000"/>
          <w:sz w:val="20"/>
        </w:rPr>
        <w:t>Loper</w:t>
      </w:r>
      <w:r>
        <w:rPr>
          <w:rFonts w:ascii="Times New Roman" w:hAnsi="Times New Roman"/>
          <w:color w:val="000000"/>
          <w:sz w:val="20"/>
        </w:rPr>
        <w:t xml:space="preserve"> decision could result in additional legal challenges to regulations and decisions issued by federal agencies, including the FDA, on which we rely. Any such legal challenges, if successful, could have a material impact on our business. Additionally, the </w:t>
      </w:r>
      <w:r>
        <w:rPr>
          <w:rFonts w:ascii="Times New Roman" w:hAnsi="Times New Roman"/>
          <w:i/>
          <w:color w:val="000000"/>
          <w:sz w:val="20"/>
        </w:rPr>
        <w:t>Loper</w:t>
      </w:r>
      <w:r>
        <w:rPr>
          <w:rFonts w:ascii="Times New Roman" w:hAnsi="Times New Roman"/>
          <w:color w:val="000000"/>
          <w:sz w:val="20"/>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Disruptions at the FDA and other government agencies and regulatory authorities caused by funding shortages or a government shutdown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ability of the FDA and comparable foreign regulatory authorities to review and approve new products can be affected by a variety of factors, including government budget and funding levels, government shutdowns,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agencies and comparable regulatory authorities may also slow the time necessary for new drugs or biologics to be reviewed and/or approved by necessary government agencies and regulatory authorities, which would adversely affect our business. For example, over the last several years, including the recent government shutdown that began on October 1, 2025 and ended on November 12, 2025, and previously from December 22, 2018 to January 25, 2019, the U.S. government has shut down several times and certain regulatory agencies, such as the FDA and the SEC, have had to furlough critical FDA, SEC and other government employees and stop critical activities. If the current government shutdown continues or a prolonged government shutdown occurs, it could significantly impact the ability of the FDA to timely review and process our regulatory submissions, which could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legislative measures aimed at reducing healthcare costs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substantially changed the way healthcare is financed by both governmental and private insurers.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the ACA’s enactment, there have been numerous challenges and amendments to the ACA.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These changes include, for example, aggregate reductions to Medicare payments to providers of 2% per fiscal year, which began in 2013 and will remain in effect until 2032 unless additional Congressional action is taken.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and likely will continue to be, legislative and regulatory proposals at the foreign, federal and state levels directed at containing or lowering the cost of healthcare. For example, the current administration is pursuing policies to reduce regulations and expenditures across government agencies including at HHS, the FDA, the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or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initiatives that may be adopted in the future or their impact on our business. The continuing efforts of the government, insurance companies, managed care organizations and other payors of healthcare services to contain or reduce costs of healthcare and/or impose price controls may adversely affect,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product candidates,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receive or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healthcare laws, we could face substantial penalties and our business, operations and financial conditions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which created new federal criminal statutes that, among other things,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need to have actual knowledge of these statutes or specific intent to violate them in order to have committed a violation;</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HITECH, and their respective implementing regulations, which impose requirements on certain covered healthcare providers, health plans and healthcare clearinghouses and their respective business associates and their subcontractors that perform services for them that involve the use, or disclosure of, individually identifiable health information as well as their covered subcontractors, relating to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CMS under the Open Payments Program, information related to payments or other transfers of value made to physicians (defined to include doctors, dentists, optometrists, podiatrists and chiropractors), other healthcare professionals (such as physician assistant and nurse practitioners), and teaching hospitals,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and local laws that require certain regulatory licenses to manufacture or distribute our products commercially and/or the registration of pharmaceutical sales representatives;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obligations related to data privacy and security. These obligations include U.S. and foreign laws, regulations and rules; contractual obligations; industry standards and policies. Our (or the third parties with whom we work) actual or perceived failure to comply with such obligations could lead to regulatory investigations and actions; litigation (including class claims) and arbitration; fines and penalties; disruptions of our business operations; reputational harm; loss of revenue and profits; loss of sales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and the third parties with whom we work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(collectively, sensitive information). Our data processing activities subject us to numerous data privacy and security obligations such as various laws and regulations, as well as guidance, industry standards, external and internal privacy and security policies, contractual requirements, and other obligations related to data privacy and security. Data privacy and security laws and regulations are evolving and resulting in increased regulatory and public scrutiny and escalating levels of enforcement and sanctions.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federal, state, and local governments have enacted numerous data privacy and security laws, including data breach notification laws, personal data privacy laws, consumer protection laws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include, in relation to their personal data, the right to access, correct, delete and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Certain of these state laws allow for statutory fines for noncompliance. For example, the California Consumer Privacy Act, or the CCPA, applies to personal data of consumers, business representatives, and employees who are California residents, and requires businesses subject to the law to provide specific disclosures in privacy notices and respond to requests of such individuals to exercise certain privacy rights. The CCPA provides for civil penalties and a private right of action for certain data breaches (which could lead to the recovery of significant statutory damages). Although these laws may exempt some data processed in the context of clinical trials, these laws increase compliance efforts, legal risks and compliance costs for us and the third parties with whom we work. Similar laws are being considered in other states as well as at the federal and local levels. We expect more legislatures to pass additional privacy or security laws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apply to data privacy and security. For example, the EU GDPR and the United Kingdom’s GDPR, or UK GDPR (collectively, GDPR), impose strict requirements for processing personal data. Violators of these laws face potential significant penalties. For example, under the GDPR, companies may face temporary or definitive bans on data processing and other corrective actions; fines of up to 20 million Euros (under the EU GDPR) or 17.5 million pounds sterling (under the UK GDPR), or 4% of annual global revenue, whichever is greater. Further, the EU and UK GDPR also provide for private litigation related to the processing of personal data that can be brought by classes of data subjects or consumer protection organizations authorized at law to represent the data subjects’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personnel and others with whom we work use generative artificial intelligence, or AI and/or automated decision-making technologies to perform their work, and the disclosure and use of personal data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be unable to transfer personal data from Europe and other jurisdictions to the United States or other countries due to, for example, data localization requirements or limitations on cross-border data transfers.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(such as the EEA standard contractual clauses, the UK’s International Data Transfer Agreement/Addendum, and the EU-U.S. Data Privacy Framework and the UK extension), that may be used to lawfully transfer personal data to the United States or other countries, these mechanisms are subject to legal challenges and there is no assurance that we can satisfy or rely on these measures. An inability or material limitation on our ability to transfer personal data to the United States or other countries could materially impact our business operations. If there were no lawful manner for us to transfer personal data from the EEA, the UK or other jurisdictions to the United States or other jurisdictions, or if the requirements for a legally-compliant transfer are too onerous, we may face increased exposure to regulatory actions, substantial fines, and injunctions against processing or transferring personal data from Europe and other foreign jurisdictions. The inability to transfer personal data to the United States or other jurisdictions could significantly and negatively impact our business operations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 Additionally, entities that transfer personal data out of the EEA and UK to other jurisdictions, particularly to the United States, are subject to increased regulator, individual litigant, and activist group scrutiny. Some European regulators have ordered certain companies to suspend or permanently cease certain data transfers out of Europe for allegedly violating the GDPR’s cross-border data transfer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impacts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for companies like ours that operate in the clinical trial space and impacts the ability to transfer data in connection with certain transactions or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We also publish statements regarding data privacy and security. Regulators are increasingly scrutinizing these statements, and if these statements are found to be deficient, lacking in transparency, deceptive, unfair, misleading or misrepresentative of our practices, we may be subject to, among other things, investigations, enforcement actions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related to data privacy and security (and individuals’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pStyle w:val="TextBody"/>
        <w:bidi w:val="0"/>
        <w:spacing w:before="120" w:after="283"/>
        <w:jc w:val="left"/>
        <w:rPr>
          <w:rFonts w:ascii="Times New Roman" w:hAnsi="Times New Roman"/>
          <w:sz w:val="20"/>
        </w:rPr>
      </w:pPr>
      <w:r>
        <w:rPr>
          <w:rFonts w:ascii="Times New Roman" w:hAnsi="Times New Roman"/>
          <w:color w:val="000000"/>
          <w:sz w:val="20"/>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If we or any third party with whom we work fail or are perceived to have failed to address or comply with applicable obligations relating to data privacy and security, we could face significant consequences, including but not limited to: regulatory fines and bans on processing personal data; investigations and enforcement actions, penalties and other liabilities, litigation (including class action claims and mass arbitration demands); additional reporting requirements and/or oversight; orders to destroy or not use personal data; interruptions or stoppages in our development process and business operations (including, as relevant, our clinical trial activities); and damage to our reputation. In particular, plaintiffs have become increasingly more active in bringing privacy-related claims against companies, including class claims and mass arbitration demands. Some of these claims allow for the recovery of statutory damages on a per violation basis which could result in significant damages. Any of these events could have a material adverse effect on our business, financial condition, results of operations and/or growth prospects</w:t>
      </w:r>
      <w:r>
        <w:rPr>
          <w:rFonts w:ascii="Times New Roman" w:hAnsi="Times New Roman"/>
          <w:color w:val="000000"/>
          <w:sz w:val="24"/>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or any contract manufacturers and suppliers we engage fail to comply with environmental, health and safety laws, we could become subject to fines or penalties or incur costs that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activities may be subject to the Foreign Corrupt Practices Act, or FCPA, and similar anti-bribery and anti-corruption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expect to continue to rely on third parties, such as clinical investigators, medical institutions, clinical data management organizations, and other third-party vendors,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on a third-party manufacturer, Lonza, for the manufacture of our materials for preclinical studies and clinical trials and expect to continue to do so for preclinical studies, clinical trials and for commercial supply of any product candidates that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establish any further agreements with third-party manufacturers or to do so on acceptable terms. Even if we are able to establish agreements with third-party manufacturers, reliance on third-party manufacturers entails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or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early termination of the agreement by us at a time that requires us to pay a cancellation fee;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quality assurance, safety and pharmacovigilance and related reporting;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produce required volume in a timely manner and to quality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medicines that we may develop may compete with other product candidates and products for access to manufacturing facilities.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on third-party suppliers for key raw materials used in our manufacturing processes, and the loss of these third-party suppliers or their inability to supply us with adequate raw materials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involving our product candidates we may develop, pose the following risks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generally have significant discretion in determining the efforts and resources that they will apply to these collaborations;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 candidates that result from our collaboration with them, and in such cases, we may not have the exclusive right to commercialize such intellectual property 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respect to the ownership of intellectual property developed pursuant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the cooperation of our collaborators to enforce or defend any intellectual property we contribute to or that arises out of our collaborations, which may not be provided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marketing and distribution rights to one or more product candidates may not commit sufficient resources to the marketing and distribution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undergo a change of control and the new owners may decide to take the collaboration in a direction which is not in our best interest;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become party to a business combination transaction and the continued pursuit and emphasis on our development or commercialization program by the resulting entity under our existing collaboration could be delayed, diminished or terminated;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become bankrupt, which may significantly delay our research or development programs, or may cause us to lose access to valuable technology, know-how or intellectual property of the collaborator relating to our products,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key personnel at our collaborators may leave, which could negatively impact our ability to productively work with our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require us to incur short and long-term expenditures, issue securities that dilute our stockholders, or disrupt our management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 candidates or our ABC Platform;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pStyle w:val="TextBody"/>
        <w:bidi w:val="0"/>
        <w:spacing w:before="240" w:after="283"/>
        <w:jc w:val="left"/>
        <w:rPr>
          <w:rFonts w:ascii="Times New Roman" w:hAnsi="Times New Roman"/>
          <w:sz w:val="20"/>
        </w:rPr>
      </w:pPr>
      <w:r>
        <w:rPr>
          <w:rFonts w:ascii="Times New Roman" w:hAnsi="Times New Roman"/>
          <w:b/>
          <w:i/>
          <w:color w:val="000000"/>
          <w:sz w:val="20"/>
        </w:rPr>
        <w:t>Reliance on third parties requires us to share our trade secrets, which increases the possibility that a competitor will discover them or that our trade secrets will be misappropriated or disclosed.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described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any of our patent applications does not issue as a patent in any jurisdiction, we may not be able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their interpretation in the United States and other countries may diminish our ability to protect our inventions, and obtain, maintain and enforce our intellectual property rights and, more generally, could affect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published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technology and product candidates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tarcocimab, KSI-501, and/or KSI-101, if we rely on a different product, its development could involve the use of government funds, which can require additional compliance aspects to make certain all rights are transferred to or remain with us. </w:t>
      </w:r>
    </w:p>
    <w:p>
      <w:pPr>
        <w:pStyle w:val="TextBody"/>
        <w:bidi w:val="0"/>
        <w:spacing w:before="240" w:after="283"/>
        <w:jc w:val="left"/>
        <w:rPr>
          <w:rFonts w:ascii="Times New Roman" w:hAnsi="Times New Roman"/>
          <w:sz w:val="20"/>
        </w:rPr>
      </w:pPr>
      <w:r>
        <w:rPr>
          <w:rFonts w:ascii="Times New Roman" w:hAnsi="Times New Roman"/>
          <w:b/>
          <w:i/>
          <w:color w:val="000000"/>
          <w:sz w:val="20"/>
        </w:rPr>
        <w:t>Issued patents may be challenged or invalidated, and relatively recent changes in U.S. patent law have diminished and may further diminish the value of patents in general. We rely on patents to protect our products, and any diminishment in the scope or value of our patents would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compared to intellectual property-reliant companies generally,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that our employees, consultants, or advisors have wrongfully used or disclosed alleged trade secrets of their current or former employers or claims asserting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Third-party claims of intellectual property infringement, misappropriation or other violation against us or our collaborators may prevent or delay the development and commercialization of our product candidates, the ABC Platform and other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procedures including </w:t>
      </w:r>
      <w:r>
        <w:rPr>
          <w:rFonts w:ascii="Times New Roman" w:hAnsi="Times New Roman"/>
          <w:i/>
          <w:color w:val="000000"/>
          <w:sz w:val="20"/>
        </w:rPr>
        <w:t>inter partes</w:t>
      </w:r>
      <w:r>
        <w:rPr>
          <w:rFonts w:ascii="Times New Roman" w:hAnsi="Times New Roman"/>
          <w:color w:val="000000"/>
          <w:sz w:val="20"/>
        </w:rPr>
        <w:t xml:space="preserve"> review and post-grant review adds uncertainty to the possibility of challenge to our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be alleged to be infringing.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a number of patents and patent applications that are directed to one or more aspects of tarcocimab, KSI-501, and/or KSI-101. Our intent is to maintain our development efforts under 35 U.S.C. Section 271(e)(1) (which provides a safe harbor from patent infringement claims related to certain drug development activities) through to at least the launch of any tarcocimab, KSI-501, or KSI-101 product. We are aware of at least one pending patent application with claims that are directed to some aspect of tarcocimab, KSI-501, and/or KSI-101 that could, if issued, have a patent term beyond a potential launch date for tarcocimab, KSI-501, or KSI-101. If this were to occur, we may be required to challenge the validity of the claims, obtain a license, modify tarcocimab, KSI-501, or KSI-101, or delay launch. We are also aware of at least one patent family with issued claims that may be relevant to some potential future aspect(s) of KSI-501 and/or KSI-101 and that have a patent term beyond a potential launch date for KSI-501 or KSI-101. If this or any other patent family were perceived as relevant, we may be required to challenge the validity of the claims, obtain a license, modify KSI-501 and/or KSI-101, or delay launch.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choose to further the pipeline and develop a different product, such a product would be delayed until the expiration of any valid patent that is still in force on such product. Alternatively, our options for addressing any such patents relating to these non-tarcocimab, non-KSI-501, and/or non-KSI-101 products would include the following: challenge the validity of the claims, obtain a license, or modify the non-tarcocimab, non-KSI-501, and/or non-KSI-101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involved in lawsuits to protect or enforce our patents and other intellectual property rights,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trademarks, service marks, trade 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or utilize similar technology but that are not covered by the claims of the patents that we may license or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make the inventions covered by the issued patent or pending patent application that we license or own now or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current or future pending owned or licensed patent applications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or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need to grow the size and capabilities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124 employees.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our current and future product candidates, while complying with our contractual obligations to contractors and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expanding our operational, financial and management controls, reporting systems and procedures;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increasing operational and managerial complexity.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information technology systems, or those of third parties with whom we work, or our data, were compromised, we could experience adverse consequences resulting from such compromise, including regulatory investigations or actions, significant fines or other liability, interruptions of our development programs, harm to our reputation,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Cyberattacks, malicious internet-based activity, online and offline fraud, and other similar activities threaten the confidentiality, integrity, and availability of our sensitive information and information technology systems, and those of our research collaborators, contractors, consultants, and other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attacks, including retaliatory cyber-attacks that could materially disrupt our systems and operations and supply chain.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personnel misconduct or error, ransomware attacks,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supply-chain attacks, software bugs, server malfunctions, software or hardware failures, loss of data or other information technology assets, adware, attacks enhanced or facilitated by artificial intelligence, or AI, and other similar threats. Ransomware attacks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Additionally, remote work increases risks to our information technology systems and data, as our personnel utilize network connections, computer and devices outside of our premises or corporate networks,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rely on third parties to operate critical business systems to process sensitive information in a variety of contexts, including, without limitation, third-party providers of cloud-based infrastructure, encryption and authentication technology, employee email, and other functions. Our ability to monitor these third parties’ information security practices is limited, and these third parties may not have adequate information security measures in place. While we may be entitled to damages if the third parties with whom we work fail to satisfy their privacy or security-related obligations to us, any award may be insufficient to cover our damages, or we may be unable to recover such award. Similarly, supply-chain attacks have increased in frequency and severity, and we cannot guarantee that third parties’ infrastructure in our supply chain or that of the third parties with whom we work have not been compromised. Likewise, we rely on third-party research institution collaborators, other contractors and consultants for many aspects of our business, including research and development activities and manufacturing of our product candidates, and similar events relating to their information systems could also have a material adverse effect on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these measures will be effective.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in the past (and may in the future) experienced delays in developing and deploying remedial measures designed to address identified vulnerabilities.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Certain of the previously identified or similar threats have in the past and may in the future cause a security incident or other interruption that has in the past and may in the future result in unauthorized, unlawful, or accidental acquisition, modification, destruction, loss, alteration, encryption, disclosure of, access to our sensitive information or information technology systems, or those of the third parties with whom we work. For example, we have been the target of unsuccessful phishing attempts in the past, and expect such attempts will continue in the future. Although to our knowledge, we have not experienced a material system failure or security incident to date, if such an event were to occur, it could result in a material disruption of our development programs and our business operations (for example, the loss of clinical trial data from completed, on-going or future clinical trials).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expend resources and may modify our business activities (including our clinical trial activities) to try to protect against security incidents. Certain data privacy and security obligations have required us to implement and maintain specific security measures, industry-standard or reasonable security measures to protect our information technology systems and sensitive information. Additionally, applicable data protection requirements may require us, or we may voluntarily choose, to notify relevant stakeholders of security incidents, including affected individuals, partners, collaborators, regulators, law enforcement agencies, and others,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material adverse consequences, such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clinical trial data); financial loss; and other similar harms.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Some of our contracts may not contain limitations of liability, and even where they do, there can be no assurance that limitations or exclusions of liability in our contracts may not be enforceable or adequate or protect us from liability or damages.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materially and adversely affect our reputation,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pStyle w:val="TextBody"/>
        <w:bidi w:val="0"/>
        <w:spacing w:before="80" w:after="283"/>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and those of our third party vendors,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Reductions in force and decreased funding at FDA may delay review and response to our submissions and applications and have material adverse impact on our business. The occurrence of any of these business disruptions could seriously harm our operations and financial condition and increase our costs and expenses. For example, in connection to health epidemics, the various quarantines, shelter-in-place and similar government orders, or the perception that such orders, shutdowns or other restrictions on the conduct of business operations could occur, related to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health epidemics could impact our results will depend on future developments, which are highly uncertain and cannot be accurately predicted, including the severity and the actions to contain or treat such outbreaks, epidemics, or pandemics, among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enterprise resource planning, or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is subject to economic, political, regulatory and other risks associated with international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risks associated with conducting business internationally. Some of our suppliers and collaborative relationships are located outside the United States. Accordingly, our future results could be harmed by a variety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non-U.S.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changing regulatory requirements, pricing and reimbursement regimes in non-U.S. countries;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compliance with non-U.S. laws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non-U.S. regulations and customs, tariffs and trade barriers;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non-U.S. currency exchange rates and currency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 specific country’s or region’s political or economic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protection measures, import or export licensing requirements or other restrictive actions by U.S. or non-U.S. governments;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consequences from changes in tax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associated with staffing and managing international operations, including differing labor relations;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liability under the FCPA or comparable foreign 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or natural disasters.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international, geo-political, and macroeconomic events could also have an adverse impact on our business. The United States and certain other countries may impose significant sanctions, trade restrictions, and other retaliatory actions in response to these events. While we cannot predict the broader consequences of these types of events, the conflict and retaliatory and counter-retaliatory actions could materially adversely affect global trade, currency exchange rates, inflation, regional economies, and the global economy, which in turn may increase our costs, disrupt our supply chain, or otherwise adversely affect our business, financial condition, and results of operations. These and other risks associated with our planned international operations may materially adversely affect our business, financial condition, and ability to attain profitable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and expect to continue to rely, on third parties that are located outside the United States for the manufacture of our product candidates for clinical testing, as well as for manufacture of any products that we may commercialize, if approved. Current or future tariffs may result in increased research and development expenses, including with respect to increased manufacturing costs. In addition, such tariffs may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In addition, as we advance toward commercialization in the future, tariffs and trade restrictions could hinder our ability to establish cost-effective manufacturing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governments may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Annual Report for the fiscal year ended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could be materially and adversely affected in the future by the effects of disease outbreaks, epidemics and pandemics, as well as the business or operations of our third parties with whom we conduct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materially and adversely affected by health epidemics in regions where we have concentrations of clinical trial sites or other business operations and could cause significant disruption in the operations of third parties upon whom we rely.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current and future clinical trials may be materially and adversely affected by health epidemics in the future. Site initiation and patient enrollment may be further delayed due to prioritization of hospital resources toward health epidemics.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during health epidemics, and may adversely impact our clinical trial operations. Our employees and our third parties may not be able to travel to study sites, impacting further site initiations and in-person monitoring of study data quality. Our other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health epidemics.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the risks and evolving effects of health epidemics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Health epidemics may also have the effect of heightening many of the other risks described in this “Risk Factors” section.</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Business, Financial Condition and Capital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incurred significant net losses in each period since our inception and anticipate that we will continue to incur significant and increasing net losses for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in each reporting period since our inception, including net losses of $230.0 million, $176.2 million and $260.5 million for the years ended December 31, 2025, 2024 and 2023, respectively. As of December 31, 2025, we had an accumulated deficit of $1,559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quarter-to-quarter and year-to-year, such that a period-to-period comparison of our results of operations may not be a good indication of our future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significant and increasingly higher expenses and operating losses for the foreseeable future.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progress our current and any future product candidates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 with our contract manufacturers to scale up the manufacturing processes for our product candidates or, in the future, establish and operate a manufacturing facility;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our research and discovery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conduct additional preclinical, clinical or other studies for our current and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or add additional contract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and marketing authorizations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sales, marketing and distribution infrastructure to commercialize any products for which we obtain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the development of our ABC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product candidates, intellectual property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royalty or other payments due under any current or future collaboration or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or encounter other issues related to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meet the requirements and demands of being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 against any product liability claims or other lawsuits related to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Drug development is a highly uncertain undertaking and involves a substantial degree of risk. We have never generated any revenue from product sales, and we may never generate revenue or be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profitability depends significantly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completing research and preclinical and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regulatory approvals and marketing authorizations for product candidates for which we successfully complete clinical development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assessing, acquiring and/or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successfully commercializing product candidates for which we obtain regulatory and marketing approval, either by collaborating with a partner or, if launched independently, by establishing a sales, marketing and distribution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an adequate price for our product candidates, both in the United States and in foreign countries where our products are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adequate reimbursement for our product candidates from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 candidates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expanding and enforcing our portfolio of intellectual property rights, including patents, trade secrets and know-how;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financial condition raises substantial doubt about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cash and cash equivalents of $209.9 million. We have incurred net losses and negative cash flows from operations since inception. We expect to continue to incur operating losses and negative operating cash flows for the foreseeable future and as a result, there is substantial doubt regarding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historically funded our operations primarily through the issuance of common stock and the sale of future royalties. Our ability to achieve and sustain profitability will depend on the successful development, approval and commercialization of our product candidates and on the achievement of sufficient revenue to support our cost structure and, unless and until we do, we will need to raise additional capital to maintain current operations and to continue research and development activities. We continue to monitor and reduce certain expenditures and plan to raise additional capital through approaches that include equity or debt financings, collaborations or a combination of similar transactions. While we have been able to raise multiple rounds of financing, there can be no assurance that such financing will be available on terms which are favorable or at all. We could be required to pause, scale back or discontinue one or more of our development programs, which could adversely affect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any of our future investments or allocations of research and development financial resources result in failed product candidates, our financial condition and business prospects may be significantly adversely impacted and we may never become profitable. Similarly, our potential decisions to delay, terminate or collaborate with third parties in respect of certain product candidates may subsequently also prove to be suboptimal and could cause us to miss valuable opportunities. From time to time, we may prioritize development of certain product candidates or otherwise allocate resources based on assumptions, estimations, calculations and conclusions that we make on the basis of preliminary or interim data which we may not have had the opportunity to fully and carefully evaluate, or which may ultimately differ from final or other future results of the same studies. If we make incorrect determinations regarding the viability or market potential of any of our product candidates, unfavorably allocate resources,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obtain additional financing, we may be unable to complete the development and, if approved,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have required substantial amounts of cash since inception. To date, we have funded our operations primarily through the issuance of common stock and the sale of future royalties. Developing our product candidates is expensive, and we expect to continue our spending as we advance our product candidate development efforts. Even if we are successful in developing our product candidates, obtaining regulatory approvals and launching and commercializing any product candidate will require substantial additional funding.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 as to how long we expect our existing cash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additional capital for the further development and, if approved, commercialization of our product candidates. Additional capital may not be available when we need it, on terms acceptable to us or at all. For example, geopolitical conflicts in Europe and the Middle East are expected to have further global economic consequences, including disruptions of the global supply chain. Further, inflation rates, particularly in the United States, have increased relatively recently, and the Federal Reserve has raised, and may again raise, interest rates. These conditions of economic uncertainty and market volatility could limit additional capital available to us, if and when needed, and increase its cost if available. In addition, it is possible that we may not be able to access a portion of our existing cash, cash equivalents and investments due to unforeseen market conditions. For example, on March 10, 2023, the Federal Deposit Insurance Corporation (FDIC), took control and was appointed receiver of Silicon Valley Bank.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pStyle w:val="TextBody"/>
        <w:bidi w:val="0"/>
        <w:spacing w:before="240" w:after="283"/>
        <w:jc w:val="left"/>
        <w:rPr>
          <w:rFonts w:ascii="Times New Roman" w:hAnsi="Times New Roman"/>
          <w:sz w:val="20"/>
        </w:rPr>
      </w:pPr>
      <w:r>
        <w:rPr>
          <w:rFonts w:ascii="Times New Roman" w:hAnsi="Times New Roman"/>
          <w:b/>
          <w:i/>
          <w:color w:val="000000"/>
          <w:sz w:val="20"/>
        </w:rPr>
        <w:t>If we engage in acquisitions, in-licensing or strategic partnerships,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engage in various acquisitions and strategic partnerships in the future, including licensing or acquiring complementary products, intellectual property rights, technologies or businesses. Any acquisition or strategic partnership may entail numerous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assumption of indebtedness or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our equity securities which would result in dilution to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products and product candidates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product candidates and initiatives in pursuing such an acquisition or strategic partnership;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in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undertake such a transaction, we may incur large one-time expenses and acquire intangible assets that could result in significant future amortization expense.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Unfavorable U.S. and global economic conditions could adversely affect our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heightened inflation rates, tariffs, geopolitical conflicts, and bank failures,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severe or prolonged global economic downturn could result in a variety of risks to our business. For example, inflation rates, particularly in the United States, have increased relatively recently,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Deposit Insurance Corporation only insures amounts up to $250,000 per depositor. Recently, we have seen the abrupt failure of more than one regional bank. We may from time to time have balances in bank accounts that are in excess of insured deposit limits, and could be subject to risks of bank failures. Similar bank failures could significantly impair our access to funding sources in amounts adequate to finance or capitalize our current and projected future business operations and could negatively impact the financial institutions with which we have direct arrangements, or the financial services industry or economy in 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financial markets around the world experienced volatility following the invasion of Ukraine by Russia.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operations, as well as current and potential new suppliers and manufacturers, throughout Europe. If economic conditions in Europe and other key markets for our business remain uncertain or deteriorate further, we could experience adverse effects on our business, financial condition or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the Company had $224.3 million of federal and $616.3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federal tax legislation enacted in 2017, informally titled The Tax Cuts and Jobs Act, or the Tax Act, as modified by the Coronavirus Aid, Relief, and Economic Security Act, or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The new limitations on use of NOLs may significantly impact our ability to utilize our NOLs to offset taxable income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More recently, the IRA was enacted which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IRA,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rate risk may impact our financial position and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foreign currency forward contracts to protect against changes in anticipated foreign currency cash flows resulting from changes in foreign currency exchange rates, primarily associated with non-functional currency denominated expenses. We regularly monitor our foreign currency exchange rate exposures to ensure the overall effectiveness of its foreign currency exposures. While we engage in foreign currency hedging activity to reduce our risk, for accounting purposes, none of its foreign currency forward contracts are designated as hedges.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are subject to reporting and other obligations under the Exchange Act, including the requirements of the Sarbanes-Oxley Act of 2002, or SOX, Section 404, which require annual management assessments of the effectiveness of our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 These reporting and other obligations place significant demands on our management and administrative and operational resources, including accounting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price of our common stock may be volatile, which could result in substantial losses for investors purchasing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may be volatile. For example, the closing price of our common stock from December 31, 2024 to March 29, 2026, ranged from a low of $2.06 to a high of $39.76 per share. As a result, shareholders may not be able to sell their common stock at or above the price that they paid for such shares. Some of the factors that may cause the market price of our common stock to fluctuate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existing or new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results of clinical trials for our current product candidates and any future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commencement or termination of collaborations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develop our ABC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preclinical studies, clinical trials or regulatory approvals of product candidates of our competitors, or announcements about new research programs or product candidates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commencement of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any of our research programs,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develop additional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estimates or recommendations by securities analysts, if any, that cover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the current inflationary environment, lowered consumer confidence, bank failures, major geopolitical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including recently in connection with health epidemics, bank failures, broader macroeconomic conditional and/or geopolitical instability, which has resulted in decreased market prices, notwithstanding the lack of a fundamental change in the underlying business models or prospects of those companies. Broad market and industry factors may seriously affect the market price of our common stock, regardless of our actual operating performance. In this regard, worsening economic conditions, relatively heightened interest rates and/or other tapering policies from the government, and other adverse effects or developments relating to health epidemics or general economic environment may negatively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sales of our common stock in the public market could cause our share price to decline, even if our business is doing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principal stockholders own a significant percentage of our common stock, which could limit your ability to affect the outcome of key transactions, including a change of 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Delaware law and provisions in our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shares of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our board of directors with the exclusive right to elect a director to fill a vacancy or newly created directorship;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stockholders to only take actions at a duly called annual or special meeting and not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by a majority vote,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affirmative vote of at least 66 2/3% or more of the outstanding shares of common stock to amend many of the provisions described above.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provide that the Court of Chancery of the State of Delaware will be the exclusive forum for: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of breach of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arising under the DGCL, our certificate of incorporation, or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that is governed by the internal-affairs doctrine.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further provide that the U.S. federal district courts will be the exclusive forum for resolving any complaint asserting a cause of action arising under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item_1b_unresolved_staff_comments"/>
      <w:bookmarkEnd w:id="8"/>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9" w:name="item_1c_cybersecurity"/>
      <w:bookmarkEnd w:id="9"/>
      <w:r>
        <w:rPr>
          <w:rFonts w:ascii="Times New Roman" w:hAnsi="Times New Roman"/>
          <w:b/>
          <w:color w:val="000000"/>
          <w:sz w:val="20"/>
        </w:rPr>
        <w:t>ITEM 1C. CYBERSECURITY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implemented and maintain various information security processes designed to identify, assess and manage material risks from cybersecurity threats to our critical computer networks, third party hosted services, hardware, software, and our high value data, including intellectual property, trade secrets, confidential and sensitive information (collectively, “Information Systems and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team works with our digital transformation team in an effort to identify, assess and manage the Company's cybersecurity threats and risks. Depending on the environment, we implement and maintain various technical, physical and organizational measures, processes, standards and policies designed to manage, mitigate and remediate material risk from cybersecurity threats to our Information Systems and Data. These measures include but are not limited to firewalls, endpoint detection and response, antivirus programs, email security measures, backups and recovery procedures, privileged access management, multi-factor authentication schemes, data encryption, automatic patching, and security system information event monitoring to detect and respond to any emerging threats. Our information security and privacy policy framework includes standards for incident response, vulnerability management, data protection and logical access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assessment and management of material risks from cybersecurity threats are integrated into our Company's overall risk management process, which, in part, establishes intended uses of our computerized systems and identifies critical and/or material risks. After a system reaches operation, the risk management approach continues following processes for change control, system maintenance, logical access control, discrepancy management and periodic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independent service providers to assist us from time to time in an effort to identify, assess, and manage material risks from cybersecurity threats. We periodically conduct vulnerability assessments and perform intrusion and penetration testing to evaluate our cybersecurity response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cybersecurity awareness training for our employees and periodically perform phishing simulations. We routinely communicate with employees about the potential for cybersecurity threats, including the latest adversary trends and social engineering techniques and how to avoid them, and the best use of our established communications channels.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vendor management process designed to manage cybersecurity risks associated with our use of third parties. Depending on the nature of the services provided, the sensitivity of the Information Systems and Data at issue, and the identity of the provider, our vendor management process may involve varying methods of assessment designed to help identify cybersecurity risks associated with a provider and impose contractual obligations related to cybersecurity on the provider.</w:t>
      </w:r>
    </w:p>
    <w:p>
      <w:pPr>
        <w:pStyle w:val="TextBody"/>
        <w:bidi w:val="0"/>
        <w:spacing w:before="120" w:after="283"/>
        <w:jc w:val="left"/>
        <w:rPr>
          <w:rFonts w:ascii="Times New Roman" w:hAnsi="Times New Roman"/>
          <w:sz w:val="20"/>
        </w:rPr>
      </w:pPr>
      <w:r>
        <w:rPr>
          <w:rFonts w:ascii="Times New Roman" w:hAnsi="Times New Roman"/>
          <w:color w:val="000000"/>
          <w:sz w:val="20"/>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a description of the risks from cybersecurity threats that may materially affect the Company and how they may do so, see our risk factors under “Part I, Item 1A. — Risk Factors” in this Annual Report on Form 10-K, including the risk factor titled “</w:t>
      </w:r>
      <w:r>
        <w:rPr>
          <w:rFonts w:ascii="Times New Roman" w:hAnsi="Times New Roman"/>
          <w:b/>
          <w:i/>
          <w:color w:val="000000"/>
          <w:sz w:val="20"/>
        </w:rPr>
        <w:t>If our information technology systems, or those of third parties with whom we work, or our data, are or were compromised, we could experience adverse consequences resulting from such compromise, including but not limited to regulatory investigations or actions, significant fines or other liability, interruptions of our development programs, harm to our reputation, and other adverse consequences.”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Nominating and Corporate Governance Committee of our Board of Directors is responsible for overseeing cybersecurity risk management processes, including oversight and mitigation of risk from cybersecurity threats. The Nominating and Corporate Governance Committee receives reports, as necessary, from the Chief Financial Officer of the Company regarding cybersecurity threats or incidents.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cybersecurity risk assessment and management processes are implemented and maintained by our digital transformation team under the supervision of the Chief Financial Officer and Chief Executive Officer of the Company, both of whom have experience in business operations including risk management and oversight of information technology functions within the biopharmaceutical industry. Our digital transformation team includes members with relevant expertise in cybersecurity, incident response, and the safeguarding of company assets. The digital transformation team undertakes efforts to learn about the Company’s cybersecurity threats by reviewing security assessments and other security-related reports.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cybersecurity incident response and vulnerability management follow our information security and privacy policy framework. This framework is designed to escalate certain cybersecurity incidents to the Chief Financial Officer and, depending upon an incident’s particular facts, the Chief Financial Officer will report certain cybersecurity incidents to the Nominating and Corporate Governance Committee of the Board of Directors.</w:t>
      </w:r>
    </w:p>
    <w:p>
      <w:pPr>
        <w:pStyle w:val="TextBody"/>
        <w:bidi w:val="0"/>
        <w:spacing w:before="240" w:after="283"/>
        <w:jc w:val="left"/>
        <w:rPr>
          <w:rFonts w:ascii="Times New Roman" w:hAnsi="Times New Roman"/>
          <w:b/>
          <w:color w:val="000000"/>
          <w:sz w:val="20"/>
        </w:rPr>
      </w:pPr>
      <w:bookmarkStart w:id="10" w:name="item_2_properties"/>
      <w:bookmarkEnd w:id="10"/>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bookmarkStart w:id="11" w:name="highlight_result_1"/>
      <w:bookmarkEnd w:id="11"/>
      <w:r>
        <w:rPr>
          <w:rFonts w:ascii="Times New Roman" w:hAnsi="Times New Roman"/>
          <w:color w:val="000000"/>
          <w:sz w:val="20"/>
        </w:rPr>
        <w:t xml:space="preserve">Our corporate offices are located in Palo Alto, California, where we lease approximately 155,000 square feet of office, research and development, engineering and laboratory space pursuant to lease agreements that commenced in June 2020. Our corporate offices in Palo Alto, California house substantially all of our personnel. The initial lease term for 1200 Page Mill Road is 6.5 years, with an option to extend the lease term for a period of 6.5 years. The initial lease term for 1250 Page Mill Road is 13 years, with two options to extend the lease term for a period of 5 years each.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we entered into a sublease agreement for the corporate office space located at 1200 Page Mill Road for the remainder of the initial lease term until February 2027. We retain the option to reoccupy the space and to extend the lease term of the building located at 1200 Page Mill Road through the option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2020, we entered into a lease agreement for office and laboratory space at Rottenstrasse 5 in Visp, Switzerland. The space is approximately 1,000 square meters. The initial lease term is 5 years, with automatic renewals every 5 years for a maximum lease term of 15 years.</w:t>
      </w:r>
    </w:p>
    <w:p>
      <w:pPr>
        <w:pStyle w:val="TextBody"/>
        <w:bidi w:val="0"/>
        <w:spacing w:before="240" w:after="283"/>
        <w:jc w:val="left"/>
        <w:rPr>
          <w:rFonts w:ascii="Times New Roman" w:hAnsi="Times New Roman"/>
          <w:sz w:val="20"/>
        </w:rPr>
      </w:pPr>
      <w:bookmarkStart w:id="12" w:name="item_3_legal_proceedings"/>
      <w:bookmarkEnd w:id="12"/>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bidi w:val="0"/>
        <w:spacing w:before="240" w:after="283"/>
        <w:jc w:val="left"/>
        <w:rPr>
          <w:rFonts w:ascii="Times New Roman" w:hAnsi="Times New Roman"/>
          <w:b/>
          <w:color w:val="000000"/>
          <w:sz w:val="20"/>
        </w:rPr>
      </w:pPr>
      <w:bookmarkStart w:id="13" w:name="item_4_mine_safety_disclosures"/>
      <w:bookmarkEnd w:id="13"/>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part_ii"/>
      <w:bookmarkEnd w:id="1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120" w:after="283"/>
        <w:jc w:val="left"/>
        <w:rPr>
          <w:rFonts w:ascii="Times New Roman" w:hAnsi="Times New Roman"/>
          <w:b/>
          <w:color w:val="000000"/>
          <w:sz w:val="20"/>
        </w:rPr>
      </w:pPr>
      <w:bookmarkStart w:id="15" w:name="item_5_market_for_registrants_common_equ"/>
      <w:bookmarkEnd w:id="15"/>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trades on the Nasdaq Global Market under the trading symbol “KOD”.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Holders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19, 2026, there were approximately 21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dividends on our common stock and do not anticipate paying cash dividends in the foreseeable future.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r>
        <w:rPr>
          <w:rFonts w:ascii="Times New Roman" w:hAnsi="Times New Roman"/>
          <w:b/>
          <w:color w:val="000000"/>
          <w:sz w:val="20"/>
        </w:rPr>
        <w:t>Purchases of Equity Securities by the Issuer and Affiliated Purchases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16" w:name="item_6_selected_consolidated_financial_d"/>
      <w:bookmarkEnd w:id="16"/>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7" w:name="item_7_managements_discussion_analysis_f"/>
      <w:bookmarkEnd w:id="17"/>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consolidated financial statements and the related notes included elsewhere in this Annual Report on Form 10-K. This discussion and analysis and other parts of this Annual Report on Form 10-K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“Part I, Item 1A — Risk Factors” and elsewhere in this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precommercial retina focused biotechnology company committed to researching, developing and commercializing transformative therapeutics. We are focused on bringing new science to the design and manufacture of next generation retinal medicines to prevent and treat the leading causes of blindness globally. Our Antibody Biopolymer Conjugate ("ABC") Platform uses molecular engineering to merge the fields of protein-based and chemistry-based therapies and has been at the core of Kodiak's discovery engine. We are developing a portfolio of three late-stage clinical programs, two of which are derived from our ABC platform and one which is platform-independent.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Kodiak's lead investigational medicine, Zenkuda (tarcocimab), is an anti-VEGF antibody biopolymer conjugate under development for the treatment of high prevalence retinal vascular diseases. Zenkuda is being developed as a mainstay intravitreal biologic monotherapy that provides high immediacy, driven by the enhanced formulation, and high durability, driven by the ABC platform and our science of durability, with the ultimate objective of providing, once approved, a flexible 1-month through 6-month label for all patients with retinal vascular disease (treatment-naïve, treatment-experienced, mild patients and severe patients). Zenkuda has completed four successful Phase 3 pivotal studies: the Phase 3 GLOW1 and GLOW2 studies in diabetic retinopathy (DR), the Phase 3 BEACON study in retinal vein occlusion (RVO) and the Phase 3 DAYLIGHT study in wet AMD. Zenkuda is currently being studied in one Phase 3 clinical trial, DAYBREAK in patients with wet AMD. DAYBREAK has completed enrollment. We intend to file a Biologics License Application (“BLA”) in DR, retinal vein occlusion (“RVO”) and wet AMD in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KSI-501, our second investigational medicine, is a first-in-class anti-IL-6, VEGF-trap bispecific therapy built on our ABC platform and is being developed for high prevalence retinal vascular diseases to address the leading unmet needs of extended durability and targeting disease biology beyond VEGF for differentiated efficacy. KSI-501 is designed to provide high immediacy/efficacy and high durability. KSI-501 is currently being studied in the Phase 3 DAYBREAK study in patients with wet AMD. DAYBREAK has completed enrollment.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KSI-101, our third investigational medicine, is a high strength (100 mg/mL) antibody-based therapy with a bispecific mechanism of action targeting both interleukin-6 (IL-6) and VEGF. We are developing KSI-101 for patients with macular edema (retinal fluid) secondary to inflammation (“MESI”). Data from our dose-finding Phase 1b APEX study demonstrated robust anatomical and visual responses across MESI patients. More than half of patients achieved ≥15-letter gains in best corrected visual acuity ("BCVA"), with additional benefit at higher dose levels. Rapid vision improvements and anatomical response was observed with 10-letter gains by Week 4 in top dose groups and OCT CST &lt;325 microns achieved as early as Week 1 in top dose groups. Continued anatomical improvement was observed over time with &gt;90% resolution of intraretinal ("IRF") and subretinal fluid ("SRF") by Week 8 and 20/25 Snellen visual acuity by Week 20. In top dose groups, ≥90% achieved complete absence of IRF and SRF, indicating retinal dryness and normalization of retinal architecture. KSI-101 also continued to be well tolerated with a favorable safety profile. The top two dose levels in APEX have been advanced into the Phase 3 pivotal studies, PEAK and PINNACLE. The PEAK and PINNACLE studies are actively enrolling.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regards to our pipeline programs, dual cytokine-targeting bispecific antibody programs KSI-102 (anti-TNFa/IL-6) and KSI-103 (anti-IL-1/IL-6) continue to progress through pre-IND activities, targeting diseases of ocular inflammation. Retina duet programs in glaucoma and geographic atrophy built with ABC platform continue to progress.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VETi (Visual Engagement Technology and imager) program has achieved significant advancements in hardware, software and algorithms development. VETi is our AI- and machine-learning-enabled wearable headset with applications in retina care alongside broader opportunities in identity security and cognitive sciences.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dedicated commercial-scale drug substance manufacturing facility that was custom-designed and built in collaboration with Lonza. We believe these manufacturing capabilities could position us for potential market share capture if tarcocimab and KSI-501 are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Updates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Zenkuda (tarcocimab) Clinical Program Update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Zenkuda is an investigational anti-VEGF therapy built on Kodiak's proprietary ABC platform. Zenkuda has a mean ocular half-life in humans of 20 days, approximately three times longer than approved anti-VEGF therapies, and is designed to maintain effective drug levels in ocular tissues for longer. Zenkuda is being developed as a mainstay intravitreal biologic monotherapy that provides high immediacy, driven by the enhanced formulation, and high durability, driven by the ABC platform and our science of durability, with the ultimate objective of providing, once approved, a flexible 1-month through 6-month label for all patients with retinal vascular disease (treatment-naïve, treatment-experienced, mild patients, and severe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Zenkuda has completed four successful Phase 3 pivotal studies: the Phase 3 GLOW1 and GLOW2 studies in diabetic retinopathy ("DR"), the Phase 3 BEACON study in retinal vein occlusion ("RVO") and the Phase 3 DAYLIGHT study in wet AMD. In the GLOW1 and GLOW2 studies, Zenkuda successfully treated DR patients and prevented disease progression with 100% of patients on extended 6-month dosing at Year 1. In the BEACON study, during the first 6 months, Zenkuda-treated patients were dosed at 8-week intervals (as opposed to 4-week intervals for aflibercept). In the second 6 months, identical retreatment criteria were used for the Zenkuda and aflibercept arms, and nearly half of Zenkuda patients did not require any treatment while achieving similar vision and anatomical outcomes as the aflibercept group at one year. In the DAYLIGHT study, Zenkuda demonstrated non-inferior efficacy results and compelling safety and tolerability at a once-monthly dosing interval. Zenkuda is currently being studied in the Phase 3 DAYBREAK study in wet AMD, the final anticipated Phase 3 study in the program. In DAYBREAK, patients are treated on an every 1-month through every 6-month treatment interval, depending on an AI-driven assessment of disease activity. Topline results for the DAYBREAK one-year primary endpoint are expected in 3Q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About GLOW1 and GLOW2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GLOW1 and GLOW2 were prospective, randomized, double-masked, sham-controlled, multicenter Phase 3 studies evaluating Zenkuda 5mg in participants with diabetic retinopathy. Both studies employed extended-interval dosing regimens with an ultimate treatment interval of every six months. The primary endpoint was the proportion of eyes improving by ≥2 steps on the Diabetic Retinopathy Severity Scale ("DRSS") from baseline to Week 48. Additional outcome measures include the proportion of eyes developing a sight-threatening complication of diabetic retinopathy and the proportion of eyes improving ≥3 steps on DRSS from baseline to Week 48.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GLOW1 study, patients were randomized 1:1 to receive either sham injections or Zenkuda via intravitreal injection at baseline, Week 8, Week 20 and Week 44, for a planned four injections in year one. The Phase 3 GLOW1 study demonstrated that, with extended 6-month dosing in every patient, Zenkuda can achieve strong efficacy both in treating existing disease (primary endpoint) and preventing vision threatening complications and disease progression (key secondary endpoint). In GLOW1, Zenkuda met its primary endpoint of the proportion of patients with at least a 2-step improvement on the DRSS score with 41.1% of Zenkuda-treated patients demonstrating at least a 2-step improvement versus 1.4% of patients in the sham group, a 29-fold increased response rate ratio (p-value &lt; 0.0001). Zenkuda also met all key secondary endpoints, including greater reductions in the proportion of patients developing sight-threatening complications (such as diabetic macular edema and proliferative diabetic retinopathy) versus sham, demonstrating an 89% decreased risk (2.3% with Zenkuda versus 21.0% with sham, p-value &lt; 0.0001).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3 GLOW2 study was designed as a confirmatory study to the Phase 3 GLOW1 study. Patients were randomized 1:1 to receive either sham injections or Zenkuda via intravitreal injection at baseline, Week 4, Week 8, Week 20 and Week 44, for a planned five injections in year one. The Phase 3 GLOW2 study confirmed findings from GLOW1 that, with extended 6-month dosing in all Zenkuda-treated patients, Zenkuda can achieve strong efficacy both in treating existing disease (primary endpoint) and preventing vision threatening complications and disease progression (key secondary endpoint). In GLOW2, Zenkuda met its primary endpoint of the proportion of patients with at least a 2-step improvement on the DRSS, with 62.5% of Zenkuda-treated patients demonstrating at least a 2-step improvement versus 3.3% of patients in the sham group, a 19-fold increased response rate ratio (p-value &lt; 0.0001). Zenkuda also met all key secondary endpoints, including greater reductions in the proportion of patients developing sight-threatening complications (such as diabetic macular edema and proliferative diabetic retinopathy), versus sham, demonstrating an 85% decreased risk (2.4% with Zenkuda versus 15.8% with sham, p-value ≤ 0.0001). Zenkuda also demonstrated strong efficacy independent of concomitant GLP-1 receptor agonist use. In Zenkuda-treated patients, the proportion achieving a ≥2-step improvement in DRSS was 60.0% among those using GLP-1 medications versus 64.3% among those not using GLP-1 medications, supporting Zenkuda’s efficacy profile in a real-world diabetic population. Zenkuda was well-tolerated with low rates of common ocular adverse events. No cases of intraocular inflammation were reported in the study, and no cases of retinal vasculitis or occlusive retinal vasculitis were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observed. The incidence of cataract in the study eye was low (2.3% with Zenkuda versus 1.6% with sham) and in line with expected background rates in patients with DR.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About DAYBREAK (and Zenkuda)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3 DAYBREAK study is a non-inferiority study evaluating parallel investigational arms of Zenkuda and KSI-501 against active comparator aflibercept. The DAYBREAK study incorporates learnings from prior pivotal trials of Zenkuda and was designed to maximize the probability of meeting the primary endpoint of non-inferiority in visual acuity gains. Patients randomized to Zenkuda will receive individualized dosing every 4 to 24 weeks on an as needed basis following four monthly loading doses. Patients randomized to aflibercept will be dosed per label. The individualized dosing of Zenkuda is determined by a treat-to-dryness proactive approach using the presence of retinal fluid as a disease activity marker, which resembles retina specialists' practice and optimizes each patient's treatment, instead of using a combination of central subfield thickness ("CST") and vision loss. The objectives for Zenkuda in DAYBREAK are to assess its durability potential, strengthen its competitive position in wet AMD and bolster the possible regulatory application package for the program. DAYBREAK was designed to showcase the potential for Zenkuda to be a mainstay biologic for VEGF-driven retinal vascular diseases with both a strong efficacy/immediacy (driven by its enhanced formulation) and a strong durability (driven by its ABC design and science of durability). Topline data for the one-year primary endpoint in DAYBREAK are expected in 3Q 2026.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About Zenkuda and BLA Planning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plans to submit a BLA for Zenkuda supported by the confirmatory GLOW1 and GLOW2 studies in diabetic retinopathy, the BEACON Study in retinal vein occlusion, and the DAYLIGHT Study in wet AMD and intends to work with the FDA on timing of the submission in order to include the ongoing Phase 3 DAYBREAK wet AMD study, if successful, in the BLA.</w:t>
      </w:r>
    </w:p>
    <w:p>
      <w:pPr>
        <w:pStyle w:val="TextBody"/>
        <w:bidi w:val="0"/>
        <w:spacing w:before="120" w:after="283"/>
        <w:jc w:val="left"/>
        <w:rPr>
          <w:rFonts w:ascii="Times New Roman" w:hAnsi="Times New Roman"/>
          <w:sz w:val="20"/>
        </w:rPr>
      </w:pPr>
      <w:r>
        <w:rPr>
          <w:rFonts w:ascii="Times New Roman" w:hAnsi="Times New Roman"/>
          <w:b/>
          <w:color w:val="000000"/>
          <w:sz w:val="20"/>
        </w:rPr>
        <w:t>KSI-501 Clinical Program Update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KSI-501 is an investigational anti-IL-6, VEGF-trap bispecific therapy built on the ABC platform and is being developed for high prevalence retinal vascular diseases to address the leading unmet needs of extended durability and targeting disease biology beyond VEGF for differentiated efficacy. KSI-501 is designed to provide high immediacy/efficacy, driven by the enhanced formulation, and high durability, driven by the ABC platform and our science of durability.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preclinical models, KSI-501 was shown to be a potent inhibitor of VEGF and IL-6 and, further, was shown to normalize the blood retinal barrier, opening up the possibility that KSI-501 may be a disease-modifying therapy for retinal vascular diseases. Furthermore, higher intraocular levels of IL-6 correlated with poorer BCVA outcomes over time in wet AMD patients treated with anti-VEGF monotherapy, which suggests that IL-6 inhibition in combination with anti-VEGF therapy could lead to improved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has advanced KSI-501 into the Phase 3 study DAYBREAK to evaluate its efficacy and safety in wet AMD. DAYBREAK has completed enrollment. DAYBREAK uses KSI-501's enhanced 50 mg/mL formulation containing both conjugated and unconjugated antibody that is intended to balance immediacy and durability.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About DAYBREAK (and KSI-501)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DAYBREAK study is a non-inferiority study evaluating parallel investigational arms of KSI-501 and Zenkuda against active comparator aflibercept. Patients randomized to KSI-501 will receive fixed every 8-week dosing with additional individualized dosing (up to monthly dosing) on an as needed basis after four monthly loading doses. Patients randomized to aflibercept will be dosed per label. Using the same treat-to-dryness approach as Zenkuda, coupled with fixed intensive proactive dosing, our goal is to maximize both the probability of meeting the primary endpoint as well as the probability of demonstrating additional efficacy benefits. The primary endpoint is non-inferiority in change in visual acuity from baseline to the average of Week 40, 44 and 48. The objective for KSI-501 in DAYBREAK is to explore the efficacy potential of bispecific IL-6 and VEGF inhibition in a broad treatment-naïve wet AMD population. DAYBREAK has completed enrollment. Topline data for the one-year primary endpoint in DAYBREAK are expected in 3Q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KSI-101 Clinical Program Update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KSI-101 is a high strength (100 mg/mL) bispecific protein targeting IL-6 and VEGF. We are developing KSI-101 for patients with MESI. MESI is a heterogenous group of diseases that clinically present with macular edema and visual impairment which are caused by a common pathophysiology–inflammation and blood retinal barrier disruption. The clinical presentation of retinal fluid and visual impairment is a mainstay in these patients, irrespective of the location of the inflammation inside of the eye (anterior, intermediate, posterior or all intraocular compartments) or the specific etiology (defined autoimmune associated, idiopathic, post-procedural, or inflammatory choroidal neovascularization).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there are no available intravitreal biologic therapies addressing the spectrum of MESI diseases. We believe that MESI represents a new market segment separate from the established anti-VEGF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completed dose-finding Phase 1b study APEX evaluated KSI-101 in two cohorts, Cohort 1 in patients with DME and Cohort 2 in patients with MESI. APEX demonstrated that KSI-101 provides meaningful visual and anatomical gains in both DME and MESI and that KSI-101 is well tolerated. Meaningful treatment responses were seen in the MESI population, irrespective of the location of inflammation and specific MESI etiology, opening up the potential for KSI-101 to become a unifying treatment for this patient population.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APEX, the top two dose levels tested were selected to advance into the Phase 3 program. The PEAK and PINNACLE Phase 3 studies are actively enrolling MESI subjects at the 5 mg and 10 mg dose levels versus sham.</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About PEAK and PINNACLE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PEAK and PINNACLE studies are superiority studies evaluating two dose levels of KSI-101 (5 mg and 10 mg) compared to sham treatment in patients with MESI. PEAK and PINNACLE are identical in study design with key differences in patient population. PEAK includes patients with more severe disease (moderate to severe macular edema and vision impairment) and PINNACLE includes patients with milder disease (mild macular edema and any vision impairment), as well as patients with moderate to severe macular edema with good vision. Together, PEAK and PINNACLE are designed to enroll complementary patient populations and to cover a wide spectrum of MESI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randomized to the KSI-101 treatment arms will receive fixed monthly dosing for 6 doses (from Day 1 to Week 20), with subsequent individualized dosing (up to monthly dosing) for 6 additional visits (Week 24 to Week 44). Patients in the sham arm will receive monthly sham dosing for 6 doses followed by sham PRN. The primary and key secondary endpoints will be evaluated at Week 24. PEAK and PINNACLE are now actively enrolling patients. Topline data readouts for PEAK and PINNACLE are expected in 4Q 2026 and 2Q 2027,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Pipeline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pipeline programs, dual cytokine-targeting bispecific antibody programs KSI-102 (anti-TNFa/IL-6) and KSI-103 (anti-IL-1/IL-6) continue to progress through pre-IND activities, targeting diseases of ocular inflammation and following on our development activities with KSI-101 for the treatment of macular edema secondary to inflammation.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advancing our platform technology to embed small molecules and other active pharmaceutical ingredients (“API”) into our proprietary biopolymer backbone to enable high drug-antibody-ratio (“DAR”) medicines. The diverse APIs are designed to be released over time to achieve targeted, multi-specific and tailored modulation of biological pathways. The unique combination of high DAR and tailored therapeutic benefit offers potential for broad application to multifactorial systemic and ocular diseases and builds directly from our Antibody Biopolymer Conjugate technology and its 15 years of design, development and manufacturing experience. We call this platform extension our Antibody Biopolymer Conjugate Drug, or ABCD Platform, because we are extending our platform capabilities to include the conjugation of small molecule drugs whereas historically we primarily conjugated biologics such as antibodies.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program is for the treatment of glaucoma, embedding in the biopolymer backbone (i) an NLRP3 small molecule inhibitor, and (ii) a second small molecule that lowers intraocular pressure (“IOP”). The NLRP3 inflammasome is an intracellular complex that drives inflammation and cell death and is known to play a key role in glaucoma progression. The goal of this duet program is to create an intravitreally injected therapy that delivers two mechanisms of action (“MOA”) in a sustained release fashion, to fulfill the unmet needs in the glaucoma field for a long-durability therapy that delivers MOAs beyond IOP lowering and has the potential for quarterly dosing.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second program is for the treatment of geographic atrophy (“GA”). There are two approved therapies, both complement inhibitors, and they require monthly or every other month intravitreal injections and neither sufficiently halts disease progression. This program at Kodiak explores the potential to embed in the biopolymer backbone (i) a macrocyclic peptide inhibitor of the complement pathway, and (ii) an NLRP3 small molecule inhibitor. The NLRP3 inflammasome is known to play a key role in AMD disease biology. The objective of this duet program is to create an intravitreally injected ABCD platform-enabled therapy with a dual mechanism of action to achieve better efficacy and extended durability, for quarterly dosing, as compared to currently approved therapies for GA, which are based on a single mechanism of action and are dosed monthly or every other month.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retina duet programs in glaucoma and GA built with our ABC platform continue to progress towards IND.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Digital Health Platform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made tremendous progress with our digital health and artificial intelligence capabilities through the VETi (Visual Engagement Technology and Imager) platform. Progress across hardware, software and machine learning is enabling the development of an AI-powered wearable headset with applications in retina care, alongside broader opportunities in identity security and cognitive science. This progress is reflective of Kodiak’s long term planning and execution towards an enhanced identity as a vision sciences company, integrating proprietary therapeutics and next-generation vision technologies.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in June 2009, we have devoted substantially all of our resources to discovering and developing product candidates and manufacturing processes, building our ABC Platform and assembling our core capabilities in drug development for a broad spectrum of retinal diseases. We do not have any products approved for sale and have not generated any product revenue since inception. We have funded our operations primarily through the issuance of common stock and the sale of future royalties.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Substantially all of our research and development expenses consist of expenses incurred in connection with the development of our product candidates and ABC Platform. These expenses include certain payroll and personnel expenses, including stock-based compensation, for our research and product development employees; laboratory supplies and facility costs; consulting costs; fees paid to third-party vendors to conduct certain research and development activities on our behalf; and allocated overhead, including rent,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Payments made prior to the receipt of goods or services that will be used or rendered for future research and development activities are deferred and capitalized. The capitalized amounts are recognized as expense as the goods are delivered or the related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focusing substantially all of our resources and development efforts on the development of our product candidates.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principally of payroll and personnel expenses, including stock-based compensation; professional fees for legal, consulting, accounting and tax services; compliance costs associated with being a public company; allocated overhead, including rent, depreciation and utilities; and other general operating expenses not otherwise classified as research and development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primarily of interest income earned on our cash and cash equivalents.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consists primarily of tax expense and, in prior year periods, the change in fair value and settlement of derivative contracts.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results of our operations for the periods indicated (in thousands, except percentages): </w:t>
      </w:r>
    </w:p>
    <w:p>
      <w:pPr>
        <w:pStyle w:val="TextBody"/>
        <w:bidi w:val="0"/>
        <w:jc w:val="left"/>
        <w:rPr/>
      </w:pPr>
      <w:r>
        <w:rPr/>
        <w:t> </w:t>
      </w:r>
    </w:p>
    <w:tbl>
      <w:tblPr>
        <w:tblW w:w="7846" w:type="dxa"/>
        <w:jc w:val="left"/>
        <w:tblInd w:w="0" w:type="dxa"/>
        <w:tblLayout w:type="fixed"/>
        <w:tblCellMar>
          <w:top w:w="28" w:type="dxa"/>
          <w:left w:w="28" w:type="dxa"/>
          <w:bottom w:w="28" w:type="dxa"/>
          <w:right w:w="28" w:type="dxa"/>
        </w:tblCellMar>
      </w:tblPr>
      <w:tblGrid>
        <w:gridCol w:w="2486"/>
        <w:gridCol w:w="146"/>
        <w:gridCol w:w="211"/>
        <w:gridCol w:w="841"/>
        <w:gridCol w:w="166"/>
        <w:gridCol w:w="146"/>
        <w:gridCol w:w="211"/>
        <w:gridCol w:w="841"/>
        <w:gridCol w:w="166"/>
        <w:gridCol w:w="146"/>
        <w:gridCol w:w="211"/>
        <w:gridCol w:w="736"/>
        <w:gridCol w:w="166"/>
        <w:gridCol w:w="146"/>
        <w:gridCol w:w="210"/>
        <w:gridCol w:w="541"/>
        <w:gridCol w:w="476"/>
      </w:tblGrid>
      <w:tr>
        <w:trPr/>
        <w:tc>
          <w:tcPr>
            <w:tcW w:w="2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increased $56.3 million, or 45%, during the year ended December 31, 2025 as compared to 2024. The following table summarizes our research and development expenses for each year (in thousands): </w:t>
      </w:r>
    </w:p>
    <w:p>
      <w:pPr>
        <w:pStyle w:val="TextBody"/>
        <w:bidi w:val="0"/>
        <w:jc w:val="left"/>
        <w:rPr/>
      </w:pPr>
      <w:r>
        <w:rPr/>
        <w:t> </w:t>
      </w:r>
    </w:p>
    <w:tbl>
      <w:tblPr>
        <w:tblW w:w="8467" w:type="dxa"/>
        <w:jc w:val="left"/>
        <w:tblInd w:w="0" w:type="dxa"/>
        <w:tblLayout w:type="fixed"/>
        <w:tblCellMar>
          <w:top w:w="28" w:type="dxa"/>
          <w:left w:w="28" w:type="dxa"/>
          <w:bottom w:w="28" w:type="dxa"/>
          <w:right w:w="28" w:type="dxa"/>
        </w:tblCellMar>
      </w:tblPr>
      <w:tblGrid>
        <w:gridCol w:w="4621"/>
        <w:gridCol w:w="146"/>
        <w:gridCol w:w="214"/>
        <w:gridCol w:w="793"/>
        <w:gridCol w:w="148"/>
        <w:gridCol w:w="148"/>
        <w:gridCol w:w="214"/>
        <w:gridCol w:w="793"/>
        <w:gridCol w:w="146"/>
        <w:gridCol w:w="146"/>
        <w:gridCol w:w="211"/>
        <w:gridCol w:w="676"/>
        <w:gridCol w:w="2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Tarcocimab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54,049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KSI-501 and KSI-101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ABC Platform and other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23,776</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19,486</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182,373</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Tarcocimab program expenses increased $14.6 million during the year ended December 31, 2025 as compared to 2024, primarily driven by increased costs related to the ongoing DAYBREAK pivotal phase 3 clinical trial, which was activated in mid-2024.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KSI-501 and KSI-101 program expenses increased $20.5 million during the year ended December 31, 2025 as compared to 2024, due to increased costs related to DAYBREAK (a study for both tarcocimab and KSI-501) and the PEAK/PINNACLE and APEX clinical trials (studies for KSI-101), partially offset by reduced manufacturing expenses due to timing of production runs.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ABC Platform and other program expenses increased $10.9 million during the year ended December 31, 2025 as compared to 2024, primarily due to increased biopolymer manufacturing activities in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Payroll and personnel expenses increased $10.6 million during the year ended December 31, 2025 as compared to 2024, due to $5.4 million higher stock-based compensation reflecting forfeitures of equity awards in 2024 and $5.2 million higher payroll-related expenses from increased headcount in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other research and development expenses, which consists primarily of rent-related costs and depreciation of facilities and lab equipment, remained relatively flat.</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$8.7 million, or 14%, during the year ended December 31, 2025 compared to 2024 due to $6.8 million lower stock compensation expense as we are no longer recognizing expense associated with older, higher-value stock awards that fully vested, and a $2 million reduction in facilities costs driven by lower net rent expense after subleasing one of our Palo Alto buildings (partially offset by a non-cash $1.9 million lease impairment expense recorded in the first quarter of 2025 also related to the sublease).</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decreased $6.6 million during the year ended December 31, 2025 as compared to 2024, which was attributable to the overall decrease in cash available to earn interest during 2025 combined with lower rates of return.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increased $0.4 million during the year ended December 31, 2025 as compared to 2024, which was mainly attributable to the settlement of foreign currency forward contracts in 2024 with no such activity in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Comparison of the Fiscal Years Ended December 31,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comparison of our results of operations for the fiscal years ended December 31, 2024 and 2023, refer to “Part II, Item 7 — Management’s Discussion and Analysis of Financial Condition and Results of Operations” in our Annual Report on Form 10-K for the fiscal year ended December 31, 2024, filed with the SEC on March 27, 2025.</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 Plan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primarily through the issuance of common stock and the sale of future royalties. As of December 31, 2025, we had cash and cash equivalents of $209.9 million. We believe that our current cash and cash equivalents will be sufficient to support our current and planned operations into 2027.</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Public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we completed an equity offering in which we issued and sold 8 million shares of common stock at a public offering price of $23.00 per share. Net proceeds were $173.0 million after the underwriting discount.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and negative cash flows from operations since inception. As of December 31, 2025, we had an accumulated deficit of $1,559 million. We expect to continue to incur operating losses and negative operating cash flows for the foreseeable future and, as a result, there is substantial doubt regarding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raise additional capital to maintain current operations and to continue research and development activities. If we raise additional funds by issuing equity securities, our stockholders will experience dilution. Any future debt financing into which we enter may impose upon us covenants that restrict our operations, including limitations on our ability to incur liens or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pause, scale back or discontinue one or more of our development programs. We may also be required to sell or license rights to our product candidates or indications in certain territories to others that we would prefer to develop and commercialize ourselves. Adequate additional funding may not be available to us on acceptable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raise capital as and when needed could have a negative impact on our financial condition and our ability to pursue our business strategies. Refer to the section of this report titled “Part I, Item 1A — Risk Factors” for additional risks associated with our substantial capital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our operating expenditures and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rate of progress and costs of our drug discovery, preclinical development activities, laboratory testing and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clinical programs we decide to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and costs of manufacturing development and commercial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associated with commercializing our product candidates, if they receive marketing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our ability to attract, hire and retain qualified personnel, including personnel to support the development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the significant uncertainties caused by any public health crises, on-going geopolitical conflicts, inflation, tariffs, rising interest rates, bank failures, on-going supply chain disruptions and volatile equity capital markets may also negatively impact our operations and capital resources. While we and our key clinical and manufacturing partners have been able to continue to advance our operations, we continue to monitor the impact of the aforementioned events on our ability to continue the development of, and seek regulatory approvals for, our product candidates and begin to commercialize any approved products. One or more of these events may ultimately have a material adverse effect on our liquidity and operating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our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pStyle w:val="TextBody"/>
        <w:bidi w:val="0"/>
        <w:spacing w:before="240" w:after="283"/>
        <w:jc w:val="left"/>
        <w:rPr>
          <w:rFonts w:ascii="Times New Roman" w:hAnsi="Times New Roman"/>
          <w:sz w:val="20"/>
        </w:rPr>
      </w:pPr>
      <w:r>
        <w:rPr>
          <w:rFonts w:ascii="Times New Roman" w:hAnsi="Times New Roman"/>
          <w:b/>
          <w:i/>
          <w:color w:val="000000"/>
          <w:sz w:val="20"/>
        </w:rPr>
        <w:t>Summary Statement of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for each of the periods presented below (in thousands): </w:t>
      </w:r>
    </w:p>
    <w:p>
      <w:pPr>
        <w:pStyle w:val="TextBody"/>
        <w:bidi w:val="0"/>
        <w:jc w:val="left"/>
        <w:rPr/>
      </w:pPr>
      <w:r>
        <w:rPr/>
        <w:t> </w:t>
      </w:r>
    </w:p>
    <w:tbl>
      <w:tblPr>
        <w:tblW w:w="7274" w:type="dxa"/>
        <w:jc w:val="left"/>
        <w:tblInd w:w="0" w:type="dxa"/>
        <w:tblLayout w:type="fixed"/>
        <w:tblCellMar>
          <w:top w:w="28" w:type="dxa"/>
          <w:left w:w="28" w:type="dxa"/>
          <w:bottom w:w="28" w:type="dxa"/>
          <w:right w:w="28" w:type="dxa"/>
        </w:tblCellMar>
      </w:tblPr>
      <w:tblGrid>
        <w:gridCol w:w="4421"/>
        <w:gridCol w:w="146"/>
        <w:gridCol w:w="211"/>
        <w:gridCol w:w="841"/>
        <w:gridCol w:w="166"/>
        <w:gridCol w:w="146"/>
        <w:gridCol w:w="211"/>
        <w:gridCol w:w="841"/>
        <w:gridCol w:w="291"/>
      </w:tblGrid>
      <w:tr>
        <w:trPr/>
        <w:tc>
          <w:tcPr>
            <w:tcW w:w="4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(117,319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(117,573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Cash Flows from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increased to $136.0 million for the year ended December 31, 2025, based on operational spend of $142.8 million and changes in operating assets and liabilities of $6.8 million.</w:t>
      </w:r>
    </w:p>
    <w:p>
      <w:pPr>
        <w:pStyle w:val="TextBody"/>
        <w:bidi w:val="0"/>
        <w:spacing w:before="120" w:after="283"/>
        <w:jc w:val="left"/>
        <w:rPr>
          <w:rFonts w:ascii="Times New Roman" w:hAnsi="Times New Roman"/>
          <w:sz w:val="20"/>
        </w:rPr>
      </w:pPr>
      <w:r>
        <w:rPr>
          <w:rFonts w:ascii="Times New Roman" w:hAnsi="Times New Roman"/>
          <w:i/>
          <w:color w:val="000000"/>
          <w:sz w:val="20"/>
        </w:rPr>
        <w:t>Cash Flows from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2025, we completed an equity offering in which we issued and sold 8 million shares of common stock at a public offering price of $23.00 per share. Net proceeds were $173.0 million after the underwriting discount. We also received $5.3 million in proceeds from the issuance of common stock under our equity incentive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Material Cash Requirements and Material Known Contractual Obligations and Commitments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payments represent our commitment for future minimum rent made under non-cancelable leases for our corporate offices in Palo Alto, California, office and laboratory space in Visp, Switzerland, and related to our Ursus Facility. Total future undiscounted payments for our operating lease obligations as of December 31, 2025 were $73.3 million, of which $15.6 million is due in the next 12 months.</w:t>
      </w:r>
    </w:p>
    <w:p>
      <w:pPr>
        <w:pStyle w:val="TextBody"/>
        <w:bidi w:val="0"/>
        <w:spacing w:before="240" w:after="283"/>
        <w:jc w:val="left"/>
        <w:rPr>
          <w:rFonts w:ascii="Times New Roman" w:hAnsi="Times New Roman"/>
          <w:sz w:val="20"/>
        </w:rPr>
      </w:pPr>
      <w:r>
        <w:rPr>
          <w:rFonts w:ascii="Times New Roman" w:hAnsi="Times New Roman"/>
          <w:i/>
          <w:color w:val="000000"/>
          <w:sz w:val="20"/>
        </w:rPr>
        <w:t>Manufacturing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service and equipment purchase agreements in the normal course of business with various providers of manufacturing services, which can contain minimum commitments or other noncancelable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future contractual obligations related to these manufacturing agreements that may be subject to cancellation fees were $23.9 million, of which $19.2 million is expected to be due in the next 12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future manufacturing contractual obligations totaling approximately 86.5 million Swiss Francs may be incurred for the potential clinical and commercial supply of tarcocimab and other antibody biopolymer conjugates medicines based on the agreements with Lonza for production at the Ursus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information on our leases and manufacturing agreements, refer to Note 8 to our consolidated financial statements included in “Part II, Item 8 — Financial Statements and Supplementary Data” of this Annual Report on Form 10-K.</w:t>
      </w:r>
    </w:p>
    <w:p>
      <w:pPr>
        <w:pStyle w:val="TextBody"/>
        <w:bidi w:val="0"/>
        <w:spacing w:before="240" w:after="283"/>
        <w:jc w:val="left"/>
        <w:rPr>
          <w:rFonts w:ascii="Times New Roman" w:hAnsi="Times New Roman"/>
          <w:sz w:val="20"/>
        </w:rPr>
      </w:pPr>
      <w:r>
        <w:rPr>
          <w:rFonts w:ascii="Times New Roman" w:hAnsi="Times New Roman"/>
          <w:i/>
          <w:color w:val="000000"/>
          <w:sz w:val="20"/>
        </w:rPr>
        <w:t>Clinical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incur potential contingent payments upon our achievement of clinical, regulatory and commercial milestones, as applicable. Due to the uncertainty of the achievement and timing of the events requiring payment under these agreements, the amounts to be paid by us are not fixed or determinable at this time. </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Significant Judgments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 </w:t>
      </w:r>
    </w:p>
    <w:p>
      <w:pPr>
        <w:pStyle w:val="TextBody"/>
        <w:bidi w:val="0"/>
        <w:spacing w:before="240" w:after="283"/>
        <w:jc w:val="left"/>
        <w:rPr>
          <w:rFonts w:ascii="Times New Roman" w:hAnsi="Times New Roman"/>
          <w:sz w:val="20"/>
        </w:rPr>
      </w:pPr>
      <w:r>
        <w:rPr>
          <w:rFonts w:ascii="Times New Roman" w:hAnsi="Times New Roman"/>
          <w:b/>
          <w:i/>
          <w:color w:val="000000"/>
          <w:sz w:val="20"/>
        </w:rPr>
        <w:t>Accrued 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accrued research and development costs are estimated based on the level of services performed, including the phase or completion of events, and contracted costs. Accrued clinical trial and related costs are estimated using data such as patient enrollment, clinical site activations or information provided by outside service providers regarding their actual costs incurred. Management determined accrual estimates through reports from and discussions with clinical personnel and outside service providers as to the progress of trials, or the services completed. The estimated costs of research and development provided, but not yet invoiced, are included in accrued liabilities and other current liabilities on the consolidated balance sheet. If the actual timing of the performance of services or the level of effort varies from the original estimates, we will adjust the accrual accordingly. Payments made to third parties under these arrangements in advance of the performance of the related services are recorded as prepaid expenses and other assets until the services are rendered.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and recognize compensation expense for all stock</w:t>
        <w:noBreakHyphen/>
        <w:t>based awards made to employees, directors and non</w:t>
        <w:noBreakHyphen/>
        <w:t>employees, based on estimated fair values of the awards on the grant date and recognized using the straight</w:t>
        <w:noBreakHyphen/>
        <w:t>line method over the requisite service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options is estimated on the grant date using the Black</w:t>
        <w:noBreakHyphen/>
        <w:t>Scholes option valuation model. The calculation of stock</w:t>
        <w:noBreakHyphen/>
        <w:t>based compensation expense requires that we make certain assumptions and judgments about a number of complex and subjective variables used in the valuation model, including the expected term, expected volatility of the underlying common stock and risk</w:t>
        <w:noBreakHyphen/>
        <w:t>free interest rate. Our stock-based awards are subject to either service, performance-based or market-based vesting conditions. We evaluate whether achievement of the performance conditions is probable and record expense over the appropriate service period based on this assessment.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these assumptions can materially affect the fair value and ultimately how much stock-based compensation expense is recognized. These inputs are subjective and generally require significant analysis and judgment to develop.</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impact our financial position and results of operations is discussed under Note 2 to our consolidated financial statements included in “Part II, Item 8 — Financial Statements and Supplementary Data” of this Annual Report on Form 10-K.</w:t>
      </w:r>
    </w:p>
    <w:p>
      <w:pPr>
        <w:pStyle w:val="TextBody"/>
        <w:bidi w:val="0"/>
        <w:spacing w:before="240" w:after="283"/>
        <w:jc w:val="left"/>
        <w:rPr>
          <w:rFonts w:ascii="Times New Roman" w:hAnsi="Times New Roman"/>
          <w:b/>
          <w:color w:val="000000"/>
          <w:sz w:val="20"/>
        </w:rPr>
      </w:pPr>
      <w:bookmarkStart w:id="18" w:name="item_7a_quantitative_qualitative_disclos"/>
      <w:bookmarkEnd w:id="18"/>
      <w:r>
        <w:rPr>
          <w:rFonts w:ascii="Times New Roman" w:hAnsi="Times New Roman"/>
          <w:b/>
          <w:color w:val="000000"/>
          <w:sz w:val="20"/>
        </w:rPr>
        <w:t>ITEM 7A. QUANTITATIVE AND QUALITATIVE DISCLOSURE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under this item.</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8_financial_statements_supplementar"/>
      <w:bookmarkEnd w:id="19"/>
      <w:r>
        <w:rPr>
          <w:rFonts w:ascii="Times New Roman" w:hAnsi="Times New Roman"/>
          <w:b/>
          <w:color w:val="000000"/>
          <w:sz w:val="20"/>
        </w:rPr>
        <w:t>ITEM 8. FINANCIAL STATEMENTS AND SUPPLEMENTARY DATA</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sz w:val="20"/>
        </w:rPr>
      </w:pPr>
      <w:r>
        <w:rPr>
          <w:rFonts w:ascii="Times New Roman" w:hAnsi="Times New Roman"/>
          <w:b/>
          <w:color w:val="000000"/>
          <w:sz w:val="20"/>
        </w:rPr>
        <w:t>INDEX TO CONSOLIDATED FINANCIAL STATEMENTS</w:t>
      </w:r>
      <w:r>
        <w:rPr>
          <w:rFonts w:ascii="Times New Roman" w:hAnsi="Times New Roman"/>
          <w:color w:val="000000"/>
          <w:sz w:val="20"/>
        </w:rPr>
        <w:t xml:space="preserve"> </w:t>
      </w:r>
    </w:p>
    <w:tbl>
      <w:tblPr>
        <w:tblW w:w="7557" w:type="dxa"/>
        <w:jc w:val="left"/>
        <w:tblInd w:w="0" w:type="dxa"/>
        <w:tblLayout w:type="fixed"/>
        <w:tblCellMar>
          <w:top w:w="28" w:type="dxa"/>
          <w:left w:w="28" w:type="dxa"/>
          <w:bottom w:w="28" w:type="dxa"/>
          <w:right w:w="28" w:type="dxa"/>
        </w:tblCellMar>
      </w:tblPr>
      <w:tblGrid>
        <w:gridCol w:w="1845"/>
        <w:gridCol w:w="4485"/>
        <w:gridCol w:w="146"/>
        <w:gridCol w:w="1081"/>
      </w:tblGrid>
      <w:tr>
        <w:trPr/>
        <w:tc>
          <w:tcPr>
            <w:tcW w:w="1845" w:type="dxa"/>
            <w:tcBorders/>
            <w:vAlign w:val="center"/>
          </w:tcPr>
          <w:p>
            <w:pPr>
              <w:pStyle w:val="TableContents"/>
              <w:bidi w:val="0"/>
              <w:spacing w:before="0" w:after="283"/>
              <w:jc w:val="left"/>
              <w:rPr>
                <w:sz w:val="4"/>
                <w:szCs w:val="4"/>
              </w:rPr>
            </w:pPr>
            <w:r>
              <w:rPr>
                <w:sz w:val="4"/>
                <w:szCs w:val="4"/>
              </w:rPr>
            </w:r>
          </w:p>
        </w:tc>
        <w:tc>
          <w:tcPr>
            <w:tcW w:w="4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845" w:type="dxa"/>
            <w:tcBorders/>
            <w:tcMar>
              <w:top w:w="0" w:type="dxa"/>
              <w:left w:w="0" w:type="dxa"/>
              <w:bottom w:w="0" w:type="dxa"/>
              <w:right w:w="0" w:type="dxa"/>
            </w:tcMar>
            <w:vAlign w:val="center"/>
          </w:tcPr>
          <w:p>
            <w:pPr>
              <w:pStyle w:val="TableContents"/>
              <w:bidi w:val="0"/>
              <w:spacing w:before="0" w:after="283"/>
              <w:jc w:val="left"/>
              <w:rPr/>
            </w:pPr>
            <w:r>
              <w:rPr/>
              <w:t> </w:t>
            </w:r>
          </w:p>
        </w:tc>
        <w:tc>
          <w:tcPr>
            <w:tcW w:w="4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Page</w:t>
            </w:r>
          </w:p>
        </w:tc>
      </w:tr>
      <w:tr>
        <w:trPr/>
        <w:tc>
          <w:tcPr>
            <w:tcW w:w="63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 (PCAOB ID: 238)</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w:t>
            </w:r>
          </w:p>
        </w:tc>
      </w:tr>
      <w:tr>
        <w:trPr/>
        <w:tc>
          <w:tcPr>
            <w:tcW w:w="1845" w:type="dxa"/>
            <w:tcBorders/>
            <w:tcMar>
              <w:top w:w="0" w:type="dxa"/>
              <w:left w:w="0" w:type="dxa"/>
              <w:bottom w:w="0" w:type="dxa"/>
              <w:right w:w="0" w:type="dxa"/>
            </w:tcMar>
            <w:vAlign w:val="center"/>
          </w:tcPr>
          <w:p>
            <w:pPr>
              <w:pStyle w:val="TableContents"/>
              <w:bidi w:val="0"/>
              <w:spacing w:before="0" w:after="283"/>
              <w:jc w:val="left"/>
              <w:rPr/>
            </w:pPr>
            <w:r>
              <w:rPr/>
              <w:t> </w:t>
            </w:r>
          </w:p>
        </w:tc>
        <w:tc>
          <w:tcPr>
            <w:tcW w:w="4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r>
      <w:tr>
        <w:trPr/>
        <w:tc>
          <w:tcPr>
            <w:tcW w:w="6330" w:type="dxa"/>
            <w:gridSpan w:val="2"/>
            <w:tcBorders/>
            <w:tcMar>
              <w:top w:w="0" w:type="dxa"/>
              <w:left w:w="0" w:type="dxa"/>
              <w:bottom w:w="0" w:type="dxa"/>
              <w:right w:w="0" w:type="dxa"/>
            </w:tcMar>
            <w:vAlign w:val="center"/>
          </w:tcPr>
          <w:p>
            <w:pPr>
              <w:pStyle w:val="TableContents"/>
              <w:bidi w:val="0"/>
              <w:spacing w:before="0" w:after="283"/>
              <w:jc w:val="left"/>
              <w:rPr/>
            </w:pPr>
            <w:hyperlink w:anchor="consolidated_statements_operations_compr">
              <w:r>
                <w:rPr>
                  <w:rStyle w:val="InternetLink"/>
                  <w:rFonts w:ascii="Times New Roman" w:hAnsi="Times New Roman"/>
                  <w:color w:val="0000FF"/>
                  <w:sz w:val="20"/>
                  <w:u w:val="single"/>
                </w:rPr>
                <w:t>Consolidated Statements of Operations and Comprehensive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w:t>
            </w:r>
          </w:p>
        </w:tc>
      </w:tr>
      <w:tr>
        <w:trPr/>
        <w:tc>
          <w:tcPr>
            <w:tcW w:w="63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hyperlink w:anchor="consolidated_statements_redeemable_conve">
              <w:r>
                <w:rPr>
                  <w:rStyle w:val="InternetLink"/>
                  <w:rFonts w:ascii="Times New Roman" w:hAnsi="Times New Roman"/>
                  <w:color w:val="0000FF"/>
                  <w:sz w:val="20"/>
                  <w:u w:val="single"/>
                </w:rPr>
                <w:t>Consolidated Statements of Stockholders’ Equity</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w:t>
            </w:r>
          </w:p>
        </w:tc>
      </w:tr>
      <w:tr>
        <w:trPr/>
        <w:tc>
          <w:tcPr>
            <w:tcW w:w="6330" w:type="dxa"/>
            <w:gridSpan w:val="2"/>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to Consolidated Financial Statements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t> </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Note 1.</w:t>
            </w:r>
          </w:p>
        </w:tc>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fn_note1">
              <w:r>
                <w:rPr>
                  <w:rStyle w:val="InternetLink"/>
                  <w:rFonts w:ascii="Times New Roman" w:hAnsi="Times New Roman"/>
                  <w:color w:val="0000FF"/>
                  <w:sz w:val="20"/>
                  <w:u w:val="single"/>
                </w:rPr>
                <w:t>The Company</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84</w:t>
            </w:r>
          </w:p>
        </w:tc>
      </w:tr>
      <w:tr>
        <w:trPr/>
        <w:tc>
          <w:tcPr>
            <w:tcW w:w="1845"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Note 2.</w:t>
            </w:r>
          </w:p>
        </w:tc>
        <w:tc>
          <w:tcPr>
            <w:tcW w:w="4485" w:type="dxa"/>
            <w:tcBorders/>
            <w:tcMar>
              <w:top w:w="0" w:type="dxa"/>
              <w:left w:w="0" w:type="dxa"/>
              <w:bottom w:w="0" w:type="dxa"/>
              <w:right w:w="0" w:type="dxa"/>
            </w:tcMar>
            <w:vAlign w:val="center"/>
          </w:tcPr>
          <w:p>
            <w:pPr>
              <w:pStyle w:val="TableContents"/>
              <w:bidi w:val="0"/>
              <w:spacing w:before="0" w:after="283"/>
              <w:jc w:val="left"/>
              <w:rPr/>
            </w:pPr>
            <w:hyperlink w:anchor="fn_note2">
              <w:r>
                <w:rPr>
                  <w:rStyle w:val="InternetLink"/>
                  <w:rFonts w:ascii="Times New Roman" w:hAnsi="Times New Roman"/>
                  <w:color w:val="0000FF"/>
                  <w:sz w:val="20"/>
                  <w:u w:val="single"/>
                </w:rPr>
                <w:t>Summary of Significant Accounting Policies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84</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Note 3.</w:t>
            </w:r>
          </w:p>
        </w:tc>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fn_note3">
              <w:r>
                <w:rPr>
                  <w:rStyle w:val="InternetLink"/>
                  <w:rFonts w:ascii="Times New Roman" w:hAnsi="Times New Roman"/>
                  <w:color w:val="0000FF"/>
                  <w:sz w:val="20"/>
                  <w:u w:val="single"/>
                </w:rPr>
                <w:t>Property and Equipment, Net</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89</w:t>
            </w:r>
          </w:p>
        </w:tc>
      </w:tr>
      <w:tr>
        <w:trPr/>
        <w:tc>
          <w:tcPr>
            <w:tcW w:w="1845"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Note 4.</w:t>
            </w:r>
          </w:p>
        </w:tc>
        <w:tc>
          <w:tcPr>
            <w:tcW w:w="4485" w:type="dxa"/>
            <w:tcBorders/>
            <w:tcMar>
              <w:top w:w="0" w:type="dxa"/>
              <w:left w:w="0" w:type="dxa"/>
              <w:bottom w:w="0" w:type="dxa"/>
              <w:right w:w="0" w:type="dxa"/>
            </w:tcMar>
            <w:vAlign w:val="center"/>
          </w:tcPr>
          <w:p>
            <w:pPr>
              <w:pStyle w:val="TableContents"/>
              <w:bidi w:val="0"/>
              <w:spacing w:before="0" w:after="283"/>
              <w:jc w:val="left"/>
              <w:rPr/>
            </w:pPr>
            <w:hyperlink w:anchor="fn_note4">
              <w:r>
                <w:rPr>
                  <w:rStyle w:val="InternetLink"/>
                  <w:rFonts w:ascii="Times New Roman" w:hAnsi="Times New Roman"/>
                  <w:color w:val="0000FF"/>
                  <w:sz w:val="20"/>
                  <w:u w:val="single"/>
                </w:rPr>
                <w:t>Accrued and Other Current Liabilities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89</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Note 5.</w:t>
            </w:r>
          </w:p>
        </w:tc>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fn_note5">
              <w:r>
                <w:rPr>
                  <w:rStyle w:val="InternetLink"/>
                  <w:rFonts w:ascii="Times New Roman" w:hAnsi="Times New Roman"/>
                  <w:color w:val="0000FF"/>
                  <w:sz w:val="20"/>
                  <w:u w:val="single"/>
                </w:rPr>
                <w:t>Fair Value Measurements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89</w:t>
            </w:r>
          </w:p>
        </w:tc>
      </w:tr>
      <w:tr>
        <w:trPr/>
        <w:tc>
          <w:tcPr>
            <w:tcW w:w="1845"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Note 6.</w:t>
            </w:r>
          </w:p>
        </w:tc>
        <w:tc>
          <w:tcPr>
            <w:tcW w:w="4485" w:type="dxa"/>
            <w:tcBorders/>
            <w:tcMar>
              <w:top w:w="0" w:type="dxa"/>
              <w:left w:w="0" w:type="dxa"/>
              <w:bottom w:w="0" w:type="dxa"/>
              <w:right w:w="0" w:type="dxa"/>
            </w:tcMar>
            <w:vAlign w:val="center"/>
          </w:tcPr>
          <w:p>
            <w:pPr>
              <w:pStyle w:val="TableContents"/>
              <w:bidi w:val="0"/>
              <w:spacing w:before="0" w:after="283"/>
              <w:jc w:val="left"/>
              <w:rPr/>
            </w:pPr>
            <w:hyperlink w:anchor="fn_note6">
              <w:r>
                <w:rPr>
                  <w:rStyle w:val="InternetLink"/>
                  <w:rFonts w:ascii="Times New Roman" w:hAnsi="Times New Roman"/>
                  <w:color w:val="0000FF"/>
                  <w:sz w:val="20"/>
                  <w:u w:val="single"/>
                </w:rPr>
                <w:t>Marketable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90</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Note 7.</w:t>
            </w:r>
          </w:p>
        </w:tc>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fn_note7">
              <w:r>
                <w:rPr>
                  <w:rStyle w:val="InternetLink"/>
                  <w:rFonts w:ascii="Times New Roman" w:hAnsi="Times New Roman"/>
                  <w:color w:val="0000FF"/>
                  <w:sz w:val="20"/>
                  <w:u w:val="single"/>
                </w:rPr>
                <w:t>Derivatives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90</w:t>
            </w:r>
          </w:p>
        </w:tc>
      </w:tr>
      <w:tr>
        <w:trPr/>
        <w:tc>
          <w:tcPr>
            <w:tcW w:w="1845"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Note 8.</w:t>
            </w:r>
          </w:p>
        </w:tc>
        <w:tc>
          <w:tcPr>
            <w:tcW w:w="4485" w:type="dxa"/>
            <w:tcBorders/>
            <w:tcMar>
              <w:top w:w="0" w:type="dxa"/>
              <w:left w:w="0" w:type="dxa"/>
              <w:bottom w:w="0" w:type="dxa"/>
              <w:right w:w="0" w:type="dxa"/>
            </w:tcMar>
            <w:vAlign w:val="center"/>
          </w:tcPr>
          <w:p>
            <w:pPr>
              <w:pStyle w:val="TableContents"/>
              <w:bidi w:val="0"/>
              <w:spacing w:before="0" w:after="283"/>
              <w:jc w:val="left"/>
              <w:rPr/>
            </w:pPr>
            <w:hyperlink w:anchor="fn_note8">
              <w:r>
                <w:rPr>
                  <w:rStyle w:val="InternetLink"/>
                  <w:rFonts w:ascii="Times New Roman" w:hAnsi="Times New Roman"/>
                  <w:color w:val="0000FF"/>
                  <w:sz w:val="20"/>
                  <w:u w:val="single"/>
                </w:rPr>
                <w:t>Commitments and Contingencies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90</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Note 9.</w:t>
            </w:r>
          </w:p>
        </w:tc>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fn_note9">
              <w:r>
                <w:rPr>
                  <w:rStyle w:val="InternetLink"/>
                  <w:rFonts w:ascii="Times New Roman" w:hAnsi="Times New Roman"/>
                  <w:color w:val="0000FF"/>
                  <w:sz w:val="20"/>
                  <w:u w:val="single"/>
                </w:rPr>
                <w:t>Income Taxes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92</w:t>
            </w:r>
          </w:p>
        </w:tc>
      </w:tr>
      <w:tr>
        <w:trPr/>
        <w:tc>
          <w:tcPr>
            <w:tcW w:w="1845"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Note 10.</w:t>
            </w:r>
          </w:p>
        </w:tc>
        <w:tc>
          <w:tcPr>
            <w:tcW w:w="4485" w:type="dxa"/>
            <w:tcBorders/>
            <w:tcMar>
              <w:top w:w="0" w:type="dxa"/>
              <w:left w:w="0" w:type="dxa"/>
              <w:bottom w:w="0" w:type="dxa"/>
              <w:right w:w="0" w:type="dxa"/>
            </w:tcMar>
            <w:vAlign w:val="center"/>
          </w:tcPr>
          <w:p>
            <w:pPr>
              <w:pStyle w:val="TableContents"/>
              <w:bidi w:val="0"/>
              <w:spacing w:before="0" w:after="283"/>
              <w:jc w:val="left"/>
              <w:rPr/>
            </w:pPr>
            <w:hyperlink w:anchor="fn_note10">
              <w:r>
                <w:rPr>
                  <w:rStyle w:val="InternetLink"/>
                  <w:rFonts w:ascii="Times New Roman" w:hAnsi="Times New Roman"/>
                  <w:color w:val="0000FF"/>
                  <w:sz w:val="20"/>
                  <w:u w:val="single"/>
                </w:rPr>
                <w:t>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95</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Note 11.</w:t>
            </w:r>
          </w:p>
        </w:tc>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fn_note11">
              <w:r>
                <w:rPr>
                  <w:rStyle w:val="InternetLink"/>
                  <w:rFonts w:ascii="Times New Roman" w:hAnsi="Times New Roman"/>
                  <w:color w:val="0000FF"/>
                  <w:sz w:val="20"/>
                  <w:u w:val="single"/>
                </w:rPr>
                <w:t>Stock-Based Compensation</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95</w:t>
            </w:r>
          </w:p>
        </w:tc>
      </w:tr>
      <w:tr>
        <w:trPr/>
        <w:tc>
          <w:tcPr>
            <w:tcW w:w="1845"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Note 12.</w:t>
            </w:r>
          </w:p>
        </w:tc>
        <w:tc>
          <w:tcPr>
            <w:tcW w:w="4485" w:type="dxa"/>
            <w:tcBorders/>
            <w:tcMar>
              <w:top w:w="0" w:type="dxa"/>
              <w:left w:w="0" w:type="dxa"/>
              <w:bottom w:w="0" w:type="dxa"/>
              <w:right w:w="0" w:type="dxa"/>
            </w:tcMar>
            <w:vAlign w:val="center"/>
          </w:tcPr>
          <w:p>
            <w:pPr>
              <w:pStyle w:val="TableContents"/>
              <w:bidi w:val="0"/>
              <w:spacing w:before="0" w:after="283"/>
              <w:jc w:val="left"/>
              <w:rPr/>
            </w:pPr>
            <w:hyperlink w:anchor="fn_note12">
              <w:r>
                <w:rPr>
                  <w:rStyle w:val="InternetLink"/>
                  <w:rFonts w:ascii="Times New Roman" w:hAnsi="Times New Roman"/>
                  <w:color w:val="0000FF"/>
                  <w:sz w:val="20"/>
                  <w:u w:val="single"/>
                </w:rPr>
                <w:t>Segment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97</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Note 13.</w:t>
            </w:r>
          </w:p>
        </w:tc>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fn_note13">
              <w:r>
                <w:rPr>
                  <w:rStyle w:val="InternetLink"/>
                  <w:rFonts w:ascii="Times New Roman" w:hAnsi="Times New Roman"/>
                  <w:color w:val="0000FF"/>
                  <w:sz w:val="20"/>
                  <w:u w:val="single"/>
                </w:rPr>
                <w:t>Net Loss Per Common Share</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98</w:t>
            </w:r>
          </w:p>
        </w:tc>
      </w:tr>
      <w:tr>
        <w:trPr/>
        <w:tc>
          <w:tcPr>
            <w:tcW w:w="1845"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Note 14.</w:t>
            </w:r>
          </w:p>
        </w:tc>
        <w:tc>
          <w:tcPr>
            <w:tcW w:w="4485" w:type="dxa"/>
            <w:tcBorders/>
            <w:tcMar>
              <w:top w:w="0" w:type="dxa"/>
              <w:left w:w="0" w:type="dxa"/>
              <w:bottom w:w="0" w:type="dxa"/>
              <w:right w:w="0" w:type="dxa"/>
            </w:tcMar>
            <w:vAlign w:val="center"/>
          </w:tcPr>
          <w:p>
            <w:pPr>
              <w:pStyle w:val="TableContents"/>
              <w:bidi w:val="0"/>
              <w:spacing w:before="0" w:after="283"/>
              <w:jc w:val="left"/>
              <w:rPr/>
            </w:pPr>
            <w:hyperlink w:anchor="fn_note14">
              <w:r>
                <w:rPr>
                  <w:rStyle w:val="InternetLink"/>
                  <w:rFonts w:ascii="Times New Roman" w:hAnsi="Times New Roman"/>
                  <w:color w:val="0000FF"/>
                  <w:sz w:val="20"/>
                  <w:u w:val="single"/>
                </w:rPr>
                <w:t>401(k)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98</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Note 15.</w:t>
            </w:r>
          </w:p>
        </w:tc>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fn_note15">
              <w:r>
                <w:rPr>
                  <w:rStyle w:val="InternetLink"/>
                  <w:rFonts w:ascii="Times New Roman" w:hAnsi="Times New Roman"/>
                  <w:color w:val="0000FF"/>
                  <w:sz w:val="20"/>
                  <w:u w:val="single"/>
                </w:rPr>
                <w:t>Liability Related to Sale of Future Royalties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report_independent_registered_public_acc"/>
      <w:bookmarkEnd w:id="20"/>
      <w:r>
        <w:rPr>
          <w:rFonts w:ascii="Times New Roman" w:hAnsi="Times New Roman"/>
          <w:b/>
          <w:color w:val="000000"/>
          <w:sz w:val="20"/>
        </w:rPr>
        <w:t>Report of Independent Registered Public Accounting Firm</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To the Board of Directors and Stockholders of Kodiak Sciences Inc.</w:t>
      </w:r>
    </w:p>
    <w:p>
      <w:pPr>
        <w:pStyle w:val="TextBody"/>
        <w:bidi w:val="0"/>
        <w:jc w:val="left"/>
        <w:rPr>
          <w:rFonts w:ascii="Times New Roman" w:hAnsi="Times New Roman"/>
          <w:b/>
          <w:i/>
          <w:color w:val="000000"/>
          <w:sz w:val="20"/>
        </w:rPr>
      </w:pPr>
      <w:r>
        <w:rPr>
          <w:rFonts w:ascii="Times New Roman" w:hAnsi="Times New Roman"/>
          <w:b/>
          <w:i/>
          <w:color w:val="000000"/>
          <w:sz w:val="20"/>
        </w:rPr>
        <w:t>Opinion on the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Kodiak Sciences Inc. and its subsidiaries (the “Company”) as of December 31, 2025 and 2024, and the related consolidated statements of operations and comprehensive loss, of stockholders’ equity and of cash flows for each of the three years in the period ended December 31, 2025,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Substantial Doubt About the Company's Ability to Continue as a Going Concern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consolidated financial statements have been prepared assuming that the Company will continue as a going concern. As discussed in Note 1 to the consolidated financial statements, the Company has incurred net losses and negative cash flows from operations since inception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Basis for Opinion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Critical Audit Matters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00" w:after="283"/>
        <w:jc w:val="left"/>
        <w:rPr>
          <w:rFonts w:ascii="Times New Roman" w:hAnsi="Times New Roman"/>
          <w:sz w:val="20"/>
        </w:rPr>
      </w:pPr>
      <w:r>
        <w:rPr>
          <w:rFonts w:ascii="Times New Roman" w:hAnsi="Times New Roman"/>
          <w:i/>
          <w:color w:val="000000"/>
          <w:sz w:val="20"/>
        </w:rPr>
        <w:t>Certain Research and Development Costs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described in Note 2 to the consolidated financial statements, costs related to research, design and development of products are charged to research and development expense as incurred. Research and development costs include, but are not limited to, payroll and personnel expenses, including stock-based compensation, laboratory supplies, outside services and allocated overhead, including rent, depreciation and utilities. The Company has entered into various agreements with various third parties, including clinical investigator sites, contract research organizations (“CROs”) and contract manufacturing organizations (“CMOs”), to provide research and development activities. The Company’s research and development expense for the year ended December 31, 2025 was $182.4 million, of which a portion relates to certain research and development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principal consideration for our determination that performing procedures relating to certain research and development costs is a critical audit matter is a high degree of auditor effort in performing procedures related to the Company’s certain research and development costs.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Addressing the matter involved performing procedures and evaluating audit evidence in connection with forming our overall opinion on the consolidated financial statements. These procedures included, among others, testing certain research and development costs on a sample basis by agreeing relevant information and expenses incurred to date to the (i) underlying agreements with outside vendors engaged to conduct preclinical studies, clinical trials, and clinical supply manufacturing; (ii) purchase orders; (iii) invoices received; and (iv) underlying payments made for expenses incurred on the contract.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March 31,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21" w:name="consolidated_balance_sheets"/>
      <w:bookmarkEnd w:id="21"/>
      <w:r>
        <w:rPr>
          <w:rFonts w:ascii="Times New Roman" w:hAnsi="Times New Roman"/>
          <w:b/>
          <w:color w:val="000000"/>
          <w:sz w:val="20"/>
        </w:rPr>
        <w:t>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02"/>
        <w:gridCol w:w="146"/>
        <w:gridCol w:w="202"/>
        <w:gridCol w:w="914"/>
        <w:gridCol w:w="166"/>
        <w:gridCol w:w="146"/>
        <w:gridCol w:w="202"/>
        <w:gridCol w:w="914"/>
        <w:gridCol w:w="613"/>
      </w:tblGrid>
      <w:tr>
        <w:trPr/>
        <w:tc>
          <w:tcPr>
            <w:tcW w:w="6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168,074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171,936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6,184</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102,222</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46,508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335,578</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25,573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59,717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Liability related to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194,150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185,290</w:t>
            </w:r>
          </w:p>
        </w:tc>
        <w:tc>
          <w:tcPr>
            <w:tcW w:w="6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$0.0001</w:t>
            </w:r>
            <w:r>
              <w:rPr>
                <w:rFonts w:ascii="Times New Roman" w:hAnsi="Times New Roman"/>
                <w:color w:val="000000"/>
                <w:sz w:val="20"/>
              </w:rPr>
              <w:t> </w:t>
            </w:r>
            <w:r>
              <w:rPr>
                <w:rFonts w:ascii="Times New Roman" w:hAnsi="Times New Roman"/>
                <w:color w:val="000000"/>
                <w:sz w:val="18"/>
              </w:rPr>
              <w:t>par value – 10,000,000</w:t>
            </w:r>
            <w:r>
              <w:rPr>
                <w:rFonts w:ascii="Times New Roman" w:hAnsi="Times New Roman"/>
                <w:color w:val="000000"/>
                <w:sz w:val="20"/>
              </w:rPr>
              <w:t> </w:t>
            </w:r>
            <w:r>
              <w:rPr>
                <w:rFonts w:ascii="Times New Roman" w:hAnsi="Times New Roman"/>
                <w:color w:val="000000"/>
                <w:sz w:val="18"/>
              </w:rPr>
              <w:t>shares authorized; none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 490,000,000</w:t>
            </w:r>
            <w:r>
              <w:rPr>
                <w:rFonts w:ascii="Times New Roman" w:hAnsi="Times New Roman"/>
                <w:color w:val="000000"/>
                <w:sz w:val="20"/>
              </w:rPr>
              <w:t> </w:t>
            </w:r>
            <w:r>
              <w:rPr>
                <w:rFonts w:ascii="Times New Roman" w:hAnsi="Times New Roman"/>
                <w:color w:val="000000"/>
                <w:sz w:val="18"/>
              </w:rPr>
              <w:t>shares authorized; 61,758,454</w:t>
            </w:r>
            <w:r>
              <w:rPr>
                <w:rFonts w:ascii="Times New Roman" w:hAnsi="Times New Roman"/>
                <w:color w:val="000000"/>
                <w:sz w:val="20"/>
              </w:rPr>
              <w:t> </w:t>
            </w:r>
            <w:r>
              <w:rPr>
                <w:rFonts w:ascii="Times New Roman" w:hAnsi="Times New Roman"/>
                <w:color w:val="000000"/>
                <w:sz w:val="18"/>
              </w:rPr>
              <w:t>and 52,726,916</w:t>
            </w:r>
            <w:r>
              <w:rPr>
                <w:rFonts w:ascii="Times New Roman" w:hAnsi="Times New Roman"/>
                <w:color w:val="000000"/>
                <w:sz w:val="20"/>
              </w:rPr>
              <w:t> </w:t>
            </w:r>
            <w:r>
              <w:rPr>
                <w:rFonts w:ascii="Times New Roman" w:hAnsi="Times New Roman"/>
                <w:color w:val="000000"/>
                <w:sz w:val="18"/>
              </w:rPr>
              <w:t>shares issued and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1,479,021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(1,558,705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(1,328,738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150,288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335,578</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22" w:name="consolidated_statements_operations_compr"/>
      <w:bookmarkEnd w:id="22"/>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8733" w:type="dxa"/>
        <w:jc w:val="left"/>
        <w:tblInd w:w="0" w:type="dxa"/>
        <w:tblLayout w:type="fixed"/>
        <w:tblCellMar>
          <w:top w:w="28" w:type="dxa"/>
          <w:left w:w="28" w:type="dxa"/>
          <w:bottom w:w="28" w:type="dxa"/>
          <w:right w:w="28" w:type="dxa"/>
        </w:tblCellMar>
      </w:tblPr>
      <w:tblGrid>
        <w:gridCol w:w="4036"/>
        <w:gridCol w:w="146"/>
        <w:gridCol w:w="196"/>
        <w:gridCol w:w="916"/>
        <w:gridCol w:w="166"/>
        <w:gridCol w:w="146"/>
        <w:gridCol w:w="196"/>
        <w:gridCol w:w="916"/>
        <w:gridCol w:w="166"/>
        <w:gridCol w:w="146"/>
        <w:gridCol w:w="196"/>
        <w:gridCol w:w="916"/>
        <w:gridCol w:w="5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71,023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277,321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(277,321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(176,207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(260,491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53,208,311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52,583,148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52,414,256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Change in unrealized gains on available-for-sale </w:t>
              <w:br/>
              <w:t>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(176,207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(259,184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23" w:name="consolidated_statements_redeemable_conve"/>
      <w:bookmarkEnd w:id="23"/>
      <w:r>
        <w:rPr>
          <w:rFonts w:ascii="Times New Roman" w:hAnsi="Times New Roman"/>
          <w:b/>
          <w:color w:val="000000"/>
          <w:sz w:val="20"/>
        </w:rPr>
        <w:t>Consolidated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80"/>
        <w:gridCol w:w="146"/>
        <w:gridCol w:w="146"/>
        <w:gridCol w:w="916"/>
        <w:gridCol w:w="146"/>
        <w:gridCol w:w="146"/>
        <w:gridCol w:w="271"/>
        <w:gridCol w:w="480"/>
        <w:gridCol w:w="146"/>
        <w:gridCol w:w="146"/>
        <w:gridCol w:w="196"/>
        <w:gridCol w:w="826"/>
        <w:gridCol w:w="146"/>
        <w:gridCol w:w="146"/>
        <w:gridCol w:w="333"/>
        <w:gridCol w:w="973"/>
        <w:gridCol w:w="166"/>
        <w:gridCol w:w="146"/>
        <w:gridCol w:w="203"/>
        <w:gridCol w:w="923"/>
        <w:gridCol w:w="166"/>
        <w:gridCol w:w="146"/>
        <w:gridCol w:w="230"/>
        <w:gridCol w:w="889"/>
        <w:gridCol w:w="393"/>
      </w:tblGrid>
      <w:tr>
        <w:trPr/>
        <w:tc>
          <w:tcPr>
            <w:tcW w:w="1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52,333,850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436,167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88,556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(260,491</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52,508,602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1,418,307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265,781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stock units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60,213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(176,207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52,726,916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(1,328,738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150,288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public offering,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172,656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58,863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(229,967</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61,758,454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1,716,082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(1,558,705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157,383</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24" w:name="consolidated_statements_cash_flows"/>
      <w:bookmarkEnd w:id="24"/>
      <w:r>
        <w:rPr>
          <w:rFonts w:ascii="Times New Roman" w:hAnsi="Times New Roman"/>
          <w:b/>
          <w:color w:val="000000"/>
          <w:sz w:val="20"/>
        </w:rPr>
        <w:t>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29"/>
        <w:gridCol w:w="196"/>
        <w:gridCol w:w="751"/>
        <w:gridCol w:w="166"/>
        <w:gridCol w:w="146"/>
        <w:gridCol w:w="196"/>
        <w:gridCol w:w="751"/>
        <w:gridCol w:w="166"/>
        <w:gridCol w:w="146"/>
        <w:gridCol w:w="196"/>
        <w:gridCol w:w="751"/>
        <w:gridCol w:w="811"/>
      </w:tblGrid>
      <w:tr>
        <w:trPr/>
        <w:tc>
          <w:tcPr>
            <w:tcW w:w="59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(260,491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88,556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impairment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accretion of discount on marketable securities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Settlement of derivative contracts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operating lease right-of-use asset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assets and liabilities: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and other current liabilities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Long-term deposit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(154,183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property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(41,350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Deposits on property and equipment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marketable securities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(49,347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Maturities of marketable securities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340,000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Settlement of derivative contracts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249,226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public offering, net of underwriting discount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stock option exercises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ESPP</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payments of tenant improvement allowance payable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178,302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cash equivalents and restricted cash</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95,074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196,757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291,831</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to consolidated balance sheets: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285,507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cash, cash equivalents and restricted cash</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291,831</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cash flow information:</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property and equipment under accounts payable and accruals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Reclassification of deposits to property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44,300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Unpaid offering costs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in-transit for stock option exercises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sz w:val="20"/>
        </w:rPr>
      </w:pPr>
      <w:bookmarkStart w:id="25" w:name="notes_to_unaudited_condensed_consolidate"/>
      <w:bookmarkEnd w:id="25"/>
      <w:r>
        <w:rPr>
          <w:rFonts w:ascii="Times New Roman" w:hAnsi="Times New Roman"/>
          <w:b/>
          <w:color w:val="000000"/>
          <w:sz w:val="20"/>
        </w:rPr>
        <w:t xml:space="preserve">Notes to Consolidated </w:t>
      </w:r>
      <w:bookmarkStart w:id="26" w:name="notes_to_consolidated_financial_statemen"/>
      <w:bookmarkEnd w:id="26"/>
      <w:r>
        <w:rPr>
          <w:rFonts w:ascii="Times New Roman" w:hAnsi="Times New Roman"/>
          <w:b/>
          <w:color w:val="000000"/>
          <w:sz w:val="20"/>
        </w:rPr>
        <w:t>Financial Statements</w:t>
      </w:r>
    </w:p>
    <w:p>
      <w:pPr>
        <w:pStyle w:val="TextBody"/>
        <w:bidi w:val="0"/>
        <w:spacing w:before="240" w:after="283"/>
        <w:jc w:val="left"/>
        <w:rPr>
          <w:rFonts w:ascii="Times New Roman" w:hAnsi="Times New Roman"/>
          <w:sz w:val="20"/>
        </w:rPr>
      </w:pPr>
      <w:bookmarkStart w:id="27" w:name="fn_note1"/>
      <w:bookmarkEnd w:id="27"/>
      <w:r>
        <w:rPr>
          <w:rFonts w:ascii="Times New Roman" w:hAnsi="Times New Roman"/>
          <w:b/>
          <w:color w:val="000000"/>
          <w:sz w:val="20"/>
        </w:rPr>
        <w:t>1.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Sciences Inc. (the “Company”) is a precommercial retina focused biotechnology company committed to researching, developing and commercializing transformative therapeutics. The Company devotes substantially all of its resources to the research and development of its platform and product candidates including activities to conduct clinical studies of its product candidates, manufacture product candidates and provide general and administrative support for these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had cash and cash equivalents of $209.9 million. The Company has incurred net losses and negative cash flows from operations since inception. The Company has incurred net losses of $230.0 million, $176.2 million and $260.5 million for the years ended December 31, 2025, 2024 and 2023, respectively. Net cash used in operating activities was $136.0 million, $117.3 million and $154.2 million for the years ended December 31, 2025,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historically funded its operations primarily through the issuance of common stock and the sale of future royalties. The Company’s ability to achieve and sustain profitability will depend on the successful development, approval and commercialization of its product candidates and on the achievement of sufficient revenue to support its cost structure and, unless and until it does, the Company will need to raise additional capital to maintain current operations and to continue research and development activities. The Company continues to monitor and reduce certain expenditures and plans to raise additional capital through approaches that include equity or debt financings, collaborations or a combination of similar transactions. While the Company has been able to raise multiple rounds of financing, there can be no assurance that such financing will be available in the future on terms which are favorable or at all. The Company could be required to pause, scale back or discontinue one or more of its development programs, which could adversely affect the Company’s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that the existing cash and cash equivalents may not be sufficient to meet the anticipated operating and capital expenditure requirements for the 12 months following the date of this Annual Report on Form 10-K. As a result, there is substantial doubt regarding the Company's ability to continue as a going concern. The consolidated financial statements have been prepared assuming that the Company will continue to operate as a going concern, which contemplates the realization of assets and satisfaction of liabilities and commitments in the ordinary course of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Company completed an equity offering in which it issued and sold 8,000,000 shares of common stock at a public offering price of $23.00 per share. Net proceeds were $173.0 million after the underwriting discount.</w:t>
      </w:r>
    </w:p>
    <w:p>
      <w:pPr>
        <w:pStyle w:val="TextBody"/>
        <w:bidi w:val="0"/>
        <w:spacing w:before="240" w:after="283"/>
        <w:jc w:val="left"/>
        <w:rPr>
          <w:rFonts w:ascii="Times New Roman" w:hAnsi="Times New Roman"/>
          <w:b/>
          <w:color w:val="000000"/>
          <w:sz w:val="20"/>
        </w:rPr>
      </w:pPr>
      <w:bookmarkStart w:id="28" w:name="fn_note2"/>
      <w:bookmarkEnd w:id="28"/>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have been prepared in accordance with accounting principles generally accepted in the United States (“US GAAP”) and the applicable rules and regulations of the Securities and Exchange Commission ("SEC") regarding annual reporting. The consolidated financial statements include the accounts of Kodiak Sciences Inc. and its subsidiaries. All intercompany balances and transactions have been eliminated in consolidation. The functional and reporting currency of the Company and its subsidiaries is the U.S. dollar. The aggregate foreign currency transaction gain (loss) included in determining net loss was $(1.0) million, $0.3 million, and $(0.1) million for the years ended December 31, 2025, 2024 and 2023, respectively.</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disclosure of contingent assets and liabilities as of the date of the consolidated financial statements and expenses during the reporting period. Such estimates include, but are not limited to, accrued research and development and stock-based compensation. Actual results could differ from those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business activities continue to face widespread macroeconomic uncertainties, including health epidemics, labor shortages, bank failures, inflation and monetary supply shifts, tariffs, recession risks and potential disruptions from the geopolitical conflicts.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timeframe, will depend on future developments, which are uncertain and cannot be predicted; however, any continued or renewed disruption resulting from these factors could negatively impact the Company’s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future results of operations involve a number of risks and uncertainties common to clinical 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and vendors.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to incur substantial operating losses for the next several years and will need to obtain additional financing in order to complete clinical trials, launch and commercialize any product candidates for which it receives regulatory approval. There can be no assurance that such financing will be available or will be on terms acceptable by the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a concentration of credit risk consist of cash and cash equivalents. As of December 31, 2025, cash and cash equivalents were invested primarily in money market funds through highly rated financial institutions.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highly liquid investments with maturities of three months or less at the date of purchase are treated as cash equivalents. Cash equivalents consists principally of money market funds. These investments are carried at cost, which approximates market value (Note 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2024, the Company had $6.2 million of long-term restricted cash deposited with financial institutions. The entire amount is held in separate bank accounts to support letter of credit agreements related to the Company’s U.S. corporate office leases.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Derivatives and Hedging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Derivative instruments that do not qualify for hedge accounting are recorded at fair value, with changes in fair value recognized in the consolidated statement of operations and comprehensive loss as a component of other income (expense), net. Cash flows associated with these derivatives are reflected as cash flows from investing activities in the consolidated statement of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assets and liabilities are recorded at fair value. Fair value is defined as the price that would be received to sell an asset or paid to transfer a liability (an exit price) in an orderly transaction between market participants at the reporting date. Fair value is estimated by applying the following three-level hierarchy, which prioritizes the inputs used to measure fair value based on the lowest level of input that is available and significant to the fair value measurement:</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—Quoted prices in active markets for identical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—Inputs that are generally unobservable and typically reflect management's estimate of assumptions that market participants would use in pricing the asset or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are classified within Level 1 of the fair value hierarchy because their fair values are derived from quoted market prices. The Company’s financial instruments consisting of prepaid expenses and other current assets, accounts payable and accrued liabilities and other current liabilities, approximate fair value due to their relatively short maturities.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or contains a lease at inception, and categorizes each lease as either an operating or finance lease. All lease obligations as of December 31, 2025 were operating leases. The Company combines and accounts for lease and nonlease components as a single lease component. For leases with a term greater than 12 months, right-of-use assets and lease liabilities are recognized based on the present value of fixed lease payments. The Company's leases do not provide an implicit rate, thus the Company uses its incremental borrowing rate based on the estimated rate of interest for collateralized borrowing over a similar term of the lease payments at commencement date.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stated at cost, net of accumulated depreciation, and are depreciated on a straight-line basis over the estimated useful lives of the related assets. Construction in process assets consist primarily of manufacturing and laboratory equipment that have not yet been placed in service. Once the assets are placed into service, they are reclassified to the appropriate asset class and depreciated. Estimated useful lives of each asset category generally follows:</w:t>
      </w:r>
    </w:p>
    <w:p>
      <w:pPr>
        <w:pStyle w:val="TextBody"/>
        <w:bidi w:val="0"/>
        <w:spacing w:before="120" w:after="283"/>
        <w:jc w:val="left"/>
        <w:rPr/>
      </w:pPr>
      <w:r>
        <w:rPr/>
        <w:t> </w:t>
      </w:r>
    </w:p>
    <w:tbl>
      <w:tblPr>
        <w:tblW w:w="6073" w:type="dxa"/>
        <w:jc w:val="left"/>
        <w:tblInd w:w="0" w:type="dxa"/>
        <w:tblLayout w:type="fixed"/>
        <w:tblCellMar>
          <w:top w:w="28" w:type="dxa"/>
          <w:left w:w="28" w:type="dxa"/>
          <w:bottom w:w="28" w:type="dxa"/>
          <w:right w:w="28" w:type="dxa"/>
        </w:tblCellMar>
      </w:tblPr>
      <w:tblGrid>
        <w:gridCol w:w="2836"/>
        <w:gridCol w:w="146"/>
        <w:gridCol w:w="30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Lives</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years</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to 10 years</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 and Hardware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to 5 years</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Lesser of the useful life or lease term</w:t>
            </w:r>
          </w:p>
        </w:tc>
      </w:tr>
    </w:tbl>
    <w:p>
      <w:pPr>
        <w:pStyle w:val="TextBody"/>
        <w:bidi w:val="0"/>
        <w:jc w:val="left"/>
        <w:rPr>
          <w:rFonts w:ascii="Times New Roman" w:hAnsi="Times New Roman"/>
          <w:color w:val="000000"/>
          <w:sz w:val="20"/>
        </w:rPr>
      </w:pPr>
      <w:r>
        <w:rPr>
          <w:rFonts w:ascii="Times New Roman" w:hAnsi="Times New Roman"/>
          <w:color w:val="000000"/>
          <w:sz w:val="20"/>
        </w:rPr>
        <w:t>Upon sale or retirement of assets, the costs and related accumulated depreciation are removed from the consolidated balance sheet and the resulting gain or loss is reflected in operations. Maintenance and repairs are charged to operations as incurred.</w:t>
      </w:r>
    </w:p>
    <w:p>
      <w:pPr>
        <w:pStyle w:val="TextBody"/>
        <w:bidi w:val="0"/>
        <w:spacing w:before="24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reviews long-lived assets for impairment whenever events or changes in circumstances indicate that the carrying amounts of the assets may not be recoverable. Recoverability is measured by comparing the carrying amount of the assets to the estimated undiscounted net cash flows which the assets are expected to generate. If such assets are deemed not recoverable, an impairment loss is recognized in the amount by which the carrying amount of the assets exceeds the estimated fair value of the assets.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research, design and development of products are charged to research and development expense as incurred. Research and development costs include, but are not limited to, payroll and personnel expenses, including stock-based compensation, laboratory supplies, outside services and allocated overhead, including rent, depreciation and utilities.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Accrued 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agreements with various third parties, including clinical investigator sites, contract research organizations (“CROs”) and contract manufacturing organizations (“CMOs”), to provide research and development activities. The Company’s accrued research and development costs are estimated based on the level of services performed, including the phase or completion of events, and contracted costs. Accrued clinical trial and related costs are estimated using data such as patient enrollment, clinical site activations or information provided by outside service providers regarding their actual costs incurred. Management determines accrual estimates through reports from and discussions with clinical personnel and outside service providers as to the progress of trials, or the services completed. The estimated costs of research and development provided, but not yet invoiced, are included in accrued and other current liabilities on the consolidated balance sheet. If the actual timing of the performance of services or the level of effort varies from the original estimates, the Company will adjust the accrual accordingly. Payments made to third parties under these arrangements in advance of the performance of the related services are recorded as prepaid expenses or other assets until the services are rendered. </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measures stock-based compensation expense for stock options and restricted stock units granted to its employees, directors and non-employees based on the estimated fair value of the awards on the grant date. Fair value of restricted stock unit awards are based on the closing market price of the Company's common stock on the date of grant. Fair value of options is calculated using the Black-Scholes option-pricing model, which requires the input of subjective assumptions, including (i) the calculation of expected term of the award, (ii) the expected stock price volatility, (iii) the risk-free interest rate, and (iv) expected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term is determined based on hypothetical exercise data for unexercised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volatility is estimated based on the Company's historical information for its common stock and supplemented by the historical stock price volatility of a representative peer group over a period equivalent to the expected term of the equity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Risk-free interest rate is estimated based on the U.S. Treasury securities with maturity dates commensurate with the expected term of the equity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never paid, and does not expect to pay, dividends in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 is recorded on a straight-line basis over the requisite service period, which is generally the vesting period, for the entire award. The Company accounts for forfeitures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certain stock options and restricted stock units that vest in conjunction with performance conditions. At each reporting date, the Company is required to evaluate whether achievement of the performance conditions is probable. Compensation expense is recorded over the appropriate service period based upon the Company's assessment of accomplishing each performance provision. See Note 11.</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income taxes under the asset and liability method, which requires, among other things, that deferred income taxes be provided for temporary differences between the tax basis of the Company’s assets and liabilities and their financial statement reported amounts. In addition, deferred tax assets are recorded for the future benefit of utilizing net operating losses (“NOLs”)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Liability related to Sale of Future Royalties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 2019, the Company and its subsidiary Kodiak Sciences GmbH entered into a funding agreement with Baker Bros. Advisors, LP (“BBA”), which holds more than 5% of the Company’s stock, pursuant to which BBA purchased the right to receive a capped 4.5% royalty on future net sales of tarcocimab, the Company’s anti-VEGF antibody biopolymer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conjugate therapy, in exchange for $225 million. Under the terms of the funding agreement, there is no obligation to repay any funding amount received, other than through the capped royalty payments on future product revenues. The Company recorded the funding amount paid by BBA as a liability on the consolidated balance sheet net of issuance costs, in accordance with ASC 730, </w:t>
      </w:r>
      <w:r>
        <w:rPr>
          <w:rFonts w:ascii="Times New Roman" w:hAnsi="Times New Roman"/>
          <w:i/>
          <w:color w:val="000000"/>
          <w:sz w:val="20"/>
        </w:rPr>
        <w:t>Research and Development</w:t>
      </w:r>
      <w:r>
        <w:rPr>
          <w:rFonts w:ascii="Times New Roman" w:hAnsi="Times New Roman"/>
          <w:color w:val="000000"/>
          <w:sz w:val="20"/>
        </w:rPr>
        <w:t>. Under ASC 730, the significant related party relationship between the Company and BBA creates an implicit obligation to repay the funding amount paid to the Company. Once royalty payments to BBA are determined to be probable and estimable, and if such amounts exceed the liability balance, the Company will impute interest to accrete the liability on a prospective basis based on such estimates. If and when the Company makes royalty payments under the funding agreement, it would reduce the liability balance at such time. In July 2021, the funding agreement was amended, at the Company’s request, that the remaining funding amount of $125 million would not be paid, therefore the total funding received from BBA was $100 million. See Note 15.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is composed of net loss and other comprehensive income (loss). Other comprehensive income (loss) consists primarily of unrealized gains and losses on debt securities.</w:t>
      </w:r>
    </w:p>
    <w:p>
      <w:pPr>
        <w:pStyle w:val="TextBody"/>
        <w:bidi w:val="0"/>
        <w:spacing w:before="24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Since the Company has reported net loss for all periods presented, diluted net loss per share is the same as basic net loss per common share for those periods.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Recent </w:t>
      </w:r>
      <w:r>
        <w:rPr>
          <w:rFonts w:ascii="Times New Roman" w:hAnsi="Times New Roman"/>
          <w:b/>
          <w:i/>
          <w:caps/>
          <w:color w:val="000000"/>
          <w:sz w:val="20"/>
        </w:rPr>
        <w:t>a</w:t>
      </w:r>
      <w:r>
        <w:rPr>
          <w:rFonts w:ascii="Times New Roman" w:hAnsi="Times New Roman"/>
          <w:b/>
          <w:i/>
          <w:color w:val="000000"/>
          <w:sz w:val="20"/>
        </w:rPr>
        <w:t xml:space="preserve">ccounting </w:t>
      </w:r>
      <w:r>
        <w:rPr>
          <w:rFonts w:ascii="Times New Roman" w:hAnsi="Times New Roman"/>
          <w:b/>
          <w:i/>
          <w:caps/>
          <w:color w:val="000000"/>
          <w:sz w:val="20"/>
        </w:rPr>
        <w:t>p</w:t>
      </w:r>
      <w:r>
        <w:rPr>
          <w:rFonts w:ascii="Times New Roman" w:hAnsi="Times New Roman"/>
          <w:b/>
          <w:i/>
          <w:color w:val="000000"/>
          <w:sz w:val="20"/>
        </w:rPr>
        <w:t>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under its ASC or other standard setting bodies, and adopted by the Company as of the specified effective date.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Accounting Standards Update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requires public entities to disclose specific tax rate reconciliation categories, as well as income taxes paid disaggregated by jurisdiction, amongst other disclosure enhancements. The ASU is effective for annual periods beginning after December 15, 2024 and may be adopted on a prospective or retrospective basis. The Company adopted the ASU retrospectively in the current period ending December 31,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Recently Issued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which requires additional disclosure of the nature of expenses included in the income statement. The ASU is effective for annual periods beginning after December 15, 2026 and interim periods within fiscal years beginning after December 15, 2027, and early adoption is permitted. The Company is assessing the impact of this standard on its consolidated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 Scope Improvements</w:t>
      </w:r>
      <w:r>
        <w:rPr>
          <w:rFonts w:ascii="Times New Roman" w:hAnsi="Times New Roman"/>
          <w:color w:val="000000"/>
          <w:sz w:val="20"/>
        </w:rPr>
        <w:t>, which clarifies interim disclosure requirements and the applicability of Topic 270. The guidance will be effective for interim periods beginning January 1, 2028. Early adoption is permitted. Upon adoption, the guidance can be applied prospectively or retrospectively. The Company does not expect the adoption of this guidance to have a material impact on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sz w:val="20"/>
        </w:rPr>
      </w:pPr>
      <w:bookmarkStart w:id="29" w:name="fn_note3"/>
      <w:bookmarkEnd w:id="29"/>
      <w:r>
        <w:rPr>
          <w:rFonts w:ascii="Times New Roman" w:hAnsi="Times New Roman"/>
          <w:b/>
          <w:color w:val="000000"/>
          <w:sz w:val="20"/>
        </w:rPr>
        <w:t>3. 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consists of the following (in thousands): </w:t>
      </w:r>
    </w:p>
    <w:p>
      <w:pPr>
        <w:pStyle w:val="TextBody"/>
        <w:bidi w:val="0"/>
        <w:jc w:val="left"/>
        <w:rPr/>
      </w:pPr>
      <w:r>
        <w:rPr/>
        <w:t> </w:t>
      </w:r>
    </w:p>
    <w:tbl>
      <w:tblPr>
        <w:tblW w:w="5549" w:type="dxa"/>
        <w:jc w:val="left"/>
        <w:tblInd w:w="0" w:type="dxa"/>
        <w:tblLayout w:type="fixed"/>
        <w:tblCellMar>
          <w:top w:w="28" w:type="dxa"/>
          <w:left w:w="28" w:type="dxa"/>
          <w:bottom w:w="28" w:type="dxa"/>
          <w:right w:w="28" w:type="dxa"/>
        </w:tblCellMar>
      </w:tblPr>
      <w:tblGrid>
        <w:gridCol w:w="2896"/>
        <w:gridCol w:w="146"/>
        <w:gridCol w:w="211"/>
        <w:gridCol w:w="781"/>
        <w:gridCol w:w="166"/>
        <w:gridCol w:w="146"/>
        <w:gridCol w:w="211"/>
        <w:gridCol w:w="781"/>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 and hardware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property and equipment are maintained in the United States and Switzerland with net book values of $32.1 million and $53.2 million, respectively, as of December 31, 2025 compared to $35.6 million and $66.6 million, respectively, as of December 31, 2024. Depreciation expense was $18.3 million and $18.7 million for the years ended December 31, 2025 and 2024, respectively.</w:t>
      </w:r>
    </w:p>
    <w:p>
      <w:pPr>
        <w:pStyle w:val="TextBody"/>
        <w:bidi w:val="0"/>
        <w:spacing w:before="240" w:after="283"/>
        <w:jc w:val="left"/>
        <w:rPr>
          <w:rFonts w:ascii="Times New Roman" w:hAnsi="Times New Roman"/>
          <w:sz w:val="20"/>
        </w:rPr>
      </w:pPr>
      <w:bookmarkStart w:id="30" w:name="fn_note4"/>
      <w:bookmarkEnd w:id="30"/>
      <w:r>
        <w:rPr>
          <w:rFonts w:ascii="Times New Roman" w:hAnsi="Times New Roman"/>
          <w:b/>
          <w:color w:val="000000"/>
          <w:sz w:val="20"/>
        </w:rPr>
        <w:t>4. 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and other current liabilities consist of the following (in thousands): </w:t>
      </w:r>
    </w:p>
    <w:p>
      <w:pPr>
        <w:pStyle w:val="TextBody"/>
        <w:bidi w:val="0"/>
        <w:jc w:val="left"/>
        <w:rPr/>
      </w:pPr>
      <w:r>
        <w:rPr/>
        <w:t> </w:t>
      </w:r>
    </w:p>
    <w:tbl>
      <w:tblPr>
        <w:tblW w:w="7334" w:type="dxa"/>
        <w:jc w:val="left"/>
        <w:tblInd w:w="0" w:type="dxa"/>
        <w:tblLayout w:type="fixed"/>
        <w:tblCellMar>
          <w:top w:w="28" w:type="dxa"/>
          <w:left w:w="28" w:type="dxa"/>
          <w:bottom w:w="28" w:type="dxa"/>
          <w:right w:w="28" w:type="dxa"/>
        </w:tblCellMar>
      </w:tblPr>
      <w:tblGrid>
        <w:gridCol w:w="4831"/>
        <w:gridCol w:w="146"/>
        <w:gridCol w:w="211"/>
        <w:gridCol w:w="676"/>
        <w:gridCol w:w="146"/>
        <w:gridCol w:w="146"/>
        <w:gridCol w:w="211"/>
        <w:gridCol w:w="676"/>
        <w:gridCol w:w="2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manufacturing and research &amp;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fees and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bookmarkStart w:id="31" w:name="fn_note5"/>
      <w:bookmarkEnd w:id="31"/>
      <w:r>
        <w:rPr>
          <w:rFonts w:ascii="Times New Roman" w:hAnsi="Times New Roman"/>
          <w:b/>
          <w:color w:val="000000"/>
          <w:sz w:val="20"/>
        </w:rPr>
        <w:t>5.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Company’s fair value hierarchy for assets measured at fair value on a recurring basis (in thousands):</w:t>
      </w:r>
    </w:p>
    <w:p>
      <w:pPr>
        <w:pStyle w:val="TextBody"/>
        <w:bidi w:val="0"/>
        <w:jc w:val="left"/>
        <w:rPr/>
      </w:pPr>
      <w:r>
        <w:rPr/>
        <w:t> </w:t>
      </w:r>
    </w:p>
    <w:tbl>
      <w:tblPr>
        <w:tblW w:w="7706" w:type="dxa"/>
        <w:jc w:val="left"/>
        <w:tblInd w:w="0" w:type="dxa"/>
        <w:tblLayout w:type="fixed"/>
        <w:tblCellMar>
          <w:top w:w="28" w:type="dxa"/>
          <w:left w:w="28" w:type="dxa"/>
          <w:bottom w:w="28" w:type="dxa"/>
          <w:right w:w="28" w:type="dxa"/>
        </w:tblCellMar>
      </w:tblPr>
      <w:tblGrid>
        <w:gridCol w:w="2801"/>
        <w:gridCol w:w="146"/>
        <w:gridCol w:w="221"/>
        <w:gridCol w:w="819"/>
        <w:gridCol w:w="153"/>
        <w:gridCol w:w="153"/>
        <w:gridCol w:w="277"/>
        <w:gridCol w:w="458"/>
        <w:gridCol w:w="153"/>
        <w:gridCol w:w="153"/>
        <w:gridCol w:w="277"/>
        <w:gridCol w:w="458"/>
        <w:gridCol w:w="153"/>
        <w:gridCol w:w="153"/>
        <w:gridCol w:w="221"/>
        <w:gridCol w:w="819"/>
        <w:gridCol w:w="291"/>
      </w:tblGrid>
      <w:tr>
        <w:trPr/>
        <w:tc>
          <w:tcPr>
            <w:tcW w:w="2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207,585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207,585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1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207,585</w:t>
            </w:r>
          </w:p>
        </w:tc>
        <w:tc>
          <w:tcPr>
            <w:tcW w:w="1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1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207,585</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209,862</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209,862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1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166,464</w:t>
            </w:r>
          </w:p>
        </w:tc>
        <w:tc>
          <w:tcPr>
            <w:tcW w:w="1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1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166,464</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168,074</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2024, the fair value of the liability related to sale of future royalties is based on the Company's current estimates of future royalties expected to be paid to Baker Bros. Advisors, LP (“BBA”), which are considered Level 3 inputs. See Note 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8, the Company entered into a sublease agreement during the first quarter of 2025, which led to an impairment of the related right-of-use asset. Estimated fair value of the right-of-use asset was based on expected sublease rental income, considering current sublease market conditions, discounted at a market rate of return on similar assets. The estimates and assumptions used are considered Level 3 inputs.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transfers of assets or liabilities between the fair value measurement levels during the years ended December 31, 2025 and 2024.</w:t>
      </w:r>
    </w:p>
    <w:p>
      <w:pPr>
        <w:pStyle w:val="TextBody"/>
        <w:bidi w:val="0"/>
        <w:spacing w:before="240" w:after="283"/>
        <w:jc w:val="left"/>
        <w:rPr>
          <w:rFonts w:ascii="Times New Roman" w:hAnsi="Times New Roman"/>
          <w:sz w:val="20"/>
        </w:rPr>
      </w:pPr>
      <w:bookmarkStart w:id="32" w:name="fn_note6"/>
      <w:bookmarkEnd w:id="32"/>
      <w:r>
        <w:rPr>
          <w:rFonts w:ascii="Times New Roman" w:hAnsi="Times New Roman"/>
          <w:b/>
          <w:color w:val="000000"/>
          <w:sz w:val="20"/>
        </w:rPr>
        <w:t>6. Marketable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2024, there were no marketable securities. There were no reclassifications out of accumulated other comprehensive income (loss), impairment charges or recoveries and no allowance for credit losses recorded for the years ended December 31, 2025, 2024 and 2023, respectively.</w:t>
      </w:r>
    </w:p>
    <w:p>
      <w:pPr>
        <w:pStyle w:val="TextBody"/>
        <w:bidi w:val="0"/>
        <w:spacing w:before="240" w:after="283"/>
        <w:jc w:val="left"/>
        <w:rPr>
          <w:rFonts w:ascii="Times New Roman" w:hAnsi="Times New Roman"/>
          <w:sz w:val="20"/>
        </w:rPr>
      </w:pPr>
      <w:bookmarkStart w:id="33" w:name="fn_note7"/>
      <w:bookmarkEnd w:id="33"/>
      <w:r>
        <w:rPr>
          <w:rFonts w:ascii="Times New Roman" w:hAnsi="Times New Roman"/>
          <w:b/>
          <w:color w:val="000000"/>
          <w:sz w:val="20"/>
        </w:rPr>
        <w:t>7. Derivatives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used certain derivative instruments, which are not designated as hedges for accounting purposes, including foreign currency forward contracts. As of December 31, 2025 and 2024, the Company did not have any outstanding derivative instruments.</w:t>
      </w:r>
    </w:p>
    <w:p>
      <w:pPr>
        <w:pStyle w:val="TextBody"/>
        <w:bidi w:val="0"/>
        <w:spacing w:before="240" w:after="283"/>
        <w:jc w:val="left"/>
        <w:rPr>
          <w:rFonts w:ascii="Times New Roman" w:hAnsi="Times New Roman"/>
          <w:b/>
          <w:color w:val="000000"/>
          <w:sz w:val="20"/>
        </w:rPr>
      </w:pPr>
      <w:bookmarkStart w:id="34" w:name="fn_note8"/>
      <w:bookmarkEnd w:id="34"/>
      <w:r>
        <w:rPr>
          <w:rFonts w:ascii="Times New Roman" w:hAnsi="Times New Roman"/>
          <w:b/>
          <w:color w:val="000000"/>
          <w:sz w:val="20"/>
        </w:rPr>
        <w:t>8.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Palo Alto, California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2020, the Company entered into lease agreements for two buildings at 1250 and 1200 Page Mill Road in Palo Alto, California, which serve as the Company’s U.S. corporate offices and research and development facilities. The buildings are approximately 73,000 square feet and 83,000 square feet, respectively, and include office and laboratory space.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lease term for 1250 Page Mill Road is 13 years and commenced in July 2020. The lease includes two options to extend for a term of five years each. The lease term for 1200 Page Mill Road is 6.5 years and commenced in September 2020. The lease includes an option to extend for another 6.5 years. In both cases, the Company determined the extension options were not reasonably certain to be exercised at lease inception. In addition to fixed monthly rent, the Company pays for variable operating expenses, such as property taxes, insurance costs, and maintenance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the Company subleased 1200 Page Mill Road. The term of the sublease is from March 2025 to February 2027, with no option to extend. Future minimum lease payments to be received under the sublease are $5.7 million and $0.5 million for the years ended December 31, 2026 and 2027, respectively. In addition to fixed monthly rent, the sublessee also pays for variable operating expenses. During the year ended December 31, 2025, the Company recognized $4.6 million of sublease income, of which $1.4 million was variable sublease income. Sublease income is recorded as a reduction to rent expense and included within general and administrative expense. Upon entering the sublease, the Company recognized a non-cash lease impairment expense of $1.9 million because the remaining lease cost to be recognized by the Company exceeded anticipated sublease income. See Note 5 for discussion of inputs used in determining the impairment.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Switzerland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2020, the Company entered into a lease agreement for approximately 1,000 square meters of office and laboratory space in Visp, Switzerland. The initial lease term is 5 years, with automatic renewals every 5 years for a maximum lease term of 15 years. In addition to fixed monthly rent, the Company pays certain operating expenses and taxes.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Ursus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2020, the Company and its wholly owned subsidiary Kodiak Sciences GmbH entered into a manufacturing agreement with Lonza Ltd (“Lonza”) for the clinical and commercial supply of the Company’s antibody biopolymer conjugate drug substance, which included a custom-built manufacturing suite. The manufacturing agreement has an initial term of 8 years, and the Company has the right to extend the term up to a total of 16 years. The Company and Lonza each have the ability to terminate this agreement upon the occurrence of certain events.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concluded that this agreement contained an embedded lease as the custom-built manufacturing suite would be dedicated for the Company’s use. On January 31, 2023, the custom-built manufacturing suite was commissioned as a cGMP facility, which was also considered lease commencement. Consideration was allocated to lease and non-lease components as this agreement contained a significant service component (manufacturing services). Under ASC 842, the Company classified the lease portion as an operating lease and recorded a right-of-use asset and lease liability on the lease commencement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Fixed assets of $81.7 million, in leasehold improvements and machinery and equipment, were placed in service and capitalized as of January 31, 2023.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Future Lease Payments and Supplemental Lease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schedule, by years, of maturities of lease liabilities as of December 31, 2025 (in thousands):</w:t>
      </w:r>
    </w:p>
    <w:p>
      <w:pPr>
        <w:pStyle w:val="TextBody"/>
        <w:bidi w:val="0"/>
        <w:jc w:val="left"/>
        <w:rPr/>
      </w:pPr>
      <w:r>
        <w:rPr/>
        <w:t> </w:t>
      </w:r>
    </w:p>
    <w:tbl>
      <w:tblPr>
        <w:tblW w:w="4370" w:type="dxa"/>
        <w:jc w:val="left"/>
        <w:tblInd w:w="0" w:type="dxa"/>
        <w:tblLayout w:type="fixed"/>
        <w:tblCellMar>
          <w:top w:w="28" w:type="dxa"/>
          <w:left w:w="28" w:type="dxa"/>
          <w:bottom w:w="28" w:type="dxa"/>
          <w:right w:w="28" w:type="dxa"/>
        </w:tblCellMar>
      </w:tblPr>
      <w:tblGrid>
        <w:gridCol w:w="2986"/>
        <w:gridCol w:w="146"/>
        <w:gridCol w:w="211"/>
        <w:gridCol w:w="736"/>
        <w:gridCol w:w="2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73,280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59,180</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above does not include payments for operating expenses, which are not fixed at lease commencement.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lease expense were as follows (in thousands):</w:t>
      </w:r>
    </w:p>
    <w:tbl>
      <w:tblPr>
        <w:tblW w:w="5833" w:type="dxa"/>
        <w:jc w:val="left"/>
        <w:tblInd w:w="0" w:type="dxa"/>
        <w:tblLayout w:type="fixed"/>
        <w:tblCellMar>
          <w:top w:w="28" w:type="dxa"/>
          <w:left w:w="28" w:type="dxa"/>
          <w:bottom w:w="28" w:type="dxa"/>
          <w:right w:w="28" w:type="dxa"/>
        </w:tblCellMar>
      </w:tblPr>
      <w:tblGrid>
        <w:gridCol w:w="2131"/>
        <w:gridCol w:w="146"/>
        <w:gridCol w:w="211"/>
        <w:gridCol w:w="676"/>
        <w:gridCol w:w="166"/>
        <w:gridCol w:w="146"/>
        <w:gridCol w:w="211"/>
        <w:gridCol w:w="676"/>
        <w:gridCol w:w="146"/>
        <w:gridCol w:w="146"/>
        <w:gridCol w:w="211"/>
        <w:gridCol w:w="676"/>
        <w:gridCol w:w="2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Supplemental balance sheet information related to lease liabilities is as follows:</w:t>
      </w:r>
    </w:p>
    <w:p>
      <w:pPr>
        <w:pStyle w:val="TextBody"/>
        <w:bidi w:val="0"/>
        <w:jc w:val="left"/>
        <w:rPr/>
      </w:pPr>
      <w:r>
        <w:rPr/>
        <w:t> </w:t>
      </w:r>
    </w:p>
    <w:tbl>
      <w:tblPr>
        <w:tblW w:w="6057" w:type="dxa"/>
        <w:jc w:val="left"/>
        <w:tblInd w:w="0" w:type="dxa"/>
        <w:tblLayout w:type="fixed"/>
        <w:tblCellMar>
          <w:top w:w="28" w:type="dxa"/>
          <w:left w:w="28" w:type="dxa"/>
          <w:bottom w:w="28" w:type="dxa"/>
          <w:right w:w="28" w:type="dxa"/>
        </w:tblCellMar>
      </w:tblPr>
      <w:tblGrid>
        <w:gridCol w:w="4126"/>
        <w:gridCol w:w="146"/>
        <w:gridCol w:w="151"/>
        <w:gridCol w:w="375"/>
        <w:gridCol w:w="271"/>
        <w:gridCol w:w="146"/>
        <w:gridCol w:w="151"/>
        <w:gridCol w:w="375"/>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left"/>
        <w:rPr>
          <w:rFonts w:ascii="Times New Roman" w:hAnsi="Times New Roman"/>
          <w:color w:val="000000"/>
          <w:sz w:val="20"/>
        </w:rPr>
      </w:pPr>
      <w:r>
        <w:rPr>
          <w:rFonts w:ascii="Times New Roman" w:hAnsi="Times New Roman"/>
          <w:color w:val="000000"/>
          <w:sz w:val="20"/>
        </w:rPr>
        <w:t>Supplemental cash flow information related to leases is as follows (in thousands):</w:t>
      </w:r>
    </w:p>
    <w:tbl>
      <w:tblPr>
        <w:tblW w:w="9603" w:type="dxa"/>
        <w:jc w:val="left"/>
        <w:tblInd w:w="0" w:type="dxa"/>
        <w:tblLayout w:type="fixed"/>
        <w:tblCellMar>
          <w:top w:w="28" w:type="dxa"/>
          <w:left w:w="28" w:type="dxa"/>
          <w:bottom w:w="28" w:type="dxa"/>
          <w:right w:w="28" w:type="dxa"/>
        </w:tblCellMar>
      </w:tblPr>
      <w:tblGrid>
        <w:gridCol w:w="6196"/>
        <w:gridCol w:w="146"/>
        <w:gridCol w:w="146"/>
        <w:gridCol w:w="676"/>
        <w:gridCol w:w="146"/>
        <w:gridCol w:w="146"/>
        <w:gridCol w:w="146"/>
        <w:gridCol w:w="676"/>
        <w:gridCol w:w="166"/>
        <w:gridCol w:w="146"/>
        <w:gridCol w:w="146"/>
        <w:gridCol w:w="676"/>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 included in operating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Manufacturing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service and equipment purchase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future contractual obligations related to these manufacturing agreements that may be subject to cancellation fees was $23.9 million. This amount represents our minimal contractual obligations, excluding the commitments under the Ursus Facility arrangement. Purchases under these manufacturing agreements for the years ended December 31, 2025, 2024 and 2023 were $34.8 million, $25.8 million and $59.7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future manufacturing contractual obligations totaling approximately 86.5 million Swiss Francs may be incurred for the potential clinical and commercial supply of tarcocimab and other antibody biopolymer conjugates medicines based on the agreements with Lonza for production at the Ursus Facility.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Funding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pStyle w:val="TextBody"/>
        <w:bidi w:val="0"/>
        <w:spacing w:before="24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subject to various legal proceedings and claims that arise in the ordinary course of its business activities. Management is currently not aware of any matters that could have a material adverse effect on the its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pStyle w:val="TextBody"/>
        <w:bidi w:val="0"/>
        <w:spacing w:before="240" w:after="283"/>
        <w:jc w:val="left"/>
        <w:rPr>
          <w:rFonts w:ascii="Times New Roman" w:hAnsi="Times New Roman"/>
          <w:b/>
          <w:color w:val="000000"/>
          <w:sz w:val="20"/>
        </w:rPr>
      </w:pPr>
      <w:bookmarkStart w:id="35" w:name="fn_note9"/>
      <w:bookmarkEnd w:id="35"/>
      <w:r>
        <w:rPr>
          <w:rFonts w:ascii="Times New Roman" w:hAnsi="Times New Roman"/>
          <w:b/>
          <w:color w:val="000000"/>
          <w:sz w:val="20"/>
        </w:rPr>
        <w:t>9.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components of loss before income taxes were as follows (in thousands): </w:t>
      </w:r>
    </w:p>
    <w:p>
      <w:pPr>
        <w:pStyle w:val="TextBody"/>
        <w:bidi w:val="0"/>
        <w:jc w:val="left"/>
        <w:rPr/>
      </w:pPr>
      <w:r>
        <w:rPr/>
        <w:t> </w:t>
      </w:r>
    </w:p>
    <w:tbl>
      <w:tblPr>
        <w:tblW w:w="6918" w:type="dxa"/>
        <w:jc w:val="left"/>
        <w:tblInd w:w="0" w:type="dxa"/>
        <w:tblLayout w:type="fixed"/>
        <w:tblCellMar>
          <w:top w:w="28" w:type="dxa"/>
          <w:left w:w="28" w:type="dxa"/>
          <w:bottom w:w="28" w:type="dxa"/>
          <w:right w:w="28" w:type="dxa"/>
        </w:tblCellMar>
      </w:tblPr>
      <w:tblGrid>
        <w:gridCol w:w="2681"/>
        <w:gridCol w:w="146"/>
        <w:gridCol w:w="211"/>
        <w:gridCol w:w="841"/>
        <w:gridCol w:w="166"/>
        <w:gridCol w:w="146"/>
        <w:gridCol w:w="211"/>
        <w:gridCol w:w="841"/>
        <w:gridCol w:w="166"/>
        <w:gridCol w:w="146"/>
        <w:gridCol w:w="211"/>
        <w:gridCol w:w="841"/>
        <w:gridCol w:w="311"/>
      </w:tblGrid>
      <w:tr>
        <w:trPr/>
        <w:tc>
          <w:tcPr>
            <w:tcW w:w="2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(143,256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(117,176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(260,432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the years ended December 31, 2025, 2024, and 2023, the Company recorded $52 thousand, $20 thousand, and $33 thousand of foreign current income tax expense,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Income taxes paid, net of refunds received, were not material for the years ended December 31, 2025, 2024, and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tax effects of temporary differences that give rise to significant components of the deferred tax assets are as follows (in thousands):</w:t>
      </w:r>
    </w:p>
    <w:p>
      <w:pPr>
        <w:pStyle w:val="TextBody"/>
        <w:bidi w:val="0"/>
        <w:jc w:val="left"/>
        <w:rPr/>
      </w:pPr>
      <w:r>
        <w:rPr/>
        <w:t> </w:t>
      </w:r>
    </w:p>
    <w:tbl>
      <w:tblPr>
        <w:tblW w:w="6569" w:type="dxa"/>
        <w:jc w:val="left"/>
        <w:tblInd w:w="0" w:type="dxa"/>
        <w:tblLayout w:type="fixed"/>
        <w:tblCellMar>
          <w:top w:w="28" w:type="dxa"/>
          <w:left w:w="28" w:type="dxa"/>
          <w:bottom w:w="28" w:type="dxa"/>
          <w:right w:w="28" w:type="dxa"/>
        </w:tblCellMar>
      </w:tblPr>
      <w:tblGrid>
        <w:gridCol w:w="3396"/>
        <w:gridCol w:w="146"/>
        <w:gridCol w:w="211"/>
        <w:gridCol w:w="841"/>
        <w:gridCol w:w="166"/>
        <w:gridCol w:w="146"/>
        <w:gridCol w:w="211"/>
        <w:gridCol w:w="841"/>
        <w:gridCol w:w="611"/>
      </w:tblGrid>
      <w:tr>
        <w:trPr/>
        <w:tc>
          <w:tcPr>
            <w:tcW w:w="3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 174 Capitalized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gross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gross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recorded a full valuation allowance against its net deferred tax assets due to the uncertainty as to whether such assets will be realized. The net change in the total valuation allowance for the years ended December 31, 2025 and 2024, was an increase of approximately $40.8 million and a decrease of $126.3 million, respectively. The decrease in the year ended December 31, 2024 was due to the expiration of a foreign intangible asset.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required under ASU 2023-09, the Company has included only the portion of the valuation allowance related to federal deferred tax assets in the “change in valuation allowance” line of the rate reconciliation. The following table presents a reconciliation of the total change in the valuation allowance (in thousands):</w:t>
      </w:r>
    </w:p>
    <w:tbl>
      <w:tblPr>
        <w:tblW w:w="6199" w:type="dxa"/>
        <w:jc w:val="left"/>
        <w:tblInd w:w="0" w:type="dxa"/>
        <w:tblLayout w:type="fixed"/>
        <w:tblCellMar>
          <w:top w:w="28" w:type="dxa"/>
          <w:left w:w="28" w:type="dxa"/>
          <w:bottom w:w="28" w:type="dxa"/>
          <w:right w:w="28" w:type="dxa"/>
        </w:tblCellMar>
      </w:tblPr>
      <w:tblGrid>
        <w:gridCol w:w="3406"/>
        <w:gridCol w:w="146"/>
        <w:gridCol w:w="211"/>
        <w:gridCol w:w="781"/>
        <w:gridCol w:w="146"/>
        <w:gridCol w:w="146"/>
        <w:gridCol w:w="211"/>
        <w:gridCol w:w="841"/>
        <w:gridCol w:w="3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373,474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related to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(126,258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288,065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247,216</w:t>
            </w:r>
          </w:p>
        </w:tc>
        <w:tc>
          <w:tcPr>
            <w:tcW w:w="3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NOLs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The Company periodically completes a Section 382 analysis. Subsequent ownership changes since the most recent study may further affect the limitation in future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had $224.3 million of federal and $616.3 million of state net operating loss available to offset future taxable income. A portion of the federal net operating loss carryforwards begin to expire in 2035 and the state net operating loss carryforwards begin to expire in 2035, if not utilized. $206.2 million of the federal net operating loss are not subject to expiration.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also had federal and state research and development credit carryforwards of approximately $35.3 million and $11.5 million, respectively. The federal research and development credit carryforwards expire beginning 2035. The California tax credit can be carried forward indefinitely.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of the U.S. federal rate to the Company’s effective tax rate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71"/>
        <w:gridCol w:w="146"/>
        <w:gridCol w:w="211"/>
        <w:gridCol w:w="736"/>
        <w:gridCol w:w="166"/>
        <w:gridCol w:w="146"/>
        <w:gridCol w:w="146"/>
        <w:gridCol w:w="526"/>
        <w:gridCol w:w="271"/>
        <w:gridCol w:w="146"/>
        <w:gridCol w:w="211"/>
        <w:gridCol w:w="841"/>
        <w:gridCol w:w="166"/>
        <w:gridCol w:w="146"/>
        <w:gridCol w:w="146"/>
        <w:gridCol w:w="526"/>
        <w:gridCol w:w="271"/>
        <w:gridCol w:w="146"/>
        <w:gridCol w:w="211"/>
        <w:gridCol w:w="736"/>
        <w:gridCol w:w="166"/>
        <w:gridCol w:w="146"/>
        <w:gridCol w:w="146"/>
        <w:gridCol w:w="466"/>
        <w:gridCol w:w="516"/>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Switzerland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rate differential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decrease in the intangible valuation in the year ended December 31, 2024 was due to the expiration of a foreign intangible asset.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As of December 31, 2025, 2024 and 2023, none of the unrecognized tax benefits would affect income tax expense with consideration of the valuation allowance. The Company’s policy is to recognize interest and penalties related to the underpayment of income taxes as a component of income tax expense or benefit. To date, there have been no interest or penalties charged in relation to the unrecognized tax benefits.</w:t>
      </w:r>
    </w:p>
    <w:p>
      <w:pPr>
        <w:pStyle w:val="TextBody"/>
        <w:bidi w:val="0"/>
        <w:jc w:val="left"/>
        <w:rPr>
          <w:rFonts w:ascii="Times New Roman" w:hAnsi="Times New Roman"/>
          <w:color w:val="000000"/>
          <w:sz w:val="20"/>
        </w:rPr>
      </w:pPr>
      <w:r>
        <w:rPr>
          <w:rFonts w:ascii="Times New Roman" w:hAnsi="Times New Roman"/>
          <w:color w:val="000000"/>
          <w:sz w:val="20"/>
        </w:rPr>
        <w:t xml:space="preserve">The beginning and ending unrecognized tax benefits amounts are as follows (in thousands): </w:t>
      </w:r>
    </w:p>
    <w:p>
      <w:pPr>
        <w:pStyle w:val="TextBody"/>
        <w:bidi w:val="0"/>
        <w:jc w:val="left"/>
        <w:rPr/>
      </w:pPr>
      <w:r>
        <w:rPr/>
        <w:t> </w:t>
      </w:r>
    </w:p>
    <w:tbl>
      <w:tblPr>
        <w:tblW w:w="7578" w:type="dxa"/>
        <w:jc w:val="left"/>
        <w:tblInd w:w="0" w:type="dxa"/>
        <w:tblLayout w:type="fixed"/>
        <w:tblCellMar>
          <w:top w:w="28" w:type="dxa"/>
          <w:left w:w="28" w:type="dxa"/>
          <w:bottom w:w="28" w:type="dxa"/>
          <w:right w:w="28" w:type="dxa"/>
        </w:tblCellMar>
      </w:tblPr>
      <w:tblGrid>
        <w:gridCol w:w="4111"/>
        <w:gridCol w:w="146"/>
        <w:gridCol w:w="211"/>
        <w:gridCol w:w="571"/>
        <w:gridCol w:w="146"/>
        <w:gridCol w:w="146"/>
        <w:gridCol w:w="211"/>
        <w:gridCol w:w="571"/>
        <w:gridCol w:w="146"/>
        <w:gridCol w:w="146"/>
        <w:gridCol w:w="211"/>
        <w:gridCol w:w="571"/>
        <w:gridCol w:w="3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Increases related to current year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files income tax returns in the United States and Switzerland. The Company is not currently under examination by income tax authorities in federal, state or other jurisdictions. All U.S. tax returns remain open for examination by the federal and state authorities for three and four years, respectively, from the date of utilization of any net operating loss or credits.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July 4, 2025, bill H.R. 1, known as the One Big Beautiful Bill Act (the “OBBBA”), was signed into law. The OBBBA revises U.S. corporate income tax laws by, among other things, restoring the option for immediate tax deductibility of domestic R&amp;D expenditures, making permanent a 100% bonus depreciation deduction for property acquired domestically and providing a new provision for immediate expensing of manufacturing facility costs. The OBBBA did not have a material impact on the Company’s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sz w:val="20"/>
        </w:rPr>
      </w:pPr>
      <w:bookmarkStart w:id="36" w:name="fn_note10"/>
      <w:bookmarkEnd w:id="36"/>
      <w:r>
        <w:rPr>
          <w:rFonts w:ascii="Times New Roman" w:hAnsi="Times New Roman"/>
          <w:b/>
          <w:color w:val="000000"/>
          <w:sz w:val="20"/>
        </w:rPr>
        <w:t>10.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and 2024, the Company’s amended and restated certificate of incorporation authorized the Company to issue 490,000,000 shares of common stock at the par value of $0.0001 per share. Each share of common stock is entitled to one vote. The board of directors may declare and pay dividends to holders of common stock. The Company has never declared or paid any dividends on common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had reserved common stock for future issuances as follows: </w:t>
      </w:r>
    </w:p>
    <w:p>
      <w:pPr>
        <w:pStyle w:val="TextBody"/>
        <w:bidi w:val="0"/>
        <w:jc w:val="left"/>
        <w:rPr/>
      </w:pPr>
      <w:r>
        <w:rPr/>
        <w:t> </w:t>
      </w:r>
    </w:p>
    <w:tbl>
      <w:tblPr>
        <w:tblW w:w="4793" w:type="dxa"/>
        <w:jc w:val="left"/>
        <w:tblInd w:w="0" w:type="dxa"/>
        <w:tblLayout w:type="fixed"/>
        <w:tblCellMar>
          <w:top w:w="28" w:type="dxa"/>
          <w:left w:w="28" w:type="dxa"/>
          <w:bottom w:w="28" w:type="dxa"/>
          <w:right w:w="28" w:type="dxa"/>
        </w:tblCellMar>
      </w:tblPr>
      <w:tblGrid>
        <w:gridCol w:w="2731"/>
        <w:gridCol w:w="146"/>
        <w:gridCol w:w="213"/>
        <w:gridCol w:w="1512"/>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22,344,056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 for future award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651,670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 for future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23,260,584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bookmarkStart w:id="37" w:name="fn_note11"/>
      <w:bookmarkEnd w:id="37"/>
      <w:r>
        <w:rPr>
          <w:rFonts w:ascii="Times New Roman" w:hAnsi="Times New Roman"/>
          <w:b/>
          <w:color w:val="000000"/>
          <w:sz w:val="20"/>
        </w:rPr>
        <w:t>11. 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2018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2018, the Company adopted the 2018 Equity Incentive Plan (“2018 Plan”), which became effective on the business day prior to the effectiveness of the registration statement relating to the IPO. The 2018 Plan initially reserved 4,300,000 shares of common stock for the issuance of incentive stock options (“ISOs”), nonstatutory stock options (“NSOs”), restricted stock, restricted stock units (“RSUs”), stock appreciation rights, performance units and performance shares to employees, directors and consultants of the Company. The number of shares available for issuance increases annually on the first day of each fiscal year equal to the least of (1) 4,300,000 shares, and (2) 4% of outstanding shares of common stock as of the last day of the immediately preceding year, and (3) such other amount as determined by the board of directors. The exercise price of options must be equal to at least the fair market value of the common stock on the grant date. For ISOs, the term may not exceed ten years, except in respect to any participant with more than 10% of voting power of all classes of stock, then the term may not exceed five years and the exercise price must be equal to at least 110% of the fair market value of the common stock on the grant date. Options and RSUs granted generally vest over four years.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Long-Term Performance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Long-Term Performance Incentive Plan (“2021 LTPIP”) was designed to be a long-term, pay-for-performance, incentive plan that would further align the interests of management and other eligible employees with the creation of substantial long-term value for the Company's stockholders. During 2021, eligible employees were provided a one-time opportunity to “opt-in” and forgo a portion of their annual equity incentive awards in exchange for a one-time grant of performance-based stock options from the 2021 LTPIP and 2018 Plan, collectively referred to as the “LTPIP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underlying the options granted under the LTPIP Program may be earned based on the achievement of the performance-based requirement based on stock price goals and/or certain operational milestones based on approval by the U.S. Food and Drug Administration of a Biologics License Application in respect of a first, second, and third major indication and based on sales. The performance-based requirement and operational milestones were not achieved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the exchange of the original award of annual equity incentive awards with the modified award of options granted under the LTPIP Program represented a change in the original terms and conditions. The modification resulted in additional compensation cost equal to the incremental value between the original and modified awards to be recognized. For the annual equity incentive awards, the Company recorded the unrecognized compensation expense over the original vesting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there was $48.8 million of unrecognized stock-based compensation expense related to the 5,659,816 outstanding options granted under the LTPIP Program, but not yet earned or vested, to be recognized over a weighted-average period of 1.11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 activity, including stock options and performance-based stock options under the 2021 LTPIP, 2018 Plan and 2015 Plan is summarized as follows:</w:t>
      </w:r>
    </w:p>
    <w:p>
      <w:pPr>
        <w:pStyle w:val="TextBody"/>
        <w:bidi w:val="0"/>
        <w:jc w:val="left"/>
        <w:rPr/>
      </w:pPr>
      <w:r>
        <w:rPr/>
        <w:t> </w:t>
      </w:r>
    </w:p>
    <w:tbl>
      <w:tblPr>
        <w:tblW w:w="9498" w:type="dxa"/>
        <w:jc w:val="left"/>
        <w:tblInd w:w="0" w:type="dxa"/>
        <w:tblLayout w:type="fixed"/>
        <w:tblCellMar>
          <w:top w:w="28" w:type="dxa"/>
          <w:left w:w="28" w:type="dxa"/>
          <w:bottom w:w="28" w:type="dxa"/>
          <w:right w:w="28" w:type="dxa"/>
        </w:tblCellMar>
      </w:tblPr>
      <w:tblGrid>
        <w:gridCol w:w="3766"/>
        <w:gridCol w:w="146"/>
        <w:gridCol w:w="146"/>
        <w:gridCol w:w="1036"/>
        <w:gridCol w:w="166"/>
        <w:gridCol w:w="146"/>
        <w:gridCol w:w="247"/>
        <w:gridCol w:w="669"/>
        <w:gridCol w:w="146"/>
        <w:gridCol w:w="146"/>
        <w:gridCol w:w="268"/>
        <w:gridCol w:w="858"/>
        <w:gridCol w:w="146"/>
        <w:gridCol w:w="146"/>
        <w:gridCol w:w="271"/>
        <w:gridCol w:w="1004"/>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br/>
              <w:t>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19,873,073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22,223,236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12,741,012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weighted-average grant date fair value of time-vested stock options granted for 2025, 2024 and 2023 was $2.98, $1.74 and $4.51 per share, respectively. The total intrinsic value of stock options exercised during 2025, 2024 and 2023 was $15.3 million, $0.3 million, and not significant, respectively. The intrinsic value represents the amount by which the market price of the underlying stock exceeds the exercise price of an 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estimated the fair value of stock options using the Black-Scholes valuation model. The fair value of time-vested stock options was estimated using the following weighted-average assumptions:</w:t>
      </w:r>
    </w:p>
    <w:p>
      <w:pPr>
        <w:pStyle w:val="TextBody"/>
        <w:bidi w:val="0"/>
        <w:jc w:val="left"/>
        <w:rPr/>
      </w:pPr>
      <w:r>
        <w:rPr/>
        <w:t> </w:t>
      </w:r>
    </w:p>
    <w:tbl>
      <w:tblPr>
        <w:tblW w:w="4978" w:type="dxa"/>
        <w:jc w:val="left"/>
        <w:tblInd w:w="0" w:type="dxa"/>
        <w:tblLayout w:type="fixed"/>
        <w:tblCellMar>
          <w:top w:w="28" w:type="dxa"/>
          <w:left w:w="28" w:type="dxa"/>
          <w:bottom w:w="28" w:type="dxa"/>
          <w:right w:w="28" w:type="dxa"/>
        </w:tblCellMar>
      </w:tblPr>
      <w:tblGrid>
        <w:gridCol w:w="1846"/>
        <w:gridCol w:w="146"/>
        <w:gridCol w:w="146"/>
        <w:gridCol w:w="466"/>
        <w:gridCol w:w="271"/>
        <w:gridCol w:w="146"/>
        <w:gridCol w:w="146"/>
        <w:gridCol w:w="466"/>
        <w:gridCol w:w="271"/>
        <w:gridCol w:w="146"/>
        <w:gridCol w:w="146"/>
        <w:gridCol w:w="466"/>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share activity, including restricted stock units and performance-based restricted stock units, under the 2018 Plan is summarized as follows: </w:t>
      </w:r>
    </w:p>
    <w:p>
      <w:pPr>
        <w:pStyle w:val="TextBody"/>
        <w:bidi w:val="0"/>
        <w:jc w:val="left"/>
        <w:rPr/>
      </w:pPr>
      <w:r>
        <w:rPr/>
        <w:t> </w:t>
      </w:r>
    </w:p>
    <w:tbl>
      <w:tblPr>
        <w:tblW w:w="5405" w:type="dxa"/>
        <w:jc w:val="left"/>
        <w:tblInd w:w="0" w:type="dxa"/>
        <w:tblLayout w:type="fixed"/>
        <w:tblCellMar>
          <w:top w:w="28" w:type="dxa"/>
          <w:left w:w="28" w:type="dxa"/>
          <w:bottom w:w="28" w:type="dxa"/>
          <w:right w:w="28" w:type="dxa"/>
        </w:tblCellMar>
      </w:tblPr>
      <w:tblGrid>
        <w:gridCol w:w="2701"/>
        <w:gridCol w:w="146"/>
        <w:gridCol w:w="158"/>
        <w:gridCol w:w="847"/>
        <w:gridCol w:w="166"/>
        <w:gridCol w:w="146"/>
        <w:gridCol w:w="283"/>
        <w:gridCol w:w="767"/>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Restricted</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fair value of RSUs vested during the years ended December 31, 2025, 2024, and 2023 was $0.4 million, $0.3 million and $0.8 million,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Performance-Based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2019, the Company granted 170,150 performance-based stock options and 128,900 performance-based RSUs (collectively “2019 PSA”). These equity awards vest 25% upon the achievement of specific clinical development milestones. The remaining awards would then vest in three equal annual installments after that date. The performance criteria for 2019 PSA was achieved in June 2021 and the awards became fully vested during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estimated the fair value of the 2019 PSA using the Black-Scholes valuation model and significant assumptions included an expected volatility of 72%, a risk-free rate of 1.67%, expected dividend yield of 0%, and expected term of 6.31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2021, the Company granted 190,831 performance-based stock options (“2021 Feb PSO”). These stock options vest 25% upon the achievement of specific clinical development milestones. The remaining awards then vest in 36 successive equal monthly installments after the performance criteria is achieved. The performance criteria for 2021 Feb PSOs was achieved in February 2022 and the awards became fully vested in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estimated the fair value of the 2021 Feb PSO using the Black-Scholes valuation model. Significant assumptions utilized in estimating the fair value of 2021 Feb PSO include an expected volatility of 66%, a risk-free rate of 0.66%, expected dividend yield of 0%, and expected term of 5.94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2021, the Company granted 478,750 performance-based stock options (“2021 Aug PSO”). These stock options vest upon the achievement of specific clinical development milestones with the percentage of shares earned being dependent on the relative total stockholder return over the performance period. On December 31, 2023, the requisite performance criteria for the 2021 Aug PSO was not achieved and the shares were cancelled and returned to the plan. No stock-based compensation expense was recognized related to these stock options.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2018 Employee Share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2018, the Company adopted the 2018 Employee Share Purchase Plan (“ESPP”), which became effective on the business day prior to the effectiveness of the registration statement relating to the IPO. A total of 460,000 shares of common stock were initially reserved for issuance under the ESPP. Each offering period is 12 months long, with two purchase periods. ESPP participants will purchase shares of common stock at a price per share equal to 85% of the lesser of (1) the fair market value per share of the common stock on the enrollment date or (2) the fair market value of the common stock on the exercise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issued 60,535 shares under the ESPP during the year ended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is classified in the consolidated statements of operations and comprehensive loss as follows (in thousands):</w:t>
      </w:r>
    </w:p>
    <w:p>
      <w:pPr>
        <w:pStyle w:val="TextBody"/>
        <w:bidi w:val="0"/>
        <w:jc w:val="left"/>
        <w:rPr/>
      </w:pPr>
      <w:r>
        <w:rPr/>
        <w:t> </w:t>
      </w:r>
    </w:p>
    <w:tbl>
      <w:tblPr>
        <w:tblW w:w="6328" w:type="dxa"/>
        <w:jc w:val="left"/>
        <w:tblInd w:w="0" w:type="dxa"/>
        <w:tblLayout w:type="fixed"/>
        <w:tblCellMar>
          <w:top w:w="28" w:type="dxa"/>
          <w:left w:w="28" w:type="dxa"/>
          <w:bottom w:w="28" w:type="dxa"/>
          <w:right w:w="28" w:type="dxa"/>
        </w:tblCellMar>
      </w:tblPr>
      <w:tblGrid>
        <w:gridCol w:w="2746"/>
        <w:gridCol w:w="146"/>
        <w:gridCol w:w="211"/>
        <w:gridCol w:w="676"/>
        <w:gridCol w:w="146"/>
        <w:gridCol w:w="146"/>
        <w:gridCol w:w="211"/>
        <w:gridCol w:w="676"/>
        <w:gridCol w:w="146"/>
        <w:gridCol w:w="146"/>
        <w:gridCol w:w="211"/>
        <w:gridCol w:w="676"/>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summary of stock-based compensation expense by award type (in thousands):</w:t>
      </w:r>
    </w:p>
    <w:p>
      <w:pPr>
        <w:pStyle w:val="TextBody"/>
        <w:bidi w:val="0"/>
        <w:jc w:val="left"/>
        <w:rPr/>
      </w:pPr>
      <w:r>
        <w:rPr/>
        <w:t> </w:t>
      </w:r>
    </w:p>
    <w:tbl>
      <w:tblPr>
        <w:tblW w:w="6328" w:type="dxa"/>
        <w:jc w:val="left"/>
        <w:tblInd w:w="0" w:type="dxa"/>
        <w:tblLayout w:type="fixed"/>
        <w:tblCellMar>
          <w:top w:w="28" w:type="dxa"/>
          <w:left w:w="28" w:type="dxa"/>
          <w:bottom w:w="28" w:type="dxa"/>
          <w:right w:w="28" w:type="dxa"/>
        </w:tblCellMar>
      </w:tblPr>
      <w:tblGrid>
        <w:gridCol w:w="2746"/>
        <w:gridCol w:w="146"/>
        <w:gridCol w:w="211"/>
        <w:gridCol w:w="676"/>
        <w:gridCol w:w="146"/>
        <w:gridCol w:w="146"/>
        <w:gridCol w:w="211"/>
        <w:gridCol w:w="676"/>
        <w:gridCol w:w="146"/>
        <w:gridCol w:w="146"/>
        <w:gridCol w:w="211"/>
        <w:gridCol w:w="676"/>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LTPIP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the Company had $67.7 million of unrecognized compensation expense related to unvested share-based awards including options granted under the LTPIP Program and ESPP, which is expected to be recognized over a weighted-average period of 1.51 years.</w:t>
      </w:r>
    </w:p>
    <w:p>
      <w:pPr>
        <w:pStyle w:val="TextBody"/>
        <w:bidi w:val="0"/>
        <w:spacing w:before="240" w:after="283"/>
        <w:jc w:val="left"/>
        <w:rPr>
          <w:rFonts w:ascii="Times New Roman" w:hAnsi="Times New Roman"/>
          <w:b/>
          <w:color w:val="000000"/>
          <w:sz w:val="20"/>
        </w:rPr>
      </w:pPr>
      <w:bookmarkStart w:id="38" w:name="fn_note12"/>
      <w:bookmarkEnd w:id="38"/>
      <w:r>
        <w:rPr>
          <w:rFonts w:ascii="Times New Roman" w:hAnsi="Times New Roman"/>
          <w:b/>
          <w:color w:val="000000"/>
          <w:sz w:val="20"/>
        </w:rPr>
        <w:t>12.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and manages its business as one operating and reportable segment, which is the business of researching, developing and commercializing transformative therapeutics to treat a broad spectrum of retinal diseases.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chief operating decision maker (“CODM”) is the Chief Executive Officer. The CODM uses net loss to allocate resources and assess performance when making decisions on the timing and extent of the Company's development programs for its product candidates. The assets are managed on a consolidated basis as reported on the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expense categories within net loss are presented on the consolidated statements of operations. The research and development expenses have been disaggregated as follows (in thousands):</w:t>
      </w:r>
    </w:p>
    <w:tbl>
      <w:tblPr>
        <w:tblW w:w="8518" w:type="dxa"/>
        <w:jc w:val="left"/>
        <w:tblInd w:w="0" w:type="dxa"/>
        <w:tblLayout w:type="fixed"/>
        <w:tblCellMar>
          <w:top w:w="28" w:type="dxa"/>
          <w:left w:w="28" w:type="dxa"/>
          <w:bottom w:w="28" w:type="dxa"/>
          <w:right w:w="28" w:type="dxa"/>
        </w:tblCellMar>
      </w:tblPr>
      <w:tblGrid>
        <w:gridCol w:w="4621"/>
        <w:gridCol w:w="146"/>
        <w:gridCol w:w="211"/>
        <w:gridCol w:w="781"/>
        <w:gridCol w:w="146"/>
        <w:gridCol w:w="146"/>
        <w:gridCol w:w="211"/>
        <w:gridCol w:w="781"/>
        <w:gridCol w:w="146"/>
        <w:gridCol w:w="146"/>
        <w:gridCol w:w="211"/>
        <w:gridCol w:w="781"/>
        <w:gridCol w:w="19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Tarcocimab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KSI-501 and KSI-101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ABC Platform and other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39" w:name="fn_note13"/>
      <w:bookmarkEnd w:id="39"/>
      <w:r>
        <w:rPr>
          <w:rFonts w:ascii="Times New Roman" w:hAnsi="Times New Roman"/>
          <w:b/>
          <w:color w:val="000000"/>
          <w:sz w:val="20"/>
        </w:rPr>
        <w:t>13. Net Loss per Common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net loss per share attributable to common stockholders (in thousands, except share and per share data): </w:t>
      </w:r>
    </w:p>
    <w:p>
      <w:pPr>
        <w:pStyle w:val="TextBody"/>
        <w:bidi w:val="0"/>
        <w:jc w:val="left"/>
        <w:rPr/>
      </w:pPr>
      <w:r>
        <w:rPr/>
        <w:t> </w:t>
      </w:r>
    </w:p>
    <w:tbl>
      <w:tblPr>
        <w:tblW w:w="9153" w:type="dxa"/>
        <w:jc w:val="left"/>
        <w:tblInd w:w="0" w:type="dxa"/>
        <w:tblLayout w:type="fixed"/>
        <w:tblCellMar>
          <w:top w:w="28" w:type="dxa"/>
          <w:left w:w="28" w:type="dxa"/>
          <w:bottom w:w="28" w:type="dxa"/>
          <w:right w:w="28" w:type="dxa"/>
        </w:tblCellMar>
      </w:tblPr>
      <w:tblGrid>
        <w:gridCol w:w="4251"/>
        <w:gridCol w:w="146"/>
        <w:gridCol w:w="211"/>
        <w:gridCol w:w="1036"/>
        <w:gridCol w:w="166"/>
        <w:gridCol w:w="146"/>
        <w:gridCol w:w="211"/>
        <w:gridCol w:w="1036"/>
        <w:gridCol w:w="166"/>
        <w:gridCol w:w="146"/>
        <w:gridCol w:w="211"/>
        <w:gridCol w:w="1036"/>
        <w:gridCol w:w="391"/>
      </w:tblGrid>
      <w:tr>
        <w:trPr/>
        <w:tc>
          <w:tcPr>
            <w:tcW w:w="4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used in</w:t>
              <w:br/>
              <w:t>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53,208,311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52,583,148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52,414,256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common share equivalents were excluded from the computation of diluted net loss per common share for the periods presented because their inclusion would have been antidilutive: </w:t>
      </w:r>
    </w:p>
    <w:p>
      <w:pPr>
        <w:pStyle w:val="TextBody"/>
        <w:bidi w:val="0"/>
        <w:jc w:val="left"/>
        <w:rPr/>
      </w:pPr>
      <w:r>
        <w:rPr/>
        <w:t> </w:t>
      </w:r>
    </w:p>
    <w:tbl>
      <w:tblPr>
        <w:tblW w:w="6733" w:type="dxa"/>
        <w:jc w:val="left"/>
        <w:tblInd w:w="0" w:type="dxa"/>
        <w:tblLayout w:type="fixed"/>
        <w:tblCellMar>
          <w:top w:w="28" w:type="dxa"/>
          <w:left w:w="28" w:type="dxa"/>
          <w:bottom w:w="28" w:type="dxa"/>
          <w:right w:w="28" w:type="dxa"/>
        </w:tblCellMar>
      </w:tblPr>
      <w:tblGrid>
        <w:gridCol w:w="2266"/>
        <w:gridCol w:w="146"/>
        <w:gridCol w:w="146"/>
        <w:gridCol w:w="1036"/>
        <w:gridCol w:w="146"/>
        <w:gridCol w:w="146"/>
        <w:gridCol w:w="146"/>
        <w:gridCol w:w="1036"/>
        <w:gridCol w:w="146"/>
        <w:gridCol w:w="146"/>
        <w:gridCol w:w="146"/>
        <w:gridCol w:w="103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22,223,236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19,873,073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17,601,466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22,382,259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20,039,280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17,837,044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bookmarkStart w:id="40" w:name="fn_note14"/>
      <w:bookmarkEnd w:id="40"/>
      <w:r>
        <w:rPr>
          <w:rFonts w:ascii="Times New Roman" w:hAnsi="Times New Roman"/>
          <w:b/>
          <w:color w:val="000000"/>
          <w:sz w:val="20"/>
        </w:rPr>
        <w:t>14. 401(k)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2011, the Company adopted a 401(k) retirement and savings plan covering all employees. The 401(k) plan allows employees to make pre- and post-tax contributions up to the maximum allowable amount set by the Internal Revenue Service. The 401(k) plan was amended to include an employer matching provision in 2019. The Company will make matching contributions of 100% of employee contributions up to a maximum of $10,250. For the years ended December 31, 2025, 2024 and 2023, expense related to the matching contributions was $1.0 million, $0.9 million and $0.9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b/>
          <w:color w:val="000000"/>
          <w:sz w:val="20"/>
        </w:rPr>
      </w:pPr>
      <w:bookmarkStart w:id="41" w:name="fn_note15"/>
      <w:bookmarkEnd w:id="41"/>
      <w:r>
        <w:rPr>
          <w:rFonts w:ascii="Times New Roman" w:hAnsi="Times New Roman"/>
          <w:b/>
          <w:color w:val="000000"/>
          <w:sz w:val="20"/>
        </w:rPr>
        <w:t>15. Liability Related to Sale of Future Royalties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 2019, the Company and its subsidiary Kodiak Sciences GmbH entered into a funding agreement with BBA, which holds more than 5% of the Company’s stock, pursuant to which BBA purchased the right to receive a capped 4.5% royalty on future net sales of tarcocimab, the Company’s anti-VEGF antibody biopolymer conjugate therapy, in exchange for $225.0 million. Under the terms of the funding agreement, there is no obligation to repay any funding amount received, other than through the capped royalty payments on future product revenues. The royalty terminates upon the date that BBA has received an aggregate amount equal to 4.5 times the funding amount paid to the Company, unless earlier terminated or repurchased by the Company. The Company has the option, exercisable at any point during the term of the funding agreement, to repurchase 100% of the royalties due to BBA for a purchase price equal to 4.5 times the funding amount paid to the Company as of such time, less amounts paid by the Company to BBA.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closing of the funding agreement was subject to certain conditions and occurred in February 2020. The Company received $100.0 million of the funding on February 4, 2020. The remaining $125.0 million, subject to delivery of notice by the Company, was payable upon enrollment of 50% of the patients in the RVO clinical program. In July 2021, the funding agreement was amended, at the Company’s request, that the remaining funding amount of $125.0 million would not be paid.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recorded the initial $100.0 million payment as a liability on the consolidated balance sheet net of issuance costs. Once royalty payments to BBA are determined to be probable and estimable, and if such amounts exceed the liability balance, the Company will impute interest to accrete the liability on a prospective basis based on such estimates. If and when the Company makes royalty payments under the funding agreement, it would reduce the liability balance at such time. As of December 31, 2025, royalty payments are not probable and estimable. For the years ended December 31, 2025, 2024, and 2023, no interest expense was recognized for the liability related to the sale of future royalties.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42" w:name="item_9_changes_in_disagreements_with_acc"/>
      <w:bookmarkEnd w:id="42"/>
      <w:r>
        <w:rPr>
          <w:rFonts w:ascii="Times New Roman" w:hAnsi="Times New Roman"/>
          <w:b/>
          <w:color w:val="000000"/>
          <w:sz w:val="20"/>
        </w:rPr>
        <w:t>ITEM 9. CHANGES IN AND DISAGREEMENTS WITH</w:t>
      </w:r>
      <w:r>
        <w:rPr>
          <w:rFonts w:ascii="Times New Roman" w:hAnsi="Times New Roman"/>
          <w:color w:val="000000"/>
          <w:sz w:val="20"/>
        </w:rPr>
        <w:t xml:space="preserve"> </w:t>
      </w:r>
      <w:r>
        <w:rPr>
          <w:rFonts w:ascii="Times New Roman" w:hAnsi="Times New Roman"/>
          <w:b/>
          <w:color w:val="000000"/>
          <w:sz w:val="20"/>
        </w:rPr>
        <w:t>ACCOUNTANTS ON ACCOUNTING AND FINANCIAL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43" w:name="item_9a_controls_procedures"/>
      <w:bookmarkEnd w:id="43"/>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Management’s Evaluation of our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or persons performing similar functions,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December 31, 2025. Based upon such evaluation, our principal executive officer and principal financial officer concluded that the design and operation of our disclosure controls and procedures were effective at a reasonable assurance level as of December 31, 2025.</w:t>
      </w:r>
    </w:p>
    <w:p>
      <w:pPr>
        <w:pStyle w:val="TextBody"/>
        <w:bidi w:val="0"/>
        <w:spacing w:before="240" w:after="283"/>
        <w:jc w:val="left"/>
        <w:rPr>
          <w:rFonts w:ascii="Times New Roman" w:hAnsi="Times New Roman"/>
          <w:i/>
          <w:color w:val="000000"/>
          <w:sz w:val="20"/>
        </w:rPr>
      </w:pPr>
      <w:bookmarkStart w:id="44" w:name="s163797307"/>
      <w:bookmarkEnd w:id="44"/>
      <w:r>
        <w:rPr>
          <w:rFonts w:ascii="Times New Roman" w:hAnsi="Times New Roman"/>
          <w:i/>
          <w:color w:val="000000"/>
          <w:sz w:val="20"/>
        </w:rPr>
        <w:t>Management’s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 13a-15(f) and 15d-15(f) under the Exchange Act). Because of inherent limitations, internal control over financial reporting may not prevent or detect misstatements and projections of any evaluation of effectiveness to future periods are subject to the risk that controls may become inadequate because of changes in conditions, or that the degree of compliance with the policies or procedures may deteriorate. Under the supervision of and with the participation of our principal executive officer and principal financial officer, our management assessed the effectiveness of our internal control over financial reporting as of December 31, 2025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change in our internal control over financial reporting during the quarter ended December 31, 2025, that has materially affected, or is reasonably likely to materially affect, our internal control over financial reporting.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Auditor Attestation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non-accelerated filer under the Exchange Act and not required to comply with the auditor attestation requirements of Section 404(b) of the Sarbanes-Oxley Act of 2002. Therefore, this Annual Report does not include an attestation report of our registered public accounting firm regarding the effectiveness of internal control over financial reporting as of December 31,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45" w:name="item_9b_or_information"/>
      <w:bookmarkEnd w:id="45"/>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46" w:name="item_9c_discl_foreign_juris"/>
      <w:bookmarkEnd w:id="46"/>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7" w:name="part_iii"/>
      <w:bookmarkEnd w:id="47"/>
      <w:r>
        <w:rPr>
          <w:rFonts w:ascii="Times New Roman" w:hAnsi="Times New Roman"/>
          <w:b/>
          <w:color w:val="000000"/>
          <w:sz w:val="20"/>
        </w:rPr>
        <w:t>PART III</w:t>
      </w:r>
    </w:p>
    <w:p>
      <w:pPr>
        <w:pStyle w:val="TextBody"/>
        <w:bidi w:val="0"/>
        <w:spacing w:before="120" w:after="283"/>
        <w:jc w:val="left"/>
        <w:rPr>
          <w:rFonts w:ascii="Times New Roman" w:hAnsi="Times New Roman"/>
          <w:b/>
          <w:color w:val="000000"/>
          <w:sz w:val="20"/>
        </w:rPr>
      </w:pPr>
      <w:bookmarkStart w:id="48" w:name="item_10_directors_executive_ficers_corpo"/>
      <w:bookmarkEnd w:id="48"/>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will be contained in our definitive proxy statement to be filed with the SEC in connection with the Annual Meeting of Stockholders within 120 days after December 31, 2025, or the Proxy Statement, under the captions “Executive Officers” and “Board of Directors and Corporate Governance”, and is incorporated in this Annual Report on Form 10-K by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Corporate Governance portion of our website at ir.kodiak.com/corporate-governance/governance-overview. We intend to satisfy the disclosure requirements under Item 5.05 of the SEC Form 8-K regarding an amendment to, or waiver from, a provision of our Code of Conduct by posting such information on our website at the website address and location specified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adopted insider trading policies and procedures that govern the purchase, sale, and other dispositions of our securities by our directors, officers and employees. We believe these policies and procedures are reasonably designed to promote compliance with insider trading laws, rules, and regulations, and applicable listing standards. A copy of our insider trading policy is filed as Exhibit 19.1 to this Annual Report on Form 10-K.</w:t>
      </w:r>
    </w:p>
    <w:p>
      <w:pPr>
        <w:pStyle w:val="TextBody"/>
        <w:bidi w:val="0"/>
        <w:spacing w:before="240" w:after="283"/>
        <w:jc w:val="left"/>
        <w:rPr>
          <w:rFonts w:ascii="Times New Roman" w:hAnsi="Times New Roman"/>
          <w:b/>
          <w:color w:val="000000"/>
          <w:sz w:val="20"/>
        </w:rPr>
      </w:pPr>
      <w:bookmarkStart w:id="49" w:name="item_11_executive_compensation"/>
      <w:bookmarkEnd w:id="49"/>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contained in the Proxy Statement under the captions “Executive Compensation” (excluding the information presented under the subheading “Pay Versus Performance”) and “Non-Employee Director Compensation” and is incorporated in this Annual Report on Form 10-K by reference.</w:t>
      </w:r>
    </w:p>
    <w:p>
      <w:pPr>
        <w:pStyle w:val="TextBody"/>
        <w:bidi w:val="0"/>
        <w:spacing w:before="240" w:after="283"/>
        <w:jc w:val="left"/>
        <w:rPr>
          <w:rFonts w:ascii="Times New Roman" w:hAnsi="Times New Roman"/>
          <w:b/>
          <w:color w:val="000000"/>
          <w:sz w:val="20"/>
        </w:rPr>
      </w:pPr>
      <w:bookmarkStart w:id="50" w:name="item_12_security_ownership_certain_benef"/>
      <w:bookmarkEnd w:id="50"/>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contained in the Proxy Statement under the captions “Security Ownership of Certain Beneficial Owners and Management” and “Securities Authorized for Issuance Under Equity Compensation Plans” and is incorporated in this Annual Report on Form 10-K by reference.</w:t>
      </w:r>
    </w:p>
    <w:p>
      <w:pPr>
        <w:pStyle w:val="TextBody"/>
        <w:bidi w:val="0"/>
        <w:spacing w:before="240" w:after="283"/>
        <w:jc w:val="left"/>
        <w:rPr>
          <w:rFonts w:ascii="Times New Roman" w:hAnsi="Times New Roman"/>
          <w:b/>
          <w:color w:val="000000"/>
          <w:sz w:val="20"/>
        </w:rPr>
      </w:pPr>
      <w:bookmarkStart w:id="51" w:name="item_13_certain_relationships_related_pa"/>
      <w:bookmarkEnd w:id="51"/>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contained in the Proxy Statement under the captions “Related-Person Transactions” and “Board of Directors and Corporate Governance – Director Independence” and is incorporated in this Annual Report on Form 10-K by reference.</w:t>
      </w:r>
    </w:p>
    <w:p>
      <w:pPr>
        <w:pStyle w:val="TextBody"/>
        <w:bidi w:val="0"/>
        <w:spacing w:before="240" w:after="283"/>
        <w:jc w:val="left"/>
        <w:rPr>
          <w:rFonts w:ascii="Times New Roman" w:hAnsi="Times New Roman"/>
          <w:b/>
          <w:color w:val="000000"/>
          <w:sz w:val="20"/>
        </w:rPr>
      </w:pPr>
      <w:bookmarkStart w:id="52" w:name="item_14_principal_accounting_fees_servic"/>
      <w:bookmarkEnd w:id="52"/>
      <w:r>
        <w:rPr>
          <w:rFonts w:ascii="Times New Roman" w:hAnsi="Times New Roman"/>
          <w:b/>
          <w:color w:val="000000"/>
          <w:sz w:val="20"/>
        </w:rPr>
        <w:t>ITEM 14. PRINCIPAL ACCOUNTANT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contained in the Proxy Statement under the caption “Ratification of Appointment of Independent Registered Public Accounting Firm” and is incorporated in this Annual Report on Form 10-K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3" w:name="part_iv"/>
      <w:bookmarkEnd w:id="5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120" w:after="283"/>
        <w:jc w:val="left"/>
        <w:rPr>
          <w:rFonts w:ascii="Times New Roman" w:hAnsi="Times New Roman"/>
          <w:b/>
          <w:color w:val="000000"/>
          <w:sz w:val="20"/>
        </w:rPr>
      </w:pPr>
      <w:bookmarkStart w:id="54" w:name="item_15_exhibits_financial_statement_sch"/>
      <w:bookmarkEnd w:id="54"/>
      <w:r>
        <w:rPr>
          <w:rFonts w:ascii="Times New Roman" w:hAnsi="Times New Roman"/>
          <w:b/>
          <w:color w:val="000000"/>
          <w:sz w:val="20"/>
        </w:rPr>
        <w:t>ITEM 15. EXHIBITS AND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 following documents are filed as part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are filed as part of this Annual Report on Form 10-K under Item 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schedules to the consolidated financial statements are omitted as the required information is either inapplicable or presented in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EXHIBITS</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bookmarkStart w:id="55" w:name="s168825042"/>
      <w:bookmarkEnd w:id="55"/>
      <w:r>
        <w:rPr/>
        <w:t> </w:t>
      </w:r>
    </w:p>
    <w:tbl>
      <w:tblPr>
        <w:tblW w:w="10205" w:type="dxa"/>
        <w:jc w:val="left"/>
        <w:tblInd w:w="0" w:type="dxa"/>
        <w:tblLayout w:type="fixed"/>
        <w:tblCellMar>
          <w:top w:w="28" w:type="dxa"/>
          <w:left w:w="28" w:type="dxa"/>
          <w:bottom w:w="28" w:type="dxa"/>
          <w:right w:w="28" w:type="dxa"/>
        </w:tblCellMar>
      </w:tblPr>
      <w:tblGrid>
        <w:gridCol w:w="706"/>
        <w:gridCol w:w="146"/>
        <w:gridCol w:w="5351"/>
        <w:gridCol w:w="236"/>
        <w:gridCol w:w="586"/>
        <w:gridCol w:w="236"/>
        <w:gridCol w:w="970"/>
        <w:gridCol w:w="236"/>
        <w:gridCol w:w="631"/>
        <w:gridCol w:w="236"/>
        <w:gridCol w:w="87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5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Kodiak Sciences Inc</w:t>
              </w:r>
            </w:hyperlink>
            <w:hyperlink r:id="rId3">
              <w:r>
                <w:rPr>
                  <w:rStyle w:val="InternetLink"/>
                  <w:rFonts w:ascii="Times New Roman" w:hAnsi="Times New Roman"/>
                  <w:color w:val="0563C1"/>
                  <w:sz w:val="20"/>
                  <w:u w:val="single"/>
                </w:rPr>
                <w:t>.</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10-Q</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3.1</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11/16/2018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Kodiak Sciences Inc.</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10-Q</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3.2</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11/16/2018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Common Stock Certificate</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S-1/A</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4.1</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9/24/2018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Investors’ Rights Agreement, dated September 8, 2015, as amended, by and among the registrant and the investors and founders named therein</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 xml:space="preserve">S-1/A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4.2</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9/24/2018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Description of Securities</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10-K</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4.6</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3/16/2020</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Registration Rights Agreement, dated March 1, 2021, by and among the registrant and the investors named therein</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10-K</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4.7</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3/1/2021</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Director and Officer Indemnification Agreement</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S-1/A</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10.1</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9/24/2018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2009 Options and Profits Interest Plan</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S-1</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10.2</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9/7/2018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2015 Share Incentive Plan</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S-1</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10.3</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9/7/2018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Notice of Stock Option Grant and Stock Option Agreement under the 2009 Option and Profits Interest Plan</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S-1</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10.4</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9/7/2018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Notice of Stock Option Grant and Stock Option Agreement under the 2015 Share Incentive Plan</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S-1</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10.5</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9/7/2018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2018 Equity Incentive Plan</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S-1/A</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10.6</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9/24/2018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Notice of Stock Option Grant and Stock Option Agreement under the 2018 Equity Incentive Plan</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S-1/A</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10.7</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9/24/2018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Notice of Restricted Stock Unit Grant and Terms and Conditions of Restricted Stock Unit Grant under the 2018 Equity Incentive Plan</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S-1/A</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10.8</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9/24/2018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2018 Employee Stock Purchase Plan</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S-1/A</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10.9</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9/24/2018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3"/>
        <w:gridCol w:w="176"/>
        <w:gridCol w:w="5289"/>
        <w:gridCol w:w="236"/>
        <w:gridCol w:w="616"/>
        <w:gridCol w:w="236"/>
        <w:gridCol w:w="923"/>
        <w:gridCol w:w="236"/>
        <w:gridCol w:w="721"/>
        <w:gridCol w:w="236"/>
        <w:gridCol w:w="803"/>
      </w:tblGrid>
      <w:tr>
        <w:trPr/>
        <w:tc>
          <w:tcPr>
            <w:tcW w:w="7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28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3771"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rFonts w:ascii="Times New Roman" w:hAnsi="Times New Roman"/>
                <w:b/>
                <w:color w:val="000000"/>
                <w:sz w:val="16"/>
              </w:rPr>
            </w:pPr>
            <w:r>
              <w:rPr>
                <w:rFonts w:ascii="Times New Roman" w:hAnsi="Times New Roman"/>
                <w:b/>
                <w:color w:val="000000"/>
                <w:sz w:val="16"/>
              </w:rPr>
              <w:t>Form</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rFonts w:ascii="Times New Roman" w:hAnsi="Times New Roman"/>
                <w:b/>
                <w:color w:val="000000"/>
                <w:sz w:val="16"/>
              </w:rPr>
            </w:pPr>
            <w:r>
              <w:rPr>
                <w:rFonts w:ascii="Times New Roman" w:hAnsi="Times New Roman"/>
                <w:b/>
                <w:color w:val="000000"/>
                <w:sz w:val="16"/>
              </w:rPr>
              <w:t>File No.</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rFonts w:ascii="Times New Roman" w:hAnsi="Times New Roman"/>
                <w:b/>
                <w:color w:val="000000"/>
                <w:sz w:val="16"/>
              </w:rPr>
            </w:pPr>
            <w:r>
              <w:rPr>
                <w:rFonts w:ascii="Times New Roman" w:hAnsi="Times New Roman"/>
                <w:b/>
                <w:color w:val="000000"/>
                <w:sz w:val="16"/>
              </w:rPr>
              <w:t>Exhibit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rFonts w:ascii="Times New Roman" w:hAnsi="Times New Roman"/>
                <w:b/>
                <w:color w:val="000000"/>
                <w:sz w:val="16"/>
              </w:rPr>
            </w:pPr>
            <w:r>
              <w:rPr>
                <w:rFonts w:ascii="Times New Roman" w:hAnsi="Times New Roman"/>
                <w:b/>
                <w:color w:val="000000"/>
                <w:sz w:val="16"/>
              </w:rPr>
              <w:t>Filing Date</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Subscription Agreement under the 2018 Employee Stock Purchase Plan</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S-1/A</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10.10</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9/24/2018</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Executive Employment Agreement, effective as of September 6, 2018, between the Registrant and Victor Perlroth</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S-1/A</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10.11</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9/24/2018</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Amended Executive Employment Agreement, effective as of September 6, 2018, between the Registrant and John Borgeson</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S-1/A</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10.12</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9/24/2018</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Executive Incentive Compensation Plan</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S-1/A</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10.15</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9/24/2018</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Funding Agreement, dated as of December 1, 2019, between Kodiak Sciences Inc., Kodiak Sciences GmbH and Baker Bros. Advisors, LP</w:t>
              </w:r>
            </w:hyperlink>
            <w:r>
              <w:rPr>
                <w:rFonts w:ascii="Times New Roman" w:hAnsi="Times New Roman"/>
                <w:color w:val="0000FF"/>
                <w:sz w:val="20"/>
              </w:rPr>
              <w:t xml:space="preserve">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8-K</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10.1</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12/2/2019</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Lease Agreement for 1200 Page Mill Road, Building 3, by and between the Registrant and 1050 Page Mill Road Property, LLC, dated June 19, 2020</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10-Q</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rFonts w:ascii="Times New Roman" w:hAnsi="Times New Roman"/>
                <w:color w:val="000000"/>
                <w:sz w:val="20"/>
              </w:rPr>
            </w:pPr>
            <w:r>
              <w:rPr>
                <w:rFonts w:ascii="Times New Roman" w:hAnsi="Times New Roman"/>
                <w:color w:val="000000"/>
                <w:sz w:val="20"/>
              </w:rPr>
              <w:t>10.1</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rFonts w:ascii="Times New Roman" w:hAnsi="Times New Roman"/>
                <w:color w:val="000000"/>
                <w:sz w:val="20"/>
              </w:rPr>
            </w:pPr>
            <w:r>
              <w:rPr>
                <w:rFonts w:ascii="Times New Roman" w:hAnsi="Times New Roman"/>
                <w:color w:val="000000"/>
                <w:sz w:val="20"/>
              </w:rPr>
              <w:t>8/10/2020</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pPr>
            <w:r>
              <w:rPr/>
              <w:t> </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Lease Agreement for 1250 Page Mill Road, Building 4, by and between the Registrant and 1050 Page Mill Road Property, LLC, dated June 19, 2020</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10-Q</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rFonts w:ascii="Times New Roman" w:hAnsi="Times New Roman"/>
                <w:color w:val="000000"/>
                <w:sz w:val="20"/>
              </w:rPr>
            </w:pPr>
            <w:r>
              <w:rPr>
                <w:rFonts w:ascii="Times New Roman" w:hAnsi="Times New Roman"/>
                <w:color w:val="000000"/>
                <w:sz w:val="20"/>
              </w:rPr>
              <w:t>10.2</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rFonts w:ascii="Times New Roman" w:hAnsi="Times New Roman"/>
                <w:color w:val="000000"/>
                <w:sz w:val="20"/>
              </w:rPr>
            </w:pPr>
            <w:r>
              <w:rPr>
                <w:rFonts w:ascii="Times New Roman" w:hAnsi="Times New Roman"/>
                <w:color w:val="000000"/>
                <w:sz w:val="20"/>
              </w:rPr>
              <w:t>8/10/2020</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Letter Agreement, dated July 22, 2021</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8-K</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10.1</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7/23/2021</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2021 Long-Term Performance Incentive Plan</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10-Q</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10.1</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11/9/2021</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Underwriting Agreement, dated as of December 16, 2025, by and among Kodiak Sciences Inc., J.P. Morgan Securities LLC, Jefferies LLC, Evercore Group L.L.C. and UBS Securities LLC.</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8-K</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1.1</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12/18/2025</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19.1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Kodiak Sciences Inc. Insider Trading Policy</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10-K</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19.1</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3/27/2025</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21_1.htm">
              <w:r>
                <w:rPr>
                  <w:rStyle w:val="InternetLink"/>
                  <w:rFonts w:ascii="Times New Roman" w:hAnsi="Times New Roman"/>
                  <w:color w:val="0000FF"/>
                  <w:sz w:val="20"/>
                  <w:u w:val="single"/>
                </w:rPr>
                <w:t>Subsidiaries of the Company</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23.1*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23_1.htm">
              <w:r>
                <w:rPr>
                  <w:rStyle w:val="InternetLink"/>
                  <w:rFonts w:ascii="Times New Roman" w:hAnsi="Times New Roman"/>
                  <w:color w:val="0000FF"/>
                  <w:sz w:val="20"/>
                  <w:u w:val="single"/>
                </w:rPr>
                <w:t>Consent of Independent Registered Public Accounting Firm</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24.1*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ower_attorney">
              <w:r>
                <w:rPr>
                  <w:rStyle w:val="InternetLink"/>
                  <w:rFonts w:ascii="Times New Roman" w:hAnsi="Times New Roman"/>
                  <w:color w:val="0000FF"/>
                  <w:sz w:val="20"/>
                  <w:u w:val="single"/>
                </w:rPr>
                <w:t>Power of Attorney (included in signature page)</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r>
      <w:tr>
        <w:trPr/>
        <w:tc>
          <w:tcPr>
            <w:tcW w:w="7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3"/>
        <w:gridCol w:w="146"/>
        <w:gridCol w:w="5465"/>
        <w:gridCol w:w="236"/>
        <w:gridCol w:w="601"/>
        <w:gridCol w:w="236"/>
        <w:gridCol w:w="814"/>
        <w:gridCol w:w="236"/>
        <w:gridCol w:w="721"/>
        <w:gridCol w:w="236"/>
        <w:gridCol w:w="771"/>
      </w:tblGrid>
      <w:tr>
        <w:trPr/>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361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rFonts w:ascii="Times New Roman" w:hAnsi="Times New Roman"/>
                <w:b/>
                <w:color w:val="000000"/>
                <w:sz w:val="16"/>
              </w:rPr>
            </w:pPr>
            <w:r>
              <w:rPr>
                <w:rFonts w:ascii="Times New Roman" w:hAnsi="Times New Roman"/>
                <w:b/>
                <w:color w:val="000000"/>
                <w:sz w:val="16"/>
              </w:rPr>
              <w:t>Form</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rFonts w:ascii="Times New Roman" w:hAnsi="Times New Roman"/>
                <w:b/>
                <w:color w:val="000000"/>
                <w:sz w:val="16"/>
              </w:rPr>
            </w:pPr>
            <w:r>
              <w:rPr>
                <w:rFonts w:ascii="Times New Roman" w:hAnsi="Times New Roman"/>
                <w:b/>
                <w:color w:val="000000"/>
                <w:sz w:val="16"/>
              </w:rPr>
              <w:t>File No.</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rFonts w:ascii="Times New Roman" w:hAnsi="Times New Roman"/>
                <w:b/>
                <w:color w:val="000000"/>
                <w:sz w:val="16"/>
              </w:rPr>
            </w:pPr>
            <w:r>
              <w:rPr>
                <w:rFonts w:ascii="Times New Roman" w:hAnsi="Times New Roman"/>
                <w:b/>
                <w:color w:val="000000"/>
                <w:sz w:val="16"/>
              </w:rPr>
              <w:t>Exhibit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rFonts w:ascii="Times New Roman" w:hAnsi="Times New Roman"/>
                <w:b/>
                <w:color w:val="000000"/>
                <w:sz w:val="16"/>
              </w:rPr>
            </w:pPr>
            <w:r>
              <w:rPr>
                <w:rFonts w:ascii="Times New Roman" w:hAnsi="Times New Roman"/>
                <w:b/>
                <w:color w:val="000000"/>
                <w:sz w:val="16"/>
              </w:rPr>
              <w:t>Filing Date</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2.htm">
              <w:r>
                <w:rPr>
                  <w:rStyle w:val="InternetLink"/>
                  <w:rFonts w:ascii="Times New Roman" w:hAnsi="Times New Roman"/>
                  <w:color w:val="0000FF"/>
                  <w:sz w:val="20"/>
                  <w:u w:val="single"/>
                </w:rPr>
                <w:t>Certification of Principal Financial and Accounting Officer Pursuant to Rules 13a-14(a) and 15d-14(a) under the Securities Exchange Act of 1934, as Adopted Pursuant to Section 302 of the Sarbanes-Oxley Act of 2002.</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2.htm">
              <w:r>
                <w:rPr>
                  <w:rStyle w:val="InternetLink"/>
                  <w:rFonts w:ascii="Times New Roman" w:hAnsi="Times New Roman"/>
                  <w:color w:val="0000FF"/>
                  <w:sz w:val="20"/>
                  <w:u w:val="single"/>
                </w:rPr>
                <w:t>Certification of Principal Financial and Accounting Officer Pursuant to 18 U.S.C. Section 1350, as Adopted Pursuant to Section 906 of the Sarbanes-Oxley Act of 2002.</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Incentive Compensation Recoupment Policy</w:t>
              </w:r>
            </w:hyperlink>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10-K</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97.1</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3/28/2024</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Linkbases Document</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240" w:after="283"/>
        <w:jc w:val="left"/>
        <w:rPr>
          <w:rFonts w:ascii="Times New Roman" w:hAnsi="Times New Roman"/>
          <w:b/>
          <w:color w:val="000000"/>
          <w:sz w:val="20"/>
        </w:rPr>
      </w:pPr>
      <w:bookmarkStart w:id="56" w:name="item_16_form_10k_summary"/>
      <w:bookmarkEnd w:id="56"/>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7" w:name="signatures"/>
      <w:bookmarkEnd w:id="57"/>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Annual Report on Form 10-K to be signed on its behalf by the undersigned thereunto duly authorized.</w:t>
      </w:r>
    </w:p>
    <w:p>
      <w:pPr>
        <w:pStyle w:val="TextBody"/>
        <w:bidi w:val="0"/>
        <w:jc w:val="left"/>
        <w:rPr/>
      </w:pPr>
      <w:r>
        <w:rPr/>
        <w:t> </w:t>
      </w:r>
    </w:p>
    <w:tbl>
      <w:tblPr>
        <w:tblW w:w="5812" w:type="dxa"/>
        <w:jc w:val="left"/>
        <w:tblInd w:w="0" w:type="dxa"/>
        <w:tblLayout w:type="fixed"/>
        <w:tblCellMar>
          <w:top w:w="28" w:type="dxa"/>
          <w:left w:w="28" w:type="dxa"/>
          <w:bottom w:w="28" w:type="dxa"/>
          <w:right w:w="28" w:type="dxa"/>
        </w:tblCellMar>
      </w:tblPr>
      <w:tblGrid>
        <w:gridCol w:w="1891"/>
        <w:gridCol w:w="109"/>
        <w:gridCol w:w="406"/>
        <w:gridCol w:w="340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KODIAK SCIENCES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Date: March 31, 2026</w:t>
            </w:r>
          </w:p>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pPr>
            <w:r>
              <w:rPr/>
              <w:t> </w:t>
            </w:r>
          </w:p>
        </w:tc>
      </w:tr>
    </w:tbl>
    <w:p>
      <w:pPr>
        <w:pStyle w:val="TextBody"/>
        <w:bidi w:val="0"/>
        <w:jc w:val="left"/>
        <w:rPr/>
      </w:pPr>
      <w:bookmarkStart w:id="58" w:name="power_attorney"/>
      <w:bookmarkEnd w:id="58"/>
      <w:r>
        <w:rPr/>
        <w:t> </w:t>
      </w:r>
    </w:p>
    <w:p>
      <w:pPr>
        <w:pStyle w:val="TextBody"/>
        <w:bidi w:val="0"/>
        <w:jc w:val="center"/>
        <w:rPr>
          <w:rFonts w:ascii="Times New Roman" w:hAnsi="Times New Roman"/>
          <w:b/>
          <w:color w:val="000000"/>
          <w:sz w:val="20"/>
        </w:rPr>
      </w:pPr>
      <w:bookmarkStart w:id="59" w:name="power_of_atty"/>
      <w:bookmarkEnd w:id="59"/>
      <w:r>
        <w:rPr>
          <w:rFonts w:ascii="Times New Roman" w:hAnsi="Times New Roman"/>
          <w:b/>
          <w:color w:val="000000"/>
          <w:sz w:val="20"/>
        </w:rPr>
        <w:t>POWER OF ATTORNEY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Victor Perlroth and John Borgeson,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his or their substitute or substitutes, may lawfully do or cause to be done by virtue 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Annual Report on Form 10-K has been signed below by the following persons on behalf of the Registrant and in the capacities and on the dates indicated:</w:t>
      </w:r>
    </w:p>
    <w:p>
      <w:pPr>
        <w:pStyle w:val="TextBody"/>
        <w:bidi w:val="0"/>
        <w:jc w:val="left"/>
        <w:rPr/>
      </w:pPr>
      <w:r>
        <w:rPr/>
        <w:t> </w:t>
      </w:r>
    </w:p>
    <w:tbl>
      <w:tblPr>
        <w:tblW w:w="7600" w:type="dxa"/>
        <w:jc w:val="left"/>
        <w:tblInd w:w="0" w:type="dxa"/>
        <w:tblLayout w:type="fixed"/>
        <w:tblCellMar>
          <w:top w:w="28" w:type="dxa"/>
          <w:left w:w="28" w:type="dxa"/>
          <w:bottom w:w="28" w:type="dxa"/>
          <w:right w:w="28" w:type="dxa"/>
        </w:tblCellMar>
      </w:tblPr>
      <w:tblGrid>
        <w:gridCol w:w="2041"/>
        <w:gridCol w:w="146"/>
        <w:gridCol w:w="3826"/>
        <w:gridCol w:w="146"/>
        <w:gridCol w:w="144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0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Victor Perlroth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vMerge w:val="restart"/>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Chairman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Victor Perlroth,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vMerge w:val="continue"/>
            <w:tcBorders/>
            <w:tcMar>
              <w:top w:w="0" w:type="dxa"/>
              <w:left w:w="0" w:type="dxa"/>
              <w:bottom w:w="0" w:type="dxa"/>
              <w:right w:w="0" w:type="dxa"/>
            </w:tcMar>
            <w:vAlign w:val="center"/>
          </w:tcPr>
          <w:p>
            <w:pPr>
              <w:pStyle w:val="Normal"/>
              <w:bidi w:val="0"/>
              <w:jc w:val="left"/>
              <w:rPr/>
            </w:pPr>
            <w:r>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Borgeson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vMerge w:val="restart"/>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vMerge w:val="restart"/>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31, 2026</w:t>
            </w:r>
          </w:p>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Borgeson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vMerge w:val="continue"/>
            <w:tcBorders/>
            <w:tcMar>
              <w:top w:w="0" w:type="dxa"/>
              <w:left w:w="0" w:type="dxa"/>
              <w:bottom w:w="0" w:type="dxa"/>
              <w:right w:w="0" w:type="dxa"/>
            </w:tcMar>
            <w:vAlign w:val="center"/>
          </w:tcPr>
          <w:p>
            <w:pPr>
              <w:pStyle w:val="Normal"/>
              <w:bidi w:val="0"/>
              <w:jc w:val="left"/>
              <w:rPr/>
            </w:pPr>
            <w:r>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Felix J. Baker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vMerge w:val="restart"/>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31, 2026</w:t>
            </w:r>
          </w:p>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Felix J. Baker,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vMerge w:val="continue"/>
            <w:tcBorders/>
            <w:tcMar>
              <w:top w:w="0" w:type="dxa"/>
              <w:left w:w="0" w:type="dxa"/>
              <w:bottom w:w="0" w:type="dxa"/>
              <w:right w:w="0" w:type="dxa"/>
            </w:tcMar>
            <w:vAlign w:val="center"/>
          </w:tcPr>
          <w:p>
            <w:pPr>
              <w:pStyle w:val="Normal"/>
              <w:bidi w:val="0"/>
              <w:jc w:val="left"/>
              <w:rPr/>
            </w:pPr>
            <w:r>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Bancroft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vMerge w:val="restart"/>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31, 2026</w:t>
            </w:r>
          </w:p>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Bancroft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vMerge w:val="continue"/>
            <w:tcBorders/>
            <w:tcMar>
              <w:top w:w="0" w:type="dxa"/>
              <w:left w:w="0" w:type="dxa"/>
              <w:bottom w:w="0" w:type="dxa"/>
              <w:right w:w="0" w:type="dxa"/>
            </w:tcMar>
            <w:vAlign w:val="center"/>
          </w:tcPr>
          <w:p>
            <w:pPr>
              <w:pStyle w:val="Normal"/>
              <w:bidi w:val="0"/>
              <w:jc w:val="left"/>
              <w:rPr/>
            </w:pPr>
            <w:r>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Bassil I. Dahiyat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vMerge w:val="restart"/>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31, 2026</w:t>
            </w:r>
          </w:p>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Bassil I. Dahiyat,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vMerge w:val="continue"/>
            <w:tcBorders/>
            <w:tcMar>
              <w:top w:w="0" w:type="dxa"/>
              <w:left w:w="0" w:type="dxa"/>
              <w:bottom w:w="0" w:type="dxa"/>
              <w:right w:w="0" w:type="dxa"/>
            </w:tcMar>
            <w:vAlign w:val="center"/>
          </w:tcPr>
          <w:p>
            <w:pPr>
              <w:pStyle w:val="Normal"/>
              <w:bidi w:val="0"/>
              <w:jc w:val="left"/>
              <w:rPr/>
            </w:pPr>
            <w:r>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S. Levy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vMerge w:val="restart"/>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31, 2026</w:t>
            </w:r>
          </w:p>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S. Levy,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vMerge w:val="continue"/>
            <w:tcBorders/>
            <w:tcMar>
              <w:top w:w="0" w:type="dxa"/>
              <w:left w:w="0" w:type="dxa"/>
              <w:bottom w:w="0" w:type="dxa"/>
              <w:right w:w="0" w:type="dxa"/>
            </w:tcMar>
            <w:vAlign w:val="center"/>
          </w:tcPr>
          <w:p>
            <w:pPr>
              <w:pStyle w:val="Normal"/>
              <w:bidi w:val="0"/>
              <w:jc w:val="left"/>
              <w:rPr/>
            </w:pPr>
            <w:r>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A. Profusek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vMerge w:val="restart"/>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31, 2026</w:t>
            </w:r>
          </w:p>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A. Profusek, J.D.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vMerge w:val="continue"/>
            <w:tcBorders/>
            <w:tcMar>
              <w:top w:w="0" w:type="dxa"/>
              <w:left w:w="0" w:type="dxa"/>
              <w:bottom w:w="0" w:type="dxa"/>
              <w:right w:w="0" w:type="dxa"/>
            </w:tcMar>
            <w:vAlign w:val="center"/>
          </w:tcPr>
          <w:p>
            <w:pPr>
              <w:pStyle w:val="Normal"/>
              <w:bidi w:val="0"/>
              <w:jc w:val="left"/>
              <w:rPr/>
            </w:pPr>
            <w:r>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Taiyin Yang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vMerge w:val="restart"/>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31, 2026</w:t>
            </w:r>
          </w:p>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Taiyin Yang,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0" w:name="kod-ex21_1.htm"/>
      <w:bookmarkStart w:id="61" w:name="kskodex21_1"/>
      <w:bookmarkEnd w:id="60"/>
      <w:bookmarkEnd w:id="61"/>
      <w:r>
        <w:rPr>
          <w:rFonts w:ascii="Times New Roman" w:hAnsi="Times New Roman"/>
          <w:b/>
          <w:color w:val="000000"/>
          <w:sz w:val="20"/>
        </w:rPr>
        <w:t>Exhibit 21.1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SUBSIDIARIES OF KODIAK SCIENCES INC.</w:t>
      </w:r>
    </w:p>
    <w:p>
      <w:pPr>
        <w:pStyle w:val="TextBody"/>
        <w:bidi w:val="0"/>
        <w:jc w:val="left"/>
        <w:rPr>
          <w:rFonts w:ascii="Times New Roman" w:hAnsi="Times New Roman"/>
          <w:color w:val="000000"/>
          <w:sz w:val="20"/>
        </w:rPr>
      </w:pPr>
      <w:r>
        <w:rPr>
          <w:rFonts w:ascii="Times New Roman" w:hAnsi="Times New Roman"/>
          <w:color w:val="000000"/>
          <w:sz w:val="20"/>
        </w:rPr>
        <w:t>The following is a list of subsidiaries of Kodiak Sciences Inc. at December 31, 2025.</w:t>
      </w:r>
    </w:p>
    <w:tbl>
      <w:tblPr>
        <w:tblW w:w="7348" w:type="dxa"/>
        <w:jc w:val="left"/>
        <w:tblInd w:w="0" w:type="dxa"/>
        <w:tblLayout w:type="fixed"/>
        <w:tblCellMar>
          <w:top w:w="28" w:type="dxa"/>
          <w:left w:w="28" w:type="dxa"/>
          <w:bottom w:w="28" w:type="dxa"/>
          <w:right w:w="28" w:type="dxa"/>
        </w:tblCellMar>
      </w:tblPr>
      <w:tblGrid>
        <w:gridCol w:w="3376"/>
        <w:gridCol w:w="146"/>
        <w:gridCol w:w="382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Subsidiary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Jurisdiction of Incorporation or Formation</w:t>
            </w:r>
          </w:p>
        </w:tc>
      </w:tr>
      <w:tr>
        <w:trPr/>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Kodiak Sciences GmbH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Switzerland</w:t>
            </w:r>
          </w:p>
        </w:tc>
      </w:tr>
      <w:tr>
        <w:trPr/>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Kodiak Sciences Valais GmbH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Switzerland</w:t>
            </w:r>
          </w:p>
        </w:tc>
      </w:tr>
      <w:tr>
        <w:trPr/>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Kodiak Sciences Financing 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2" w:name="kod-ex23_1.htm"/>
      <w:bookmarkStart w:id="63" w:name="kskodex23_1"/>
      <w:bookmarkEnd w:id="62"/>
      <w:bookmarkEnd w:id="6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40" w:after="283"/>
        <w:jc w:val="left"/>
        <w:rPr>
          <w:rFonts w:ascii="Times New Roman" w:hAnsi="Times New Roman"/>
          <w:sz w:val="20"/>
        </w:rPr>
      </w:pPr>
      <w:r>
        <w:rPr>
          <w:rFonts w:ascii="Times New Roman" w:hAnsi="Times New Roman"/>
          <w:color w:val="000000"/>
          <w:sz w:val="20"/>
        </w:rPr>
        <w:t>We hereby consent to the incorporation by reference in the Registration Statements on Form S-3 (Nos. 333-271043 and 333-271946) and Form S</w:t>
        <w:noBreakHyphen/>
        <w:t>8 (Nos. 333-227755, 333-231503, 333-253751, 333-261670, 333-264829, 333-270907, 333-278339 and 333-286175) of Kodiak Sciences Inc. of our report dated March 31, 2026 relating to the financial statements, which appears in this Form 10-</w:t>
      </w:r>
      <w:r>
        <w:rPr>
          <w:rFonts w:ascii="Georgia;serif" w:hAnsi="Georgia;serif"/>
          <w:color w:val="000000"/>
          <w:sz w:val="20"/>
        </w:rPr>
        <w:t>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 PricewaterhouseCoopers LLP </w:t>
        <w:br/>
        <w:t>San Jose, California</w:t>
        <w:br/>
        <w:t>March 31,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4" w:name="kod-ex31_1.htm"/>
      <w:bookmarkStart w:id="65" w:name="kskodex31_1"/>
      <w:bookmarkEnd w:id="64"/>
      <w:bookmarkEnd w:id="6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Victor Perlroth, M.D.,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Kodiak 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12" w:type="dxa"/>
        <w:jc w:val="left"/>
        <w:tblInd w:w="0" w:type="dxa"/>
        <w:tblLayout w:type="fixed"/>
        <w:tblCellMar>
          <w:top w:w="28" w:type="dxa"/>
          <w:left w:w="28" w:type="dxa"/>
          <w:bottom w:w="28" w:type="dxa"/>
          <w:right w:w="28" w:type="dxa"/>
        </w:tblCellMar>
      </w:tblPr>
      <w:tblGrid>
        <w:gridCol w:w="1891"/>
        <w:gridCol w:w="109"/>
        <w:gridCol w:w="406"/>
        <w:gridCol w:w="340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6" w:name="kod-ex31_2.htm"/>
      <w:bookmarkStart w:id="67" w:name="kskodex31_2"/>
      <w:bookmarkEnd w:id="66"/>
      <w:bookmarkEnd w:id="6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Borgeson,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Kodiak 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37" w:type="dxa"/>
        <w:jc w:val="left"/>
        <w:tblInd w:w="0" w:type="dxa"/>
        <w:tblLayout w:type="fixed"/>
        <w:tblCellMar>
          <w:top w:w="28" w:type="dxa"/>
          <w:left w:w="28" w:type="dxa"/>
          <w:bottom w:w="28" w:type="dxa"/>
          <w:right w:w="28" w:type="dxa"/>
        </w:tblCellMar>
      </w:tblPr>
      <w:tblGrid>
        <w:gridCol w:w="1891"/>
        <w:gridCol w:w="109"/>
        <w:gridCol w:w="406"/>
        <w:gridCol w:w="39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8" w:name="kod-ex32_1.htm"/>
      <w:bookmarkStart w:id="69" w:name="kskodex32_1"/>
      <w:bookmarkEnd w:id="68"/>
      <w:bookmarkEnd w:id="6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Kodiak Sciences Inc. (the “Company”) on Form 10-K for the fiscal year ended December 31, 2025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812" w:type="dxa"/>
        <w:jc w:val="left"/>
        <w:tblInd w:w="0" w:type="dxa"/>
        <w:tblLayout w:type="fixed"/>
        <w:tblCellMar>
          <w:top w:w="28" w:type="dxa"/>
          <w:left w:w="28" w:type="dxa"/>
          <w:bottom w:w="28" w:type="dxa"/>
          <w:right w:w="28" w:type="dxa"/>
        </w:tblCellMar>
      </w:tblPr>
      <w:tblGrid>
        <w:gridCol w:w="1891"/>
        <w:gridCol w:w="109"/>
        <w:gridCol w:w="406"/>
        <w:gridCol w:w="340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0" w:name="kod-ex32_2.htm"/>
      <w:bookmarkStart w:id="71" w:name="kskodex32_2"/>
      <w:bookmarkEnd w:id="70"/>
      <w:bookmarkEnd w:id="7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Kodiak Sciences Inc. (the “Company”) on Form 10-K for the fiscal year ended December 31, 2025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337" w:type="dxa"/>
        <w:jc w:val="left"/>
        <w:tblInd w:w="0" w:type="dxa"/>
        <w:tblLayout w:type="fixed"/>
        <w:tblCellMar>
          <w:top w:w="28" w:type="dxa"/>
          <w:left w:w="28" w:type="dxa"/>
          <w:bottom w:w="28" w:type="dxa"/>
          <w:right w:w="28" w:type="dxa"/>
        </w:tblCellMar>
      </w:tblPr>
      <w:tblGrid>
        <w:gridCol w:w="1891"/>
        <w:gridCol w:w="109"/>
        <w:gridCol w:w="406"/>
        <w:gridCol w:w="39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468748/000156459018029743/kod-ex31_303.htm" TargetMode="External"/><Relationship Id="rId3" Type="http://schemas.openxmlformats.org/officeDocument/2006/relationships/hyperlink" Target="https://www.sec.gov/Archives/edgar/data/0001468748/000156459018029743/kod-ex31_303.htm" TargetMode="External"/><Relationship Id="rId4" Type="http://schemas.openxmlformats.org/officeDocument/2006/relationships/hyperlink" Target="https://www.sec.gov/Archives/edgar/data/0001468748/000156459018029743/kod-ex32_302.htm" TargetMode="External"/><Relationship Id="rId5" Type="http://schemas.openxmlformats.org/officeDocument/2006/relationships/hyperlink" Target="https://www.sec.gov/Archives/edgar/data/0001468748/000119312518280419/d516071dex41.htm" TargetMode="External"/><Relationship Id="rId6" Type="http://schemas.openxmlformats.org/officeDocument/2006/relationships/hyperlink" Target="https://www.sec.gov/Archives/edgar/data/0001468748/000119312518280419/d516071dex42.htm" TargetMode="External"/><Relationship Id="rId7" Type="http://schemas.openxmlformats.org/officeDocument/2006/relationships/hyperlink" Target="https://www.sec.gov/Archives/edgar/data/1468748/000156459020011186/kod-ex46_599.htm" TargetMode="External"/><Relationship Id="rId8" Type="http://schemas.openxmlformats.org/officeDocument/2006/relationships/hyperlink" Target="https://www.sec.gov/Archives/edgar/data/1468748/000156459021009946/kod-ex47_8.htm" TargetMode="External"/><Relationship Id="rId9" Type="http://schemas.openxmlformats.org/officeDocument/2006/relationships/hyperlink" Target="https://www.sec.gov/Archives/edgar/data/0001468748/000119312518280419/d516071dex101.htm" TargetMode="External"/><Relationship Id="rId10" Type="http://schemas.openxmlformats.org/officeDocument/2006/relationships/hyperlink" Target="https://www.sec.gov/Archives/edgar/data/0001468748/000119312518269221/d516071dex102.htm" TargetMode="External"/><Relationship Id="rId11" Type="http://schemas.openxmlformats.org/officeDocument/2006/relationships/hyperlink" Target="https://www.sec.gov/Archives/edgar/data/0001468748/000119312518269221/d516071dex103.htm" TargetMode="External"/><Relationship Id="rId12" Type="http://schemas.openxmlformats.org/officeDocument/2006/relationships/hyperlink" Target="https://www.sec.gov/Archives/edgar/data/0001468748/000119312518269221/d516071dex104.htm" TargetMode="External"/><Relationship Id="rId13" Type="http://schemas.openxmlformats.org/officeDocument/2006/relationships/hyperlink" Target="https://www.sec.gov/Archives/edgar/data/0001468748/000119312518269221/d516071dex105.htm" TargetMode="External"/><Relationship Id="rId14" Type="http://schemas.openxmlformats.org/officeDocument/2006/relationships/hyperlink" Target="https://www.sec.gov/Archives/edgar/data/0001468748/000119312518280419/d516071dex106.htm" TargetMode="External"/><Relationship Id="rId15" Type="http://schemas.openxmlformats.org/officeDocument/2006/relationships/hyperlink" Target="https://www.sec.gov/Archives/edgar/data/0001468748/000119312518280419/d516071dex107.htm" TargetMode="External"/><Relationship Id="rId16" Type="http://schemas.openxmlformats.org/officeDocument/2006/relationships/hyperlink" Target="https://www.sec.gov/Archives/edgar/data/0001468748/000119312518280419/d516071dex108.htm" TargetMode="External"/><Relationship Id="rId17" Type="http://schemas.openxmlformats.org/officeDocument/2006/relationships/hyperlink" Target="https://www.sec.gov/Archives/edgar/data/0001468748/000119312518280419/d516071dex109.htm" TargetMode="External"/><Relationship Id="rId18" Type="http://schemas.openxmlformats.org/officeDocument/2006/relationships/hyperlink" Target="https://www.sec.gov/Archives/edgar/data/0001468748/000119312518280419/d516071dex1010.htm" TargetMode="External"/><Relationship Id="rId19" Type="http://schemas.openxmlformats.org/officeDocument/2006/relationships/hyperlink" Target="https://www.sec.gov/Archives/edgar/data/0001468748/000119312518280419/d516071dex1011.htm" TargetMode="External"/><Relationship Id="rId20" Type="http://schemas.openxmlformats.org/officeDocument/2006/relationships/hyperlink" Target="https://www.sec.gov/Archives/edgar/data/0001468748/000119312518280419/d516071dex1012.htm" TargetMode="External"/><Relationship Id="rId21" Type="http://schemas.openxmlformats.org/officeDocument/2006/relationships/hyperlink" Target="https://www.sec.gov/Archives/edgar/data/0001468748/000119312518280419/d516071dex1015.htm" TargetMode="External"/><Relationship Id="rId22" Type="http://schemas.openxmlformats.org/officeDocument/2006/relationships/hyperlink" Target="https://www.sec.gov/Archives/edgar/data/0001468748/000119312519303683/d814017dex101.htm" TargetMode="External"/><Relationship Id="rId23" Type="http://schemas.openxmlformats.org/officeDocument/2006/relationships/hyperlink" Target="https://www.sec.gov/Archives/edgar/data/1468748/000156459020038897/kod-ex101_1339.htm" TargetMode="External"/><Relationship Id="rId24" Type="http://schemas.openxmlformats.org/officeDocument/2006/relationships/hyperlink" Target="https://www.sec.gov/Archives/edgar/data/1468748/000156459020038897/kod-ex102_1338.htm" TargetMode="External"/><Relationship Id="rId25" Type="http://schemas.openxmlformats.org/officeDocument/2006/relationships/hyperlink" Target="https://www.sec.gov/Archives/edgar/data/0001468748/000095017021000510/kod-20210721ex10_1.htm" TargetMode="External"/><Relationship Id="rId26" Type="http://schemas.openxmlformats.org/officeDocument/2006/relationships/hyperlink" Target="https://www.sec.gov/Archives/edgar/data/1468748/000095017021003800/kod-ex10_1.htm" TargetMode="External"/><Relationship Id="rId27" Type="http://schemas.openxmlformats.org/officeDocument/2006/relationships/hyperlink" Target="https://www.sec.gov/Archives/edgar/data/1468748/000119312525324882/d76494dex11.htm" TargetMode="External"/><Relationship Id="rId28" Type="http://schemas.openxmlformats.org/officeDocument/2006/relationships/hyperlink" Target="https://www.sec.gov/Archives/edgar/data/1468748/000095017025046098/kod-ex19_1.htm" TargetMode="External"/><Relationship Id="rId29" Type="http://schemas.openxmlformats.org/officeDocument/2006/relationships/hyperlink" Target="https://www.sec.gov/Archives/edgar/data/1468748/000095017024038025/kod-ex97_1.htm"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76709</Words>
  <Characters>434461</Characters>
  <CharactersWithSpaces>511750</CharactersWithSpaces>
  <Paragraphs>6889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