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-95885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900" w:right="1740" w:hanging="3892"/>
        <w:spacing w:after="0" w:line="39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83" w:lineRule="exact"/>
        <w:rPr>
          <w:sz w:val="24"/>
          <w:szCs w:val="24"/>
          <w:color w:val="auto"/>
        </w:rPr>
      </w:pPr>
    </w:p>
    <w:p>
      <w:pPr>
        <w:ind w:left="3560" w:right="1740" w:hanging="3552"/>
        <w:spacing w:after="0" w:line="375" w:lineRule="auto"/>
        <w:tabs>
          <w:tab w:leader="none" w:pos="52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001-38682</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27-0476525</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223"/>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2631 Hanover Street</w:t>
            </w:r>
          </w:p>
        </w:tc>
        <w:tc>
          <w:tcPr>
            <w:tcW w:w="3100" w:type="dxa"/>
            <w:vAlign w:val="bottom"/>
          </w:tcPr>
          <w:p>
            <w:pPr>
              <w:spacing w:after="0"/>
              <w:rPr>
                <w:sz w:val="19"/>
                <w:szCs w:val="19"/>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Palo Alto, CA</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94304</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4" w:lineRule="exact"/>
        <w:rPr>
          <w:sz w:val="24"/>
          <w:szCs w:val="24"/>
          <w:color w:val="auto"/>
        </w:rPr>
      </w:pPr>
    </w:p>
    <w:p>
      <w:pPr>
        <w:ind w:right="180" w:firstLine="518"/>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ind w:right="60" w:firstLine="518"/>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ind w:right="2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8" w:lineRule="exact"/>
        <w:rPr>
          <w:sz w:val="24"/>
          <w:szCs w:val="24"/>
          <w:color w:val="auto"/>
        </w:rPr>
      </w:pPr>
    </w:p>
    <w:p>
      <w:pPr>
        <w:ind w:right="24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left="520"/>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321"/>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KOD</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98"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April 30, 2019, the registrant had 36,911,857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537210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70" w:lineRule="exact"/>
        <w:rPr>
          <w:sz w:val="20"/>
          <w:szCs w:val="20"/>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and clinical trials;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into future clinical trials in humans;</w:t>
      </w:r>
    </w:p>
    <w:p>
      <w:pPr>
        <w:spacing w:after="0" w:line="117" w:lineRule="exact"/>
        <w:rPr>
          <w:rFonts w:ascii="Arial" w:cs="Arial" w:eastAsia="Arial" w:hAnsi="Arial"/>
          <w:sz w:val="18"/>
          <w:szCs w:val="18"/>
          <w:color w:val="auto"/>
        </w:rPr>
      </w:pPr>
    </w:p>
    <w:p>
      <w:pPr>
        <w:ind w:left="640" w:right="34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whether our planned Phase 2 trial in wet AMD will be considered a pivotal trial by the U.S. Food and Drug Administration, or FDA;</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640" w:right="6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640" w:right="54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if approved for commercial use, and our ability to serve those markets;</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640" w:right="62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640" w:right="260" w:hanging="119"/>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the proceeds from our initial public offering.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ind w:firstLine="518"/>
        <w:spacing w:after="0" w:line="291" w:lineRule="auto"/>
        <w:rPr>
          <w:sz w:val="20"/>
          <w:szCs w:val="20"/>
          <w:color w:val="auto"/>
        </w:rPr>
      </w:pPr>
      <w:r>
        <w:rPr>
          <w:rFonts w:ascii="Arial" w:cs="Arial" w:eastAsia="Arial" w:hAnsi="Arial"/>
          <w:sz w:val="16"/>
          <w:szCs w:val="16"/>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5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460" w:type="dxa"/>
            <w:vAlign w:val="bottom"/>
            <w:gridSpan w:val="19"/>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Loss</w:t>
              </w:r>
            </w:hyperlink>
          </w:p>
        </w:tc>
        <w:tc>
          <w:tcPr>
            <w:tcW w:w="392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 (Deficit)</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6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440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66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Controls and Procedures</w:t>
              </w:r>
            </w:hyperlink>
          </w:p>
        </w:tc>
        <w:tc>
          <w:tcPr>
            <w:tcW w:w="766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OTHER INFORMATION</w:t>
              </w:r>
            </w:hyperlink>
          </w:p>
        </w:tc>
        <w:tc>
          <w:tcPr>
            <w:tcW w:w="756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Unregistered Sales of Equity Securities and Use of Proceeds</w:t>
              </w:r>
            </w:hyperlink>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Defaults Upon Senior Securities</w:t>
              </w:r>
            </w:hyperlink>
          </w:p>
        </w:tc>
        <w:tc>
          <w:tcPr>
            <w:tcW w:w="712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Mine Safety Disclosures</w:t>
              </w:r>
            </w:hyperlink>
          </w:p>
        </w:tc>
        <w:tc>
          <w:tcPr>
            <w:tcW w:w="768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814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780" w:type="dxa"/>
            <w:vAlign w:val="bottom"/>
          </w:tcPr>
          <w:p>
            <w:pPr>
              <w:jc w:val="center"/>
              <w:ind w:left="3570"/>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780" w:type="dxa"/>
            <w:vAlign w:val="bottom"/>
          </w:tcPr>
          <w:p>
            <w:pPr>
              <w:jc w:val="center"/>
              <w:ind w:left="3570"/>
              <w:spacing w:after="0"/>
              <w:rPr>
                <w:sz w:val="20"/>
                <w:szCs w:val="20"/>
                <w:color w:val="auto"/>
              </w:rPr>
            </w:pPr>
            <w:r>
              <w:rPr>
                <w:rFonts w:ascii="Arial" w:cs="Arial" w:eastAsia="Arial" w:hAnsi="Arial"/>
                <w:sz w:val="18"/>
                <w:szCs w:val="18"/>
                <w:b w:val="1"/>
                <w:bCs w:val="1"/>
                <w:color w:val="auto"/>
                <w:w w:val="89"/>
              </w:rPr>
              <w:t>Kodiak Sciences Inc.</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57,222</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87,077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1,754</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490,000,000 shares authorized at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March 31, 2019 and December 31, 2018; 36,909,857 and 36,829,857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shares issued and outstanding at March 31, 2019 and</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December 31, 2018, respectively</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198,835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(118,750)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(110,766)</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80" w:type="dxa"/>
            <w:vAlign w:val="bottom"/>
          </w:tcPr>
          <w:p>
            <w:pPr>
              <w:jc w:val="center"/>
              <w:ind w:left="3570"/>
              <w:spacing w:after="0"/>
              <w:rPr>
                <w:sz w:val="20"/>
                <w:szCs w:val="20"/>
                <w:color w:val="auto"/>
              </w:rPr>
            </w:pPr>
            <w:r>
              <w:rPr>
                <w:rFonts w:ascii="Arial" w:cs="Arial" w:eastAsia="Arial" w:hAnsi="Arial"/>
                <w:sz w:val="18"/>
                <w:szCs w:val="18"/>
                <w:b w:val="1"/>
                <w:bCs w:val="1"/>
                <w:color w:val="auto"/>
                <w:w w:val="89"/>
              </w:rPr>
              <w:t>Kodiak Sciences Inc.</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600" w:type="dxa"/>
            <w:vAlign w:val="bottom"/>
            <w:gridSpan w:val="5"/>
          </w:tcPr>
          <w:p>
            <w:pPr>
              <w:jc w:val="center"/>
              <w:ind w:left="175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Loss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5,723</w:t>
            </w:r>
          </w:p>
        </w:tc>
        <w:tc>
          <w:tcPr>
            <w:tcW w:w="160" w:type="dxa"/>
            <w:vAlign w:val="bottom"/>
          </w:tcPr>
          <w:p>
            <w:pPr>
              <w:spacing w:after="0"/>
              <w:rPr>
                <w:sz w:val="19"/>
                <w:szCs w:val="19"/>
                <w:color w:val="auto"/>
              </w:rPr>
            </w:pPr>
          </w:p>
        </w:tc>
        <w:tc>
          <w:tcPr>
            <w:tcW w:w="5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(includes $862 attributable to related parties for the three months</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ended March 31, 2018)</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Other income (expense), net (includes $1,394 other expense attributable to related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parties for the three months ended March 31, 2018)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4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FF0FC"/>
            </w:tcBorders>
            <w:vMerge w:val="continue"/>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in computing net loss per common</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share, basic and diluted</w:t>
            </w: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37,248,165</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7,684,045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gains related to available-for-sale debt securities, net of tax</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9"/>
          </w:tcPr>
          <w:p>
            <w:pPr>
              <w:ind w:left="800"/>
              <w:spacing w:after="0"/>
              <w:rPr>
                <w:sz w:val="20"/>
                <w:szCs w:val="20"/>
                <w:color w:val="auto"/>
              </w:rPr>
            </w:pPr>
            <w:r>
              <w:rPr>
                <w:rFonts w:ascii="Arial" w:cs="Arial" w:eastAsia="Arial" w:hAnsi="Arial"/>
                <w:sz w:val="16"/>
                <w:szCs w:val="16"/>
                <w:b w:val="1"/>
                <w:bCs w:val="1"/>
                <w:color w:val="auto"/>
              </w:rPr>
              <w:t>Three Months Ended March 31, 2019</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7"/>
                <w:szCs w:val="17"/>
                <w:color w:val="auto"/>
              </w:rPr>
            </w:pPr>
          </w:p>
        </w:tc>
        <w:tc>
          <w:tcPr>
            <w:tcW w:w="198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89"/>
              </w:rPr>
              <w:t>Redeemable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980" w:type="dxa"/>
            <w:vAlign w:val="bottom"/>
            <w:tcBorders>
              <w:right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3"/>
              </w:rPr>
              <w:t>Convertible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82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w w:val="94"/>
              </w:rPr>
              <w:t>Stockholders’</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980" w:type="dxa"/>
            <w:vAlign w:val="bottom"/>
            <w:tcBorders>
              <w:right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2"/>
              </w:rPr>
              <w:t>Preferred Stock</w:t>
            </w:r>
          </w:p>
        </w:tc>
        <w:tc>
          <w:tcPr>
            <w:tcW w:w="1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Paid-In</w:t>
            </w:r>
          </w:p>
        </w:tc>
        <w:tc>
          <w:tcPr>
            <w:tcW w:w="152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0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bottom w:val="single" w:sz="8" w:color="CFF0FC"/>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(Deficit)</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Balances at December 31, 2018</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36,829,857</w:t>
            </w:r>
          </w:p>
        </w:tc>
        <w:tc>
          <w:tcPr>
            <w:tcW w:w="6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197,595</w:t>
            </w:r>
          </w:p>
        </w:tc>
        <w:tc>
          <w:tcPr>
            <w:tcW w:w="10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(110,766)</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rPr>
              <w:t>Issuance of common stock upon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80,000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(7,984)</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(7,984)</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6"/>
                <w:szCs w:val="16"/>
                <w:color w:val="auto"/>
              </w:rPr>
              <w:t>Balances at March 31, 2019</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0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36,909,857</w:t>
            </w:r>
          </w:p>
        </w:tc>
        <w:tc>
          <w:tcPr>
            <w:tcW w:w="6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198,835</w:t>
            </w:r>
          </w:p>
        </w:tc>
        <w:tc>
          <w:tcPr>
            <w:tcW w:w="10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(118,750)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9"/>
          </w:tcPr>
          <w:p>
            <w:pPr>
              <w:ind w:left="800"/>
              <w:spacing w:after="0"/>
              <w:rPr>
                <w:sz w:val="20"/>
                <w:szCs w:val="20"/>
                <w:color w:val="auto"/>
              </w:rPr>
            </w:pPr>
            <w:r>
              <w:rPr>
                <w:rFonts w:ascii="Arial" w:cs="Arial" w:eastAsia="Arial" w:hAnsi="Arial"/>
                <w:sz w:val="16"/>
                <w:szCs w:val="16"/>
                <w:b w:val="1"/>
                <w:bCs w:val="1"/>
                <w:color w:val="auto"/>
              </w:rPr>
              <w:t>Three Months Ended March 31, 2018</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7"/>
                <w:szCs w:val="17"/>
                <w:color w:val="auto"/>
              </w:rPr>
            </w:pPr>
          </w:p>
        </w:tc>
        <w:tc>
          <w:tcPr>
            <w:tcW w:w="198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89"/>
              </w:rPr>
              <w:t>Redeemable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980" w:type="dxa"/>
            <w:vAlign w:val="bottom"/>
            <w:tcBorders>
              <w:right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3"/>
              </w:rPr>
              <w:t>Convertible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82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w w:val="94"/>
              </w:rPr>
              <w:t>Stockholders’</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980" w:type="dxa"/>
            <w:vAlign w:val="bottom"/>
            <w:tcBorders>
              <w:right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2"/>
              </w:rPr>
              <w:t>Preferred Stock</w:t>
            </w:r>
          </w:p>
        </w:tc>
        <w:tc>
          <w:tcPr>
            <w:tcW w:w="1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Paid-In</w:t>
            </w:r>
          </w:p>
        </w:tc>
        <w:tc>
          <w:tcPr>
            <w:tcW w:w="152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0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bottom w:val="single" w:sz="8" w:color="CFF0FC"/>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(Deficit)</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Balances at December 31, 2017</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12,385,154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50,017</w:t>
            </w: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7,936,434</w:t>
            </w:r>
          </w:p>
        </w:tc>
        <w:tc>
          <w:tcPr>
            <w:tcW w:w="6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0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(69,323)</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(68,738)</w:t>
            </w:r>
          </w:p>
        </w:tc>
        <w:tc>
          <w:tcPr>
            <w:tcW w:w="0" w:type="dxa"/>
            <w:vAlign w:val="bottom"/>
          </w:tcPr>
          <w:p>
            <w:pPr>
              <w:spacing w:after="0"/>
              <w:rPr>
                <w:sz w:val="1"/>
                <w:szCs w:val="1"/>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rPr>
              <w:t>Issuance of common stock upon</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(8,920)</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(8,920)</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at March 31, 2018</w:t>
            </w: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12,385,154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50,017</w:t>
            </w: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7,936,734</w:t>
            </w:r>
          </w:p>
        </w:tc>
        <w:tc>
          <w:tcPr>
            <w:tcW w:w="6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w:t>
            </w:r>
          </w:p>
        </w:tc>
        <w:tc>
          <w:tcPr>
            <w:tcW w:w="10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(78,243)</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(77,566)</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gridSpan w:val="5"/>
          </w:tcPr>
          <w:p>
            <w:pPr>
              <w:jc w:val="right"/>
              <w:ind w:right="225"/>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(7,984)</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 expense and amortization of debt discount and issuance cost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 instrument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discount on available-for-sale investments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Operating lease right-of-use asset</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Accrued and other current liabilities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Operating lease liability</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(11,259)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Purchase of available-for-sale investments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(23,865)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(23,872)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convertible notes (includes $9,560 from related</w:t>
            </w:r>
          </w:p>
        </w:tc>
        <w:tc>
          <w:tcPr>
            <w:tcW w:w="9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parties for the three months ended March 31, 2018)</w:t>
            </w:r>
          </w:p>
        </w:tc>
        <w:tc>
          <w:tcPr>
            <w:tcW w:w="9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payments of capital lease</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payments of tenant improvement allowance payable</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(31,032)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00" w:type="dxa"/>
            <w:vAlign w:val="bottom"/>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Reconciliation of cash, cash equivalents and restricted cash to statement of financial</w:t>
            </w:r>
          </w:p>
        </w:tc>
        <w:tc>
          <w:tcPr>
            <w:tcW w:w="9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position</w:t>
            </w:r>
          </w:p>
        </w:tc>
        <w:tc>
          <w:tcPr>
            <w:tcW w:w="9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57,222</w:t>
            </w:r>
          </w:p>
        </w:tc>
        <w:tc>
          <w:tcPr>
            <w:tcW w:w="160" w:type="dxa"/>
            <w:vAlign w:val="bottom"/>
          </w:tcPr>
          <w:p>
            <w:pPr>
              <w:spacing w:after="0"/>
              <w:rPr>
                <w:sz w:val="19"/>
                <w:szCs w:val="19"/>
                <w:color w:val="auto"/>
              </w:rPr>
            </w:pP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in statement of financial position</w:t>
            </w:r>
          </w:p>
        </w:tc>
        <w:tc>
          <w:tcPr>
            <w:tcW w:w="900" w:type="dxa"/>
            <w:vAlign w:val="bottom"/>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 under accounts payable</w:t>
            </w:r>
          </w:p>
        </w:tc>
        <w:tc>
          <w:tcPr>
            <w:tcW w:w="18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Issuance of derivative instrument related to convertible notes payable</w:t>
            </w:r>
          </w:p>
        </w:tc>
        <w:tc>
          <w:tcPr>
            <w:tcW w:w="18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Unpaid offering costs</w:t>
            </w:r>
          </w:p>
        </w:tc>
        <w:tc>
          <w:tcPr>
            <w:tcW w:w="18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Kodiak Sciences Inc. (the “Company”) is a clinical-stage biopharmaceutical company specializing in novel therapeutics to treat high-prevalence ophthalmic diseases. The Company devotes substantially all of its time and efforts to performing research and development, raising capital and recruiting personnel.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The Company has incurred significant losses and negative cash flows from operations since inception and had an accumulated deficit of $118.8 million as of March 31, 2019. The Company has historically financed its operations primarily through the sale of redeemable convertible preferred stock, convertible notes, warrants and the sale of common stock in its initial public offering (“IPO”). To date, none of the Company’s product candidates have been approved for sale and therefore, the Company has not generated any revenue from product sales. Management expects operating losses to continue for the foreseeable future. The Company currently plans to raise additional funding as required based on the status of its clinical trials and projected cash flows, however the Company believes that its cash and cash equivalents and marketable securities as of March 31, 2019 are sufficient for the Company to continue as a going concern for at least 12 months from the issuance date of these condensed consolidated financial statements for the period ended March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520" w:firstLine="518"/>
        <w:spacing w:after="0" w:line="312"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accounting principles generally accepted in the United States (“GAAP”) applicable to interim periods and, in the opinion of management, include all normal and recurring adjustments which are necessary to present fairly the Company's financial position and results of operations for the reported periods.</w:t>
      </w:r>
    </w:p>
    <w:p>
      <w:pPr>
        <w:spacing w:after="0" w:line="3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These condensed consolidated financial statements have been prepared on a basis substantially consistent with, and should be read in conjunction with, the audited financial statements for the year ended December 31, 2018 and notes thereto, included in the Company’s Annual Report on Form 10-K filed with the Securities and Exchange Commission (“SEC”) on March 27, 2019. The year-end condensed balance sheet data was derived from audited financial statements, but does not include all disclosures required by GAAP. Certain information and note disclosures normally included in the audited financial statements prepared in accordance with GAAP have been condensed or omitted from this report, as is permitted by such rules and regulations. The results of operations for any interim period are not necessarily indicative of the results for the year ending December 31, 2019, or for any future period.</w:t>
      </w:r>
    </w:p>
    <w:p>
      <w:pPr>
        <w:spacing w:after="0" w:line="5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2019 are consistent with those discussed in Note 2 to the consolidated financial statements in the Company’s Annual Report on Form 10-K for the year ended December 31, 2018, except as noted below with respect to the Company’s lease and marketable securities accounting policies and as noted within the “Recent Accounting Pronouncements – Recently Adopted Accounting Pronouncements” section.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The Company has elected not to recognize leases with terms of one year or less on the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invests excess cash balances in short-term marketable securities. The investments in marketable securities are classified as either held-to-maturity or available-for-sale based on facts and circumstances present at the time of purchase.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Equity securities with readily determinable fair values are also carried at fair value with unrealized gains and losses included in other income (expense), net. Realized gains and losses on both debt and equity securities are determined using the specific identification method and are included in other income (expense), net.</w:t>
      </w:r>
    </w:p>
    <w:p>
      <w:pPr>
        <w:spacing w:after="0" w:line="5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under its Accounting Standards Codification (“ASC”) or other standard setting bodies, and adopted by the Company as of the specified effective date, unless otherwise discussed below.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set out the principles for the recognition, measurement, presentation and disclosure of leases for both parties to a contract (i.e. lessees and lessors). In July 2018, the FASB issued ASU 2018-10, </w:t>
      </w:r>
      <w:r>
        <w:rPr>
          <w:rFonts w:ascii="Arial" w:cs="Arial" w:eastAsia="Arial" w:hAnsi="Arial"/>
          <w:sz w:val="18"/>
          <w:szCs w:val="18"/>
          <w:i w:val="1"/>
          <w:iCs w:val="1"/>
          <w:color w:val="auto"/>
        </w:rPr>
        <w:t>Leases (Topic 842), 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w:t>
      </w:r>
      <w:r>
        <w:rPr>
          <w:rFonts w:ascii="Arial" w:cs="Arial" w:eastAsia="Arial" w:hAnsi="Arial"/>
          <w:sz w:val="18"/>
          <w:szCs w:val="18"/>
          <w:color w:val="auto"/>
        </w:rPr>
        <w:t>, and ASU 2018-11,</w:t>
      </w:r>
      <w:r>
        <w:rPr>
          <w:rFonts w:ascii="Arial" w:cs="Arial" w:eastAsia="Arial" w:hAnsi="Arial"/>
          <w:sz w:val="18"/>
          <w:szCs w:val="18"/>
          <w:i w:val="1"/>
          <w:iCs w:val="1"/>
          <w:color w:val="auto"/>
        </w:rPr>
        <w:t xml:space="preserve"> Leases (Topic 842), Targeted Improvements</w:t>
      </w:r>
      <w:r>
        <w:rPr>
          <w:rFonts w:ascii="Arial" w:cs="Arial" w:eastAsia="Arial" w:hAnsi="Arial"/>
          <w:sz w:val="18"/>
          <w:szCs w:val="18"/>
          <w:color w:val="auto"/>
        </w:rPr>
        <w:t>. ASU 2018-10 clarified certain provisions and corrected unintended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guidance such as the application of implicit rate, lessee reassessment of lease classification, and certain transition adjustments that should be recognized to earnings rather than to stockholders' equity. ASU 2018-11 provided an alternative transition method and practical expedient for separating contract components for the adoption of Topic 842. ASU 2016-02, ASU 2018-10, and ASU 2018-11 (collectively, "the new lease standards") superseded the previous leases standard,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8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adopted the new lease standards as of January 1, 2019 using the modified retrospective approach to recognize a cumulative-effect adjustment on the effective date and to not adjust financial information and disclosures required under the new lease standards for comparative prior periods. The Company did not elect for the package of practical expedients and assessed all contracts at the transition date. The Company did not utilize the practical expedient which allows the use of hindsight in determining lease term and assessing impairment in right-of-use assets. The Company elected to apply the practical expedient and accounted for each lease component and related non-lease component as one single component. The Company elected not to recognize leases with terms of one year or less on the balance sheet.</w:t>
      </w:r>
    </w:p>
    <w:p>
      <w:pPr>
        <w:spacing w:after="0" w:line="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adoption of the new lease standards on January 1, 2019 resulted in the initial recognition of right-of-use asset of $2.2 million and operating lease liability of $2.3 million related to the operating lease for the Company’s office and laboratory space in Palo Alto, California on the consolidated balance sheets with no material impact to the consolidated statements of operations, stockholders’ equity or cash flows. Refer to Note 6.</w:t>
      </w:r>
    </w:p>
    <w:p>
      <w:pPr>
        <w:spacing w:after="0" w:line="5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This update simplifies the accounting for certain financial instruments with down round features, a provision in an equity-linked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(or embedded feature) that provides a downward adjustment of the current exercise price based on the price of future equity offerings. Down round features are common in warrants, preferred shares, and convertible debt instruments issued by private companies and early-stage public companies. This update requires companies to disregard the down round feature when assessing whether the instrument is indexed to</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its own stock, for purposes of determining liability or equity classification. ASU 2017-11 is effective for interim and annual periods beginning after December 15, 2018. The Company adopted this new guidance as of January 1, 2019, which did not result in a material impact on its consolidated financial statements and related disclosures.</w:t>
      </w:r>
    </w:p>
    <w:p>
      <w:pPr>
        <w:spacing w:after="0" w:line="73"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expands the scope of Topic 718 to include all share-based payment transactions for acquiring goods and services from</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ASU 2018-07 is effective for interim and annual periods beginning after December 15, 2018. The Company adopted this new guidance as of January 1, 2019, which did not result in a material impact on its consolidated financial statements and related disclosures.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362):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which intends to improve financial reporting by requiring earlier recognition of credit losses on certain financial assets, such as available-for-sale</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The standard is effective for interim and annual periods after December 15, 2019. Early adoption is permitted. The Company is currently evaluating the impact of adopting this guidance on its consolidated financial statements and related disclosures.</w:t>
      </w:r>
    </w:p>
    <w:p>
      <w:pPr>
        <w:spacing w:after="0" w:line="63"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Measurements</w:t>
      </w:r>
      <w:r>
        <w:rPr>
          <w:rFonts w:ascii="Arial" w:cs="Arial" w:eastAsia="Arial" w:hAnsi="Arial"/>
          <w:sz w:val="17"/>
          <w:szCs w:val="17"/>
          <w:color w:val="auto"/>
        </w:rPr>
        <w:t>, which eliminates, adds and modifies certain disclosure requirements for fair value measurements as part of the FASB’s disclosure framework project. The standard is effective for interim and annual periods beginning after December 15, 2019. The standard specifies certain amendments which should be applied prospectively while all other amendments should be applied retrospectively. Early adoption is permitted. The Company is currently evaluating the impact of adopting this guidance on its consolidated financial statements and related disclosures.</w:t>
      </w:r>
    </w:p>
    <w:p>
      <w:pPr>
        <w:spacing w:after="0" w:line="64"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which clarifies the accounting for implementation, set-up,</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upfront costs incurred in cloud computing arrangements. The standard is effective for interim and annual periods beginning after December 15, 2019. Early adoption is permitted. The Company is currently evaluating the impact of adopting this guidance on its consolidated financial statements and related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and other current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Borders>
              <w:bottom w:val="single" w:sz="8" w:color="CFF0FC"/>
            </w:tcBorders>
          </w:tcPr>
          <w:p>
            <w:pPr>
              <w:spacing w:after="0"/>
              <w:rPr>
                <w:sz w:val="20"/>
                <w:szCs w:val="20"/>
                <w:color w:val="auto"/>
              </w:rPr>
            </w:pPr>
          </w:p>
        </w:tc>
        <w:tc>
          <w:tcPr>
            <w:tcW w:w="35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35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3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Accrued legal fees</w:t>
            </w:r>
          </w:p>
        </w:tc>
        <w:tc>
          <w:tcPr>
            <w:tcW w:w="3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Accrued other liabilities</w:t>
            </w:r>
          </w:p>
        </w:tc>
        <w:tc>
          <w:tcPr>
            <w:tcW w:w="3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35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540" w:type="dxa"/>
            <w:vAlign w:val="bottom"/>
            <w:vMerge w:val="restart"/>
          </w:tcPr>
          <w:p>
            <w:pPr>
              <w:jc w:val="right"/>
              <w:ind w:right="201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8"/>
                <w:szCs w:val="18"/>
                <w:b w:val="1"/>
                <w:bCs w:val="1"/>
                <w:color w:val="auto"/>
              </w:rPr>
              <w:t>Fair Value Measurements at March 31, 2019</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Significant</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Significant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Inputs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57,059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57,059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14,267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notes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57,059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80,912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5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Fair Value Measurements at December 31, 2018</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Significant</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Significant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Inputs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87,957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87,957</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marketable securities are classified as available-for-sale and consist of corporate notes and commercial paper.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marketable securities held at March 31, 2019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Losses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notes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All marketable securities held at March 31, 2019 had contractual maturities of less than one year. There were no realized gains or losses recognized on the sale or maturity of available-for-sale debt securities during the three months ended March 31, 2019 and as a result, the Company did not reclassify any amounts out of accumulated comprehensive loss. There were no impairment charges related to marketable securities for the three months ended March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January 2013, the Company executed a non-cancellable lease agreement for office and laboratory space in Palo Alto, California. The lease began in October 2013 and would expire in October 2018. In March 2016, the Company executed a lease amendment which was effective March 2016 and extended the lease term until October 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Company recognized an operating lease right-of-use asset and corresponding liability on January 1, 2019 based on the present value of remaining lease payments discounted at the Company’s estimated incremental borrowing rate of 8.5% over the remaining lease term of 4.60 years. For the three months ended March 31, 2019, the operating lease cost was $0.1 million and the operating cash flows used for operating leases was $0.1 million. The short-term lease costs were immaterial for the three months ended March 31, 2019.</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future payments under the non-cancellable operating lease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rPr>
              <w:t>As of</w:t>
            </w:r>
          </w:p>
        </w:tc>
      </w:t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360" w:type="dxa"/>
            <w:vAlign w:val="bottom"/>
          </w:tcPr>
          <w:p>
            <w:pPr>
              <w:spacing w:after="0"/>
              <w:rPr>
                <w:sz w:val="20"/>
                <w:szCs w:val="20"/>
                <w:color w:val="auto"/>
              </w:rPr>
            </w:pPr>
          </w:p>
        </w:tc>
        <w:tc>
          <w:tcPr>
            <w:tcW w:w="22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March 31, 2019</w:t>
            </w:r>
          </w:p>
        </w:tc>
      </w:tr>
      <w:tr>
        <w:trPr>
          <w:trHeight w:val="223"/>
        </w:trPr>
        <w:tc>
          <w:tcPr>
            <w:tcW w:w="8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(excluding the three months ended March 31, 2019)</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FF0FC"/>
          </w:tcPr>
          <w:p>
            <w:pPr>
              <w:spacing w:after="0"/>
              <w:rPr>
                <w:sz w:val="19"/>
                <w:szCs w:val="19"/>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FF0FC"/>
          </w:tcPr>
          <w:p>
            <w:pPr>
              <w:spacing w:after="0"/>
              <w:rPr>
                <w:sz w:val="19"/>
                <w:szCs w:val="19"/>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undiscounted lease payments</w:t>
            </w:r>
          </w:p>
        </w:tc>
        <w:tc>
          <w:tcPr>
            <w:tcW w:w="3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36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(472)</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ending December 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200" w:type="dxa"/>
            <w:vAlign w:val="bottom"/>
          </w:tcPr>
          <w:p>
            <w:pPr>
              <w:jc w:val="right"/>
              <w:ind w:right="970"/>
              <w:spacing w:after="0"/>
              <w:rPr>
                <w:sz w:val="20"/>
                <w:szCs w:val="20"/>
                <w:color w:val="auto"/>
              </w:rPr>
            </w:pPr>
            <w:r>
              <w:rPr>
                <w:rFonts w:ascii="Arial" w:cs="Arial" w:eastAsia="Arial" w:hAnsi="Arial"/>
                <w:sz w:val="18"/>
                <w:szCs w:val="18"/>
                <w:b w:val="1"/>
                <w:bCs w:val="1"/>
                <w:color w:val="auto"/>
              </w:rPr>
              <w:t>As of</w:t>
            </w:r>
          </w:p>
        </w:tc>
      </w:tr>
      <w:tr>
        <w:trPr>
          <w:trHeight w:val="234"/>
        </w:trPr>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December 31, 2018</w:t>
            </w:r>
          </w:p>
        </w:tc>
      </w:tr>
      <w:tr>
        <w:trPr>
          <w:trHeight w:val="222"/>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-916940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-616585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-325120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620"/>
          </w:cols>
          <w:pgMar w:left="240" w:top="121"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 January 2019, the number of shares of common stock available for issuance under the 2018 Equity Incentive Plan was increased by approximately 1.5 million shares as a result of the automatic increase provision in the 2018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option activity under the 2018 Plan and 2015 Equity Incentive Plan is summarized as follows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320"/>
              <w:spacing w:after="0"/>
              <w:rPr>
                <w:sz w:val="20"/>
                <w:szCs w:val="20"/>
                <w:color w:val="auto"/>
              </w:rPr>
            </w:pPr>
            <w:r>
              <w:rPr>
                <w:rFonts w:ascii="Arial" w:cs="Arial" w:eastAsia="Arial" w:hAnsi="Arial"/>
                <w:sz w:val="18"/>
                <w:szCs w:val="18"/>
                <w:b w:val="1"/>
                <w:bCs w:val="1"/>
                <w:color w:val="auto"/>
              </w:rPr>
              <w:t>Outstanding Awards</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 Grant</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3,024,404</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5,135,267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Shares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1,473,194</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March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4,497,598</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5,055,267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is classified in the condensed consolidated statements of operations and comprehensive loss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40" w:type="dxa"/>
            <w:vAlign w:val="bottom"/>
            <w:gridSpan w:val="4"/>
          </w:tcPr>
          <w:p>
            <w:pPr>
              <w:jc w:val="right"/>
              <w:ind w:right="425"/>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865"/>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14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7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102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7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27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02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March 31, 2019, the unrecognized stock-based compensation of unvested employee options and unvested RSAs and RSUs was $14.2 million and it is expected to be recognized over a weighted-average period of 2.64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 Attributable to Common Stockholders</w:t>
      </w:r>
    </w:p>
    <w:p>
      <w:pPr>
        <w:spacing w:after="0" w:line="121"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 which excludes shares which are legally outstanding, but subject to repurchase by the Company (in thousands, except share and per share data):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spacing w:after="0"/>
              <w:rPr>
                <w:sz w:val="19"/>
                <w:szCs w:val="19"/>
                <w:color w:val="auto"/>
              </w:rPr>
            </w:pPr>
          </w:p>
        </w:tc>
        <w:tc>
          <w:tcPr>
            <w:tcW w:w="2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2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(7,984)</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(8,920)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5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37,276,968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7,936,572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unvested restricted shares and</w:t>
            </w:r>
          </w:p>
        </w:tc>
        <w:tc>
          <w:tcPr>
            <w:tcW w:w="2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subject to repurchase</w:t>
            </w:r>
          </w:p>
        </w:tc>
        <w:tc>
          <w:tcPr>
            <w:tcW w:w="25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(28,803)</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(252,527)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8"/>
                <w:szCs w:val="18"/>
                <w:color w:val="auto"/>
                <w:w w:val="94"/>
              </w:rPr>
              <w:t>Weighted-average common shares outstanding used in computing net</w:t>
            </w:r>
          </w:p>
        </w:tc>
        <w:tc>
          <w:tcPr>
            <w:tcW w:w="25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loss per common share, basic and diluted</w:t>
            </w:r>
          </w:p>
        </w:tc>
        <w:tc>
          <w:tcPr>
            <w:tcW w:w="25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37,248,165</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7,684,045</w:t>
            </w:r>
          </w:p>
        </w:tc>
        <w:tc>
          <w:tcPr>
            <w:tcW w:w="12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2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(0.21)</w:t>
            </w: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bottom w:val="single" w:sz="8" w:color="CFF0FC"/>
            </w:tcBorders>
            <w:vMerge w:val="restart"/>
          </w:tcPr>
          <w:p>
            <w:pPr>
              <w:jc w:val="right"/>
              <w:ind w:right="1970"/>
              <w:spacing w:after="0"/>
              <w:rPr>
                <w:sz w:val="20"/>
                <w:szCs w:val="20"/>
                <w:color w:val="auto"/>
              </w:rPr>
            </w:pPr>
            <w:r>
              <w:rPr>
                <w:rFonts w:ascii="Arial" w:cs="Arial" w:eastAsia="Arial" w:hAnsi="Arial"/>
                <w:sz w:val="18"/>
                <w:szCs w:val="18"/>
                <w:color w:val="auto"/>
              </w:rPr>
              <w:t>10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11"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following potentially dilutive securities, presented on an as-converted to common stock basis, were excluded from the computation of diluted net loss per share attributable to common stockholders for the period presented because including them would have been antidilutive: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40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b w:val="1"/>
                <w:bCs w:val="1"/>
                <w:color w:val="auto"/>
                <w:w w:val="96"/>
              </w:rPr>
              <w:t>As of March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5,055,267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4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12,385,154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2017 convertible notes </w:t>
            </w:r>
            <w:r>
              <w:rPr>
                <w:rFonts w:ascii="Arial" w:cs="Arial" w:eastAsia="Arial" w:hAnsi="Arial"/>
                <w:sz w:val="15"/>
                <w:szCs w:val="15"/>
                <w:color w:val="auto"/>
              </w:rPr>
              <w:t>(1)</w:t>
            </w:r>
          </w:p>
        </w:tc>
        <w:tc>
          <w:tcPr>
            <w:tcW w:w="2400" w:type="dxa"/>
            <w:vAlign w:val="bottom"/>
            <w:gridSpan w:val="3"/>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 xml:space="preserve">2018 convertible notes </w:t>
            </w:r>
            <w:r>
              <w:rPr>
                <w:rFonts w:ascii="Arial" w:cs="Arial" w:eastAsia="Arial" w:hAnsi="Arial"/>
                <w:sz w:val="15"/>
                <w:szCs w:val="15"/>
                <w:color w:val="auto"/>
              </w:rPr>
              <w:t>(2)</w:t>
            </w:r>
          </w:p>
        </w:tc>
        <w:tc>
          <w:tcPr>
            <w:tcW w:w="24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4,163,480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warrants</w:t>
            </w:r>
          </w:p>
        </w:tc>
        <w:tc>
          <w:tcPr>
            <w:tcW w:w="2400" w:type="dxa"/>
            <w:vAlign w:val="bottom"/>
            <w:gridSpan w:val="3"/>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580" w:type="dxa"/>
            <w:vAlign w:val="bottom"/>
          </w:tcPr>
          <w:p>
            <w:pPr>
              <w:jc w:val="right"/>
              <w:spacing w:after="0"/>
              <w:rPr>
                <w:sz w:val="20"/>
                <w:szCs w:val="20"/>
                <w:color w:val="auto"/>
              </w:rPr>
            </w:pPr>
            <w:r>
              <w:rPr>
                <w:rFonts w:ascii="Arial" w:cs="Arial" w:eastAsia="Arial" w:hAnsi="Arial"/>
                <w:sz w:val="18"/>
                <w:szCs w:val="18"/>
                <w:color w:val="auto"/>
              </w:rPr>
              <w:t>25,253</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Unvested early exercised common stock options</w:t>
            </w:r>
          </w:p>
        </w:tc>
        <w:tc>
          <w:tcPr>
            <w:tcW w:w="2400" w:type="dxa"/>
            <w:vAlign w:val="bottom"/>
            <w:gridSpan w:val="3"/>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5,080,520</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20,802,461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640" w:hanging="512"/>
        <w:spacing w:after="0" w:line="258"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as $10.0 million in principal and $1.6 million in accrued but unpaid interest as of March 31, 2018, convertible at $5.00 per share of common stock.</w:t>
      </w:r>
    </w:p>
    <w:p>
      <w:pPr>
        <w:spacing w:after="0" w:line="1"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as $33.0 million in principal and $0.3 million in accrued but unpaid interest as of March 31, 2018, convertible at 80% of the $10.00 per share of common stock from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2018, included in our Annual Report on Form 10-K filed with the Securities and Exchange Commission, or the SEC, on March 27, 2019.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Quarterly Report on Form 10-Q titled “Part II, Item 1A — Risk Factors” and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18"/>
        <w:spacing w:after="0" w:line="290" w:lineRule="auto"/>
        <w:rPr>
          <w:sz w:val="20"/>
          <w:szCs w:val="20"/>
          <w:color w:val="auto"/>
        </w:rPr>
      </w:pPr>
      <w:r>
        <w:rPr>
          <w:rFonts w:ascii="Arial" w:cs="Arial" w:eastAsia="Arial" w:hAnsi="Arial"/>
          <w:sz w:val="16"/>
          <w:szCs w:val="16"/>
          <w:color w:val="auto"/>
        </w:rPr>
        <w:t>We are a clinical-stage biopharmaceutical company specializing in novel therapeutics to treat chronic, high-prevalence retinal diseases. Our most advanced product candidate is KSI-301, a biologic therapy built with our antibody biopolymer conjugate platform, or ABC platform, which is designed to maintain potent and effective drug levels in ocular tissues. We believe that KSI-301, if approved, has the potential to become an important anti-vascular endothelial growth factor, or anti-VEGF, therapy in wet age-related macular degeneration, or wet AMD, diabetic retinopathy, or DR, including diabetic macular edema, or DME, macular edema due to retinal vein occlusion, or RVO, and other retinal vascular diseases. KSI-301 and our ABC Platform were developed at Kodiak, and we own worldwide rights to those assets, including composition of matter patent protection with respect to KSI-301. We have applied our ABC Platform to develop additional product candidates beyond KSI-301, including KSI-501, our bispecific anti-IL-6/VEGF bioconjugate. We intend to progress these and other product candidates to address high-prevalence ophthalmic diseases.</w:t>
      </w:r>
    </w:p>
    <w:p>
      <w:pPr>
        <w:spacing w:after="0" w:line="58" w:lineRule="exact"/>
        <w:rPr>
          <w:sz w:val="20"/>
          <w:szCs w:val="20"/>
          <w:color w:val="auto"/>
        </w:rPr>
      </w:pPr>
    </w:p>
    <w:p>
      <w:pPr>
        <w:jc w:val="both"/>
        <w:ind w:right="340" w:firstLine="518"/>
        <w:spacing w:after="0" w:line="286" w:lineRule="auto"/>
        <w:rPr>
          <w:sz w:val="20"/>
          <w:szCs w:val="20"/>
          <w:color w:val="auto"/>
        </w:rPr>
      </w:pPr>
      <w:r>
        <w:rPr>
          <w:rFonts w:ascii="Arial" w:cs="Arial" w:eastAsia="Arial" w:hAnsi="Arial"/>
          <w:sz w:val="17"/>
          <w:szCs w:val="17"/>
          <w:color w:val="auto"/>
        </w:rPr>
        <w:t>We initiated our first-in-human, single ascending dose Phase 1a clinical study of KSI-301 in the United States in nine patients with severe DME in July 2018. We successfully dosed all patients at the pre-planned dose levels and reached the 12-week last visit in November 2018. The last visit (twelve-week) data demonstrated safety and durability of responses following the single dose of KSI-301. Notably:</w:t>
      </w:r>
    </w:p>
    <w:p>
      <w:pPr>
        <w:spacing w:after="0" w:line="57" w:lineRule="exact"/>
        <w:rPr>
          <w:sz w:val="20"/>
          <w:szCs w:val="20"/>
          <w:color w:val="auto"/>
        </w:rPr>
      </w:pPr>
    </w:p>
    <w:p>
      <w:pPr>
        <w:ind w:left="640" w:hanging="119"/>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Rapid high-magnitude and durable treatment responses were seen at all dose levels tested in a heavily pre-treated Phase 1 patient population.</w:t>
      </w:r>
    </w:p>
    <w:p>
      <w:pPr>
        <w:spacing w:after="0" w:line="128" w:lineRule="exact"/>
        <w:rPr>
          <w:rFonts w:ascii="Arial" w:cs="Arial" w:eastAsia="Arial" w:hAnsi="Arial"/>
          <w:sz w:val="17"/>
          <w:szCs w:val="17"/>
          <w:color w:val="auto"/>
        </w:rPr>
      </w:pPr>
    </w:p>
    <w:p>
      <w:pPr>
        <w:ind w:left="640" w:right="840" w:hanging="119"/>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Twelve weeks after a single dose, median vision improvement from baseline of almost two lines of vision (9 eye chart letters) and median improvement in retinal edema of 121 microns were achieved across all three dose levels tested.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dose-limiting toxicities, drug-related adverse events, or intraocular inflammation were observed through each patients' last visit at 12 weeks.</w:t>
      </w:r>
    </w:p>
    <w:p>
      <w:pPr>
        <w:spacing w:after="0" w:line="12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the fourth quarter of 2018, we initiated an open-label, multiple-dose Phase 1b study of KSI-301 in the United States in patients with anti-VEGF treatment naïve neovascular wet AMD, DME, and RVO. The Phase 1b study continues to recruit well and based on strong investigator support, we have elected to increase the targeted number of patients from 50 to 90 with approximately ten additional patients in each of wet AMD and DME and twenty in RVO. This study is designed to provide additional scientific and clinical understanding of the safety, bioactivity and durability of KSI-301 in retinal vascular disease. All patients receive three loading doses once a month and are then followed monthly with further KSI-301 treatments determined by disease-specific retreatment criteria. All patients will be evaluated through 36-weeks. To date, we have observed bioactivity in all three diseases tested and have not observed signs of intraocular inflammation in the multiple dose setting with more than 75 doses administered in total. We expect to complete enrollment of these cohorts of patients in 2019. We intend to present on-going data from the Phase 1b study at medical and investor meetings starting in the second half of 2019.</w:t>
      </w:r>
    </w:p>
    <w:p>
      <w:pPr>
        <w:spacing w:after="0" w:line="5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Having successfully demonstrated early safety and tolerability in the Phase 1 study, with the additional observations around bioactivity and durability, we plan to further evaluate the highest dose tested of KSI-301, 5 mg, in a series of phase 2 studies in retinal vascular diseases.</w:t>
      </w:r>
    </w:p>
    <w:p>
      <w:pPr>
        <w:spacing w:after="0" w:line="6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expect to be enrolling patients in a global Phase 2 study of KSI-301 in wet AMD in the third quarter of 2019. This study is intended to evaluate the non-inferiority of intravitreal KSI-301 dosed on an every 12-, 16- or 20-week regimen compared to standard of care aflibercept dosed every 8 weeks. The FDA indicated that this study, if successful, can be supportive of a marketing application for KSI-301, and we are designing and intend to execute this Phase 2 study as a pivotal study, with an option for an administrative interim analysis in 2020. A primary data readout is anticipated in 2021.</w:t>
      </w:r>
    </w:p>
    <w:p>
      <w:pPr>
        <w:spacing w:after="0" w:line="46"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We additionally plan to initiate Phase 2 clinical studies in China, and we are planning for these studies to have the same clinical design frameworks as our U.S. and EU studies. We held our China pre-investigational new drug, or IND, meeting for KSI-301 in the second quarter of 2019. Based on this meeting, we intend to submit one or more INDs for KSI-301 in China in the second half of 2019. The disease indications we explored in our pre-IND meeting included wet AMD, DME, and DR. We plan to run these studies as dual-use studies which can support regulatory requirements both in China and in the U.S. and EU.</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right="100" w:firstLine="518"/>
        <w:spacing w:after="0" w:line="255" w:lineRule="auto"/>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currently do not need commercial manufacturing capacity. We do not have any products approved for sale and have not generated any product revenue since inception.</w:t>
      </w:r>
    </w:p>
    <w:p>
      <w:pPr>
        <w:spacing w:after="0" w:line="8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We have funded our operations primarily through the sale and issuance of equity securities, convertible notes and warrants. In October 2018, we completed our initial public offering, or IPO.</w:t>
      </w:r>
    </w:p>
    <w:p>
      <w:pPr>
        <w:spacing w:after="0" w:line="6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In addition, we expect to incur additional costs associated with operating as a public company. Our net loss was $8.0 million for the three months ended March 31, 2019. As of March 31, 2019, we had an accumulated deficit of $118.8 million.</w:t>
      </w:r>
    </w:p>
    <w:p>
      <w:pPr>
        <w:spacing w:after="0" w:line="50"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or DME/DR or RVO or delay our efforts to advance and expand our product pipeline.</w:t>
      </w:r>
    </w:p>
    <w:p>
      <w:pPr>
        <w:spacing w:after="0" w:line="85"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As of March 31, 2019, we had cash and cash equivalents and marketable securities of $81.1 million. We currently plan to raise additional funding as required based on the status of our clinical trials and projected cash flows, however we believe that our cash and cash equivalents and marketable securities are sufficient to fund our projected operations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seek to initiate our Phase 2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3"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compliance with requirements of the stock exchange listing and the SEC, investor relations costs and director and officer insurance premiums associated with being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income earned on investments for the three months ended March 31,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Interest expense consists primarily of interest expense related to our convertible notes, including amortization of debt discount and debt issuance costs, for the three months ended March 31, 2018. The convertible notes converted into shares of common stock upon the closing of our IPO.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Other income (expense), net consists of changes in the fair value of preferred stock warrants and derivative instruments for the three months ended March 31, 2018. The preferred stock warrants converted into common stock warrants and the derivative liability was extinguished upon the IPO.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w w:val="90"/>
              </w:rPr>
              <w:t>Change</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Dollar</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gridSpan w:val="6"/>
          </w:tcPr>
          <w:p>
            <w:pPr>
              <w:ind w:left="280"/>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5,723</w:t>
            </w:r>
          </w:p>
        </w:tc>
        <w:tc>
          <w:tcPr>
            <w:tcW w:w="14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2,081</w:t>
            </w:r>
          </w:p>
        </w:tc>
        <w:tc>
          <w:tcPr>
            <w:tcW w:w="4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98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(2,913)</w:t>
            </w:r>
          </w:p>
        </w:tc>
        <w:tc>
          <w:tcPr>
            <w:tcW w:w="4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Interest expense (includes $862 attributable to related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parties for the three months ended March 31, 2018)</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1,466</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 (includes $1,394 other</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 attributable to related parties for the three</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months ended March 31, 2018)</w:t>
            </w: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4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98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4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4980" w:type="dxa"/>
            <w:vAlign w:val="bottom"/>
            <w:gridSpan w:val="2"/>
            <w:vMerge w:val="restart"/>
          </w:tcPr>
          <w:p>
            <w:pPr>
              <w:ind w:left="220"/>
              <w:spacing w:after="0"/>
              <w:rPr>
                <w:sz w:val="20"/>
                <w:szCs w:val="20"/>
                <w:color w:val="auto"/>
              </w:rPr>
            </w:pPr>
            <w:r>
              <w:rPr>
                <w:rFonts w:ascii="Arial" w:cs="Arial" w:eastAsia="Arial" w:hAnsi="Arial"/>
                <w:sz w:val="18"/>
                <w:szCs w:val="18"/>
                <w:color w:val="auto"/>
              </w:rPr>
              <w:t>Percentage is not meaningful</w:t>
            </w: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00" w:type="dxa"/>
            <w:vAlign w:val="bottom"/>
            <w:vMerge w:val="continue"/>
          </w:tcPr>
          <w:p>
            <w:pPr>
              <w:spacing w:after="0"/>
              <w:rPr>
                <w:sz w:val="24"/>
                <w:szCs w:val="24"/>
                <w:color w:val="auto"/>
              </w:rPr>
            </w:pPr>
          </w:p>
        </w:tc>
        <w:tc>
          <w:tcPr>
            <w:tcW w:w="49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Research and development expenses increased $2.1 million, or 57%, from the three months ended March 31, 2018 to the three months ended March 31, 2019.</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ABC Platform external expenses </w:t>
            </w:r>
            <w:r>
              <w:rPr>
                <w:rFonts w:ascii="Arial" w:cs="Arial" w:eastAsia="Arial" w:hAnsi="Arial"/>
                <w:sz w:val="15"/>
                <w:szCs w:val="15"/>
                <w:color w:val="auto"/>
              </w:rPr>
              <w:t>(1)</w:t>
            </w:r>
          </w:p>
        </w:tc>
        <w:tc>
          <w:tcPr>
            <w:tcW w:w="2720" w:type="dxa"/>
            <w:vAlign w:val="bottom"/>
            <w:gridSpan w:val="2"/>
            <w:shd w:val="clear" w:color="auto" w:fill="CFF0FC"/>
          </w:tcPr>
          <w:p>
            <w:pPr>
              <w:jc w:val="right"/>
              <w:ind w:right="6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20" w:type="dxa"/>
            <w:vAlign w:val="bottom"/>
            <w:gridSpan w:val="2"/>
            <w:shd w:val="clear" w:color="auto" w:fill="CFF0FC"/>
          </w:tcPr>
          <w:p>
            <w:pPr>
              <w:jc w:val="right"/>
              <w:ind w:right="61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 xml:space="preserve">KSI-301 program external expenses </w:t>
            </w:r>
            <w:r>
              <w:rPr>
                <w:rFonts w:ascii="Arial" w:cs="Arial" w:eastAsia="Arial" w:hAnsi="Arial"/>
                <w:sz w:val="15"/>
                <w:szCs w:val="15"/>
                <w:color w:val="auto"/>
              </w:rPr>
              <w:t>(2)</w:t>
            </w:r>
          </w:p>
        </w:tc>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1,773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KSI-501 program external expenses </w:t>
            </w:r>
            <w:r>
              <w:rPr>
                <w:rFonts w:ascii="Arial" w:cs="Arial" w:eastAsia="Arial" w:hAnsi="Arial"/>
                <w:sz w:val="15"/>
                <w:szCs w:val="15"/>
                <w:color w:val="auto"/>
              </w:rPr>
              <w:t>(3)</w:t>
            </w:r>
          </w:p>
        </w:tc>
        <w:tc>
          <w:tcPr>
            <w:tcW w:w="19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 xml:space="preserve">Payroll and personnel expenses </w:t>
            </w:r>
            <w:r>
              <w:rPr>
                <w:rFonts w:ascii="Arial" w:cs="Arial" w:eastAsia="Arial" w:hAnsi="Arial"/>
                <w:sz w:val="15"/>
                <w:szCs w:val="15"/>
                <w:color w:val="auto"/>
              </w:rPr>
              <w:t>(4)</w:t>
            </w:r>
          </w:p>
        </w:tc>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2,513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research and development expenses </w:t>
            </w:r>
            <w:r>
              <w:rPr>
                <w:rFonts w:ascii="Arial" w:cs="Arial" w:eastAsia="Arial" w:hAnsi="Arial"/>
                <w:sz w:val="15"/>
                <w:szCs w:val="15"/>
                <w:color w:val="auto"/>
              </w:rPr>
              <w:t>(5)</w:t>
            </w:r>
          </w:p>
        </w:tc>
        <w:tc>
          <w:tcPr>
            <w:tcW w:w="19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940" w:type="dxa"/>
            <w:vAlign w:val="bottom"/>
          </w:tcPr>
          <w:p>
            <w:pPr>
              <w:spacing w:after="0"/>
              <w:rPr>
                <w:sz w:val="19"/>
                <w:szCs w:val="19"/>
                <w:color w:val="auto"/>
              </w:rPr>
            </w:pPr>
          </w:p>
        </w:tc>
        <w:tc>
          <w:tcPr>
            <w:tcW w:w="780" w:type="dxa"/>
            <w:vAlign w:val="bottom"/>
            <w:tcBorders>
              <w:bottom w:val="single" w:sz="8" w:color="auto"/>
            </w:tcBorders>
          </w:tcPr>
          <w:p>
            <w:pPr>
              <w:jc w:val="right"/>
              <w:ind w:right="61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5,723</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3,642</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40" w:type="dxa"/>
            <w:vAlign w:val="bottom"/>
            <w:vMerge w:val="restart"/>
          </w:tcPr>
          <w:p>
            <w:pPr>
              <w:jc w:val="right"/>
              <w:ind w:right="770"/>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8" w:name="page19"/>
    <w:bookmarkEnd w:id="18"/>
    <w:p>
      <w:pPr>
        <w:ind w:left="520" w:right="480" w:hanging="512"/>
        <w:spacing w:after="0" w:line="25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ABC Platform external expenses primarily relates to manufacturing of biopolymer intermediate drug substance which can be used with multiple product candidates. These expenses are primarily for services provided by CMOs and CROs.</w:t>
      </w:r>
    </w:p>
    <w:p>
      <w:pPr>
        <w:spacing w:after="0" w:line="1" w:lineRule="exact"/>
        <w:rPr>
          <w:rFonts w:ascii="Arial" w:cs="Arial" w:eastAsia="Arial" w:hAnsi="Arial"/>
          <w:sz w:val="18"/>
          <w:szCs w:val="18"/>
          <w:color w:val="auto"/>
        </w:rPr>
      </w:pPr>
    </w:p>
    <w:p>
      <w:pPr>
        <w:ind w:left="520" w:right="60" w:hanging="512"/>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KSI-301 program external expenses relates to development of KSI-301, including manufacturing and clinical trial costs. These expenses are primarily for services provided by CMOs and CROs.</w:t>
      </w: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KSI-501 program external expenses relates to research and development of KSI-501.</w:t>
      </w:r>
    </w:p>
    <w:p>
      <w:pPr>
        <w:spacing w:after="0" w:line="9" w:lineRule="exact"/>
        <w:rPr>
          <w:rFonts w:ascii="Arial" w:cs="Arial" w:eastAsia="Arial" w:hAnsi="Arial"/>
          <w:sz w:val="18"/>
          <w:szCs w:val="18"/>
          <w:color w:val="auto"/>
        </w:rPr>
      </w:pPr>
    </w:p>
    <w:p>
      <w:pPr>
        <w:ind w:left="520" w:right="400" w:hanging="512"/>
        <w:spacing w:after="0" w:line="281"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research and development expenses includes direct costs related to research and development activities other than those listed above.</w:t>
      </w:r>
    </w:p>
    <w:p>
      <w:pPr>
        <w:spacing w:after="0" w:line="114"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ABC Platform external expenses increased $0.4 million during the three months ended March 31, 2019 as compared to 2018. The increase was primarily driven by manufacturing runs completed during 2019.</w:t>
      </w:r>
    </w:p>
    <w:p>
      <w:pPr>
        <w:spacing w:after="0" w:line="6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KSI-301 program external expenses decreased $0.4 million during the three months ended March 31, 2019 as compared to 2018. The decrease was primarily due to a decrease in manufacturing runs for KSI-301 in 2019, partially offset by clinical trial costs.</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KSI-501 program external expenses increased $0.4 million during the three months ended March 31, 2019 as compared to 2018 due to the continued development of KSI-501.</w:t>
      </w:r>
    </w:p>
    <w:p>
      <w:pPr>
        <w:spacing w:after="0" w:line="6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Payroll and personnel expenses increased $1.7 million during the three months ended March 31, 2019 as compared to 2018. The increase was a result of increased headcount and stock-based compensation expense.</w:t>
      </w:r>
    </w:p>
    <w:p>
      <w:pPr>
        <w:spacing w:after="0" w:line="6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Other research and development expenses remained relatively constant during the three months ended March 31, 2019 as compared to 2018. Our other research and development expenses may fluctuate in future periods as we elect to develop other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General and administrative expenses increased $0.8 million, or 44%, from the three months ended March 31, 2018 to the three months ended March 31, 2019. The increase in general and administrative expenses was primarily attributable to $0.5 million in salaries, including stock-based compensation, and an increase of $0.3 million in insurance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have funded our operations primarily through the sale and issuance of common stock, redeemable convertible preferred stock, convertible notes and warrants. In October 2018, we completed our IPO.</w:t>
      </w:r>
    </w:p>
    <w:p>
      <w:pPr>
        <w:spacing w:after="0" w:line="6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of March 31, 2019, we had cash and cash equivalents and marketable securities of $81.1 million. Cash in excess of immediate requirements is invested in accordance with our investment policy, primarily with a view to liquidity and capital preservation. As of March 31, 2019, our funds are primarily held in corporate notes, commercial paper and money market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We have incurred net losses since our inception. For the three months ended March 31, 2019, we had a net loss of $8.0 million and we expect to continue to incur additional losses in future periods. As of March 31, 2019, we had an accumulated deficit of $118.8 million. We currently plan to raise additional funding as required based on the status of our clinical trials and projected cash flows, however based on our current business plan, we believe that our existing cash and cash equivalents and marketable securities are sufficient to fund our projected operations for at least the next 12 months.</w:t>
      </w:r>
    </w:p>
    <w:p>
      <w:pPr>
        <w:spacing w:after="0" w:line="4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9" w:name="page20"/>
    <w:bookmarkEnd w:id="19"/>
    <w:p>
      <w:pPr>
        <w:ind w:right="80" w:firstLine="518"/>
        <w:spacing w:after="0" w:line="293" w:lineRule="auto"/>
        <w:rPr>
          <w:sz w:val="20"/>
          <w:szCs w:val="20"/>
          <w:color w:val="auto"/>
        </w:rPr>
      </w:pPr>
      <w:r>
        <w:rPr>
          <w:rFonts w:ascii="Arial" w:cs="Arial" w:eastAsia="Arial" w:hAnsi="Arial"/>
          <w:sz w:val="16"/>
          <w:szCs w:val="16"/>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costs associated with operating as a public company.</w:t>
      </w:r>
    </w:p>
    <w:p>
      <w:pPr>
        <w:spacing w:after="0" w:line="5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We have based our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640" w:right="360" w:hanging="119"/>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640" w:right="40" w:hanging="119"/>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640" w:right="880" w:hanging="119"/>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74"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Quarterly Report on Form 10-Q titled “Part II, Item 1A — Risk Factors” for additional risks associated with our substantial capital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primary sources and uses of cash and cash equivalents and marketable securities for each of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activities</w:t>
            </w:r>
          </w:p>
        </w:tc>
        <w:tc>
          <w:tcPr>
            <w:tcW w:w="2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(7,207)</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(11,259)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(23,872)</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32,677</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88"/>
              </w:rPr>
              <w:t>Net increase (decrease) in cash, cash equivalents and restricted cash</w:t>
            </w:r>
          </w:p>
        </w:tc>
        <w:tc>
          <w:tcPr>
            <w:tcW w:w="2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21,418</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vMerge w:val="restart"/>
          </w:tcPr>
          <w:p>
            <w:pPr>
              <w:jc w:val="right"/>
              <w:ind w:right="177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$4.1 million decrease in cash used in operating activities for the three months ended March 31, 2019 as compared to 2018 was primarily driven by the change in accounts payable due to the timing of vendor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$23.9 million decrease in cash used in investing activities for the three months ended March 31, 2019 as compared to 2018 was driven by the purchase of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jc w:val="both"/>
        <w:ind w:right="280" w:firstLine="518"/>
        <w:spacing w:after="0" w:line="277" w:lineRule="auto"/>
        <w:rPr>
          <w:sz w:val="20"/>
          <w:szCs w:val="20"/>
          <w:color w:val="auto"/>
        </w:rPr>
      </w:pPr>
      <w:r>
        <w:rPr>
          <w:rFonts w:ascii="Arial" w:cs="Arial" w:eastAsia="Arial" w:hAnsi="Arial"/>
          <w:sz w:val="18"/>
          <w:szCs w:val="18"/>
          <w:color w:val="auto"/>
        </w:rPr>
        <w:t>The $32.6 million decrease in cash provided by financing activities for the three months ended March 31, 2019 as compared to 2018 was due to the issuance of convertible debt in February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2018. There have been no material changes in our contractual obligations and commitments since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5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During the three months ended March 31, 2019, there were no material changes to our critical accounting policies as reported in our Annual Report on Form 10-K for the year ended December 31, 2018, which was filed with the SEC on March 27, 2019, except as otherwise described in Note 2 to our unaudited condensed consolidated financial statements included in this report.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of our critical accounting policies, the following accounting policies involve the most judgment and complexity:</w:t>
      </w:r>
    </w:p>
    <w:p>
      <w:pPr>
        <w:spacing w:after="0" w:line="117" w:lineRule="exact"/>
        <w:rPr>
          <w:sz w:val="20"/>
          <w:szCs w:val="20"/>
          <w:color w:val="auto"/>
        </w:rPr>
      </w:pPr>
    </w:p>
    <w:p>
      <w:pPr>
        <w:ind w:left="640" w:hanging="1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accrued research and development;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expense;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such pronouncements are made applicable to private companies, unless we otherwise irrevocably elect not to avail ourselves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 Our investment portfolio is used to preserve capital until it is required to fund operations, including research and development activities, and consists of money market funds, commercial paper, and corporate notes which would be affected by changes in the general level of U.S. interest rates. Due to the short-term maturities and low-risk profile of our investment portfolio, an immediate 100 basis point change in interest rates would not have a material effect on the fair value of our investments.</w:t>
      </w:r>
    </w:p>
    <w:p>
      <w:pPr>
        <w:spacing w:after="0" w:line="8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do not believe that inflation and fluctuations in interest rates and foreign exchange rates had a significant impact on our results of operations for any period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0"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at the end of the period covered by this Quarterly Report on Form 10-Q. Based upon such evaluation, our principal executive officer and principal financial officer have concluded that our disclosure controls and procedures were effective at the reasonable assurance level as of such date.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During the three months ended March 31, 2019, we implemented certain internal controls as a result of our adoption of the new lease standards on January 1, 2019. There were no other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Quarterly Report on Form 10-Q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in the early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a clinical-stage biopharmaceutical company specializing in novel therapeutics to treat chronic, high-prevalence retinal diseases. We commenced operations in June 2009, have no products approved for commercial sale and have not generated any revenue. Drug development is a highly uncertain undertaking and involves a substantial degree of risk. We completed the Phase 1a single ascending dose clinical trial for our most advanced product candidate, KSI-301, in November 2018, and we are currently enrolling patients into the Phase 1b multiple dose clinical trial for KSI-301. We have not initiated clinical trials for any of our other product candidates. To date, we have not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incurred net losses in each reporting period since our inception, including net loss of $8.0 million for the three months ended March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had an accumulated deficit of $118.8 million.</w:t>
      </w:r>
    </w:p>
    <w:p>
      <w:pPr>
        <w:spacing w:after="0" w:line="103"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640" w:right="300" w:hanging="119"/>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7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March 31, 2019, we had cash and cash equivalents and marketable securities of $81.1 million. We believe that our cash and cash equivalents and marketable securities will be sufficient to fund our projected operations for at least the next 12 months.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640" w:right="280" w:hanging="119"/>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ind w:left="640" w:right="20" w:hanging="119"/>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3"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640" w:right="60" w:hanging="119"/>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640" w:right="300" w:hanging="119"/>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maintaining, protecting, expanding and enforcing our portfolio of intellectual property rights, including patents, trade secrets and know-how; and</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ind w:right="40" w:firstLine="518"/>
        <w:spacing w:after="0" w:line="291" w:lineRule="auto"/>
        <w:rPr>
          <w:sz w:val="20"/>
          <w:szCs w:val="20"/>
          <w:color w:val="auto"/>
        </w:rPr>
      </w:pPr>
      <w:r>
        <w:rPr>
          <w:rFonts w:ascii="Arial" w:cs="Arial" w:eastAsia="Arial" w:hAnsi="Arial"/>
          <w:sz w:val="16"/>
          <w:szCs w:val="16"/>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59"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operations have required substantial amounts of cash since inception. To date, we have financed our operations primarily through the sale of equity securities, including our IPO, convertible notes and warrants. Developing our product candidates is expensive, and we expect to substantially increase our spending as we advance KSI-301 into Phase 2 clinical trials. Even if we are successful in developing our product candidates, obtaining regulatory approvals and launching and commercializing any product candidate will require substantial additional funding.</w:t>
      </w:r>
    </w:p>
    <w:p>
      <w:pPr>
        <w:spacing w:after="0" w:line="6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As of March 31, 2019, we had cash and cash equivalents and marketable securities of $81.1 million. We believe that our cash and cash equivalents and marketable securities will be sufficient to fund our projected operations for at least the next 12 months. Our estimate as to how long we expect our existing cash and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5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58"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23"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KSI-301, which is in the early stages of clinical development and is the only product candidate that we expect to be in clinical development in the near term.</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KSI-301 is our only product candidate that we expect to be in clinical studies in the near term. We initiated our Phase 1a clinical trial of KSI-301 in July 2018, reached the primary endpoint in September 2018, and completed the last patient visit of that study in November 2018. We are currently enrolling patients in our Phase 1b clinical trial of KSI-301. Neither KSI-301 nor any of our other product candidates has been dosed in a pivotal clinical trial, and it may be years before any such trial is completed, if at all. Further, we cannot be certain that either KSI-301 or any of our product candidates will be successful in clinical trials.</w:t>
      </w:r>
    </w:p>
    <w:p>
      <w:pPr>
        <w:spacing w:after="0" w:line="8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Our early encouraging preclinical and Phase 1a clinical trial results for KSI-301 are not necessarily predictive of the results of our ongoing or future discovery programs or clinical studies. Our Phase 1a clinical trial was designed to evaluate safety and tolerability of KSI-301. Although it has yielded early evidence of bioactivity, it consisted of only nine subjects, and we expect that our Phase 2 trials will have materially different design parameters. For example, our Phase 1a trial did not evaluate durability of KSI-301 across the planned 12-, 16- or 20- week dosing intervals that we intend to evaluate in our Phase 2 trials. Promising results in preclinical studies and Phase 1 clinical trials of a drug candidate may not be predictive of similar results in later-stage preclinical studies or in humans during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adverse events.</w:t>
      </w:r>
    </w:p>
    <w:p>
      <w:pPr>
        <w:spacing w:after="0" w:line="59"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80"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If KSI-301 fails in development as a result of any underlying problem with our platform, then we may discontinue development of some or all of our product candidates that are based our ABC Platform. If we discontinue development of KSI-301, or if KSI-301 were to fail to receive regulatory approval or were to fail to achieve sufficient market acceptance, we could be prevented from or significantly delayed in achieving profitability.</w:t>
      </w:r>
    </w:p>
    <w:p>
      <w:pPr>
        <w:spacing w:after="0" w:line="16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640" w:right="160" w:hanging="119"/>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rFonts w:ascii="Arial" w:cs="Arial" w:eastAsia="Arial" w:hAnsi="Arial"/>
          <w:sz w:val="18"/>
          <w:szCs w:val="18"/>
          <w:color w:val="auto"/>
        </w:rPr>
      </w:pPr>
    </w:p>
    <w:p>
      <w:pPr>
        <w:ind w:left="640" w:right="380" w:hanging="119"/>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rFonts w:ascii="Arial" w:cs="Arial" w:eastAsia="Arial" w:hAnsi="Arial"/>
          <w:sz w:val="18"/>
          <w:szCs w:val="18"/>
          <w:color w:val="auto"/>
        </w:rPr>
      </w:pPr>
    </w:p>
    <w:p>
      <w:pPr>
        <w:ind w:left="640" w:right="40" w:hanging="119"/>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26" w:name="page27"/>
    <w:bookmarkEnd w:id="26"/>
    <w:p>
      <w:pPr>
        <w:ind w:left="640" w:right="500" w:hanging="119"/>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an early stage of development, there is a relatively higher risk of failure and we may never succeed in developing marketable products or generating product revenue.</w:t>
      </w:r>
    </w:p>
    <w:p>
      <w:pPr>
        <w:spacing w:after="0" w:line="6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4"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5"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84"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right="28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the China Drug Authority, or CDA,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5" w:lineRule="exact"/>
        <w:rPr>
          <w:sz w:val="20"/>
          <w:szCs w:val="20"/>
          <w:color w:val="auto"/>
        </w:rPr>
      </w:pPr>
    </w:p>
    <w:p>
      <w:pPr>
        <w:ind w:left="640" w:hanging="119"/>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8" w:lineRule="exact"/>
        <w:rPr>
          <w:rFonts w:ascii="Arial" w:cs="Arial" w:eastAsia="Arial" w:hAnsi="Arial"/>
          <w:sz w:val="17"/>
          <w:szCs w:val="17"/>
          <w:color w:val="auto"/>
        </w:rPr>
      </w:pPr>
    </w:p>
    <w:p>
      <w:pPr>
        <w:ind w:left="64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rFonts w:ascii="Arial" w:cs="Arial" w:eastAsia="Arial" w:hAnsi="Arial"/>
          <w:sz w:val="18"/>
          <w:szCs w:val="18"/>
          <w:color w:val="auto"/>
        </w:rPr>
      </w:pPr>
    </w:p>
    <w:p>
      <w:pPr>
        <w:ind w:left="640" w:right="48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rFonts w:ascii="Arial" w:cs="Arial" w:eastAsia="Arial" w:hAnsi="Arial"/>
          <w:sz w:val="18"/>
          <w:szCs w:val="18"/>
          <w:color w:val="auto"/>
        </w:rPr>
      </w:pPr>
    </w:p>
    <w:p>
      <w:pPr>
        <w:ind w:left="640" w:right="220" w:hanging="119"/>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CDA or any other regulatory authority concerns about risk to patients of the technology broadly; or if the FDA, EMA, CDA or any other regulatory authority finds that the investigational protocol or plan is clearly deficient to meet its stated objectives;</w:t>
      </w:r>
    </w:p>
    <w:p>
      <w:pPr>
        <w:spacing w:after="0" w:line="85" w:lineRule="exact"/>
        <w:rPr>
          <w:rFonts w:ascii="Arial" w:cs="Arial" w:eastAsia="Arial" w:hAnsi="Arial"/>
          <w:sz w:val="18"/>
          <w:szCs w:val="18"/>
          <w:color w:val="auto"/>
        </w:rPr>
      </w:pPr>
    </w:p>
    <w:p>
      <w:pPr>
        <w:ind w:left="640" w:right="28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rFonts w:ascii="Arial" w:cs="Arial" w:eastAsia="Arial" w:hAnsi="Arial"/>
          <w:sz w:val="18"/>
          <w:szCs w:val="18"/>
          <w:color w:val="auto"/>
        </w:rPr>
      </w:pPr>
    </w:p>
    <w:p>
      <w:pPr>
        <w:ind w:left="640" w:right="54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CDA or other regulatory guidelines in other countries;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640" w:right="26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640" w:right="52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640" w:right="80" w:hanging="119"/>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EMA, CDA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jc w:val="both"/>
        <w:ind w:right="40"/>
        <w:spacing w:after="0" w:line="286" w:lineRule="auto"/>
        <w:rPr>
          <w:sz w:val="20"/>
          <w:szCs w:val="20"/>
          <w:color w:val="auto"/>
        </w:rPr>
      </w:pPr>
      <w:r>
        <w:rPr>
          <w:rFonts w:ascii="Arial" w:cs="Arial" w:eastAsia="Arial" w:hAnsi="Arial"/>
          <w:sz w:val="17"/>
          <w:szCs w:val="17"/>
          <w:color w:val="auto"/>
        </w:rPr>
        <w:t>regulatory requirements or our clinical protocols, inspection of the clinical trial operations or trial site by the FDA, EMA, CDA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5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CDA or other comparable foreign regulatory authorities.</w:t>
      </w:r>
    </w:p>
    <w:p>
      <w:pPr>
        <w:spacing w:after="0" w:line="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4"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Our most advanced product candidate, KSI-301, is an anti-VEGF biologic that we intend to study in wet AMD, DME/DR and RVO. There are some potential side effects associated with intravitreal anti-VEGF therapies such as intraocular hemorrhage, intraocular pressure elevation, retinal detachment, inflammation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74"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70"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38" w:lineRule="exact"/>
        <w:rPr>
          <w:sz w:val="20"/>
          <w:szCs w:val="20"/>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640" w:right="40" w:hanging="119"/>
        <w:spacing w:after="0" w:line="30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38" w:lineRule="exact"/>
        <w:rPr>
          <w:rFonts w:ascii="Arial" w:cs="Arial" w:eastAsia="Arial" w:hAnsi="Arial"/>
          <w:sz w:val="17"/>
          <w:szCs w:val="17"/>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ind w:right="36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3" w:lineRule="exact"/>
        <w:rPr>
          <w:sz w:val="20"/>
          <w:szCs w:val="20"/>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640" w:hanging="119"/>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3"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17" w:lineRule="exact"/>
        <w:rPr>
          <w:rFonts w:ascii="Arial" w:cs="Arial" w:eastAsia="Arial" w:hAnsi="Arial"/>
          <w:sz w:val="18"/>
          <w:szCs w:val="18"/>
          <w:color w:val="auto"/>
        </w:rPr>
      </w:pPr>
    </w:p>
    <w:p>
      <w:pPr>
        <w:ind w:left="640" w:right="660" w:hanging="119"/>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64"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6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ind w:right="40" w:firstLine="518"/>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46"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the retinal disease indications for which we have product candidates, including wet AMD and DME/DR. Certain of our competitors have commercially approved products for the treatment of retinal diseases that we are pursuing or may pursue in the future, including Roche and Regeneron for the treatment of wet AMD and DME/DR. These drugs are well established therapies and are widely accepted by physicians, patients and third-party payors, which may make it difficult to convince these parties to switch to KSI-301. Companies that we are aware are developing therapeutics in the retinal disease area include large companies with significant financial resources, such as Roche, Novartis, Bayer and Regeneron, Allergan, Mylan and Momenta. In addition to competition from other companies targeting retinal indications, any products we may develop may also face competition from other types of therapies, such as gene-editing therapies and drug delivery devices.</w:t>
      </w:r>
    </w:p>
    <w:p>
      <w:pPr>
        <w:spacing w:after="0" w:line="7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CDA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8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Quarterly Report on Form 10-Q titled “Risks Related to Our Intellectual Property.”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manufacture of multiple components that require a diverse knowledge base and specialized personnel.</w:t>
      </w:r>
    </w:p>
    <w:p>
      <w:pPr>
        <w:spacing w:after="0" w:line="64"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8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w:t>
      </w:r>
    </w:p>
    <w:p>
      <w:pPr>
        <w:spacing w:after="0" w:line="170" w:lineRule="exact"/>
        <w:rPr>
          <w:sz w:val="20"/>
          <w:szCs w:val="20"/>
          <w:color w:val="auto"/>
        </w:rPr>
      </w:pPr>
    </w:p>
    <w:p>
      <w:pPr>
        <w:jc w:val="both"/>
        <w:ind w:right="340"/>
        <w:spacing w:after="0" w:line="340"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addition, the manufacturing process for any products that we may develop is subject to FDA, EMA, CDA and foreign regulatory authority approval processes and continuous oversight. We will need to contract with manufacturers who can meet all applicable FDA, EMA, CDA and foreign regulatory authority requirements, including complying with current good manufacturing practices, or cGMPs, on an ongoing basis. If we or our third-party manufacturers are unable to reliably produce products to specifications acceptable to the FDA, EMA, CDA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CDA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ind w:right="36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6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640" w:right="60" w:hanging="119"/>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approved products;</w:t>
      </w:r>
    </w:p>
    <w:p>
      <w:pPr>
        <w:spacing w:after="0" w:line="140" w:lineRule="exact"/>
        <w:rPr>
          <w:rFonts w:ascii="Arial" w:cs="Arial" w:eastAsia="Arial" w:hAnsi="Arial"/>
          <w:sz w:val="16"/>
          <w:szCs w:val="16"/>
          <w:color w:val="auto"/>
        </w:rPr>
      </w:pPr>
    </w:p>
    <w:p>
      <w:pPr>
        <w:ind w:left="640" w:hanging="119"/>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inability of reimbursement professionals to negotiate arrangements for formulary access, reimbursement, and other acceptance by payors;</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640" w:right="360" w:hanging="119"/>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6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CDA or other regulatory agencies;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left="640" w:right="820" w:hanging="119"/>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CDA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0"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CDA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from biological products that are biosimilar to or interchangeable with our product candidates sooner than anticipated.</w:t>
      </w:r>
    </w:p>
    <w:p>
      <w:pPr>
        <w:spacing w:after="0" w:line="62"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70" w:lineRule="exact"/>
        <w:rPr>
          <w:sz w:val="20"/>
          <w:szCs w:val="20"/>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EMA, CDA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time required to obtain approval by the FDA, EMA, CDA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29" w:lineRule="exact"/>
        <w:rPr>
          <w:sz w:val="20"/>
          <w:szCs w:val="20"/>
          <w:color w:val="auto"/>
        </w:rPr>
      </w:pPr>
    </w:p>
    <w:p>
      <w:pPr>
        <w:ind w:left="640" w:hanging="119"/>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EMA, CDA or comparable foreign regulatory authorities may disagree with the design, implementation or results of our clinical trials;</w:t>
      </w:r>
    </w:p>
    <w:p>
      <w:pPr>
        <w:spacing w:after="0" w:line="128" w:lineRule="exact"/>
        <w:rPr>
          <w:rFonts w:ascii="Arial" w:cs="Arial" w:eastAsia="Arial" w:hAnsi="Arial"/>
          <w:sz w:val="17"/>
          <w:szCs w:val="17"/>
          <w:color w:val="auto"/>
        </w:rPr>
      </w:pPr>
    </w:p>
    <w:p>
      <w:pPr>
        <w:ind w:left="640" w:right="40" w:hanging="119"/>
        <w:spacing w:after="0" w:line="26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3" w:lineRule="exact"/>
        <w:rPr>
          <w:rFonts w:ascii="Arial" w:cs="Arial" w:eastAsia="Arial" w:hAnsi="Arial"/>
          <w:sz w:val="18"/>
          <w:szCs w:val="18"/>
          <w:color w:val="auto"/>
        </w:rPr>
      </w:pPr>
    </w:p>
    <w:p>
      <w:pPr>
        <w:ind w:left="640" w:right="160" w:hanging="11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640" w:right="140" w:hanging="11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to the FDA, EMA, CDA or comparable foreign regulatory authorities that a product candidate’s risk-benefit ratio for its proposed indication, when compared to the standard of care, is acceptable;</w:t>
      </w:r>
    </w:p>
    <w:p>
      <w:pPr>
        <w:spacing w:after="0" w:line="62" w:lineRule="exact"/>
        <w:rPr>
          <w:rFonts w:ascii="Arial" w:cs="Arial" w:eastAsia="Arial" w:hAnsi="Arial"/>
          <w:sz w:val="18"/>
          <w:szCs w:val="18"/>
          <w:color w:val="auto"/>
        </w:rPr>
      </w:pPr>
    </w:p>
    <w:p>
      <w:pPr>
        <w:ind w:left="640" w:right="200" w:hanging="11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640" w:hanging="11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640" w:right="900" w:hanging="119"/>
        <w:spacing w:after="0" w:line="342"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EMA, CDA or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640" w:right="400" w:hanging="11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CDA or comparable foreign regulatory authorities may significantly change in a manner rendering our clinical data insufficient for approval.</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CDA and applicable foreign regulatory authorities may not accept data from such trials.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CDA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CDA or any applicable foreign regulatory authority will accept data from trials conducted outside of the United States or the applicable jurisdiction, including any trials that we may conduct in China. If the FDA, EMA, CDA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6" w:name="page37"/>
    <w:bookmarkEnd w:id="36"/>
    <w:p>
      <w:pPr>
        <w:ind w:right="5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CDA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57"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CDA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6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CDA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left="640" w:hanging="1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Affordable Care Act, or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Recent changes in the U.S. administration could lead to repeal of or changes in some or all of the ACA, and complying with any new legislation or reversing changes implemented under the ACA could be time-intensive and expensive, resulting in a material adverse effect on our business. Until the ACA is fully implemented or there is more certainty concerning the future of the ACA, it will be difficult to predict its full impact and influence on our business.</w:t>
      </w:r>
    </w:p>
    <w:p>
      <w:pPr>
        <w:spacing w:after="0" w:line="65"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will remain in effect through 2025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70"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CDA and other comparable foreign regulatory authorities; provide true, complete and accurate information to the FDA, EMA, CDA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subject to various federal and state fraud and abuse laws. The laws that may impact our operations include:</w:t>
      </w:r>
    </w:p>
    <w:p>
      <w:pPr>
        <w:spacing w:after="0" w:line="62" w:lineRule="exact"/>
        <w:rPr>
          <w:sz w:val="20"/>
          <w:szCs w:val="20"/>
          <w:color w:val="auto"/>
        </w:rPr>
      </w:pPr>
    </w:p>
    <w:p>
      <w:pPr>
        <w:ind w:left="640" w:right="20" w:hanging="119"/>
        <w:spacing w:after="0" w:line="25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81" w:lineRule="exact"/>
        <w:rPr>
          <w:rFonts w:ascii="Arial" w:cs="Arial" w:eastAsia="Arial" w:hAnsi="Arial"/>
          <w:sz w:val="18"/>
          <w:szCs w:val="18"/>
          <w:color w:val="auto"/>
        </w:rPr>
      </w:pPr>
    </w:p>
    <w:p>
      <w:pPr>
        <w:ind w:left="640" w:right="80" w:hanging="119"/>
        <w:spacing w:after="0" w:line="25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85" w:lineRule="exact"/>
        <w:rPr>
          <w:rFonts w:ascii="Arial" w:cs="Arial" w:eastAsia="Arial" w:hAnsi="Arial"/>
          <w:sz w:val="18"/>
          <w:szCs w:val="18"/>
          <w:color w:val="auto"/>
        </w:rPr>
      </w:pPr>
    </w:p>
    <w:p>
      <w:pPr>
        <w:ind w:left="640" w:right="80" w:hanging="119"/>
        <w:spacing w:after="0" w:line="25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5" w:lineRule="exact"/>
        <w:rPr>
          <w:rFonts w:ascii="Arial" w:cs="Arial" w:eastAsia="Arial" w:hAnsi="Arial"/>
          <w:sz w:val="18"/>
          <w:szCs w:val="18"/>
          <w:color w:val="auto"/>
        </w:rPr>
      </w:pPr>
    </w:p>
    <w:p>
      <w:pPr>
        <w:ind w:left="640" w:right="60" w:hanging="119"/>
        <w:spacing w:after="0" w:line="279"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3" w:lineRule="exact"/>
        <w:rPr>
          <w:rFonts w:ascii="Arial" w:cs="Arial" w:eastAsia="Arial" w:hAnsi="Arial"/>
          <w:sz w:val="17"/>
          <w:szCs w:val="17"/>
          <w:color w:val="auto"/>
        </w:rPr>
      </w:pPr>
    </w:p>
    <w:p>
      <w:pPr>
        <w:ind w:left="640" w:right="160" w:hanging="119"/>
        <w:spacing w:after="0" w:line="25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and teaching hospitals, as well as ownership and investment interests held by physicians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left="640" w:right="780" w:hanging="119"/>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640" w:right="100" w:hanging="119"/>
        <w:spacing w:after="0" w:line="289"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5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7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440" w:firstLine="518"/>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6"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1" w:name="page42"/>
    <w:bookmarkEnd w:id="41"/>
    <w:p>
      <w:pPr>
        <w:ind w:right="100" w:firstLine="518"/>
        <w:spacing w:after="0" w:line="277" w:lineRule="auto"/>
        <w:rPr>
          <w:sz w:val="20"/>
          <w:szCs w:val="20"/>
          <w:color w:val="auto"/>
        </w:rPr>
      </w:pPr>
      <w:r>
        <w:rPr>
          <w:rFonts w:ascii="Arial" w:cs="Arial" w:eastAsia="Arial" w:hAnsi="Arial"/>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640" w:hanging="1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0"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63"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ind w:right="32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640" w:hanging="1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640" w:right="100" w:hanging="119"/>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3" w:lineRule="exact"/>
        <w:rPr>
          <w:rFonts w:ascii="Arial" w:cs="Arial" w:eastAsia="Arial" w:hAnsi="Arial"/>
          <w:sz w:val="18"/>
          <w:szCs w:val="18"/>
          <w:color w:val="auto"/>
        </w:rPr>
      </w:pPr>
    </w:p>
    <w:p>
      <w:pPr>
        <w:ind w:left="640" w:right="360" w:hanging="11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640" w:right="940" w:hanging="11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640" w:right="80" w:hanging="119"/>
        <w:spacing w:after="0" w:line="30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38" w:lineRule="exact"/>
        <w:rPr>
          <w:rFonts w:ascii="Arial" w:cs="Arial" w:eastAsia="Arial" w:hAnsi="Arial"/>
          <w:sz w:val="17"/>
          <w:szCs w:val="17"/>
          <w:color w:val="auto"/>
        </w:rPr>
      </w:pPr>
    </w:p>
    <w:p>
      <w:pPr>
        <w:ind w:left="640" w:hanging="119"/>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3" w:lineRule="exact"/>
        <w:rPr>
          <w:rFonts w:ascii="Arial" w:cs="Arial" w:eastAsia="Arial" w:hAnsi="Arial"/>
          <w:sz w:val="18"/>
          <w:szCs w:val="18"/>
          <w:color w:val="auto"/>
        </w:rPr>
      </w:pPr>
    </w:p>
    <w:p>
      <w:pPr>
        <w:ind w:left="640" w:right="200" w:hanging="11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40" w:right="80" w:hanging="119"/>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640" w:right="340" w:hanging="11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640" w:right="540" w:hanging="11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640" w:right="1120" w:hanging="119"/>
        <w:spacing w:after="0" w:line="342"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640" w:right="640" w:hanging="119"/>
        <w:spacing w:after="0" w:line="30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left="640" w:hanging="1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640" w:right="60" w:hanging="119"/>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640" w:right="160" w:hanging="119"/>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29"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5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jc w:val="both"/>
        <w:ind w:right="40" w:firstLine="518"/>
        <w:spacing w:after="0" w:line="27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6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6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80"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7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4"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54"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78"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6" w:name="page47"/>
    <w:bookmarkEnd w:id="46"/>
    <w:p>
      <w:pPr>
        <w:ind w:firstLine="518"/>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4"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50"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right="36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6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7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right="20" w:firstLine="518"/>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do not own any registered trademarks for the marks “KODIAK” or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If we deem it appropriate, we may decide to take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40" w:right="100" w:hanging="119"/>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640" w:right="200" w:hanging="119"/>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ind w:left="640" w:right="68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40" w:right="16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17" w:lineRule="exact"/>
        <w:rPr>
          <w:rFonts w:ascii="Arial" w:cs="Arial" w:eastAsia="Arial" w:hAnsi="Arial"/>
          <w:sz w:val="18"/>
          <w:szCs w:val="18"/>
          <w:color w:val="auto"/>
        </w:rPr>
      </w:pPr>
    </w:p>
    <w:p>
      <w:pPr>
        <w:ind w:left="640" w:right="14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640" w:right="20" w:hanging="119"/>
        <w:spacing w:after="0" w:line="30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640" w:hanging="1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640" w:right="180" w:hanging="119"/>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conduct our operations at our facility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As of March 31, 2019, we had 31 employees, all of whom were full-time.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73" w:lineRule="exact"/>
        <w:rPr>
          <w:sz w:val="20"/>
          <w:szCs w:val="20"/>
          <w:color w:val="auto"/>
        </w:rPr>
      </w:pPr>
    </w:p>
    <w:p>
      <w:pPr>
        <w:ind w:left="640" w:hanging="1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640" w:right="140" w:hanging="119"/>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ind w:right="20" w:firstLine="518"/>
        <w:spacing w:after="0" w:line="293"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5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w:t>
      </w:r>
    </w:p>
    <w:p>
      <w:pPr>
        <w:spacing w:after="0" w:line="1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8" w:lineRule="exact"/>
        <w:rPr>
          <w:sz w:val="20"/>
          <w:szCs w:val="20"/>
          <w:color w:val="auto"/>
        </w:rPr>
      </w:pPr>
    </w:p>
    <w:p>
      <w:pPr>
        <w:ind w:left="640" w:hanging="1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640" w:right="460" w:hanging="119"/>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640" w:right="720" w:hanging="119"/>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640" w:right="560" w:hanging="119"/>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640" w:right="260" w:hanging="119"/>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may be vulnerable to damage from computer viruses and unauthorized access. Although to our knowledge, we have not experienced any such material system failure or security breach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180" w:firstLine="518"/>
        <w:spacing w:after="0" w:line="279" w:lineRule="auto"/>
        <w:rPr>
          <w:sz w:val="20"/>
          <w:szCs w:val="20"/>
          <w:color w:val="auto"/>
        </w:rPr>
      </w:pPr>
      <w:r>
        <w:rPr>
          <w:rFonts w:ascii="Arial" w:cs="Arial" w:eastAsia="Arial" w:hAnsi="Arial"/>
          <w:sz w:val="17"/>
          <w:szCs w:val="17"/>
          <w:color w:val="auto"/>
        </w:rPr>
        <w:t>The secure maintenance of information is critical to our business and reputation. We believe that companies have been increasingly subject to a wide variety of security incidents, cyber-attacks and other attempts to gain unauthorized access.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w:t>
      </w:r>
    </w:p>
    <w:p>
      <w:pPr>
        <w:spacing w:after="0" w:line="6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network and storage applications and those of our collaborators, CROs and vendors may be subject to unauthorized access by hackers or breached due to operator error, malfeasance or other system disruptions. It is often difficult to anticipate or immediately detect such incidents and the damage caused by them. These data breaches and any unauthorized access or disclosure of our information or intellectual property could compromise our intellectual property and expose sensitive business information. A data security breach could also lead to public exposure of personal information of our employees. Cyber-attacks could cause us to incur significant remediation costs, disrupt key business operations and divert attention of management and key information technology resources. Our network security and data recovery measures and those of our collaborators, CROs and vendors may not be adequate to protect against such security breaches and disruptions. To the extent that any disruption or security breach were to result in a loss of, or damage to, our data or systems, or inappropriate disclosure of confidential or proprietary information, we could incur liability, our competitive position could be harmed,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w:t>
      </w:r>
    </w:p>
    <w:p>
      <w:pPr>
        <w:spacing w:after="0" w:line="5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a single facility in Palo Alto,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and changing regulatory requirements in non-U.S. countries;</w:t>
      </w:r>
    </w:p>
    <w:p>
      <w:pPr>
        <w:spacing w:after="0" w:line="117" w:lineRule="exact"/>
        <w:rPr>
          <w:rFonts w:ascii="Arial" w:cs="Arial" w:eastAsia="Arial" w:hAnsi="Arial"/>
          <w:sz w:val="18"/>
          <w:szCs w:val="18"/>
          <w:color w:val="auto"/>
        </w:rPr>
      </w:pPr>
    </w:p>
    <w:p>
      <w:pPr>
        <w:ind w:left="640" w:right="140" w:hanging="119"/>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left="640" w:hanging="1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expected withdrawal of the United Kingdom from the EU, commonly referred to as “Brexit,” may cause increased economic volatility, affecting our operations and business.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As of December 31, 2018, we had federal net operating loss carryforwards, or NOLs, of $21.9 million, which will begin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We will be unable to use our NOLs if we do not attain profitability sufficient to offset our available NOLs prior to their expiration.</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be sustained, and, as a result, it may be difficult for you to sell your shares of our common stock.</w:t>
      </w:r>
    </w:p>
    <w:p>
      <w:pPr>
        <w:spacing w:after="0" w:line="62"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17" w:lineRule="exact"/>
        <w:rPr>
          <w:rFonts w:ascii="Arial" w:cs="Arial" w:eastAsia="Arial" w:hAnsi="Arial"/>
          <w:sz w:val="18"/>
          <w:szCs w:val="18"/>
          <w:color w:val="auto"/>
        </w:rPr>
      </w:pPr>
    </w:p>
    <w:p>
      <w:pPr>
        <w:ind w:left="640" w:right="200" w:hanging="119"/>
        <w:spacing w:after="0" w:line="27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could reduce the market price of our common stock. Approximately 27.5 million shares, or 74.5% of our shares outstanding after our IPO were prohibited from resale pursuant to the terms of lock-up agreements entered into by our stockholders with the underwriters in our IPO; however, subject to applicable securities law restrictions and excluding shares of restricted stock that will remain unvested, the resale restrictions applicable to these shares pursuant to the lock-up agreements lapsed in April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right="80" w:firstLine="518"/>
        <w:spacing w:after="0" w:line="276" w:lineRule="auto"/>
        <w:rPr>
          <w:sz w:val="20"/>
          <w:szCs w:val="20"/>
          <w:color w:val="auto"/>
        </w:rPr>
      </w:pPr>
      <w:r>
        <w:rPr>
          <w:rFonts w:ascii="Arial" w:cs="Arial" w:eastAsia="Arial" w:hAnsi="Arial"/>
          <w:sz w:val="17"/>
          <w:szCs w:val="17"/>
          <w:color w:val="auto"/>
        </w:rPr>
        <w:t>Moreover, holders of an aggregate of approximately 13.3 million shares of our common stock have rights, subject to conditions, to require us to file registration statements covering their shares or to include their shares in registration statements that we may file for ourselves or other stockholders. We also register all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directors, executive officers, holders of more than 5% of our outstanding common stock and their respective affiliates beneficially own shares representing approximately 59.9% of our outstanding common stock as of March 31, 2019.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us may make our common stock less attractive to investors.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addition, to the extent that we continue to qualify as a "smaller reporting company," as defined in the Exchange Act, we may choose to provide the scaled disclosure available to smaller reporting companies. As a result, the information we provide stockholders may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56" w:name="page57"/>
    <w:bookmarkEnd w:id="56"/>
    <w:p>
      <w:pPr>
        <w:ind w:right="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0"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maintain effective internal controls, our business, financial position and results of operations could be adversely affected.</w:t>
      </w:r>
    </w:p>
    <w:p>
      <w:pPr>
        <w:spacing w:after="0" w:line="12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p>
    <w:p>
      <w:pPr>
        <w:spacing w:after="0" w:line="46"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may not use them effectively.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received from our IPO. Our management may spend a portion or all of the net proceeds from our IPO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our IPO in a manner that does not produce income or that loses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right="3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640" w:hanging="119"/>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640" w:right="120" w:hanging="119"/>
        <w:spacing w:after="0" w:line="27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the affirmative vote of at least 66 2/3% or more of the outstanding shares of common stock to amend many of the provisions described above.</w:t>
      </w:r>
    </w:p>
    <w:p>
      <w:pPr>
        <w:spacing w:after="0" w:line="14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640" w:hanging="11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On October 9, 2018, we closed our IPO, in which we sold and issued 9,000,000 shares of common stock at a price to the public of $10.00 per share. On November 6, 2018, we sold and issued an additional 400,000 shares of common stock at $10.00 per share to the underwriters of our IPO following the partial exercise of their over-allotment option.</w:t>
      </w:r>
    </w:p>
    <w:p>
      <w:pPr>
        <w:spacing w:after="0" w:line="73"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offer and sale of all of the shares of our common stock in our IPO were registered under the Securities Act pursuant to a registration statement on Form S-1 (File No. 333-227237), which was declared effective by the SEC on October 3, 2018. Following the sale of the above shares, the offering terminated. Morgan Stanley, BofA Merrill Lynch and Barclays acted as joint book-running managers and Chardan acted as lead manager.</w:t>
      </w:r>
    </w:p>
    <w:p>
      <w:pPr>
        <w:spacing w:after="0" w:line="5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received aggregate gross proceeds from our IPO of $94.0 million, or aggregate net proceeds of $83.5 million, inclusive of the partial over-allotment option exercise, after deducting underwriting discounts and commissions and other offering costs.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7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There has been no material change in the planned use of the net proceeds from our initial public offering as described in our final prospectus filed pursuant to Rule 424(b)(4) under the Securities Act with the SEC on October 5,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7800" w:type="dxa"/>
            <w:vAlign w:val="bottom"/>
            <w:gridSpan w:val="4"/>
          </w:tcPr>
          <w:p>
            <w:pPr>
              <w:jc w:val="center"/>
              <w:ind w:right="6520"/>
              <w:spacing w:after="0"/>
              <w:rPr>
                <w:sz w:val="20"/>
                <w:szCs w:val="20"/>
                <w:color w:val="auto"/>
              </w:rPr>
            </w:pPr>
            <w:r>
              <w:rPr>
                <w:rFonts w:ascii="Arial" w:cs="Arial" w:eastAsia="Arial" w:hAnsi="Arial"/>
                <w:sz w:val="18"/>
                <w:szCs w:val="18"/>
                <w:b w:val="1"/>
                <w:bCs w:val="1"/>
                <w:color w:val="auto"/>
                <w:w w:val="93"/>
              </w:rPr>
              <w:t>Item 6. Exhibits.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jc w:val="center"/>
              <w:ind w:left="359"/>
              <w:spacing w:after="0"/>
              <w:rPr>
                <w:sz w:val="20"/>
                <w:szCs w:val="20"/>
                <w:color w:val="auto"/>
              </w:rPr>
            </w:pPr>
            <w:r>
              <w:rPr>
                <w:rFonts w:ascii="Arial" w:cs="Arial" w:eastAsia="Arial" w:hAnsi="Arial"/>
                <w:sz w:val="18"/>
                <w:szCs w:val="18"/>
                <w:i w:val="1"/>
                <w:iCs w:val="1"/>
                <w:color w:val="auto"/>
                <w:w w:val="99"/>
              </w:rPr>
              <w:t>(a)</w:t>
            </w:r>
          </w:p>
        </w:tc>
        <w:tc>
          <w:tcPr>
            <w:tcW w:w="6980" w:type="dxa"/>
            <w:vAlign w:val="bottom"/>
            <w:gridSpan w:val="3"/>
          </w:tcPr>
          <w:p>
            <w:pPr>
              <w:ind w:left="80"/>
              <w:spacing w:after="0"/>
              <w:rPr>
                <w:sz w:val="20"/>
                <w:szCs w:val="20"/>
                <w:color w:val="auto"/>
              </w:rPr>
            </w:pPr>
            <w:r>
              <w:rPr>
                <w:rFonts w:ascii="Arial" w:cs="Arial" w:eastAsia="Arial" w:hAnsi="Arial"/>
                <w:sz w:val="18"/>
                <w:szCs w:val="18"/>
                <w:i w:val="1"/>
                <w:iCs w:val="1"/>
                <w:color w:val="auto"/>
              </w:rPr>
              <w:t>Exhibits.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4"/>
              </w:rPr>
              <w:t>Incorporated by Reference</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72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1"/>
                <w:szCs w:val="11"/>
                <w:color w:val="auto"/>
              </w:rPr>
            </w:pP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1"/>
                <w:szCs w:val="11"/>
                <w:color w:val="auto"/>
              </w:rPr>
            </w:pP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67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67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Certification of Principal Executive Officer Pursuant to Rules 13a-14(a) and 15d-14(a) under</w:t>
              </w:r>
            </w:hyperlink>
          </w:p>
        </w:tc>
      </w:tr>
      <w:tr>
        <w:trPr>
          <w:trHeight w:val="196"/>
        </w:trPr>
        <w:tc>
          <w:tcPr>
            <w:tcW w:w="920" w:type="dxa"/>
            <w:vAlign w:val="bottom"/>
          </w:tcPr>
          <w:p>
            <w:pPr>
              <w:spacing w:after="0"/>
              <w:rPr>
                <w:sz w:val="17"/>
                <w:szCs w:val="17"/>
                <w:color w:val="auto"/>
              </w:rPr>
            </w:pPr>
          </w:p>
        </w:tc>
        <w:tc>
          <w:tcPr>
            <w:tcW w:w="6700" w:type="dxa"/>
            <w:vAlign w:val="bottom"/>
            <w:gridSpan w:val="8"/>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the Securities Exchange Act of 1934, as Adopted Pursuant to Section 302 of the Sarbanes-</w:t>
              </w:r>
            </w:hyperlink>
          </w:p>
        </w:tc>
      </w:tr>
      <w:tr>
        <w:trPr>
          <w:trHeight w:val="196"/>
        </w:trPr>
        <w:tc>
          <w:tcPr>
            <w:tcW w:w="920" w:type="dxa"/>
            <w:vAlign w:val="bottom"/>
          </w:tcPr>
          <w:p>
            <w:pPr>
              <w:spacing w:after="0"/>
              <w:rPr>
                <w:sz w:val="17"/>
                <w:szCs w:val="17"/>
                <w:color w:val="auto"/>
              </w:rPr>
            </w:pPr>
          </w:p>
        </w:tc>
        <w:tc>
          <w:tcPr>
            <w:tcW w:w="65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Oxley Act of 2002.</w:t>
              </w:r>
            </w:hyperlink>
          </w:p>
        </w:tc>
        <w:tc>
          <w:tcPr>
            <w:tcW w:w="20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6700" w:type="dxa"/>
            <w:vAlign w:val="bottom"/>
            <w:gridSpan w:val="8"/>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of Principal Accounting and Financial Officer Pursuant to Rules 13a-14(a) and</w:t>
              </w:r>
            </w:hyperlink>
          </w:p>
        </w:tc>
      </w:tr>
      <w:tr>
        <w:trPr>
          <w:trHeight w:val="20"/>
        </w:trPr>
        <w:tc>
          <w:tcPr>
            <w:tcW w:w="92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15d-14(a) under the Securities Exchange Act of 1934, as Adopted Pursuant to Section 302 of</w:t>
              </w:r>
            </w:hyperlink>
          </w:p>
        </w:tc>
      </w:tr>
      <w:tr>
        <w:trPr>
          <w:trHeight w:val="196"/>
        </w:trPr>
        <w:tc>
          <w:tcPr>
            <w:tcW w:w="92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the Sarbanes-Oxley Act of 2002.</w:t>
              </w:r>
            </w:hyperlink>
          </w:p>
        </w:tc>
        <w:tc>
          <w:tcPr>
            <w:tcW w:w="4340" w:type="dxa"/>
            <w:vAlign w:val="bottom"/>
            <w:gridSpan w:val="6"/>
          </w:tcPr>
          <w:p>
            <w:pPr>
              <w:spacing w:after="0"/>
              <w:rPr>
                <w:sz w:val="17"/>
                <w:szCs w:val="17"/>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6700" w:type="dxa"/>
            <w:vAlign w:val="bottom"/>
            <w:gridSpan w:val="8"/>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Principal Executive Officer Pursuant to 18 U.S.C. Section 1350, as Adopted</w:t>
              </w:r>
            </w:hyperlink>
          </w:p>
        </w:tc>
      </w:tr>
      <w:tr>
        <w:trPr>
          <w:trHeight w:val="196"/>
        </w:trPr>
        <w:tc>
          <w:tcPr>
            <w:tcW w:w="9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Pursuant to Section 906 of the Sarbanes-Oxley Act of 2002.</w:t>
              </w:r>
            </w:hyperlink>
          </w:p>
        </w:tc>
        <w:tc>
          <w:tcPr>
            <w:tcW w:w="230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64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Certification of Principal Accounting and Financial Officer Pursuant to 18 U.S.C. Section</w:t>
              </w:r>
            </w:hyperlink>
          </w:p>
        </w:tc>
        <w:tc>
          <w:tcPr>
            <w:tcW w:w="2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70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1350, as Adopted Pursuant to Section 906 of the Sarbanes-Oxley Act of 2002.</w:t>
              </w:r>
            </w:hyperlink>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6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1080" w:type="dxa"/>
            <w:vAlign w:val="bottom"/>
            <w:gridSpan w:val="4"/>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360" w:hanging="512"/>
        <w:spacing w:after="0" w:line="302" w:lineRule="auto"/>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46"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00"/>
          </w:cols>
          <w:pgMar w:left="240" w:top="337" w:right="8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620" w:hanging="532"/>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60" w:right="140" w:hanging="525"/>
        <w:spacing w:after="0" w:line="264" w:lineRule="auto"/>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60" w:hanging="525"/>
        <w:spacing w:after="0"/>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060" w:right="620" w:hanging="525"/>
        <w:spacing w:after="0" w:line="342" w:lineRule="auto"/>
        <w:tabs>
          <w:tab w:leader="none" w:pos="10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80" w:hanging="525"/>
        <w:spacing w:after="0" w:line="264" w:lineRule="auto"/>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40" w:hanging="525"/>
        <w:spacing w:after="0" w:line="277" w:lineRule="auto"/>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60" w:right="20" w:hanging="525"/>
        <w:spacing w:after="0" w:line="277" w:lineRule="auto"/>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40" w:right="620" w:hanging="532"/>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60" w:right="140" w:hanging="525"/>
        <w:spacing w:after="0" w:line="264" w:lineRule="auto"/>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60" w:hanging="525"/>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060" w:right="620" w:hanging="525"/>
        <w:spacing w:after="0" w:line="342" w:lineRule="auto"/>
        <w:tabs>
          <w:tab w:leader="none" w:pos="10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80" w:hanging="525"/>
        <w:spacing w:after="0" w:line="264" w:lineRule="auto"/>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40" w:hanging="525"/>
        <w:spacing w:after="0" w:line="277" w:lineRule="auto"/>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60" w:right="20" w:hanging="525"/>
        <w:spacing w:after="0" w:line="277" w:lineRule="auto"/>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10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420"/>
          </w:cols>
          <w:pgMar w:left="240" w:top="35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20"/>
        <w:spacing w:after="0" w:line="264"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March 31,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220" w:hanging="604"/>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520" w:hanging="604"/>
        <w:spacing w:after="0" w:line="277"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right="280" w:firstLine="911"/>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160" w:firstLine="911"/>
        <w:spacing w:after="0" w:line="312"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20"/>
        <w:spacing w:after="0" w:line="264"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March 31,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220" w:hanging="604"/>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520" w:hanging="604"/>
        <w:spacing w:after="0" w:line="277"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38" w:lineRule="exact"/>
        <w:rPr>
          <w:sz w:val="20"/>
          <w:szCs w:val="20"/>
          <w:color w:val="auto"/>
        </w:rPr>
      </w:pPr>
    </w:p>
    <w:p>
      <w:pPr>
        <w:ind w:right="280" w:firstLine="911"/>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160" w:firstLine="911"/>
        <w:spacing w:after="0" w:line="312"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2019-12-28T11:39:36Z</dcterms:created>
  <dcterms:modified xsi:type="dcterms:W3CDTF">2019-12-28T11:39:36Z</dcterms:modified>
</cp:coreProperties>
</file>