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50331.htm"/>
      <w:bookmarkStart w:id="1" w:name="kskod20250331"/>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001-38682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27-0476525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1250 Page Mill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Palo Alto, CA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(650) 281-0850</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608" w:type="dxa"/>
        <w:jc w:val="left"/>
        <w:tblInd w:w="0" w:type="dxa"/>
        <w:tblLayout w:type="fixed"/>
        <w:tblCellMar>
          <w:top w:w="28" w:type="dxa"/>
          <w:left w:w="28" w:type="dxa"/>
          <w:bottom w:w="28" w:type="dxa"/>
          <w:right w:w="28" w:type="dxa"/>
        </w:tblCellMar>
      </w:tblPr>
      <w:tblGrid>
        <w:gridCol w:w="2566"/>
        <w:gridCol w:w="1561"/>
        <w:gridCol w:w="3481"/>
      </w:tblGrid>
      <w:tr>
        <w:trPr/>
        <w:tc>
          <w:tcPr>
            <w:tcW w:w="256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Common stock, par value $0.0001</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KOD</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No ☐</w:t>
      </w:r>
    </w:p>
    <w:p>
      <w:pPr>
        <w:pStyle w:val="TextBody"/>
        <w:bidi w:val="0"/>
        <w:jc w:val="left"/>
        <w:rPr/>
      </w:pPr>
      <w:r>
        <w:rPr/>
        <w:t> </w:t>
      </w:r>
    </w:p>
    <w:p>
      <w:pPr>
        <w:pStyle w:val="TextBody"/>
        <w:bidi w:val="0"/>
        <w:jc w:val="both"/>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3829" w:type="dxa"/>
        <w:jc w:val="left"/>
        <w:tblInd w:w="0" w:type="dxa"/>
        <w:tblLayout w:type="fixed"/>
        <w:tblCellMar>
          <w:top w:w="28" w:type="dxa"/>
          <w:left w:w="28" w:type="dxa"/>
          <w:bottom w:w="28" w:type="dxa"/>
          <w:right w:w="28" w:type="dxa"/>
        </w:tblCellMar>
      </w:tblPr>
      <w:tblGrid>
        <w:gridCol w:w="1411"/>
        <w:gridCol w:w="316"/>
        <w:gridCol w:w="1741"/>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5"/>
        </w:rPr>
        <w:t>As of May 7, 2025, the registrant had 52,763,541</w:t>
      </w:r>
      <w:r>
        <w:rPr>
          <w:rFonts w:ascii="Times New Roman" w:hAnsi="Times New Roman"/>
          <w:color w:val="000000"/>
          <w:sz w:val="20"/>
        </w:rPr>
        <w:t xml:space="preserve"> </w:t>
      </w:r>
      <w:r>
        <w:rPr>
          <w:rFonts w:ascii="Times New Roman" w:hAnsi="Times New Roman"/>
          <w:color w:val="000000"/>
          <w:sz w:val="15"/>
        </w:rPr>
        <w:t>shares of common stock, $0.0001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Quarterly Report.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progress each of our product candidates, including tarcocimab, KSI-501 and KSI-101, into later stages of development and towards a Biologics License Application, or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any product candidates we have or may develop,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 including the sufficiency of a single additional pivotal study of tarcocimab tedromer and a single BLA for wet AMD, RVO and DR 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enhancements and benefits of new formulations of tarcocimab, KSI-501, KSI-101 or other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including the potential to achieve FDA approval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product candidates for which we obtain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enter into manufacturing-related commitments,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agreements with third parties in connection with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 agreements and our ability to attract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unfavorable U.S. and global economic conditions on our business and operations, the business and operations of our collaborators, and on the global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the sufficiency of our cash resources, expenses, future revenue, capital requirements and needs for additional financing, as well as,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aspirational goals and objectives related to our human capital resources and workforce objectives;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managerial,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p>
    <w:p>
      <w:pPr>
        <w:pStyle w:val="TextBody"/>
        <w:bidi w:val="0"/>
        <w:spacing w:before="120" w:after="283"/>
        <w:jc w:val="left"/>
        <w:rPr>
          <w:rFonts w:ascii="Times New Roman" w:hAnsi="Times New Roman"/>
          <w:sz w:val="20"/>
        </w:rPr>
      </w:pPr>
      <w:r>
        <w:rPr>
          <w:rFonts w:ascii="Times New Roman" w:hAnsi="Times New Roman"/>
          <w:i/>
          <w:color w:val="000000"/>
          <w:sz w:val="20"/>
        </w:rPr>
        <w:t>Kodiak</w:t>
      </w:r>
      <w:r>
        <w:rPr>
          <w:rFonts w:ascii="Times New Roman" w:hAnsi="Times New Roman"/>
          <w:i/>
          <w:color w:val="000000"/>
          <w:sz w:val="13"/>
        </w:rPr>
        <w:t>®</w:t>
      </w:r>
      <w:r>
        <w:rPr>
          <w:rFonts w:ascii="Times New Roman" w:hAnsi="Times New Roman"/>
          <w:i/>
          <w:color w:val="000000"/>
          <w:sz w:val="20"/>
        </w:rPr>
        <w:t>, Kodiak Sciences</w:t>
      </w:r>
      <w:r>
        <w:rPr>
          <w:rFonts w:ascii="Times New Roman" w:hAnsi="Times New Roman"/>
          <w:i/>
          <w:color w:val="000000"/>
          <w:sz w:val="13"/>
        </w:rPr>
        <w:t>®</w:t>
      </w:r>
      <w:r>
        <w:rPr>
          <w:rFonts w:ascii="Times New Roman" w:hAnsi="Times New Roman"/>
          <w:i/>
          <w:color w:val="000000"/>
          <w:sz w:val="20"/>
        </w:rPr>
        <w:t>, ABC</w:t>
      </w:r>
      <w:r>
        <w:rPr>
          <w:rFonts w:ascii="Times New Roman" w:hAnsi="Times New Roman"/>
          <w:i/>
          <w:color w:val="000000"/>
          <w:sz w:val="13"/>
        </w:rPr>
        <w:t>®</w:t>
      </w:r>
      <w:r>
        <w:rPr>
          <w:rFonts w:ascii="Times New Roman" w:hAnsi="Times New Roman"/>
          <w:i/>
          <w:color w:val="000000"/>
          <w:sz w:val="20"/>
        </w:rPr>
        <w:t>, ABC Platform</w:t>
      </w:r>
      <w:r>
        <w:rPr>
          <w:rFonts w:ascii="Times New Roman" w:hAnsi="Times New Roman"/>
          <w:i/>
          <w:color w:val="000000"/>
          <w:sz w:val="13"/>
        </w:rPr>
        <w:t>®</w:t>
      </w:r>
      <w:r>
        <w:rPr>
          <w:rFonts w:ascii="Times New Roman" w:hAnsi="Times New Roman"/>
          <w:i/>
          <w:color w:val="000000"/>
          <w:sz w:val="20"/>
        </w:rPr>
        <w:t>, ABCD</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and the Kodiak logo are registered trademarks or trademarks of Kodiak Sciences Inc. in various global jurisdictions.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SELECTED RISKS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numerous risks, including the risks described in “Part II—Other Information, Item 1A.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the clinical stage of drug development and have a very limited operating history and no products approved for commercial sale, which may make it difficult to evaluate our current business and predict our future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period since our inception and anticipate that we will continue to incur significant and increasing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condition raises substantial doubt about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additional financing, we may be unable to complete the development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are heavily dependent on our tarcocimab, KSI-501 and KSI-101 product candidates, which are currently in clinical development for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for the development of tarcocimab, KSI-501 or KSI-101 may be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encounter substantial delays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297" w:type="dxa"/>
        <w:jc w:val="left"/>
        <w:tblInd w:w="0" w:type="dxa"/>
        <w:tblLayout w:type="fixed"/>
        <w:tblCellMar>
          <w:top w:w="28" w:type="dxa"/>
          <w:left w:w="28" w:type="dxa"/>
          <w:bottom w:w="28" w:type="dxa"/>
          <w:right w:w="28" w:type="dxa"/>
        </w:tblCellMar>
      </w:tblPr>
      <w:tblGrid>
        <w:gridCol w:w="5766"/>
        <w:gridCol w:w="146"/>
        <w:gridCol w:w="211"/>
        <w:gridCol w:w="991"/>
        <w:gridCol w:w="166"/>
        <w:gridCol w:w="146"/>
        <w:gridCol w:w="221"/>
        <w:gridCol w:w="1039"/>
        <w:gridCol w:w="6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185,290</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w:t>
              <w:br/>
              <w:t xml:space="preserve">   0 shares issued and outstanding at March 31, 2025 and </w:t>
              <w:br/>
              <w:t>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490,000,000 shares authorized </w:t>
              <w:br/>
              <w:t xml:space="preserve">   at March 31, 2025 and December 31, 2024; 52,751,875 and </w:t>
              <w:br/>
              <w:t xml:space="preserve">   52,726,916 shares issued and outstanding at March 31, 2025 and </w:t>
              <w:br/>
              <w: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1,479,021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(1,328,738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614" w:type="dxa"/>
        <w:jc w:val="left"/>
        <w:tblInd w:w="0" w:type="dxa"/>
        <w:tblLayout w:type="fixed"/>
        <w:tblCellMar>
          <w:top w:w="28" w:type="dxa"/>
          <w:left w:w="28" w:type="dxa"/>
          <w:bottom w:w="28" w:type="dxa"/>
          <w:right w:w="28" w:type="dxa"/>
        </w:tblCellMar>
      </w:tblPr>
      <w:tblGrid>
        <w:gridCol w:w="5071"/>
        <w:gridCol w:w="146"/>
        <w:gridCol w:w="211"/>
        <w:gridCol w:w="1036"/>
        <w:gridCol w:w="166"/>
        <w:gridCol w:w="146"/>
        <w:gridCol w:w="211"/>
        <w:gridCol w:w="1036"/>
        <w:gridCol w:w="5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March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used </w:t>
              <w:br/>
              <w:t>   in computing 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52,746,318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52,510,460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153" w:type="dxa"/>
        <w:jc w:val="left"/>
        <w:tblInd w:w="0" w:type="dxa"/>
        <w:tblLayout w:type="fixed"/>
        <w:tblCellMar>
          <w:top w:w="28" w:type="dxa"/>
          <w:left w:w="28" w:type="dxa"/>
          <w:bottom w:w="28" w:type="dxa"/>
          <w:right w:w="28" w:type="dxa"/>
        </w:tblCellMar>
      </w:tblPr>
      <w:tblGrid>
        <w:gridCol w:w="2241"/>
        <w:gridCol w:w="146"/>
        <w:gridCol w:w="146"/>
        <w:gridCol w:w="766"/>
        <w:gridCol w:w="146"/>
        <w:gridCol w:w="146"/>
        <w:gridCol w:w="196"/>
        <w:gridCol w:w="375"/>
        <w:gridCol w:w="146"/>
        <w:gridCol w:w="146"/>
        <w:gridCol w:w="181"/>
        <w:gridCol w:w="691"/>
        <w:gridCol w:w="146"/>
        <w:gridCol w:w="146"/>
        <w:gridCol w:w="181"/>
        <w:gridCol w:w="736"/>
        <w:gridCol w:w="151"/>
        <w:gridCol w:w="146"/>
        <w:gridCol w:w="219"/>
        <w:gridCol w:w="711"/>
        <w:gridCol w:w="391"/>
      </w:tblGrid>
      <w:tr>
        <w:trPr/>
        <w:tc>
          <w:tcPr>
            <w:tcW w:w="2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52,726,916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1,479,021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(1,328,738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52,751,875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1,495,036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(1,386,199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52,508,602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(1,152,531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265,781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52,523,447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1,436,754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(1,195,570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241,189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3"/>
        <w:gridCol w:w="248"/>
        <w:gridCol w:w="922"/>
        <w:gridCol w:w="195"/>
        <w:gridCol w:w="172"/>
        <w:gridCol w:w="248"/>
        <w:gridCol w:w="922"/>
        <w:gridCol w:w="815"/>
      </w:tblGrid>
      <w:tr>
        <w:trPr/>
        <w:tc>
          <w:tcPr>
            <w:tcW w:w="66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(43,039</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long-lived assets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impairment expense</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derivative contracts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and other current liabilities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deposit</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(39,600</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derivative contracts</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upon options exercise</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8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(39,728</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174,258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291,831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252,103</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consolidated balance sheets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245,919</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in consolidated balance sheets</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252,103</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information:</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operating lease liability</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under accounts payable and accruals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Inc. (the “Company”) is a clinical stage biopharmaceutical company committed to researching, developing and commercializing transformative therapeutics to treat a broad spectrum of retinal diseases. The Company devotes substantially all of its resources to the research and development of its platform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Company had cash and cash equivalents of $138.9 million. The Company has incurred net losses and negative cash flows from operations since inception. The Company has incurred net losses of $57.5 million and $43.0 million for the three months ended March 31, 2025 and 2024, respectively. The net cash used in operating activities was $29.1 million and $39.6 million for the three months ended March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funded its operations primarily through the issuance of common stock and the sale of future royalties. The Company’s ability to achieve and sustain profitability will depend on the successful development, approval and commercialization of its product candidates and on the achievement of sufficient revenue to support its cost structure and, unless and until it does, the Company will need to raise additional capital to maintain current operations and to continue research and development activities. The Company continues to monitor and reduce certain expenditures and plans to raise additional capital through approaches that include equity or debt financings, collaborations or a combination of similar transactions. While the Company has been able to raise multiple rounds of financing, there can be no assurance that such financing will be available on terms which are favorable or at all. The Company could be required to pause, scale back or discontinue one or more of its development programs, which could adversely affect the Company’s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 existing cash and cash equivalents may not be sufficient to meet the anticipated operating and capital expenditure requirements for the 12 months following the date of this Quarterly Report on Form 10-Q. As a result, there is substantial doubt regarding the Company's ability to continue as a going concern. The consolidated financial statements have been prepared assuming that the Company will continue to operate as a going concern, which contemplates the realization of assets and satisfaction of liabilities and commitments in the ordinary course of business.</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on a basis substantially consistent with, and should be read in conjunction with the audited financial statements for the year ended December 31, 2024 and notes thereto, including the Company’s critical accounting policies for accrued research and development, stock-based compensation, and impairment of long-lived assets, the Company’s Annual Report on Form 10-K filed with the Securities and Exchange Commission (“SEC”) on March 27, 2025.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2025, or for any future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reflect the operations of the Company and its wholly owned subsidiaries. All intercompany accounts and transactions have been eliminated.</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stock-based compensation and impairment of long-lived assets.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reviews long-lived assets for impairment whenever events or changes in circumstances indicate that the carrying amounts of the assets may not be recoverable. Recoverability is measured by comparison of the carrying amount of the assets to the estimated undiscounted net cash flows which the assets are expected to generate. If such assets are deemed not recoverable, an impairment loss is recognized in the amount by which the carrying value of the assets exceeds the estimated fair value of the assets.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three months ended March 31, 2025, the Company subleased its building at 1200 Page Mill Road, Palo Alto, California, as further disclosed in Note 5. The Company performed a review of its asset group and determined that the right-of-use asset related to this building should be placed in a separate asset group because the sublease activities and cash flows are largely independent of the rest of the Company’s cash flows. The Company accounted for this change in asset group prospectively. Further, the Company concluded that the sublease of this building was a triggering event indicating that the asset group’s carrying amount may not be recoverable. The Company performed a recoverability analysis of the asset group and concluded that the net carrying value of the asset group exceeded the undiscounted net cash flows, indicating that an impairment loss should be recorded. The Company estimated the fair value of the right-of-use asset and recorded non-cash lease impairment expense of $1.9 million for the three months ended March 31, 2025. The impairment loss was recognized within general and administrative expense in the unaudited condensed consolidated statement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fair value of the right-of-use asset was estimated using the discounted future cash flow method, which included the Company’s sublease rental income, which reflected current sublease market conditions, as well as a discount rate, which represented a rate that the Company estimated a market participant would require in assuming the risks associated with those cash flows. The estimates and assumptions used in the assessment of the right-of-use asset represent Level 3 measurements because they are based on unobservable inputs that reflect management's best estimate of what market participants would use.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health epidemics, labor shortages, bank failures, inflation and monetary supply shifts, tariffs,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and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for the three months ended March 31, 2025, are consistent with those discussed in Note 2 to the consolidated financial statements in the Company’s Annual Report on Form 10-K for the year ended December 31, 2024, except as noted below within the “Recent Accounting Pronouncements” section.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Recent </w:t>
      </w:r>
      <w:r>
        <w:rPr>
          <w:rFonts w:ascii="Times New Roman" w:hAnsi="Times New Roman"/>
          <w:b/>
          <w:i/>
          <w:caps/>
          <w:color w:val="000000"/>
          <w:sz w:val="20"/>
        </w:rPr>
        <w:t>a</w:t>
      </w:r>
      <w:r>
        <w:rPr>
          <w:rFonts w:ascii="Times New Roman" w:hAnsi="Times New Roman"/>
          <w:b/>
          <w:i/>
          <w:color w:val="000000"/>
          <w:sz w:val="20"/>
        </w:rPr>
        <w:t xml:space="preserve">ccounting </w:t>
      </w:r>
      <w:r>
        <w:rPr>
          <w:rFonts w:ascii="Times New Roman" w:hAnsi="Times New Roman"/>
          <w:b/>
          <w:i/>
          <w:caps/>
          <w:color w:val="000000"/>
          <w:sz w:val="20"/>
        </w:rPr>
        <w:t>p</w:t>
      </w:r>
      <w:r>
        <w:rPr>
          <w:rFonts w:ascii="Times New Roman" w:hAnsi="Times New Roman"/>
          <w:b/>
          <w:i/>
          <w:color w:val="000000"/>
          <w:sz w:val="20"/>
        </w:rPr>
        <w:t>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and adopted by the Company as of the specified effective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requires disclosure of incremental segment information on an annual and interim basis. The ASU was adopted by the Company for the annual period ended December 31, 2024 and for the interim periods beginning January 1, 2025. Refer to Note 7.</w:t>
      </w:r>
    </w:p>
    <w:p>
      <w:pPr>
        <w:pStyle w:val="TextBody"/>
        <w:bidi w:val="0"/>
        <w:spacing w:before="240" w:after="283"/>
        <w:jc w:val="left"/>
        <w:rPr>
          <w:rFonts w:ascii="Times New Roman" w:hAnsi="Times New Roman"/>
          <w:sz w:val="20"/>
        </w:rPr>
      </w:pPr>
      <w:r>
        <w:rPr>
          <w:rFonts w:ascii="Times New Roman" w:hAnsi="Times New Roman"/>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enhances the disclosures required for income taxes in annual consolidated financial statements. The ASU is effective for fiscal years beginning after December 15, 2024, and early adoption is permitted. The Company is assessing the impact of this amendment on its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which requires additional disclosure of the nature of expenses included in the income statement. The ASU is effective for annual periods beginning after December 15, 2026 and interim periods within fiscal years beginning after December 15, 2027, and early adoption is permitted. The Company will adopt this amendment on a prospective basis. The Company is assessing the impact of this amendment on its consolidated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consist of the following (in thousands): </w:t>
      </w:r>
    </w:p>
    <w:p>
      <w:pPr>
        <w:pStyle w:val="TextBody"/>
        <w:bidi w:val="0"/>
        <w:jc w:val="left"/>
        <w:rPr/>
      </w:pPr>
      <w:r>
        <w:rPr/>
        <w:t> </w:t>
      </w:r>
    </w:p>
    <w:tbl>
      <w:tblPr>
        <w:tblW w:w="7795" w:type="dxa"/>
        <w:jc w:val="left"/>
        <w:tblInd w:w="0" w:type="dxa"/>
        <w:tblLayout w:type="fixed"/>
        <w:tblCellMar>
          <w:top w:w="28" w:type="dxa"/>
          <w:left w:w="28" w:type="dxa"/>
          <w:bottom w:w="28" w:type="dxa"/>
          <w:right w:w="28" w:type="dxa"/>
        </w:tblCellMar>
      </w:tblPr>
      <w:tblGrid>
        <w:gridCol w:w="4831"/>
        <w:gridCol w:w="146"/>
        <w:gridCol w:w="232"/>
        <w:gridCol w:w="743"/>
        <w:gridCol w:w="146"/>
        <w:gridCol w:w="146"/>
        <w:gridCol w:w="299"/>
        <w:gridCol w:w="961"/>
        <w:gridCol w:w="2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and research &amp;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Company’s fair value hierarchy for assets measured at fair value on a recurring basis (in thousands): </w:t>
      </w:r>
    </w:p>
    <w:p>
      <w:pPr>
        <w:pStyle w:val="TextBody"/>
        <w:bidi w:val="0"/>
        <w:jc w:val="left"/>
        <w:rPr/>
      </w:pPr>
      <w:r>
        <w:rPr/>
        <w:t> </w:t>
      </w:r>
    </w:p>
    <w:tbl>
      <w:tblPr>
        <w:tblW w:w="7568" w:type="dxa"/>
        <w:jc w:val="left"/>
        <w:tblInd w:w="0" w:type="dxa"/>
        <w:tblLayout w:type="fixed"/>
        <w:tblCellMar>
          <w:top w:w="28" w:type="dxa"/>
          <w:left w:w="28" w:type="dxa"/>
          <w:bottom w:w="28" w:type="dxa"/>
          <w:right w:w="28" w:type="dxa"/>
        </w:tblCellMar>
      </w:tblPr>
      <w:tblGrid>
        <w:gridCol w:w="2801"/>
        <w:gridCol w:w="146"/>
        <w:gridCol w:w="211"/>
        <w:gridCol w:w="781"/>
        <w:gridCol w:w="146"/>
        <w:gridCol w:w="146"/>
        <w:gridCol w:w="277"/>
        <w:gridCol w:w="458"/>
        <w:gridCol w:w="146"/>
        <w:gridCol w:w="146"/>
        <w:gridCol w:w="277"/>
        <w:gridCol w:w="458"/>
        <w:gridCol w:w="146"/>
        <w:gridCol w:w="146"/>
        <w:gridCol w:w="211"/>
        <w:gridCol w:w="781"/>
        <w:gridCol w:w="291"/>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135,193</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Notes 2 and 5, the Company entered into an agreement in March 2025 to sublease its building at 1200 Page Mill Road, which triggered an evaluation of the carrying amount of the related right-of-use asset. The Company determined that the carrying amount was no longer recoverable and wrote it down to its estimated fair value, which resulted in a non-cash lease impairment expense of $1.9 million. Estimated fair value was based on expected sublease rental income, which reflected current sublease market conditions, discounted at a market rate of return on similar assets. The estimates and assumptions used are considered Level 3 inputs.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Palo Alto, California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entered into lease agreements for two buildings at 1200 and 1250 Page Mill Road in Palo Alto, California, which are now the Company’s U.S. corporate offices. Under ASC 842, the Company classified these leases as operating leases and recorded right-of-use assets and lease liabilities on the lease commencement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the Company entered into an agreement to sublease its building at 1200 Page Mill Road. The term of the sublease is from March 2025 to February 2027, with no option to extend the lease. Sublease income is recorded as a reduction to rent expense and included within general and administrative expense. Future minimum lease payments to be received under the sublease are $5.0 million, $5.7 million and $0.5 million for the years ended December 31, 2025, 2026 and 2027, respectively. The remaining lease cost to be recognized by the Company exceeded the anticipated sublease income and, as a result, the Company recognized a non-cash lease impairment expense of $1.9 million during the three months ended March 31, 2025. Refer to Note 2 for additional disclosure. During the three months ended March 31, 2025, the Company recognized $0.5 million of sublease income, which was recorded as a reduction to rent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Switzerland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the Company entered into a lease agreement for office and laboratory space at Rottenstrasse 5 in Visp, Switzerland. Under ASC 842, the Company classified this lease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The Company concluded that this agreement contained an embedded lease as the custom-built manufacturing suite would be dedicated for the Company’s use. Under ASC 842, the Company classified the lease portion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Funding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subject to various legal proceedings and claims that arise in the ordinary course of its business activities. Management is currently not aware of any matters that could have a material adverse effect on its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 </w:t>
      </w:r>
    </w:p>
    <w:p>
      <w:pPr>
        <w:pStyle w:val="TextBody"/>
        <w:bidi w:val="0"/>
        <w:spacing w:before="240" w:after="283"/>
        <w:jc w:val="left"/>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Shares of common stock available for issuance under the Company's equity incentive plans at March 31, 2025 were as follows: </w:t>
      </w:r>
    </w:p>
    <w:tbl>
      <w:tblPr>
        <w:tblW w:w="4508" w:type="dxa"/>
        <w:jc w:val="left"/>
        <w:tblInd w:w="0" w:type="dxa"/>
        <w:tblLayout w:type="fixed"/>
        <w:tblCellMar>
          <w:top w:w="28" w:type="dxa"/>
          <w:left w:w="28" w:type="dxa"/>
          <w:bottom w:w="28" w:type="dxa"/>
          <w:right w:w="28" w:type="dxa"/>
        </w:tblCellMar>
      </w:tblPr>
      <w:tblGrid>
        <w:gridCol w:w="2731"/>
        <w:gridCol w:w="146"/>
        <w:gridCol w:w="177"/>
        <w:gridCol w:w="1263"/>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4,098,097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24,267,163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including stock options and performance-based stock options under the 2021 Long-Term Performance Incentive Plan (“2021 LTPIP”), 2018 Plan and 2015 Plan is summarized as follows:</w:t>
      </w:r>
    </w:p>
    <w:p>
      <w:pPr>
        <w:pStyle w:val="TextBody"/>
        <w:bidi w:val="0"/>
        <w:jc w:val="left"/>
        <w:rPr/>
      </w:pPr>
      <w:r>
        <w:rPr/>
        <w:t> </w:t>
      </w:r>
    </w:p>
    <w:tbl>
      <w:tblPr>
        <w:tblW w:w="8673"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247"/>
        <w:gridCol w:w="669"/>
        <w:gridCol w:w="146"/>
        <w:gridCol w:w="146"/>
        <w:gridCol w:w="268"/>
        <w:gridCol w:w="858"/>
        <w:gridCol w:w="146"/>
        <w:gridCol w:w="146"/>
        <w:gridCol w:w="302"/>
        <w:gridCol w:w="973"/>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19,873,073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share activity, including restricted stock awards, restricted stock units, and performance-based restricted stock units, under the 2018 Plan is summarized as follows:</w:t>
      </w:r>
    </w:p>
    <w:p>
      <w:pPr>
        <w:pStyle w:val="TextBody"/>
        <w:bidi w:val="0"/>
        <w:jc w:val="left"/>
        <w:rPr/>
      </w:pPr>
      <w:r>
        <w:rPr/>
        <w:t> </w:t>
      </w:r>
    </w:p>
    <w:tbl>
      <w:tblPr>
        <w:tblW w:w="5405" w:type="dxa"/>
        <w:jc w:val="left"/>
        <w:tblInd w:w="0" w:type="dxa"/>
        <w:tblLayout w:type="fixed"/>
        <w:tblCellMar>
          <w:top w:w="28" w:type="dxa"/>
          <w:left w:w="28" w:type="dxa"/>
          <w:bottom w:w="28" w:type="dxa"/>
          <w:right w:w="28" w:type="dxa"/>
        </w:tblCellMar>
      </w:tblPr>
      <w:tblGrid>
        <w:gridCol w:w="2701"/>
        <w:gridCol w:w="146"/>
        <w:gridCol w:w="158"/>
        <w:gridCol w:w="847"/>
        <w:gridCol w:w="166"/>
        <w:gridCol w:w="146"/>
        <w:gridCol w:w="283"/>
        <w:gridCol w:w="767"/>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Restricted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classified in the condensed consolidated statements of operations and comprehensive loss as follows (in thousands): </w:t>
      </w:r>
    </w:p>
    <w:p>
      <w:pPr>
        <w:pStyle w:val="TextBody"/>
        <w:bidi w:val="0"/>
        <w:jc w:val="left"/>
        <w:rPr/>
      </w:pPr>
      <w:r>
        <w:rPr/>
        <w:t> </w:t>
      </w:r>
    </w:p>
    <w:tbl>
      <w:tblPr>
        <w:tblW w:w="5149"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676"/>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operating and reportable segment, which is the business of researching, developing and commercializing transformative therapeutics to treat a broad spectrum of retinal diseases. The chief operating decision maker (“CODM”) is the Chief Executive Officer. The CODM uses net loss to allocate resources and assess performance when making decisions on the timing and extent of the Company's development programs for its product candidates. The assets are managed on a consolidated basis as reported on the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 categories within net loss are presented on the condensed consolidated statements of operations. The research and development expenses have been disaggregated as follows (in thousands):</w:t>
      </w:r>
    </w:p>
    <w:p>
      <w:pPr>
        <w:pStyle w:val="TextBody"/>
        <w:bidi w:val="0"/>
        <w:spacing w:before="120" w:after="283"/>
        <w:jc w:val="left"/>
        <w:rPr/>
      </w:pPr>
      <w:r>
        <w:rPr/>
        <w:t> </w:t>
      </w:r>
    </w:p>
    <w:tbl>
      <w:tblPr>
        <w:tblW w:w="7024" w:type="dxa"/>
        <w:jc w:val="left"/>
        <w:tblInd w:w="0" w:type="dxa"/>
        <w:tblLayout w:type="fixed"/>
        <w:tblCellMar>
          <w:top w:w="28" w:type="dxa"/>
          <w:left w:w="28" w:type="dxa"/>
          <w:bottom w:w="28" w:type="dxa"/>
          <w:right w:w="28" w:type="dxa"/>
        </w:tblCellMar>
      </w:tblPr>
      <w:tblGrid>
        <w:gridCol w:w="4621"/>
        <w:gridCol w:w="146"/>
        <w:gridCol w:w="211"/>
        <w:gridCol w:w="676"/>
        <w:gridCol w:w="146"/>
        <w:gridCol w:w="146"/>
        <w:gridCol w:w="211"/>
        <w:gridCol w:w="676"/>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KSI-501 and KSI-101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ABC Platform and other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their inclusion would have been antidilutive: </w:t>
      </w:r>
    </w:p>
    <w:p>
      <w:pPr>
        <w:pStyle w:val="TextBody"/>
        <w:bidi w:val="0"/>
        <w:jc w:val="left"/>
        <w:rPr/>
      </w:pPr>
      <w:r>
        <w:rPr/>
        <w:t> </w:t>
      </w:r>
    </w:p>
    <w:tbl>
      <w:tblPr>
        <w:tblW w:w="5589" w:type="dxa"/>
        <w:jc w:val="left"/>
        <w:tblInd w:w="0" w:type="dxa"/>
        <w:tblLayout w:type="fixed"/>
        <w:tblCellMar>
          <w:top w:w="28" w:type="dxa"/>
          <w:left w:w="28" w:type="dxa"/>
          <w:bottom w:w="28" w:type="dxa"/>
          <w:right w:w="28" w:type="dxa"/>
        </w:tblCellMar>
      </w:tblPr>
      <w:tblGrid>
        <w:gridCol w:w="2596"/>
        <w:gridCol w:w="146"/>
        <w:gridCol w:w="146"/>
        <w:gridCol w:w="1036"/>
        <w:gridCol w:w="146"/>
        <w:gridCol w:w="146"/>
        <w:gridCol w:w="146"/>
        <w:gridCol w:w="103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19,893,921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17,542,553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_item2"/>
      <w:bookmarkEnd w:id="9"/>
      <w:r>
        <w:rPr>
          <w:rFonts w:ascii="Times New Roman" w:hAnsi="Times New Roman"/>
          <w:b/>
          <w:color w:val="000000"/>
          <w:sz w:val="20"/>
        </w:rPr>
        <w:t xml:space="preserve">Item 2. Management’s Discussion and Analysis of </w:t>
      </w:r>
      <w:bookmarkStart w:id="10" w:name="item_2_managements_discussion_analysis_f"/>
      <w:bookmarkEnd w:id="10"/>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2024, included in our Annual Report on Form 10-K filed with the Securities and Exchange Commission, or the SEC, on March 27, 2025.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(“we”, the “Company” or “Kodiak”) is a biopharmaceutical company committed to researching, developing, and commercializing transformative therapeutics to treat a broad spectrum of retinal diseases. We are focused on bringing new science to the design and manufacture of next generation retinal medicines to prevent and treat the leading causes of blindness globally. Our ABC Platform uses molecular engineering to merge the fields of protein-based and chemistry-based therapies and has been at the core of Kodiak's discovery engine. We are developing a portfolio of three clinical programs, two of which are late-stage today and derived from our ABC Platform and one which is platform-independent and which we believe can progress rapidly into pivotal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Kodiak's lead investigational medicine, tarcocimab, is a novel anti-VEGF antibody biopolymer conjugate under development for the treatment of high prevalence retinal vascular diseases. Tarcocimab is currently being studied in two Phase 3 clinical trials, GLOW2 in patients with diabetic retinopathy and DAYBREAK in patients with wet AMD. GLOW2 enrollment is complete, and DAYBREAK is actively enrolling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is our second investigational medicine, a first-in-class anti-IL-6, VEGF-trap bispecific antibody biopolymer conjugate designed to inhibit both IL-6 mediated inflammation and VEGF-mediated angiogenesis and vascular permeability. KSI-501 is being developed for the treatment of high prevalence retinal vascular diseases to address the unmet needs of extended durability and targeting disease biology beyond VEGF for differentiated efficacy. The Phase 3 DAYBREAK study of KSI-501 in wet AMD is actively enrolling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our third product candidate, is a novel anti-IL-6, VEGF-trap bispecific protein. Kodiak is developing KSI-101 for the treatment of retinal inflammatory diseases, as currently there are no available intravitreal biologic therapies addressing the spectrum of inflammatory conditions of the retina. The Phase 1b APEX study of KSI-101 is actively enrolling patients, as a precursor to activating the Phase 2b/3 studies in patients with macular edema secondary to inflammation (“MESI”).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is advancing its platform technology to embed small molecules and other active pharmaceutical ingredients ("APIs") into Kodiak's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conjugated biologics such as antibodies. </w:t>
      </w:r>
    </w:p>
    <w:p>
      <w:pPr>
        <w:pStyle w:val="TextBody"/>
        <w:bidi w:val="0"/>
        <w:jc w:val="left"/>
        <w:rPr>
          <w:rFonts w:ascii="Times New Roman" w:hAnsi="Times New Roman"/>
          <w:b/>
          <w:color w:val="000000"/>
          <w:sz w:val="20"/>
        </w:rPr>
      </w:pPr>
      <w:r>
        <w:rPr>
          <w:rFonts w:ascii="Times New Roman" w:hAnsi="Times New Roman"/>
          <w:b/>
          <w:color w:val="000000"/>
          <w:sz w:val="20"/>
        </w:rPr>
        <w:t>Recent Updates</w:t>
      </w:r>
    </w:p>
    <w:p>
      <w:pPr>
        <w:pStyle w:val="TextBody"/>
        <w:bidi w:val="0"/>
        <w:spacing w:before="240" w:after="283"/>
        <w:jc w:val="left"/>
        <w:rPr>
          <w:rFonts w:ascii="Times New Roman" w:hAnsi="Times New Roman"/>
          <w:sz w:val="20"/>
        </w:rPr>
      </w:pPr>
      <w:r>
        <w:rPr>
          <w:rFonts w:ascii="Times New Roman" w:hAnsi="Times New Roman"/>
          <w:b/>
          <w:i/>
          <w:color w:val="000000"/>
          <w:sz w:val="20"/>
        </w:rPr>
        <w:t>Tarcocimab Clinical Program Summary and Update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Kodiak’s lead clinical program tarcocimab is an investigational anti-VEGF therapy built on Kodiak’s ABC Platform and is designed to maintain potent and effective drug levels in ocular tissues for longer than existing available agents. It is being developed as a mainstay intravitreal biologic monotherapy intended to provide high immediacy, driven by the enhanced formulation, and high durability, driven by the ABC Platform and our science of durability, with the ultimate objective of providing, once approved, a flexible 1-month through 6-month label. Kodiak’s objective with tarcocimab is to enable earlier treatment and prevention of vision loss for patients with diabetic retinopathy and to develop a new high immediacy and high durability agent to improve outcomes for patients with retinal vascular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tarcocimab has been studied in six pivotal clinical studies: Phase 3 GLOW1 study in diabetic retinopathy (“DR”), Phase 3 BEACON study in retinal vein occlusion (“RVO”), Phase 3 DAYLIGHT study in wet AMD, Phase 3 GLEAM and GLIMMER studies with identical study design in diabetic macular edema (“DME”), and Phase 2/3 DAZZLE study in wet AMD. Of the six registrational studies, GLOW1, BEACON and DAYLIGHT successfully met the primary endpoint. Tarcocimab is currently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being studied in two Phase 3 clinical trials, the GLOW2 study in DR and the DAYBREAK study in wet AMD. GLOW2 has completed enrollment, and DAYBREAK is actively enrolling. Kodiak anticipates to be in a position to announce topline data for the primary endpoint for GLOW2 in 1Q 2026 and for the primary endpoint for DAYBREAK in 2Q 2026. Kodiak plans to wait for DAYBREAK topline data expected 2Q 2026 in order to file a single Biologics License Application (“BLA”) for tarcocimab in wet AMD, DR and RVO.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Both GLOW2 and DAYBREAK use tarcocimab’s enhanced 50 mg/mL formulation containing both conjugated and unconjugated antibody that is intended to deliver high immediacy and high durability.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 information about study design and results, if completed, from each individual pivotal study are summarized below: </w:t>
      </w:r>
    </w:p>
    <w:p>
      <w:pPr>
        <w:pStyle w:val="TextBody"/>
        <w:bidi w:val="0"/>
        <w:spacing w:before="240" w:after="283"/>
        <w:jc w:val="left"/>
        <w:rPr>
          <w:rFonts w:ascii="Times New Roman" w:hAnsi="Times New Roman"/>
          <w:sz w:val="20"/>
        </w:rPr>
      </w:pPr>
      <w:r>
        <w:rPr>
          <w:rFonts w:ascii="Times New Roman" w:hAnsi="Times New Roman"/>
          <w:b/>
          <w:color w:val="000000"/>
          <w:sz w:val="20"/>
        </w:rPr>
        <w:t>Ongoing Phase 3 Studies: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GLOW2 – Phase 3 Study in Patients with Diabetic Retinopathy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Phase 3 GLOW2 study is the second registrational trial of tarcocimab in DR. GLOW2 has a similar design as GLOW1 in which all patients randomized to investigational therapy will receive tarcocimab on extended, 6-month dosing. GLOW2 features the benefit of an additional, third monthly loading dose (baseline, Week 4, Week 8) to explore even further benefits with tarcocimab in diabetic retinopathy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GLOW2 study is a prospective, randomized, double-masked, multi-center pivotal superiority study designed to evaluate the efficacy and safety of tarcocimab in treatment-naïve patients with DR. Patients are randomized 1:1 and receive either sham injections or tarcocimab via intravitreal injection at baseline, Week 4, Week 8, Week 20 and Week 44. The primary endpoint is the proportion of eyes improving ≥2 steps on Diabetic Retinopathy Severity Scale ("DRSS") from baseline at Week 48. Additional outcome measures include the proportion of eyes developing a sight threatening complication of diabetic retinopathy and the proportion of eyes improving ≥3 steps on DRSS from baseline at Week 48.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10, 2025, Kodiak announced that GLOW2 completed enrollment, randomizing more than 250 patients. Kodiak expects to be in a position to announce topline data in 1Q 2026. </w:t>
      </w:r>
    </w:p>
    <w:p>
      <w:pPr>
        <w:pStyle w:val="TextBody"/>
        <w:bidi w:val="0"/>
        <w:spacing w:before="240" w:after="283"/>
        <w:jc w:val="left"/>
        <w:rPr>
          <w:rFonts w:ascii="Times New Roman" w:hAnsi="Times New Roman"/>
          <w:sz w:val="20"/>
        </w:rPr>
      </w:pPr>
      <w:r>
        <w:rPr>
          <w:rFonts w:ascii="Times New Roman" w:hAnsi="Times New Roman"/>
          <w:i/>
          <w:color w:val="000000"/>
          <w:sz w:val="20"/>
        </w:rPr>
        <w:t>DAYBREAK – Phase 3 Study in Patients with Wet Age-Related Macular Degeneration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Phase 3 DAYBREAK study is a non-inferiority study evaluating parallel investigational arms of tarcocimab and KSI-501 against active comparator aflibercept. Patients randomized to tarcocimab will receive individualized dosing every 4 to 24 weeks on an as needed basis following four monthly loading doses. Patients randomized to aflibercept will be dosed per its label. The individualized dosing of tarcocimab is determined by a treat-to-dryness proactive approach, using presence of retinal fluid as a disease activity marker (instead of a combination of central subfield thickness ("CST") and vision loss), which resembles retina specialists' practice and optimizes each patient's treatment. The objectives for tarcocimab in DAYBREAK are to assess its 6-month durability potential, strengthen its competitive position in wet AMD and bolster the regulatory application package for the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DAYBREAK is actively enrolling patients, and Kodiak anticipates to be in a position to announce topline data for the primary endpoint in 2Q 2026. </w:t>
      </w:r>
    </w:p>
    <w:p>
      <w:pPr>
        <w:pStyle w:val="TextBody"/>
        <w:bidi w:val="0"/>
        <w:spacing w:before="240" w:after="283"/>
        <w:jc w:val="left"/>
        <w:rPr>
          <w:rFonts w:ascii="Times New Roman" w:hAnsi="Times New Roman"/>
          <w:sz w:val="20"/>
        </w:rPr>
      </w:pPr>
      <w:r>
        <w:rPr>
          <w:rFonts w:ascii="Times New Roman" w:hAnsi="Times New Roman"/>
          <w:b/>
          <w:i/>
          <w:color w:val="000000"/>
          <w:sz w:val="20"/>
        </w:rPr>
        <w:t>KSI-501 Clinical Program Update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KSI-501 is an anti-IL-6, VEGF-trap bispecific antibody biopolymer conjugate built on the ABC Platform and is being developed for high prevalence retinal vascular diseases to address the unmet needs of extended durability and targeting disease biology beyond VEGF for differentiated efficacy. KSI-501 is designed to provide high immediacy/efficacy, driven by the enhanced formulation, and high durability, driven by the ABC Platform and our science of durability.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Higher intraocular levels of IL-6 are correlated with poorer BCVA outcomes over time in wet AMD patients treated with anti-VEGF monotherapy, which suggests that IL-6 inhibition in combination with anti-VEGF therapy could lead to improved outcomes. In preclinical models, KSI-501 was shown to be a potent inhibitor of VEGF and IL-6 and, further, was shown to normalize the blood retinal barrier, opening up the possibility that KSI-501 may be a disease-modifying therapy for retinal vascular diseases. A completed Phase 1 multiple ascending dose study demonstrated that repeated monthly dosing of KSI-501 was well tolerated and achieved clinically meaningful and sustained improvement in visual acuity and fluid reduction in patients with diabetic macular edema.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Kodiak has advanced KSI-501 into a Phase 3 study DAYBREAK to evaluate its efficacy and safety in wet AMD. The DAYBREAK study is a non-inferiority study evaluating parallel investigational arms of KSI-501 and tarcocimab against active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comparator aflibercept. Patients randomized to KSI-501 will receive fixed every 8-week dosing with additional individualized dosing (up to monthly dosing) on an as needed basis after 4 monthly loading doses. Patients randomized to aflibercept will be dosed per its label. The primary endpoint is non-inferiority in change in visual acuity from baseline to the average of Week 40, 44 and 48. DAYBREAK uses KSI-501's enhanced 50 mg/mL formulation containing both conjugated and unconjugated antibody that is intended to deliver high immediacy and high durability. The objective for KSI-501 in DAYBREAK is to explore the efficacy potential of bispecific VEGF and IL-6 inhibition in a broad treatment-naïve wet AMD population. DAYBREAK is now actively enrolling patients. </w:t>
      </w:r>
    </w:p>
    <w:p>
      <w:pPr>
        <w:pStyle w:val="TextBody"/>
        <w:bidi w:val="0"/>
        <w:spacing w:before="240" w:after="283"/>
        <w:jc w:val="left"/>
        <w:rPr>
          <w:rFonts w:ascii="Times New Roman" w:hAnsi="Times New Roman"/>
          <w:sz w:val="20"/>
        </w:rPr>
      </w:pPr>
      <w:r>
        <w:rPr>
          <w:rFonts w:ascii="Times New Roman" w:hAnsi="Times New Roman"/>
          <w:b/>
          <w:i/>
          <w:color w:val="000000"/>
          <w:sz w:val="20"/>
        </w:rPr>
        <w:t>KSI-101 Clinical Program Update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KSI-101 is a novel, potent and high strength (100 mg/mL) bispecific protein targeting IL-6 and VEGF. We are developing KSI-101 for patients who have retinal fluid and inflammation. Currently there are no available intravitreal biologic therapies addressing the spectrum of inflammatory conditions of the retina. We believe that retinal inflammatory conditions represent a new market segment separate from the established anti-VEGF market. KSI-101 is a clinical prospect with opportunities and risks uncoupled from the ABC Platform, and as such is an important part of our late-phase portfolio. We have initiated a dose-finding Phase 1b study APEX. The APEX study evaluates KSI-101 in two cohorts, Cohort 1 in patients with diabetic macular edema ("DME") and Cohort 2 in patients with macular edema secondary to inflammation ("MESI"). The goal of the APEX study is to evaluate the safety and tolerability of KSI-101 and to identify two dose levels to progress into dual Phase 2b/3 studies (PEAK and PINNACLE) in MESI.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2025, we presented early APEX data in patients with MESI that demonstrated strong treatment response at all KSI-101 dose levels. We expect to present additional APEX data at an Investor R&amp;D update in July 2025. </w:t>
      </w:r>
    </w:p>
    <w:p>
      <w:pPr>
        <w:pStyle w:val="TextBody"/>
        <w:bidi w:val="0"/>
        <w:spacing w:before="240" w:after="283"/>
        <w:jc w:val="left"/>
        <w:rPr>
          <w:rFonts w:ascii="Times New Roman" w:hAnsi="Times New Roman"/>
          <w:sz w:val="20"/>
        </w:rPr>
      </w:pPr>
      <w:r>
        <w:rPr>
          <w:rFonts w:ascii="Times New Roman" w:hAnsi="Times New Roman"/>
          <w:b/>
          <w:i/>
          <w:color w:val="000000"/>
          <w:sz w:val="20"/>
        </w:rPr>
        <w:t>ABC Platform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Kodiak is advancing its platform technology to embed small molecules and other active pharmaceutical ingredients ("API") into Kodiak's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primarily conjugated biologics such as antibodies.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program is for the treatment of geographic atrophy (“GA”). There are two approved therapies, both complement inhibitors, and they require monthly or every other month intravitreal injections and neither sufficiently halts disease progression. This program at Kodiak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pStyle w:val="TextBody"/>
        <w:bidi w:val="0"/>
        <w:spacing w:before="240" w:after="283"/>
        <w:jc w:val="left"/>
        <w:rPr>
          <w:rFonts w:ascii="Times New Roman" w:hAnsi="Times New Roman"/>
          <w:sz w:val="20"/>
        </w:rPr>
      </w:pPr>
      <w:r>
        <w:rPr>
          <w:rFonts w:ascii="Times New Roman" w:hAnsi="Times New Roman"/>
          <w:b/>
          <w:i/>
          <w:color w:val="000000"/>
          <w:sz w:val="20"/>
        </w:rPr>
        <w:t>Digital Health Platform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Kodiak also continues to advance its VETi (Visual Engagement Technology and imager) program. VETi is built on Kodiak’s suite of proprietary LiDAR (Light Detection and Ranging) sensor technologies. VETi is an autonomous AI- and machine-learning-enabled headset that engages directly into the eye. Kodiak’s goal is to commercialize VETi together with Kodiak’s emerging portfolio of retinal medicines using apps that apply AI-enabled tools. Kodiak also believes VETi has future potential to be used to build correlations between VETi data and many human diseases outside of retina and then to be used to diagnose disease and monitor treatment. VETi may also have future potential as an AI-enabled device with similarities to a consumer smartwatch but with direct access into the body and the brain through the eye rather than through the skin.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fees paid to third-party vendors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Payments made prior to the receipt of goods or services that will be used or rendered for future research and development activities are deferred and capitalized. The capitalized amounts are recognized as expense as the goods are delivered or the related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income earned on our cash and cash equivalents.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the change in fair value and settlement of derivative contracts and tax expense.</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periods indicated, in thousands:</w:t>
      </w:r>
    </w:p>
    <w:p>
      <w:pPr>
        <w:pStyle w:val="TextBody"/>
        <w:bidi w:val="0"/>
        <w:jc w:val="left"/>
        <w:rPr/>
      </w:pPr>
      <w:r>
        <w:rPr/>
        <w:t> </w:t>
      </w:r>
    </w:p>
    <w:tbl>
      <w:tblPr>
        <w:tblW w:w="6408" w:type="dxa"/>
        <w:jc w:val="left"/>
        <w:tblInd w:w="0" w:type="dxa"/>
        <w:tblLayout w:type="fixed"/>
        <w:tblCellMar>
          <w:top w:w="28" w:type="dxa"/>
          <w:left w:w="28" w:type="dxa"/>
          <w:bottom w:w="28" w:type="dxa"/>
          <w:right w:w="28" w:type="dxa"/>
        </w:tblCellMar>
      </w:tblPr>
      <w:tblGrid>
        <w:gridCol w:w="2486"/>
        <w:gridCol w:w="146"/>
        <w:gridCol w:w="211"/>
        <w:gridCol w:w="736"/>
        <w:gridCol w:w="166"/>
        <w:gridCol w:w="146"/>
        <w:gridCol w:w="211"/>
        <w:gridCol w:w="736"/>
        <w:gridCol w:w="166"/>
        <w:gridCol w:w="146"/>
        <w:gridCol w:w="211"/>
        <w:gridCol w:w="736"/>
        <w:gridCol w:w="311"/>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2941"/>
        <w:gridCol w:w="146"/>
        <w:gridCol w:w="211"/>
        <w:gridCol w:w="676"/>
        <w:gridCol w:w="146"/>
        <w:gridCol w:w="146"/>
        <w:gridCol w:w="211"/>
        <w:gridCol w:w="676"/>
        <w:gridCol w:w="146"/>
        <w:gridCol w:w="146"/>
        <w:gridCol w:w="211"/>
        <w:gridCol w:w="676"/>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KSI-501 and KSI-101 program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ABC Platform and other </w:t>
              <w:br/>
              <w: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Facilities and other research and </w:t>
              <w:br/>
              <w:t>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Total research and development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Tarcocimab program expenses increased $8.3 million during the three months ended March 31, 2025 as compared to the same period in 2024, primarily driven by increased expenses related to ongoing GLOW2 and DAYBREAK pivotal phase 3 clinical trials and increased tarcocimab manufacturing activities in preparation for a BLA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and KSI-101 program expenses increased $2.0 million during the three months ended March 31, 2025 as compared to the same period in 2024, due to expanding clinical activities for the DAYBREAK and APEX studies, partially offset by reduced manufacturing expenses due to timing of production runs.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ABC Platform and other program expenses increased $3.1 million during the three months ended March 31, 2025 as compared to the same period in 2024, primarily due to increased biopolymer manufacturing activities in the current quarter.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Payroll and personnel expenses remained relatively flat during the three months ended March 31, 2025 as compared to the same period in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research and development expenses increased $0.4 million during the three months ended March 31, 2025 as compared to the same period in 2024, primarily driven by currency fluctuations in the revaluation of our lease obligations.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$0.7 million during the three months ended March 31, 2025 as compared to the same period in 2024. The decrease was primarily driven by lower stock-based compensation expense related to previously issued higher value awards becoming fully vested and lower net rent expense after subleasing one of our Palo Alto buildings, partially offset by a non-cash $1.9 million lease impairment expense recorded in the first quarter of 2025 also related to the sublease.</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issuance of common stock and the sale of future royalties. As of March 31, 2025, we had cash and cash equivalents of $138.9 million. We believe that our current cash and cash equivalents will be sufficient to support our current and planned operations into 2026.</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and negative cash flows from operations since inception. As of March 31, 2025, we had an accumulated deficit of $1,386 million.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raise additional capital to maintain current operations and to continue research and development activities. If we raise additional funds by issuing equity securities, our stockholders may experience dilution. Any future debt financing into which we enter may impose upon us covenants that restrict our operations, including limitations on our ability to incur liens or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pause, scale back or discontinue one or more of our development programs. We may also be required to sell or license rights to our product candidates or indications in certain territories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others that we would prefer to develop and commercialize ourselves. Adequate additional funding may not be available to us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could have a negative impact on our financial condition and our ability to pursue our business strategies. Refer to the section of this report titled “Part I, Item 1A — Risk Factors” for additional risks associated with our substantial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manufacturing development and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significant uncertainties caused by any public health crises, on-going geopolitical conflicts, inflation, tariffs, rising interest rates, bank failures,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our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for each of the periods presented below, in thousands: </w:t>
      </w:r>
    </w:p>
    <w:p>
      <w:pPr>
        <w:pStyle w:val="TextBody"/>
        <w:bidi w:val="0"/>
        <w:jc w:val="left"/>
        <w:rPr/>
      </w:pPr>
      <w:r>
        <w:rPr/>
        <w:t> </w:t>
      </w:r>
    </w:p>
    <w:tbl>
      <w:tblPr>
        <w:tblW w:w="8509" w:type="dxa"/>
        <w:jc w:val="left"/>
        <w:tblInd w:w="0" w:type="dxa"/>
        <w:tblLayout w:type="fixed"/>
        <w:tblCellMar>
          <w:top w:w="28" w:type="dxa"/>
          <w:left w:w="28" w:type="dxa"/>
          <w:bottom w:w="28" w:type="dxa"/>
          <w:right w:w="28" w:type="dxa"/>
        </w:tblCellMar>
      </w:tblPr>
      <w:tblGrid>
        <w:gridCol w:w="5766"/>
        <w:gridCol w:w="146"/>
        <w:gridCol w:w="211"/>
        <w:gridCol w:w="736"/>
        <w:gridCol w:w="166"/>
        <w:gridCol w:w="146"/>
        <w:gridCol w:w="211"/>
        <w:gridCol w:w="736"/>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$29.1 million for the three months ended March 31, 2025, based on operational spend of $32.9 million and changes in operating assets and liabilities of $3.8 million.</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2024, which was filed with the SEC on March 27, 2025. There have been no material changes in our contractual obligations and commitments since December 31, 2024, except as otherwise described in Note 5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there were no material changes to our critical accounting policies as reported in our Annual Report on Form 10-K for the year ended December 31, 2024, which was filed with the SEC on March 27, 2025, except as otherwise described in Note 2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discussed under Note 2 to our unaudited condensed consolidated financial statements included in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_item3"/>
      <w:bookmarkEnd w:id="11"/>
      <w:r>
        <w:rPr>
          <w:rFonts w:ascii="Times New Roman" w:hAnsi="Times New Roman"/>
          <w:b/>
          <w:color w:val="000000"/>
          <w:sz w:val="20"/>
        </w:rPr>
        <w:t>Item 3. Quantitative and Qualitati</w:t>
      </w:r>
      <w:bookmarkStart w:id="12" w:name="item_3_quantitative_qualitative_disclosu"/>
      <w:bookmarkEnd w:id="12"/>
      <w:r>
        <w:rPr>
          <w:rFonts w:ascii="Times New Roman" w:hAnsi="Times New Roman"/>
          <w:b/>
          <w:color w:val="000000"/>
          <w:sz w:val="20"/>
        </w:rPr>
        <w:t>ve Disclosures About Market Risk.</w:t>
      </w:r>
    </w:p>
    <w:p>
      <w:pPr>
        <w:pStyle w:val="TextBody"/>
        <w:bidi w:val="0"/>
        <w:spacing w:before="120" w:after="283"/>
        <w:jc w:val="left"/>
        <w:rPr>
          <w:rFonts w:ascii="Times New Roman" w:hAnsi="Times New Roman"/>
          <w:color w:val="000000"/>
          <w:sz w:val="20"/>
        </w:rPr>
      </w:pPr>
      <w:bookmarkStart w:id="13" w:name="s161692780"/>
      <w:bookmarkEnd w:id="13"/>
      <w:r>
        <w:rPr>
          <w:rFonts w:ascii="Times New Roman" w:hAnsi="Times New Roman"/>
          <w:color w:val="000000"/>
          <w:sz w:val="20"/>
        </w:rPr>
        <w:t>During the three months ended March 31, 2025, there were no material changes to our market risk disclosures as reported in our Annual Report on Form 10-K for the year ended December 31, 2024, which was filed with the SEC on March 27, 2025.</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Evaluation of our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March 31, 2025. Based upon such evaluation, our principal executive officer and principal financial officer concluded that the design and operation of our disclosure controls and procedures were effective at a reasonable assurance level as of March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March 31, 2025,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i_item4t"/>
      <w:bookmarkEnd w:id="15"/>
      <w:r>
        <w:rPr>
          <w:rFonts w:ascii="Times New Roman" w:hAnsi="Times New Roman"/>
          <w:b/>
          <w:color w:val="000000"/>
          <w:sz w:val="20"/>
        </w:rPr>
        <w:t>PART II—OTHER</w:t>
      </w:r>
      <w:bookmarkStart w:id="16" w:name="part_iior_information"/>
      <w:bookmarkEnd w:id="16"/>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 </w:t>
      </w:r>
    </w:p>
    <w:p>
      <w:pPr>
        <w:pStyle w:val="TextBody"/>
        <w:bidi w:val="0"/>
        <w:spacing w:before="24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27, 2025.</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We completed enrollment for the Phase 3 GLOW2 clinical trial of tarcocimab in patients with DR and continued enrollment for the on-going Phase 3 DAYBREAK clinical trial of tarcocimab and KSI-501 in patients with wet AMD and Phase 1b APEX clinical trial of KSI-101 in patients with DME and patients with MESI.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marketing approval for any of our product candidates, manufactured a commercial scale product,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prospects are heavily dependent on our tarcocimab, KSI-501 and KSI-101 product candidates, which are currently in clinical development for multiple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prospects will be heavily dependent on our tarcocimab, KSI-501 and KSI-101 product candidates and the results of planned or pending clinical studies. We cannot be certain that our product candidates will be successful in any of the planned or pending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previous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clinical study designs and data are not necessarily predictive of the final marketed product label. FDA may not approve a label for a particular dosing frequency, even if we believe the data demonstrate support for that dosing.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 Phase 1 study of KSI-501 to evaluate the safety, tolerability and bioactivity of KSI-501 in DME. Although we have continued enrolling patients in the Phase 3 DAYBREAK study for patients with wet AMD, it could take years before a registrational-type trial is completed, if at all. In addition, we initiated a dose-finding Phase 1b APEX study in 2024 and may initiate dual Phase 3 studies, PEAK and PINNACLE.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announced that the Phase 3 GLEAM and GLIMMER clinical trials of tarcocimab did not meet their primary efficacy endpoints and, as a result, we paused further development of tarcocimab pending review of Year 1 data from the Phase 3 BEACON study in patients with RVO and the Phase 3 GLOW1 study patients with DR. Although we resumed the development of tarcocimab in November 2023, we may again determine to discontinue development of tarcocimab or our ABC Platform or other product candidates based on future information or trials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spacing w:before="240" w:after="283"/>
        <w:jc w:val="left"/>
        <w:rPr>
          <w:rFonts w:ascii="Times New Roman" w:hAnsi="Times New Roman"/>
          <w:sz w:val="20"/>
        </w:rPr>
      </w:pPr>
      <w:r>
        <w:rPr>
          <w:rFonts w:ascii="Times New Roman" w:hAnsi="Times New Roman"/>
          <w:b/>
          <w:i/>
          <w:color w:val="000000"/>
          <w:sz w:val="20"/>
        </w:rPr>
        <w:t>Our plan for the development of tarcocimab, KSI-501 or KSI-101 may be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resumed further development of tarcocimab in November 2023 following the outcomes of two other trials that were then underway. While we have previous trials with favorable results and we have since resumed development of tarcocimab, further development of tarcocimab may ultimately not be successful.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and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may not be successful in our efforts to further develop our product candidates and our ABC Platform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clinical trial sites or other third-party vendors, the terms of which can be subject to extensive negotiation and may vary significantly among different clinical trial sites or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which is especially true for anti-VEGF biologic agents, where available marketed therapies are well-established products with accepted safety profiles.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Most product candidates that begin clinical trials are never approved by regulatory authorities for commercialization.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are currently pursuing the development of products for the treatment of the retinal diseases for which we have product candidates. Several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and/or commercializing therapeutics in the retinal disease area include large companies with significant financial resources, such as Roche, Novartis, Bayer, Regeneron, AbbVie, Boehringer Ingelheim, Amgen, and Samsung Bioepis. In addition to competition from other companies targeting retinal indications, any products we may develop may also face competition from other types of therapies, such as gene-editing therapies and drug delivery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product candidates uneconomical or obsolete, and we may not be successful in marketing any product candidates we may develop against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Quarterly Report on Form 10-Q titled “Risks Related to Our Intellectual Property.”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Times New Roman" w:hAnsi="Times New Roman"/>
          <w:color w:val="000000"/>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methods of manufacturing or formulation of product candidates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created an enhanced, commercial formulation of tarcocimab;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spacing w:before="240" w:after="283"/>
        <w:jc w:val="left"/>
        <w:rPr>
          <w:rFonts w:ascii="Times New Roman" w:hAnsi="Times New Roman"/>
          <w:sz w:val="20"/>
        </w:rPr>
      </w:pPr>
      <w:r>
        <w:rPr>
          <w:rFonts w:ascii="Times New Roman" w:hAnsi="Times New Roman"/>
          <w:b/>
          <w:i/>
          <w:color w:val="000000"/>
          <w:sz w:val="20"/>
        </w:rPr>
        <w:t>The development program and timeline of tarcocimab may impact our ability to use the Ursus Facility as intended, which could result in an excess of 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product revenue, and we may not become profitable.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pricing and access policies in the United States and internationally may change and negatively impact the commercial viability of our product candidates. Proposed policy changes, including the potential for Medicare to negotiate with drug manufacturers, or the Medicare Drug Price Negotiation Program, under the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obligations and continued regulatory review, which may result in significant additional expense, and we may be subject to penalties if we fail to comply with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fines, warning letters or other enforcement-related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the policies of the FDA and of other regulatory authorities may change and additional government regulations may be enacted that could prevent, limit or delay regulatory approval of our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decisions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legislative measures aimed at reducing healthcare costs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ACA’s enactment, there have been numerous challenges and amendments to the ACA. For example, on August 16, 2022,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second Trump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 Further, on March 11, 2021, the American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Rescue Plan Act of 2021 was signed into law, which eliminates the statutory Medicaid drug rebate cap for single source and innovator multiple source drugs, effective January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IRA, among other things, (i) directs HHS to negotiate the price of certain high-expenditure, single-source drugs that have been on the market for at least 7 years and biologics that have been on the market for at least 11 years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began to take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 ACA, the IRA, as well as other healthcare reform measures that may be adopted in the future, particularly given the recent change in administration, may result in additional reductions in Medicare and other healthcare funding, more rigorous coverage criteria, lower reimbursement and new payment methodologies. Further, 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include, for example, directives to reduce agency workforce, program cuts, rescinding a Biden administration executive order tasking the CMMI to consider new payment and healthcare models to limit drug spending and eliminating the Biden administration’s executive order that directed HHS to establishing an AI task force and developing a strategic plan, directing HHS to lower prescription drug costs for Medicare through a variety of initiatives, including by improving upon the Medicare Drug Price Negotiation Program, and directing certain federal agencies to enforce existing law regarding hospital and plan price transparency and by standardizing prices across hospitals and health plans. Congress may introduce and ultimately pass health care 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or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(or the third parties with whom we work)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(collectively, sensitive information). Our data processing activities subject us to numerous data privacy and security obligations such as various provincial, state, national, and foreign laws and regulations, as well as guidance, industry standards, internal privacy and security policies, contractual requirements, and other obligations related to data privacy and security. Data privacy and security laws and regulations are evolving and resulting in increased regulatory and public scrutiny and escalating levels of enforcement and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or the CCPA, provides for civil penalties and a private right of action for certain data breaches (which could lead to the recovery of significant statutory damages). Although these laws may exempt some data processed in the context of clinical trials, these laws increase compliance costs and potential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liability for us and the third parties with whom we work. Similar laws are being considered in other states as well as at the federal and local levels. We expect more states to pass similar laws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the European Union’s General Data Protection Regulation, or EU GDPR, and the United Kingdom’s GDPR, or UK GDPR (collectively, GDPR), impose strict requirements for processing personal data. Violators of these laws face significant penalties. For example, government regulators may impose temporary or definitive bans on data processing and other corrective actions, as well as fines of up to 20 million Euros (under the EU GDPR) or 17.5 million pounds sterling (under the UK GDPR), or 4% of annual global revenue, whichever is greater, under either law. Further, the EU and UK GDPR also provide for private litigation related to the processing of personal data that can be brought by classes of data subjects or consumer protection organizations authorized at law to represent the data subjects’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transfers.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(such as the EEA standard contractual clauses, the UK’s International Data Transfer Agreement/Addendum, and the EU-U.S. Data Privacy Framework and the UK extension), that may be used to lawfully transfer personal data to the United States or other countries, these mechanisms are subject to legal challenges and there is no assurance that we can satisfy or rely on these measures. An inability or material limitation on our ability to transfer personal data to the United States or other countries could materially impact our business operations. If we cannot implement a valid compliance mechanism for cross-border data transfers, we may face increased exposure to regulatory actions, substantial fines, and injunctions against processing or transferring personal data from Europe and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across borders are subject to increased regulator, individual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also publish statements regarding data privacy and security. Regulators in the U.S. are increasingly scrutinizing these statements, and if these statements are found to be deficient, lacking in transparency, deceptive, unfair, misleading or misrepresentative of our practices, we may be subject to investigation, enforcement actions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If we or any third party with whom we work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to our development process; and damage to our reputation, any of which could materially affect our business, financial condition, results of operations and growth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clinical investigators, medical institutions, clinical data management organizations, and other third-party vendors,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 third-party manufacturer, Lonza AG, for the manufacture of our materials for preclinical studies and clinical trials and expect to continue to do so for preclinical studies, clinical trials and for commercial supply of any product candidates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any further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we may develop,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and/or KSI-101, if we rely on a different product, its development could involve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government funds, which can require additional compliance aspects to make certain all rights are transferred to or remain with us.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record the assignment provision that can be found in the employee’s employment agreement. This is done when possible, and when the intellectual property is of interest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hAnsi="Times New Roman"/>
          <w:i/>
          <w:color w:val="000000"/>
          <w:sz w:val="20"/>
        </w:rPr>
        <w:t>inter partes</w:t>
      </w:r>
      <w:r>
        <w:rPr>
          <w:rFonts w:ascii="Times New Roman" w:hAnsi="Times New Roman"/>
          <w:color w:val="000000"/>
          <w:sz w:val="20"/>
        </w:rPr>
        <w:t xml:space="preserve"> review and post-grant review have been implemented. As stated above, this reform adds uncertainty to the possibility of challenge to our patents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patents and patent applications that are directed to one or more aspects of tarcocimab, KSI-501, and/or KSI-101. Our intent is to maintain our development efforts under 35 U.S.C. Section 271(e)(1) (which provides a safe harbor from patent infringement claims related to certain drug development activities) through to at least the launch of any tarcocimab, KSI-501, or KSI-101 product. We are aware of at least one pending patent application with claims that are directed to some aspect of tarcocimab, KSI-501, and/or KSI-101 that could, if issued, have a patent term beyond a potential launch date for tarcocimab or KSI-501. If this were to occur, we may be required to challenge the validity of the claims, obtain a license, modify tarcocimab or KSI-501, or delay launch. We are also aware of at least one patent family with issued claims that may be relevant to some potential future aspect(s) of KSI-501 and/or KSI-101 and that have a patent term beyond a potential launch date for KSI-501 or KSI-101. If this or any other patent family were perceived as relevant, we may be required to challenge the validity of the claims, obtain a license, modify KSI-501 and/or KSI-101, or delay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to further the pipeline and develop a different product, such a product would be delayed until the expiration of any valid patent that is still in force on such product. Alternatively, our options for addressing any such patents relating to these non-tarcocimab, non-KSI-501, and/or non-KSI-101 products would include the following: challenge the validity of the claims, obtain a license, or modify the non-tarcocimab, non-KSI-501, and/or non-KSI-101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product candidates or other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113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increasing operational and managerial complexity.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significant fines or other liability, interruptions of our development programs, harm to our reputation,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personal data and other sensitive information, including proprietary and confidential business data, trade secrets, intellectual property, data collected about trial participants in connection with clinical trials, and sensitive third-party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contractors, consultants, and other third parties with whom we work, are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with whom we work are vulnerable to a heightened risk of attacks, including retaliatory cyber-attacks that could materially disrupt our systems and operations and supply chain.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or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certain personnel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the third parties with whom we work fail to satisfy their privacy or security-related obligations to us, any award may be insufficient to cover our damages, or we may be unable to recover such award. Similarly, supply-chain attacks have increased in frequency and severity, and we cannot guarantee that third parties’ infrastructure in our supply chain or that of the third parties with whom we work have not been compromised. Likewise, we rely on third-party research institution collaborators, other contractors and consultants for many aspects of our business, including research and development activities and manufacturing of our product candidates, and similar events relating to their information systems could also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the integrity, confidentiality and security of the sensitive information under our control, we cannot assure you that our security measures, or those of the third parties with whom we work will be effective in preventing security incidents.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There are many different and rapidly evolving cybercrime and hacking techniques, and we may be unable to anticipate attempted security incidents, identify them before our information is exploited, or react in a timely manner. We have in the past and may in the future be unable to detect vulnerabilities in our information technology systems and software. Further, we have in the past (and may in the future) experienced delays in developing and deploying remedial measures designed to address any such identified vulnerabilities. We expend resources and may modify our business activities (including our clinical trial activities) to try to protect against security incidents. Certain data privacy and security obligations have required us to implement and maintain specific security measures, industry-standard or reasonable security measures to protect our information technology systems and sensitive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access to our sensitive information, or interruptions or stoppages in our business operations (including our clinical trials). For example, we have been the target of unsuccessful phishing attempts in the past, and expect such attempts will continue in the future.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 parties for many aspects of our business, including research and development activities and manufacturing of our product candidates, and similar events relating to their computer systems could also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applicable data protection requirements may require us, or we may voluntarily choose, to notify relevant stakeholders of security incidents, including affected individuals, partners, collaborators, regulators, law enforcement agencies, and others, or to take other actions, such as providing credit monitoring and identity theft protection services. Such disclosures and related actions can be costly, and the disclosure or the failure to comply with such applicable requirements could lead to litigation or other liability, fines, harm to our reputation, significant costs, or other materially adverse effects. Some of our contracts may not contain limitations of liability, and even where they do, there can be no assurance that limitations or exclusions of liability in our contracts may not be enforceable or adequate or protect us from liability 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materially and adversely affect our reputation,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third party vendors,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Reductions in force and decreased funding at FDA may delay review and response to our submissions and applications and have material adverse impact on our business.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suppliers and collaborative relationships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changing regulatory requirements, pricing and reimbursement regimes in non-U.S.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These and other risks associated with our planned international operations may materially adversely affect our business, financial condition, and ability to attain profitable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that are located outside the United States for the manufacture of our product candidates for clinical testing, as well as for manufacture of any products that we may commercialize, if approved. Current or future tariffs may result in increased research and development expenses, including with respect to increased manufacturing costs.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In addition, as we advance toward commercialization in the future, tariffs and trade restrictions could hinder our ability to establish cost-effective manufacturing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governments may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and in our Annual Report for the fiscal year ended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the effects of disease outbreaks, epidemics and pandemics, as well as the business or operations of our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and adversely affected by health epidemics in regions where we have concentrations of clinical trial sites or other business operations and could cause significant disruption in the operations of third parties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Our employees and our third parties may not be able to travel to study sites, impacting further site initiations and in-person monitoring of study data quality. Our other vendors on whom we depend, such as supply chain and logistics partners and our image reading centers may be disrupted, and our operations could be affected. Our clinical studies enroll patients who have underlying risk factors such as advanced 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hypertension and/or diabetes which could lead to higher than expected study discontinuation rates and/or missed visit rates if these patients are adversely affected by health epidemics.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net losses in each period since our inception and anticipate that we will continue to incur significant and increasing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reporting period since our inception, including net losses of $57.5 million for the three months ended March 31, 2025. As of March 31, 2025, we had an accumulated deficit of $1,386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and increasingly higher expenses and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any product liability claims or other lawsuits related to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financial condition raises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cash and cash equivalents of $138.9 million. We have incurred net losses and negative cash flows from operations since inception.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funded our operations primarily through the issuance of common stock and the sale of future royalties. Our ability to achieve and sustain profitability will depend on the successful development, approval and commercialization of our product candidates and on the achievement of sufficient revenue to support our cost structure and, unless and until we do, we will need to raise additional capital to maintain current operations and to continue research and development activities. We continue to monitor and reduce certain expenditures and plan to raise additional capital through approaches that include equity or debt financings, collaborations or a combination of similar transactions. While we have been able to raise multiple rounds of financing, there can be no assurance that such financing will be available on terms which are favorable or at all. We could be required to pause, scale back or discontinue one or more of our development programs, which could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required substantial amounts of cash since inception. To date, we have funded our operations primarily through the issuance of common stock and the sale of future royalties.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engage in various acquisitions and strategic partnerships in the future, including licensing or acquiring complementary products, intellectual property rights, technologies or businesses. Any acquisition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incur large one-time expenses and acquire intangible assets that could result in significant future amortization expense.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tariffs,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Company had $111.5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 may impact our financial position and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stock may be volatile, which could result in substantial losses for investors purchasing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be volatile. For example, the closing price of our common stock from December 31, 2023 to December 31, 2024 ranged from a low of $2.20 to a high of $10.90 and from January 1, 2025 to May 7, 2025, ranged from a low of $2.06 to a high of $9.57. As a result, shareholders may not be able to sell their common stock at or above the price that they paid for such shares.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heightened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decline,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the Court of Chancery of the State of Delaware will be the exclusive forum for: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the U.S. federal district courts will be the exclusive forum for resolving any complaint asserting a cause of action arising under the Securities Act of 1933, as amended.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i_item2"/>
      <w:bookmarkEnd w:id="19"/>
      <w:r>
        <w:rPr>
          <w:rFonts w:ascii="Times New Roman" w:hAnsi="Times New Roman"/>
          <w:b/>
          <w:color w:val="000000"/>
          <w:sz w:val="20"/>
        </w:rPr>
        <w:t xml:space="preserve">Item 2. </w:t>
      </w:r>
      <w:bookmarkStart w:id="20" w:name="item_2_unregistered_sales_equity_securit"/>
      <w:bookmarkEnd w:id="20"/>
      <w:r>
        <w:rPr>
          <w:rFonts w:ascii="Times New Roman" w:hAnsi="Times New Roman"/>
          <w:b/>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1" w:name="item_3_defaults_upon_senior_securities"/>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3" w:name="item_5_or_information"/>
      <w:bookmarkEnd w:id="23"/>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4" w:name="ii_item6"/>
      <w:bookmarkEnd w:id="24"/>
      <w:r>
        <w:rPr>
          <w:rFonts w:ascii="Times New Roman" w:hAnsi="Times New Roman"/>
          <w:b/>
          <w:color w:val="000000"/>
          <w:sz w:val="20"/>
        </w:rPr>
        <w:t>Item 6. E</w:t>
      </w:r>
      <w:bookmarkStart w:id="25" w:name="item_6_exhibits"/>
      <w:bookmarkEnd w:id="25"/>
      <w:r>
        <w:rPr>
          <w:rFonts w:ascii="Times New Roman" w:hAnsi="Times New Roman"/>
          <w:b/>
          <w:color w:val="000000"/>
          <w:sz w:val="20"/>
        </w:rPr>
        <w:t>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6001"/>
        <w:gridCol w:w="146"/>
        <w:gridCol w:w="527"/>
        <w:gridCol w:w="146"/>
        <w:gridCol w:w="842"/>
        <w:gridCol w:w="146"/>
        <w:gridCol w:w="631"/>
        <w:gridCol w:w="146"/>
        <w:gridCol w:w="726"/>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9/24/2018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Class B Share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Registration Rights Agreement, dated March 1, 2021, by and among the registrant and the investors named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3/1/2021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Times New Roman" w:hAnsi="Times New Roman"/>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Times New Roman" w:hAnsi="Times New Roman"/>
                  <w:color w:val="0000FF"/>
                  <w:sz w:val="20"/>
                  <w:u w:val="single"/>
                </w:rPr>
                <w:t>Certification of Principal Accounting and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signatures"/>
      <w:bookmarkEnd w:id="26"/>
      <w:r>
        <w:rPr>
          <w:rFonts w:ascii="Times New Roman" w:hAnsi="Times New Roman"/>
          <w:b/>
          <w:color w:val="000000"/>
          <w:sz w:val="20"/>
        </w:rPr>
        <w:t>SIGNAT</w:t>
      </w:r>
      <w:bookmarkStart w:id="27" w:name="signature"/>
      <w:bookmarkEnd w:id="27"/>
      <w:r>
        <w:rPr>
          <w:rFonts w:ascii="Times New Roman" w:hAnsi="Times New Roman"/>
          <w:b/>
          <w:color w:val="000000"/>
          <w:sz w:val="20"/>
        </w:rPr>
        <w: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bookmarkStart w:id="28" w:name="kod-ex31_1.htm"/>
      <w:bookmarkStart w:id="29" w:name="kskod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Victor Perlroth,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62" w:type="dxa"/>
        <w:jc w:val="left"/>
        <w:tblInd w:w="0" w:type="dxa"/>
        <w:tblLayout w:type="fixed"/>
        <w:tblCellMar>
          <w:top w:w="28" w:type="dxa"/>
          <w:left w:w="28" w:type="dxa"/>
          <w:bottom w:w="28" w:type="dxa"/>
          <w:right w:w="28" w:type="dxa"/>
        </w:tblCellMar>
      </w:tblPr>
      <w:tblGrid>
        <w:gridCol w:w="1741"/>
        <w:gridCol w:w="109"/>
        <w:gridCol w:w="406"/>
        <w:gridCol w:w="340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kod-ex31_2.htm"/>
      <w:bookmarkStart w:id="31" w:name="kskod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Borgeson,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kod-ex32_1.htm"/>
      <w:bookmarkStart w:id="33" w:name="kskod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March 31,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62" w:type="dxa"/>
        <w:jc w:val="left"/>
        <w:tblInd w:w="0" w:type="dxa"/>
        <w:tblLayout w:type="fixed"/>
        <w:tblCellMar>
          <w:top w:w="28" w:type="dxa"/>
          <w:left w:w="28" w:type="dxa"/>
          <w:bottom w:w="28" w:type="dxa"/>
          <w:right w:w="28" w:type="dxa"/>
        </w:tblCellMar>
      </w:tblPr>
      <w:tblGrid>
        <w:gridCol w:w="1741"/>
        <w:gridCol w:w="109"/>
        <w:gridCol w:w="406"/>
        <w:gridCol w:w="340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kod-ex32_2.htm"/>
      <w:bookmarkStart w:id="35" w:name="kskod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March 31,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748/000156459018029743/kod-ex31_303.htm" TargetMode="External"/><Relationship Id="rId3" Type="http://schemas.openxmlformats.org/officeDocument/2006/relationships/hyperlink" Target="https://www.sec.gov/Archives/edgar/data/1468748/000156459018029743/kod-ex32_302.htm" TargetMode="External"/><Relationship Id="rId4" Type="http://schemas.openxmlformats.org/officeDocument/2006/relationships/hyperlink" Target="https://www.sec.gov/Archives/edgar/data/1468748/000119312518280419/d516071dex41.htm" TargetMode="External"/><Relationship Id="rId5" Type="http://schemas.openxmlformats.org/officeDocument/2006/relationships/hyperlink" Target="https://www.sec.gov/Archives/edgar/data/1468748/000119312518269221/d516071dex45.htm" TargetMode="External"/><Relationship Id="rId6" Type="http://schemas.openxmlformats.org/officeDocument/2006/relationships/hyperlink" Target="https://www.sec.gov/Archives/edgar/data/1468748/000156459021009946/kod-ex47_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50669</Words>
  <Characters>286926</Characters>
  <CharactersWithSpaces>337677</CharactersWithSpaces>
  <Paragraphs>3596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