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720" w:hanging="3812"/>
        <w:spacing w:after="0" w:line="365" w:lineRule="auto"/>
        <w:tabs>
          <w:tab w:leader="none" w:pos="3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460" w:right="1720" w:hanging="3452"/>
        <w:spacing w:after="0" w:line="375" w:lineRule="auto"/>
        <w:tabs>
          <w:tab w:leader="none" w:pos="36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001-38682</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27-0476525</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9" w:lineRule="exact"/>
        <w:rPr>
          <w:sz w:val="24"/>
          <w:szCs w:val="24"/>
          <w:color w:val="auto"/>
        </w:rPr>
      </w:pPr>
    </w:p>
    <w:p>
      <w:pPr>
        <w:sectPr>
          <w:pgSz w:w="11900" w:h="16838" w:orient="portrait"/>
          <w:cols w:equalWidth="0" w:num="2">
            <w:col w:w="7700" w:space="160"/>
            <w:col w:w="3380"/>
          </w:cols>
          <w:pgMar w:left="320" w:top="1226" w:right="33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8"/>
          <w:szCs w:val="18"/>
          <w:b w:val="1"/>
          <w:bCs w:val="1"/>
          <w:color w:val="auto"/>
        </w:rPr>
        <w:t>1200 Page Mill Road</w:t>
      </w:r>
    </w:p>
    <w:p>
      <w:pPr>
        <w:spacing w:after="0" w:line="31" w:lineRule="exact"/>
        <w:rPr>
          <w:sz w:val="24"/>
          <w:szCs w:val="24"/>
          <w:color w:val="auto"/>
        </w:rPr>
      </w:pPr>
    </w:p>
    <w:p>
      <w:pPr>
        <w:ind w:left="22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Palo Alto, CA</w:t>
      </w:r>
      <w:r>
        <w:rPr>
          <w:sz w:val="20"/>
          <w:szCs w:val="20"/>
          <w:color w:val="auto"/>
        </w:rPr>
        <w:tab/>
      </w:r>
      <w:r>
        <w:rPr>
          <w:rFonts w:ascii="Times New Roman" w:cs="Times New Roman" w:eastAsia="Times New Roman" w:hAnsi="Times New Roman"/>
          <w:sz w:val="18"/>
          <w:szCs w:val="18"/>
          <w:b w:val="1"/>
          <w:bCs w:val="1"/>
          <w:color w:val="auto"/>
        </w:rPr>
        <w:t>94304</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3"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2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22" w:lineRule="exact"/>
        <w:rPr>
          <w:sz w:val="24"/>
          <w:szCs w:val="24"/>
          <w:color w:val="auto"/>
        </w:rPr>
      </w:pPr>
    </w:p>
    <w:p>
      <w:pPr>
        <w:ind w:right="100" w:firstLine="509"/>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60" w:firstLine="50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1" w:lineRule="exact"/>
        <w:rPr>
          <w:sz w:val="24"/>
          <w:szCs w:val="24"/>
          <w:color w:val="auto"/>
        </w:rPr>
      </w:pPr>
    </w:p>
    <w:p>
      <w:pPr>
        <w:ind w:right="600" w:firstLine="509"/>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48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Accelerated filer</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6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900" w:type="dxa"/>
            <w:vAlign w:val="bottom"/>
          </w:tcPr>
          <w:p>
            <w:pPr>
              <w:ind w:left="21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right="18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1" w:lineRule="exact"/>
        <w:rPr>
          <w:sz w:val="24"/>
          <w:szCs w:val="24"/>
          <w:color w:val="auto"/>
        </w:rPr>
      </w:pPr>
    </w:p>
    <w:p>
      <w:pPr>
        <w:ind w:left="520" w:right="3860"/>
        <w:spacing w:after="0" w:line="23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April 30, 2024, the registrant had 52,534,947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922655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spacing w:after="0" w:line="7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preclinical studies, clinical trials and regulatory filings;</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our preclinical results and data and early clinical trial results in particular relating to safety, efficacy and durability into future clinical trials in humans;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durability, efficacy and safety of our product candidates;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of clinical trials planned for submission in our Biologics License Application, or BLA, of tarcocimab tedromer (formerly KSI-301, also known as tarcocimab);</w:t>
      </w:r>
    </w:p>
    <w:p>
      <w:pPr>
        <w:spacing w:after="0" w:line="53"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any product candidates we have or may develop,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Lonza’s ability to successfully execute on our manufacturing development plan;</w:t>
      </w:r>
    </w:p>
    <w:p>
      <w:pPr>
        <w:spacing w:after="0" w:line="11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spacing w:after="0" w:line="7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chemistry manufacturing and controls, or CMC, requirements of the United States Food and Drug Administration, or FDA, and other regulatory bodies to support any BLA submission and potential commercial launch;</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enhancements and benefits of new formulations of tarcocimab, KSI-501 or other ABC Platform derived molecules;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the potential to achieve FDA approval of any product candidates;</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manufacture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or platform technologies that are or may become available;</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product candidates for which we obtain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as to the concentration of retinal specialists in the United States and its impact on our sales and marketing plans;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enter into manufacturing-related commitments, and the timing thereof;</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if approved for commercial use,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 agreements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 and third-party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unfavorable U.S. and global economic conditions on our business and operations, the business and operations of our collaborators, and on the global economy;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aspirational goals and objectives related to our human capital resources and workforce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medical personnel;</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the sufficiency of our cash resources, expenses, future revenue, capital requirements and needs for additional financing;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ind w:right="36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numerous risks, including the risks described in “Part II—Other Information, Item 1A. Risk Factors”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any one of which could materially adversely affect our business, financial condition, results of operations, and prospects.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include, among others, the following:</w:t>
      </w:r>
    </w:p>
    <w:p>
      <w:pPr>
        <w:spacing w:after="0" w:line="99" w:lineRule="exact"/>
        <w:rPr>
          <w:sz w:val="20"/>
          <w:szCs w:val="20"/>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anticipate that we will continue to incur significant and increasing net losses for the foreseeable future.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are heavily dependent on our tarcocimab and KSI-501 product candidates, which are currently in clinical development for multiple indications.</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pivotal studies of tarcocimab to meet their primary efficacy endpoints may lead us to pause, change or discontinue development of other product candidates based on our ABC Platform.</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53"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for the development of tarcocimab may be unsuccessful.</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or complete our clinical trials on the timelines we expect, if at all.</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53"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1"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auto"/>
        </w:rPr>
      </w:pPr>
    </w:p>
    <w:p>
      <w:pPr>
        <w:ind w:left="760" w:right="420" w:hanging="378"/>
        <w:spacing w:after="0" w:line="31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31" w:lineRule="exact"/>
        <w:rPr>
          <w:rFonts w:ascii="Times New Roman" w:cs="Times New Roman" w:eastAsia="Times New Roman" w:hAnsi="Times New Roman"/>
          <w:sz w:val="17"/>
          <w:szCs w:val="17"/>
          <w:color w:val="auto"/>
        </w:rPr>
      </w:pPr>
    </w:p>
    <w:p>
      <w:pPr>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we may be unable to complete the development and, if approved, commercialization of our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1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9160" w:type="dxa"/>
            <w:vAlign w:val="bottom"/>
            <w:gridSpan w:val="24"/>
            <w:vMerge w:val="continue"/>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2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200" w:type="dxa"/>
            <w:vAlign w:val="bottom"/>
            <w:gridSpan w:val="10"/>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20" w:type="dxa"/>
            <w:vAlign w:val="bottom"/>
            <w:tcBorders>
              <w:top w:val="single" w:sz="8" w:color="0000FF"/>
            </w:tcBorders>
            <w:gridSpan w:val="3"/>
          </w:tcPr>
          <w:p>
            <w:pPr>
              <w:spacing w:after="0"/>
              <w:rPr>
                <w:sz w:val="18"/>
                <w:szCs w:val="18"/>
                <w:color w:val="auto"/>
              </w:rPr>
            </w:pPr>
          </w:p>
        </w:tc>
        <w:tc>
          <w:tcPr>
            <w:tcW w:w="364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420" w:type="dxa"/>
            <w:vAlign w:val="bottom"/>
            <w:gridSpan w:val="8"/>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340" w:type="dxa"/>
            <w:vAlign w:val="bottom"/>
            <w:gridSpan w:val="3"/>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360" w:type="dxa"/>
            <w:vAlign w:val="bottom"/>
            <w:gridSpan w:val="16"/>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260" w:type="dxa"/>
            <w:vAlign w:val="bottom"/>
            <w:gridSpan w:val="15"/>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20" w:type="dxa"/>
            <w:vAlign w:val="bottom"/>
            <w:gridSpan w:val="18"/>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220" w:type="dxa"/>
            <w:vAlign w:val="bottom"/>
            <w:gridSpan w:val="20"/>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7"/>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840" w:type="dxa"/>
            <w:vAlign w:val="bottom"/>
            <w:gridSpan w:val="13"/>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840" w:type="dxa"/>
            <w:vAlign w:val="bottom"/>
            <w:gridSpan w:val="19"/>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2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Kodiak Sciences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5"/>
        </w:trPr>
        <w:tc>
          <w:tcPr>
            <w:tcW w:w="7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3"/>
                <w:szCs w:val="23"/>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245,919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251,512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289,309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434,759</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479,372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71,862</w:t>
            </w:r>
          </w:p>
        </w:tc>
        <w:tc>
          <w:tcPr>
            <w:tcW w:w="100" w:type="dxa"/>
            <w:vAlign w:val="bottom"/>
            <w:shd w:val="clear" w:color="auto" w:fill="CFF0FC"/>
          </w:tcPr>
          <w:p>
            <w:pPr>
              <w:spacing w:after="0"/>
              <w:rPr>
                <w:sz w:val="21"/>
                <w:szCs w:val="21"/>
                <w:color w:val="auto"/>
              </w:rPr>
            </w:pPr>
          </w:p>
        </w:tc>
      </w:tr>
      <w:tr>
        <w:trPr>
          <w:trHeight w:val="2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2"/>
                <w:szCs w:val="22"/>
                <w:color w:val="auto"/>
              </w:rPr>
            </w:pPr>
          </w:p>
        </w:tc>
      </w:tr>
      <w:tr>
        <w:trPr>
          <w:trHeight w:val="226"/>
        </w:trPr>
        <w:tc>
          <w:tcPr>
            <w:tcW w:w="77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auto"/>
            </w:tcBorders>
            <w:shd w:val="clear" w:color="auto" w:fill="CFF0FC"/>
          </w:tcPr>
          <w:p>
            <w:pPr>
              <w:spacing w:after="0"/>
              <w:rPr>
                <w:sz w:val="19"/>
                <w:szCs w:val="19"/>
                <w:color w:val="auto"/>
              </w:rPr>
            </w:pPr>
          </w:p>
        </w:tc>
        <w:tc>
          <w:tcPr>
            <w:tcW w:w="13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 shares issued and outstanding at March 31, 2024 and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490,000,000 shares authorized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 March 31, 2024 and December 31, 2023; 52,523,447 and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52,508,602 shares issued and outstanding at March 31, 2024 and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1,418,307</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(1,195,570 )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(1,152,531 )</w:t>
            </w: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241,189</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265,781</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434,759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-2614295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-2146300</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46,055</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(46,055 )</w:t>
            </w: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(74,615 )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(337 )</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(43,039 )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(70,780 )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used</w:t>
            </w:r>
          </w:p>
        </w:tc>
        <w:tc>
          <w:tcPr>
            <w:tcW w:w="3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52,510,460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52,337,603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computing net loss per common share, basic and diluted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gains (losses) related to available-for-sale</w:t>
            </w: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debt securities, net of tax</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vMerge w:val="continue"/>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(43,039 )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(69,569 )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-2884170</wp:posOffset>
            </wp:positionV>
            <wp:extent cx="9398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-2884170</wp:posOffset>
            </wp:positionV>
            <wp:extent cx="939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-1268095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60"/>
          </w:cols>
          <w:pgMar w:left="340" w:top="981" w:right="39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7"/>
        </w:trPr>
        <w:tc>
          <w:tcPr>
            <w:tcW w:w="2680" w:type="dxa"/>
            <w:vAlign w:val="bottom"/>
          </w:tcPr>
          <w:p>
            <w:pPr>
              <w:spacing w:after="0"/>
              <w:rPr>
                <w:sz w:val="13"/>
                <w:szCs w:val="13"/>
                <w:color w:val="auto"/>
              </w:rPr>
            </w:pPr>
          </w:p>
        </w:tc>
        <w:tc>
          <w:tcPr>
            <w:tcW w:w="12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3"/>
                <w:szCs w:val="13"/>
                <w:color w:val="auto"/>
              </w:rPr>
            </w:pPr>
          </w:p>
        </w:tc>
      </w:tr>
      <w:tr>
        <w:trPr>
          <w:trHeight w:val="151"/>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Balances at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52,508,602</w:t>
            </w:r>
          </w:p>
        </w:tc>
        <w:tc>
          <w:tcPr>
            <w:tcW w:w="240" w:type="dxa"/>
            <w:vAlign w:val="bottom"/>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64"/>
        </w:trPr>
        <w:tc>
          <w:tcPr>
            <w:tcW w:w="2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Balances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52,523,447</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323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3232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7"/>
        </w:trPr>
        <w:tc>
          <w:tcPr>
            <w:tcW w:w="2680" w:type="dxa"/>
            <w:vAlign w:val="bottom"/>
          </w:tcPr>
          <w:p>
            <w:pPr>
              <w:spacing w:after="0"/>
              <w:rPr>
                <w:sz w:val="13"/>
                <w:szCs w:val="13"/>
                <w:color w:val="auto"/>
              </w:rPr>
            </w:pPr>
          </w:p>
        </w:tc>
        <w:tc>
          <w:tcPr>
            <w:tcW w:w="12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3"/>
                <w:szCs w:val="13"/>
                <w:color w:val="auto"/>
              </w:rPr>
            </w:pPr>
          </w:p>
        </w:tc>
      </w:tr>
      <w:tr>
        <w:trPr>
          <w:trHeight w:val="151"/>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Balances at 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52,333,850</w:t>
            </w:r>
          </w:p>
        </w:tc>
        <w:tc>
          <w:tcPr>
            <w:tcW w:w="240" w:type="dxa"/>
            <w:vAlign w:val="bottom"/>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35"/>
        </w:trPr>
        <w:tc>
          <w:tcPr>
            <w:tcW w:w="26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62"/>
        </w:trPr>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62"/>
        </w:trPr>
        <w:tc>
          <w:tcPr>
            <w:tcW w:w="2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64"/>
        </w:trPr>
        <w:tc>
          <w:tcPr>
            <w:tcW w:w="2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r>
      <w:tr>
        <w:trPr>
          <w:trHeight w:val="160"/>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Balances at March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52,344,741</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323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-318135</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98"/>
              <w:spacing w:after="0" w:line="13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00" w:type="dxa"/>
            <w:vAlign w:val="bottom"/>
          </w:tcPr>
          <w:p>
            <w:pPr>
              <w:jc w:val="center"/>
              <w:ind w:right="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62"/>
        </w:trPr>
        <w:tc>
          <w:tcPr>
            <w:tcW w:w="1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4"/>
                <w:szCs w:val="14"/>
                <w:color w:val="auto"/>
              </w:rPr>
            </w:pPr>
          </w:p>
        </w:tc>
        <w:tc>
          <w:tcPr>
            <w:tcW w:w="1300" w:type="dxa"/>
            <w:vAlign w:val="bottom"/>
            <w:gridSpan w:val="2"/>
          </w:tcPr>
          <w:p>
            <w:pPr>
              <w:jc w:val="center"/>
              <w:ind w:right="29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126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1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300" w:type="dxa"/>
            <w:vAlign w:val="bottom"/>
            <w:gridSpan w:val="2"/>
          </w:tcPr>
          <w:p>
            <w:pPr>
              <w:jc w:val="center"/>
              <w:ind w:right="298"/>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126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0"/>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1,418,307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(1,152,531</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265,781</w:t>
            </w:r>
          </w:p>
        </w:tc>
        <w:tc>
          <w:tcPr>
            <w:tcW w:w="40" w:type="dxa"/>
            <w:vAlign w:val="bottom"/>
          </w:tcPr>
          <w:p>
            <w:pPr>
              <w:spacing w:after="0"/>
              <w:rPr>
                <w:sz w:val="13"/>
                <w:szCs w:val="13"/>
                <w:color w:val="auto"/>
              </w:rPr>
            </w:pPr>
          </w:p>
        </w:tc>
      </w:tr>
      <w:tr>
        <w:trPr>
          <w:trHeight w:val="292"/>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40" w:type="dxa"/>
            <w:vAlign w:val="bottom"/>
          </w:tcPr>
          <w:p>
            <w:pPr>
              <w:spacing w:after="0"/>
              <w:rPr>
                <w:sz w:val="24"/>
                <w:szCs w:val="24"/>
                <w:color w:val="auto"/>
              </w:rPr>
            </w:pPr>
          </w:p>
        </w:tc>
      </w:tr>
      <w:tr>
        <w:trPr>
          <w:trHeight w:val="297"/>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5"/>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18,409</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18,409</w:t>
            </w:r>
          </w:p>
        </w:tc>
        <w:tc>
          <w:tcPr>
            <w:tcW w:w="40" w:type="dxa"/>
            <w:vAlign w:val="bottom"/>
          </w:tcPr>
          <w:p>
            <w:pPr>
              <w:spacing w:after="0"/>
              <w:rPr>
                <w:sz w:val="24"/>
                <w:szCs w:val="24"/>
                <w:color w:val="auto"/>
              </w:rPr>
            </w:pPr>
          </w:p>
        </w:tc>
      </w:tr>
      <w:tr>
        <w:trPr>
          <w:trHeight w:val="164"/>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(43,039 )</w:t>
            </w:r>
          </w:p>
        </w:tc>
        <w:tc>
          <w:tcPr>
            <w:tcW w:w="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(43,039 )</w:t>
            </w:r>
          </w:p>
        </w:tc>
      </w:tr>
      <w:tr>
        <w:trPr>
          <w:trHeight w:val="160"/>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1,436,754</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(1,195,570</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241,189</w:t>
            </w:r>
          </w:p>
        </w:tc>
        <w:tc>
          <w:tcPr>
            <w:tcW w:w="40" w:type="dxa"/>
            <w:vAlign w:val="bottom"/>
          </w:tcPr>
          <w:p>
            <w:pPr>
              <w:spacing w:after="0"/>
              <w:rPr>
                <w:sz w:val="13"/>
                <w:szCs w:val="13"/>
                <w:color w:val="auto"/>
              </w:rPr>
            </w:pPr>
          </w:p>
        </w:tc>
      </w:tr>
      <w:tr>
        <w:trPr>
          <w:trHeight w:val="288"/>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9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1100" w:type="dxa"/>
            <w:vAlign w:val="bottom"/>
          </w:tcPr>
          <w:p>
            <w:pPr>
              <w:jc w:val="center"/>
              <w:ind w:right="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62"/>
        </w:trPr>
        <w:tc>
          <w:tcPr>
            <w:tcW w:w="1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4"/>
                <w:szCs w:val="14"/>
                <w:color w:val="auto"/>
              </w:rPr>
            </w:pPr>
          </w:p>
        </w:tc>
        <w:tc>
          <w:tcPr>
            <w:tcW w:w="1300" w:type="dxa"/>
            <w:vAlign w:val="bottom"/>
            <w:gridSpan w:val="2"/>
          </w:tcPr>
          <w:p>
            <w:pPr>
              <w:jc w:val="center"/>
              <w:ind w:right="29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126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1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300" w:type="dxa"/>
            <w:vAlign w:val="bottom"/>
            <w:gridSpan w:val="2"/>
          </w:tcPr>
          <w:p>
            <w:pPr>
              <w:jc w:val="center"/>
              <w:ind w:right="298"/>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1260" w:type="dxa"/>
            <w:vAlign w:val="bottom"/>
            <w:gridSpan w:val="2"/>
          </w:tcPr>
          <w:p>
            <w:pPr>
              <w:jc w:val="center"/>
              <w:ind w:right="3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0"/>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1,329,509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(892,040</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436,167</w:t>
            </w:r>
          </w:p>
        </w:tc>
        <w:tc>
          <w:tcPr>
            <w:tcW w:w="40" w:type="dxa"/>
            <w:vAlign w:val="bottom"/>
          </w:tcPr>
          <w:p>
            <w:pPr>
              <w:spacing w:after="0"/>
              <w:rPr>
                <w:sz w:val="13"/>
                <w:szCs w:val="13"/>
                <w:color w:val="auto"/>
              </w:rPr>
            </w:pPr>
          </w:p>
        </w:tc>
      </w:tr>
      <w:tr>
        <w:trPr>
          <w:trHeight w:val="292"/>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24"/>
                <w:szCs w:val="24"/>
                <w:color w:val="auto"/>
              </w:rPr>
            </w:pPr>
          </w:p>
        </w:tc>
      </w:tr>
      <w:tr>
        <w:trPr>
          <w:trHeight w:val="297"/>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5"/>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25,980</w:t>
            </w:r>
          </w:p>
        </w:tc>
        <w:tc>
          <w:tcPr>
            <w:tcW w:w="140" w:type="dxa"/>
            <w:vAlign w:val="bottom"/>
          </w:tcPr>
          <w:p>
            <w:pPr>
              <w:spacing w:after="0"/>
              <w:rPr>
                <w:sz w:val="24"/>
                <w:szCs w:val="24"/>
                <w:color w:val="auto"/>
              </w:rPr>
            </w:pP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25,980</w:t>
            </w:r>
          </w:p>
        </w:tc>
        <w:tc>
          <w:tcPr>
            <w:tcW w:w="40" w:type="dxa"/>
            <w:vAlign w:val="bottom"/>
          </w:tcPr>
          <w:p>
            <w:pPr>
              <w:spacing w:after="0"/>
              <w:rPr>
                <w:sz w:val="24"/>
                <w:szCs w:val="24"/>
                <w:color w:val="auto"/>
              </w:rPr>
            </w:pPr>
          </w:p>
        </w:tc>
      </w:tr>
      <w:tr>
        <w:trPr>
          <w:trHeight w:val="162"/>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40" w:type="dxa"/>
            <w:vAlign w:val="bottom"/>
          </w:tcPr>
          <w:p>
            <w:pPr>
              <w:spacing w:after="0"/>
              <w:rPr>
                <w:sz w:val="14"/>
                <w:szCs w:val="14"/>
                <w:color w:val="auto"/>
              </w:rPr>
            </w:pPr>
          </w:p>
        </w:tc>
      </w:tr>
      <w:tr>
        <w:trPr>
          <w:trHeight w:val="164"/>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(70,780 )</w:t>
            </w:r>
          </w:p>
        </w:tc>
        <w:tc>
          <w:tcPr>
            <w:tcW w:w="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(70,780 )</w:t>
            </w:r>
          </w:p>
        </w:tc>
      </w:tr>
      <w:tr>
        <w:trPr>
          <w:trHeight w:val="160"/>
        </w:trPr>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1,355,498</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(962,820</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392,587</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-2366645</wp:posOffset>
            </wp:positionV>
            <wp:extent cx="762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-995045</wp:posOffset>
            </wp:positionV>
            <wp:extent cx="762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-112395</wp:posOffset>
            </wp:positionV>
            <wp:extent cx="762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5720" w:space="240"/>
            <w:col w:w="5200"/>
          </w:cols>
          <w:pgMar w:left="340" w:top="981" w:right="3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81"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356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1"/>
        </w:trPr>
        <w:tc>
          <w:tcPr>
            <w:tcW w:w="76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(43,039 )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(70,780 )</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(accretion) of premium (discount) on marketable securities</w:t>
            </w:r>
          </w:p>
        </w:tc>
        <w:tc>
          <w:tcPr>
            <w:tcW w:w="9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(518 )</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derivative contracts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(1,791 )</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(11,123 )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(1,900 )</w:t>
            </w: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(5,586 )</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(5,370 )</w:t>
            </w:r>
          </w:p>
        </w:tc>
      </w:tr>
      <w:tr>
        <w:trPr>
          <w:trHeight w:val="243"/>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(3,275 )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(39,600 )</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(47,221 )</w:t>
            </w: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(22 )</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(12,170 )</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on property and equipment</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(49,347 )</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derivative contracts</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(144 )</w:t>
            </w:r>
          </w:p>
        </w:tc>
        <w:tc>
          <w:tcPr>
            <w:tcW w:w="34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173,406</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options exercise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of tenant improvement allowance payable</w:t>
            </w:r>
          </w:p>
        </w:tc>
        <w:tc>
          <w:tcPr>
            <w:tcW w:w="9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7"/>
        </w:trPr>
        <w:tc>
          <w:tcPr>
            <w:tcW w:w="76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(39,728 )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126,182</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291,831</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252,103</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consolidated balance sheets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245,919</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316,615</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in consolidated balance sheets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252,103</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322,939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information: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under accounts payable and accruals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-6167120</wp:posOffset>
            </wp:positionV>
            <wp:extent cx="9398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-6167120</wp:posOffset>
            </wp:positionV>
            <wp:extent cx="939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-3668395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-2407920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-1949450</wp:posOffset>
            </wp:positionV>
            <wp:extent cx="939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-1949450</wp:posOffset>
            </wp:positionV>
            <wp:extent cx="939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-805180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Kodiak Sciences Inc. (the “Company”) is a clinical stage biopharmaceutical company committed to researching, developing and commercializing transformative therapeutics to treat high prevalence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cash and cash equivalents of $245.9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a basis substantially consistent with, and should be read in conjunction with the audited financial statements for the year ended December 31, 2023 and notes thereto, including the Company’s critical accounting policies for accrued research and development, stock-based compensation, and impairment of long-lived assets, the Company’s Annual Report on Form 10-K filed with the Securities and Exchange Commission (“SEC”) on March 28, 2024.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2024, or for any future period.</w:t>
      </w:r>
    </w:p>
    <w:p>
      <w:pPr>
        <w:spacing w:after="0" w:line="7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operations of the Company and its wholly owned subsidiaries. All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health epidemics, labor shortages, bank failures, inflation and monetary supply shifts,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2024, are consistent with those discussed in Note 2 to the consolidated financial statements in the Company’s Annual Report on Form 10-K for the year ended December 31, 2023, except as noted below within the “Recent Accounting Pronouncements” section.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Accounting Standards Codification ("ASC") or other standard setting bodies and adopted by the Company as of the specified effective date.</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which requires disclosure of incremental segment information on an annual and interim basis, including enhanced disclosures for companies that have a single reportable segment. The amendment is effective for fiscal years beginning after December 15, 2023 and interim periods beginning after December 15, 2024, and early adoption is permitted. The Company is currently assessing the impact of this amendment on its consolidated financial statements and related disclosures.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which enhances the disclosures required for income taxes in annual consolidated financial statements. The amendment is effective for fiscal years beginning after December 15, 2024, and early adoption is permitted. The Company is currently assessing the impact of this amendment on its consolidated financial statements and related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500" w:type="dxa"/>
            <w:vAlign w:val="bottom"/>
            <w:gridSpan w:val="2"/>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5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manufacturing and research &amp; development costs</w:t>
            </w: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trial and related costs</w:t>
            </w:r>
          </w:p>
        </w:tc>
        <w:tc>
          <w:tcPr>
            <w:tcW w:w="2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fees and professional fees</w:t>
            </w:r>
          </w:p>
        </w:tc>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160" w:type="dxa"/>
            <w:vAlign w:val="bottom"/>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160" w:type="dxa"/>
            <w:vAlign w:val="bottom"/>
          </w:tcPr>
          <w:p>
            <w:pPr>
              <w:spacing w:after="0"/>
              <w:rPr>
                <w:sz w:val="20"/>
                <w:szCs w:val="20"/>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6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9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2024</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100" w:type="dxa"/>
            <w:vAlign w:val="bottom"/>
          </w:tcPr>
          <w:p>
            <w:pPr>
              <w:spacing w:after="0"/>
              <w:rPr>
                <w:sz w:val="20"/>
                <w:szCs w:val="20"/>
                <w:color w:val="auto"/>
              </w:rPr>
            </w:pPr>
          </w:p>
        </w:tc>
      </w:tr>
      <w:tr>
        <w:trPr>
          <w:trHeight w:val="277"/>
        </w:trPr>
        <w:tc>
          <w:tcPr>
            <w:tcW w:w="58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100" w:type="dxa"/>
            <w:vAlign w:val="bottom"/>
          </w:tcPr>
          <w:p>
            <w:pPr>
              <w:spacing w:after="0"/>
              <w:rPr>
                <w:sz w:val="20"/>
                <w:szCs w:val="20"/>
                <w:color w:val="auto"/>
              </w:rPr>
            </w:pPr>
          </w:p>
        </w:tc>
      </w:tr>
      <w:tr>
        <w:trPr>
          <w:trHeight w:val="276"/>
        </w:trPr>
        <w:tc>
          <w:tcPr>
            <w:tcW w:w="58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fair value of the liability related to sale of future royalties is based on the Company's current estimates of future royalties expected to be paid to Baker Bros. Advisors, LP (“BBA”), which are considered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Palo Alto, California Leases</w:t>
      </w:r>
    </w:p>
    <w:p>
      <w:pPr>
        <w:spacing w:after="0" w:line="12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auto"/>
        </w:rPr>
        <w:t>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in 2020. The cash collateralizing the letter of credit is classified as restricted cash on the Company’s consolidated balance sheet. The Landlord will provide a tenant improvement allowance of approximately $1.2 million for 1200 Page Mill Road and $10.6 million for 1250 Page Mill Road. As of March 31, 2024, the Company utilized $10.6 million of the tenant improvement allowance for</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1250 Page Mill Road. Under ASC 842, the Company classified these leases as operating leases and recorded right-of-use assets and lease liabilities on the lease commencement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 Lease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32.0 thousand Swiss Francs plus certain operating expenses and taxes. Under ASC 842, the Company classified this lease as an operating lease and recorded a right-of-use asset and lease liability on the lease commencement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Ursus Facility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The manufacturing agreement has an initial term of eight years, and the Company has the right to extend the term up to a total of 16 years. The Company and Lonza each have the ability to terminate this agreement upon the occurrence of certain events.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this agreement contained an embedded lease as the custom-built manufacturing suite would be dedicated for the Company’s use. On January 31, 2023, the custom-built manufacturing suite was commissioned as a cGMP facility. The consideration was allocated to lease and non-lease components as this agreement contained a significant service component (manufacturing services). Under ASC 842, the Company classified the lease portion as an operating lease and recorded a right-of-use asset and lease liability on the lease commencement date. The Company determined that the renewal options were not reasonably certain at lease inception.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entered into service and equipment purchase agreements and manufacturing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2024 and 2023, the number of shares of common stock available for issuance under the 2018 Equity Incentive Plan (the "2018 Plan") was increased by approximately 2.1 million shares in each period, as a result of the automatic increase provision in the 2018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including stock options and performance-based stock options under the 2021 Long-Term Performance Incentive Plan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LTPIP”), 2018 Plan and 2015 Plan is summarized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4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54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5"/>
        </w:trPr>
        <w:tc>
          <w:tcPr>
            <w:tcW w:w="454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17,601,466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21"/>
                <w:szCs w:val="2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(8,333 )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(273,057 )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17,320,076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Restricted share activity, including restricted stock awards, restricted stock units, and performance-based restricted stock units, under the 2018 Plan is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520" w:type="dxa"/>
            <w:vAlign w:val="bottom"/>
          </w:tcPr>
          <w:p>
            <w:pPr>
              <w:spacing w:after="0"/>
              <w:rPr>
                <w:sz w:val="18"/>
                <w:szCs w:val="18"/>
                <w:color w:val="auto"/>
              </w:rPr>
            </w:pPr>
          </w:p>
        </w:tc>
        <w:tc>
          <w:tcPr>
            <w:tcW w:w="15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520" w:type="dxa"/>
            <w:vAlign w:val="bottom"/>
          </w:tcPr>
          <w:p>
            <w:pPr>
              <w:spacing w:after="0"/>
              <w:rPr>
                <w:sz w:val="18"/>
                <w:szCs w:val="18"/>
                <w:color w:val="auto"/>
              </w:rPr>
            </w:pPr>
          </w:p>
        </w:tc>
        <w:tc>
          <w:tcPr>
            <w:tcW w:w="15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6520" w:type="dxa"/>
            <w:vAlign w:val="bottom"/>
          </w:tcPr>
          <w:p>
            <w:pPr>
              <w:spacing w:after="0"/>
              <w:rPr>
                <w:sz w:val="21"/>
                <w:szCs w:val="21"/>
                <w:color w:val="auto"/>
              </w:rPr>
            </w:pPr>
          </w:p>
        </w:tc>
        <w:tc>
          <w:tcPr>
            <w:tcW w:w="15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r>
      <w:tr>
        <w:trPr>
          <w:trHeight w:val="243"/>
        </w:trPr>
        <w:tc>
          <w:tcPr>
            <w:tcW w:w="8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164,817</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shd w:val="clear" w:color="auto" w:fill="CFF0FC"/>
          </w:tcPr>
          <w:p>
            <w:pPr>
              <w:spacing w:after="0"/>
              <w:rPr>
                <w:sz w:val="21"/>
                <w:szCs w:val="21"/>
                <w:color w:val="auto"/>
              </w:rPr>
            </w:pPr>
          </w:p>
        </w:tc>
      </w:tr>
      <w:tr>
        <w:trPr>
          <w:trHeight w:val="23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(6,512 )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FF0FC"/>
          </w:tcPr>
          <w:p>
            <w:pPr>
              <w:spacing w:after="0"/>
              <w:rPr>
                <w:sz w:val="21"/>
                <w:szCs w:val="21"/>
                <w:color w:val="auto"/>
              </w:rPr>
            </w:pP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(6,589 )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20"/>
                <w:szCs w:val="20"/>
                <w:color w:val="auto"/>
              </w:rPr>
            </w:pPr>
          </w:p>
        </w:tc>
      </w:tr>
      <w:tr>
        <w:trPr>
          <w:trHeight w:val="276"/>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54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is classified in the condensed consolidated statements of operations and comprehensive loss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1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shd w:val="clear" w:color="auto" w:fill="CFF0FC"/>
          </w:tcPr>
          <w:p>
            <w:pPr>
              <w:spacing w:after="0"/>
              <w:rPr>
                <w:sz w:val="20"/>
                <w:szCs w:val="20"/>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Pr>
          <w:p>
            <w:pPr>
              <w:spacing w:after="0"/>
              <w:rPr>
                <w:sz w:val="20"/>
                <w:szCs w:val="20"/>
                <w:color w:val="auto"/>
              </w:rPr>
            </w:pPr>
          </w:p>
        </w:tc>
      </w:tr>
      <w:tr>
        <w:trPr>
          <w:trHeight w:val="27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80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1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shd w:val="clear" w:color="auto" w:fill="CFF0FC"/>
          </w:tcPr>
          <w:p>
            <w:pPr>
              <w:spacing w:after="0"/>
              <w:rPr>
                <w:sz w:val="24"/>
                <w:szCs w:val="24"/>
                <w:color w:val="auto"/>
              </w:rPr>
            </w:pPr>
          </w:p>
        </w:tc>
      </w:tr>
      <w:tr>
        <w:trPr>
          <w:trHeight w:val="525"/>
        </w:trPr>
        <w:tc>
          <w:tcPr>
            <w:tcW w:w="396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57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-865505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-847725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Common Share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were excluded from the computation of diluted net loss per common share for the periods presented because their inclusion would have been antidilutive:</w:t>
      </w:r>
    </w:p>
    <w:p>
      <w:pPr>
        <w:spacing w:after="0" w:line="7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8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1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17,320,076</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16,572,661</w:t>
            </w:r>
          </w:p>
        </w:tc>
        <w:tc>
          <w:tcPr>
            <w:tcW w:w="100" w:type="dxa"/>
            <w:vAlign w:val="bottom"/>
            <w:shd w:val="clear" w:color="auto" w:fill="CFF0FC"/>
          </w:tcPr>
          <w:p>
            <w:pPr>
              <w:spacing w:after="0"/>
              <w:rPr>
                <w:sz w:val="20"/>
                <w:szCs w:val="20"/>
                <w:color w:val="auto"/>
              </w:rPr>
            </w:pPr>
          </w:p>
        </w:tc>
      </w:tr>
      <w:tr>
        <w:trPr>
          <w:trHeight w:val="23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280,979</w:t>
            </w:r>
          </w:p>
        </w:tc>
        <w:tc>
          <w:tcPr>
            <w:tcW w:w="100" w:type="dxa"/>
            <w:vAlign w:val="bottom"/>
          </w:tcPr>
          <w:p>
            <w:pPr>
              <w:spacing w:after="0"/>
              <w:rPr>
                <w:sz w:val="20"/>
                <w:szCs w:val="20"/>
                <w:color w:val="auto"/>
              </w:rPr>
            </w:pPr>
          </w:p>
        </w:tc>
      </w:tr>
      <w:tr>
        <w:trPr>
          <w:trHeight w:val="277"/>
        </w:trPr>
        <w:tc>
          <w:tcPr>
            <w:tcW w:w="6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17,471,792</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16,853,640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525"/>
        </w:trPr>
        <w:tc>
          <w:tcPr>
            <w:tcW w:w="6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4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-864870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-847725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-1028065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2023, included in our Annual Report on Form 10-K filed with the Securities and Exchange Commission, or the SEC, on March 28, 2024.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clinical programs, two of which are late-stage today and derived from our ABC Platform and one which is platform-independent and which we believe can progress rapidly into pivotal studies.</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Kodiak's lead investigational medicine, tarcocimab, is a novel anti-VEGF antibody biopolymer conjugate under development for the treatment of high prevalence retinal vascular diseases including diabetic retinopathy, the leading cause of blindness in working-age patients in the developed world, and wet age-related macular degeneration, the leading cause of blindness in elderly patients in the developed world.</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extended durability and targeting multiple disease biologies for differentiated efficacy. Phase 1b data for KSI-501 was presented in February 2024, and the Phase 3 DAYBREAK study of KSI-501 in wet AMD is scheduled to be actively screening patients in mid-2024.</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Additionally, Kodiak is developing a third product candidate, KSI-101, a novel anti-IL-6, VEGF-trap bispecific protein, the unconjugated protein portion of KSI-501. Kodiak intends to develop KSI-101 for the treatment of retinal inflammatory diseases, as currently there are no available intravitreal biologic therapies addressing the spectrum of inflammatory conditions of the retina.</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Kodiak has expanded its early research pipeline of duet and triplet inhibitors that embed small molecules and other active pharmaceutical ingredients (“API”) in the biopolymer backbone to enable targeted, high drug-antibody ratio ("DAR") medicines. The diverse API’s are designed to be released over time to achieve targeted, multi-specific and tailored modulation of targeted biological pathways. The unique combination of high DAR and tailored therapeutic benefit offers potential for broad application to multifactorial ophthalmic and systemic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Updates</w:t>
      </w:r>
    </w:p>
    <w:p>
      <w:pPr>
        <w:spacing w:after="0" w:line="117" w:lineRule="exact"/>
        <w:rPr>
          <w:sz w:val="20"/>
          <w:szCs w:val="20"/>
          <w:color w:val="auto"/>
        </w:rPr>
      </w:pPr>
    </w:p>
    <w:p>
      <w:pPr>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Recent scientific presentations: </w:t>
      </w:r>
      <w:r>
        <w:rPr>
          <w:rFonts w:ascii="Times New Roman" w:cs="Times New Roman" w:eastAsia="Times New Roman" w:hAnsi="Times New Roman"/>
          <w:sz w:val="18"/>
          <w:szCs w:val="18"/>
          <w:color w:val="auto"/>
        </w:rPr>
        <w:t>We presented a breadth of data on our early- and late-phase retina pipeline at the Association for Research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and Ophthalmology (ARVO) 2024 Annual Meeting. Our presentations included clinical and non-clinical data on our ABC Platform investigational medicines tarcocimab and KSI-501, and we highlighted progress on our duet and triplet platform including discovery and characterization of novel small molecules and biologics.</w:t>
      </w:r>
    </w:p>
    <w:p>
      <w:pPr>
        <w:spacing w:after="0" w:line="68" w:lineRule="exact"/>
        <w:rPr>
          <w:rFonts w:ascii="Times New Roman" w:cs="Times New Roman" w:eastAsia="Times New Roman" w:hAnsi="Times New Roman"/>
          <w:sz w:val="18"/>
          <w:szCs w:val="18"/>
          <w:color w:val="auto"/>
        </w:rPr>
      </w:pPr>
    </w:p>
    <w:p>
      <w:pPr>
        <w:ind w:left="1020" w:right="3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Tarcocimab pivotal program: </w:t>
      </w:r>
      <w:r>
        <w:rPr>
          <w:rFonts w:ascii="Times New Roman" w:cs="Times New Roman" w:eastAsia="Times New Roman" w:hAnsi="Times New Roman"/>
          <w:sz w:val="18"/>
          <w:szCs w:val="18"/>
          <w:color w:val="auto"/>
        </w:rPr>
        <w:t>We announced in the first quarter of 2024 that we intend to conduct two additional Phase 3 clinical studies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tarcocimab.</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 w:name="page17"/>
    <w:bookmarkEnd w:id="16"/>
    <w:p>
      <w:pPr>
        <w:ind w:left="503"/>
        <w:spacing w:after="0" w:line="256" w:lineRule="auto"/>
        <w:rPr>
          <w:sz w:val="20"/>
          <w:szCs w:val="20"/>
          <w:color w:val="auto"/>
        </w:rPr>
      </w:pPr>
      <w:r>
        <w:rPr>
          <w:rFonts w:ascii="Times New Roman" w:cs="Times New Roman" w:eastAsia="Times New Roman" w:hAnsi="Times New Roman"/>
          <w:sz w:val="18"/>
          <w:szCs w:val="18"/>
          <w:color w:val="auto"/>
        </w:rPr>
        <w:t>The Phase 3 GLOW2 study is a prospective, randomized, double-masked, multi-center pivotal superiority study designed to evaluate the efficacy and safety of tarcocimab tedromer in treatment-naïve patients with diabetic retinopathy (DR). Patients are randomized 1:1 and receive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w:t>
      </w:r>
    </w:p>
    <w:p>
      <w:pPr>
        <w:spacing w:after="0" w:line="79" w:lineRule="exact"/>
        <w:rPr>
          <w:sz w:val="20"/>
          <w:szCs w:val="20"/>
          <w:color w:val="auto"/>
        </w:rPr>
      </w:pPr>
    </w:p>
    <w:p>
      <w:pPr>
        <w:ind w:left="503" w:right="60"/>
        <w:spacing w:after="0" w:line="266" w:lineRule="auto"/>
        <w:rPr>
          <w:sz w:val="20"/>
          <w:szCs w:val="20"/>
          <w:color w:val="auto"/>
        </w:rPr>
      </w:pPr>
      <w:r>
        <w:rPr>
          <w:rFonts w:ascii="Times New Roman" w:cs="Times New Roman" w:eastAsia="Times New Roman" w:hAnsi="Times New Roman"/>
          <w:sz w:val="18"/>
          <w:szCs w:val="18"/>
          <w:color w:val="auto"/>
        </w:rPr>
        <w:t>The GLOW2 Phase 3 study in diabetic retinopathy (“DR”) has a similar design to the successful GLOW1 Phase 3 study with the benefit of an additional, third monthly loading dose (weeks 0, 4, and 8). We recently announced that the first patients were treated in the GLOW2 study and that our goal is to complete enrollment before the end of this year.</w:t>
      </w:r>
    </w:p>
    <w:p>
      <w:pPr>
        <w:spacing w:after="0" w:line="68" w:lineRule="exact"/>
        <w:rPr>
          <w:sz w:val="20"/>
          <w:szCs w:val="20"/>
          <w:color w:val="auto"/>
        </w:rPr>
      </w:pPr>
    </w:p>
    <w:p>
      <w:pPr>
        <w:ind w:left="503" w:right="80"/>
        <w:spacing w:after="0" w:line="266" w:lineRule="auto"/>
        <w:rPr>
          <w:sz w:val="20"/>
          <w:szCs w:val="20"/>
          <w:color w:val="auto"/>
        </w:rPr>
      </w:pPr>
      <w:r>
        <w:rPr>
          <w:rFonts w:ascii="Times New Roman" w:cs="Times New Roman" w:eastAsia="Times New Roman" w:hAnsi="Times New Roman"/>
          <w:sz w:val="18"/>
          <w:szCs w:val="18"/>
          <w:color w:val="auto"/>
        </w:rPr>
        <w:t>We also announced our intention to study tarcocimab as a second investigational arm in the KSI-501 Phase 3 DAYBREAK study to evaluate its durability, strengthen its competitive position in wet AMD and bolster its ex-US regulatory dossier. We are operationalizing towards DAYBREAK study activation in mid-2024.</w:t>
      </w:r>
    </w:p>
    <w:p>
      <w:pPr>
        <w:spacing w:after="0" w:line="68" w:lineRule="exact"/>
        <w:rPr>
          <w:sz w:val="20"/>
          <w:szCs w:val="20"/>
          <w:color w:val="auto"/>
        </w:rPr>
      </w:pPr>
    </w:p>
    <w:p>
      <w:pPr>
        <w:ind w:left="503" w:right="1060"/>
        <w:spacing w:after="0" w:line="282" w:lineRule="auto"/>
        <w:rPr>
          <w:sz w:val="20"/>
          <w:szCs w:val="20"/>
          <w:color w:val="auto"/>
        </w:rPr>
      </w:pPr>
      <w:r>
        <w:rPr>
          <w:rFonts w:ascii="Times New Roman" w:cs="Times New Roman" w:eastAsia="Times New Roman" w:hAnsi="Times New Roman"/>
          <w:sz w:val="18"/>
          <w:szCs w:val="18"/>
          <w:color w:val="auto"/>
        </w:rPr>
        <w:t>Both GLOW2 and DAYBREAK will be run using our go-to-market formulation of tarcocimab, which we believe improves the manufacturability in a prefilled syringe and may also enhance the utility of the product.</w:t>
      </w:r>
    </w:p>
    <w:p>
      <w:pPr>
        <w:spacing w:after="0" w:line="50" w:lineRule="exact"/>
        <w:rPr>
          <w:sz w:val="20"/>
          <w:szCs w:val="20"/>
          <w:color w:val="auto"/>
        </w:rPr>
      </w:pPr>
    </w:p>
    <w:p>
      <w:pPr>
        <w:ind w:left="503" w:right="80" w:hanging="503"/>
        <w:spacing w:after="0" w:line="28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Tarcocimab commercial scale manufacturing: </w:t>
      </w:r>
      <w:r>
        <w:rPr>
          <w:rFonts w:ascii="Times New Roman" w:cs="Times New Roman" w:eastAsia="Times New Roman" w:hAnsi="Times New Roman"/>
          <w:sz w:val="18"/>
          <w:szCs w:val="18"/>
          <w:color w:val="auto"/>
        </w:rPr>
        <w:t>We released tarcocimab drug product based on the go-to-market formulation in March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ready for use in the GLOW2 and DAYBREAK Phase 3 studies.</w:t>
      </w:r>
    </w:p>
    <w:p>
      <w:pPr>
        <w:spacing w:after="0" w:line="46" w:lineRule="exact"/>
        <w:rPr>
          <w:rFonts w:ascii="Times New Roman" w:cs="Times New Roman" w:eastAsia="Times New Roman" w:hAnsi="Times New Roman"/>
          <w:sz w:val="18"/>
          <w:szCs w:val="18"/>
          <w:color w:val="auto"/>
        </w:rPr>
      </w:pPr>
    </w:p>
    <w:p>
      <w:pPr>
        <w:ind w:left="503" w:right="380" w:hanging="503"/>
        <w:spacing w:after="0" w:line="26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KSI-501 clinical program: </w:t>
      </w:r>
      <w:r>
        <w:rPr>
          <w:rFonts w:ascii="Times New Roman" w:cs="Times New Roman" w:eastAsia="Times New Roman" w:hAnsi="Times New Roman"/>
          <w:sz w:val="18"/>
          <w:szCs w:val="18"/>
          <w:color w:val="auto"/>
        </w:rPr>
        <w:t>In the first quarter of 2024 we shared the Phase 1 study results of KSI-501 in patients with diabetic macular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edema (“DME”) at the Angiogenesis, Exudation, and Degeneration 2024 Virtual Meeting. The Phase 1 study demonstrated that repeated monthly dosing of KSI-501 was safe and well tolerated and achieved clinically meaningful and sustained visual acuity gains and fluid reduction in patients.</w:t>
      </w:r>
    </w:p>
    <w:p>
      <w:pPr>
        <w:spacing w:after="0" w:line="72" w:lineRule="exact"/>
        <w:rPr>
          <w:rFonts w:ascii="Times New Roman" w:cs="Times New Roman" w:eastAsia="Times New Roman" w:hAnsi="Times New Roman"/>
          <w:sz w:val="18"/>
          <w:szCs w:val="18"/>
          <w:color w:val="auto"/>
        </w:rPr>
      </w:pPr>
    </w:p>
    <w:p>
      <w:pPr>
        <w:ind w:left="503"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announced our intention of advancing KSI-501 into the Phase 3 DAYBREAK study to evaluate its efficacy, durability, and safety in wet AMD. The DAYBREAK study is intended to be a non-inferiority study evaluating KSI-501 dosed every 4 to 24 weeks, compared to aflibercept. The study will use an enhanced formulation of KSI-501 informed from tarcocimab commercial manufacturing scale-up. We are on track for study activation in mid-2024.</w:t>
      </w:r>
    </w:p>
    <w:p>
      <w:pPr>
        <w:spacing w:after="0" w:line="67" w:lineRule="exact"/>
        <w:rPr>
          <w:rFonts w:ascii="Times New Roman" w:cs="Times New Roman" w:eastAsia="Times New Roman" w:hAnsi="Times New Roman"/>
          <w:sz w:val="18"/>
          <w:szCs w:val="18"/>
          <w:color w:val="auto"/>
        </w:rPr>
      </w:pPr>
    </w:p>
    <w:p>
      <w:pPr>
        <w:ind w:left="503" w:right="80" w:hanging="503"/>
        <w:spacing w:after="0" w:line="25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KSI-101 clinical program: </w:t>
      </w:r>
      <w:r>
        <w:rPr>
          <w:rFonts w:ascii="Times New Roman" w:cs="Times New Roman" w:eastAsia="Times New Roman" w:hAnsi="Times New Roman"/>
          <w:sz w:val="18"/>
          <w:szCs w:val="18"/>
          <w:color w:val="auto"/>
        </w:rPr>
        <w:t>KSI-101 is a novel, potent and high-strength bispecific protein targeting IL-6 and VEGF. In the first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we announced our intention to develop KSI-101 for patients who have retinal fluid and inflammation. With KSI-101, we are seeking to develop an intravitreal biologic therapy whose commercial opportunity sits outside of today’s anti-VEGF retina market. We have recently obtained supportive FDA feedback on the pivotal study program for KSI-101. Two pivotal clinical studies will be required, both with 16-week primary endpoints. We are on track to initiate enrollment for a dose-finding Phase 1b APEX study in June 2024 to evaluate the safety and tolerability and to identify two dose levels to progress into dual Phase 2b/3 studies (PEAK and PINNACLE) which we hope to initiate later in 2024.</w:t>
      </w:r>
    </w:p>
    <w:p>
      <w:pPr>
        <w:spacing w:after="0" w:line="74" w:lineRule="exact"/>
        <w:rPr>
          <w:rFonts w:ascii="Times New Roman" w:cs="Times New Roman" w:eastAsia="Times New Roman" w:hAnsi="Times New Roman"/>
          <w:sz w:val="18"/>
          <w:szCs w:val="18"/>
          <w:color w:val="auto"/>
        </w:rPr>
      </w:pPr>
    </w:p>
    <w:p>
      <w:pPr>
        <w:ind w:left="503" w:right="180" w:hanging="503"/>
        <w:spacing w:after="0" w:line="268"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KSI-501 and KSI-101 manufacturing</w:t>
      </w:r>
      <w:r>
        <w:rPr>
          <w:rFonts w:ascii="Times New Roman" w:cs="Times New Roman" w:eastAsia="Times New Roman" w:hAnsi="Times New Roman"/>
          <w:sz w:val="18"/>
          <w:szCs w:val="18"/>
          <w:color w:val="auto"/>
        </w:rPr>
        <w:t>: We have been progressing the manufacturing of KSI-501 and KSI-101 in preparation for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anticipated clinical studies. Clinical material for both KSI-501 (50 mg/mL strength in our enhanced formulation) and KSI-101 (100 mg/mL strength) have been successfully manufactured and released.</w:t>
      </w:r>
    </w:p>
    <w:p>
      <w:pPr>
        <w:spacing w:after="0" w:line="6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8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primarily of the change in fair value and settlement of derivative contracts and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 in thousands:</w:t>
      </w:r>
    </w:p>
    <w:p>
      <w:pPr>
        <w:spacing w:after="0" w:line="1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r>
      <w:tr>
        <w:trPr>
          <w:trHeight w:val="239"/>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3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56,520</w:t>
            </w:r>
          </w:p>
        </w:tc>
        <w:tc>
          <w:tcPr>
            <w:tcW w:w="3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(26,589 )</w:t>
            </w:r>
          </w:p>
        </w:tc>
      </w:tr>
      <w:tr>
        <w:trPr>
          <w:trHeight w:val="243"/>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(1,971 )</w:t>
            </w:r>
          </w:p>
        </w:tc>
      </w:tr>
      <w:tr>
        <w:trPr>
          <w:trHeight w:val="20"/>
        </w:trPr>
        <w:tc>
          <w:tcPr>
            <w:tcW w:w="39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(46,055 )</w:t>
            </w:r>
          </w:p>
        </w:tc>
        <w:tc>
          <w:tcPr>
            <w:tcW w:w="56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(74,615 )</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w:t>
            </w:r>
          </w:p>
        </w:tc>
        <w:tc>
          <w:tcPr>
            <w:tcW w:w="320" w:type="dxa"/>
            <w:vAlign w:val="bottom"/>
          </w:tcPr>
          <w:p>
            <w:pPr>
              <w:spacing w:after="0"/>
              <w:rPr>
                <w:sz w:val="20"/>
                <w:szCs w:val="20"/>
                <w:color w:val="auto"/>
              </w:rPr>
            </w:pPr>
          </w:p>
        </w:tc>
      </w:tr>
      <w:tr>
        <w:trPr>
          <w:trHeight w:val="247"/>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(264 )</w:t>
            </w:r>
          </w:p>
        </w:tc>
      </w:tr>
      <w:tr>
        <w:trPr>
          <w:trHeight w:val="239"/>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r>
      <w:tr>
        <w:trPr>
          <w:trHeight w:val="243"/>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(337 )</w:t>
            </w:r>
          </w:p>
        </w:tc>
        <w:tc>
          <w:tcPr>
            <w:tcW w:w="5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(559 )</w:t>
            </w:r>
          </w:p>
        </w:tc>
      </w:tr>
      <w:tr>
        <w:trPr>
          <w:trHeight w:val="20"/>
        </w:trPr>
        <w:tc>
          <w:tcPr>
            <w:tcW w:w="39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(43,039 )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(70,780 )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32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-1653540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-1653540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-1653540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-1028065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-1028065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-1028065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5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summarizes our research and development expenses for the periods indicated, in thousands: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Tarcocimab program expenses</w:t>
            </w: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580" w:type="dxa"/>
            <w:vAlign w:val="bottom"/>
            <w:gridSpan w:val="2"/>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26,176</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(20,207 )</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KSI-501 program expenses</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ABC Platform and other</w:t>
            </w: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program expenses</w:t>
            </w:r>
          </w:p>
        </w:tc>
        <w:tc>
          <w:tcPr>
            <w:tcW w:w="1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(1,502 )</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20,120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(5,761 )</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and other research and</w:t>
            </w:r>
          </w:p>
        </w:tc>
        <w:tc>
          <w:tcPr>
            <w:tcW w:w="116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development expenses</w:t>
            </w:r>
          </w:p>
        </w:tc>
        <w:tc>
          <w:tcPr>
            <w:tcW w:w="116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1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340" w:type="dxa"/>
            <w:vAlign w:val="bottom"/>
            <w:vMerge w:val="restart"/>
          </w:tcPr>
          <w:p>
            <w:pPr>
              <w:spacing w:after="0"/>
              <w:rPr>
                <w:sz w:val="17"/>
                <w:szCs w:val="17"/>
                <w:color w:val="auto"/>
              </w:rPr>
            </w:pPr>
          </w:p>
        </w:tc>
        <w:tc>
          <w:tcPr>
            <w:tcW w:w="12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56,520</w:t>
            </w:r>
          </w:p>
        </w:tc>
        <w:tc>
          <w:tcPr>
            <w:tcW w:w="280" w:type="dxa"/>
            <w:vAlign w:val="bottom"/>
            <w:vMerge w:val="restart"/>
          </w:tcPr>
          <w:p>
            <w:pPr>
              <w:spacing w:after="0"/>
              <w:rPr>
                <w:sz w:val="17"/>
                <w:szCs w:val="17"/>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(26,589 )</w:t>
            </w:r>
          </w:p>
        </w:tc>
        <w:tc>
          <w:tcPr>
            <w:tcW w:w="0" w:type="dxa"/>
            <w:vAlign w:val="bottom"/>
          </w:tcPr>
          <w:p>
            <w:pPr>
              <w:spacing w:after="0"/>
              <w:rPr>
                <w:sz w:val="1"/>
                <w:szCs w:val="1"/>
                <w:color w:val="auto"/>
              </w:rPr>
            </w:pPr>
          </w:p>
        </w:tc>
      </w:tr>
      <w:tr>
        <w:trPr>
          <w:trHeight w:val="207"/>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-299720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-299720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Tarcocimab program expenses decreased $20.2 million during the three months ended March 31, 2024 as compared to the same period in 2023, primarily driven by reduced clinical activities for the tarcocimab development program, partially offset by increased expense related to the Ursus commercial scale manufacturing facility.</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KSI-501 program expenses increased $1.4 million during the three months ended March 31, 2024 as compared to the same period in 2023, due to increased manufacturing activities in the current quarter.</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ABC Platform and other program expenses decreased $1.5 million during the three months ended March 31, 2024 as compared to the same period in 2023, due to fewer biopolymer manufacturing activities in the current quarter.</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Payroll and personnel expenses decreased $5.8 million during the three months ended March 31, 2024 as compared to the same period in 2023. The decrease in payroll and personnel expenses was primarily driven by forfeitures related to stock-based compensation expense.</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Facilities and other research and development expenses decreased $0.6 million during the three months ended March 31, 2024 as compared to the same period in 2023, primarily due to decreased expense related to our lease obligations as a result of currency fluctuations.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decreased $2.0 million during the three months ended March 31, 2024 as compared to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and issuance of common stock, redeemable convertible preferred stock, convertible notes, warrants and the sale of royalties. As of March 31, 2024, we had cash and cash equivalents of $245.9 million. We believe that our current cash and cash equivalents will be sufficient to support our current and planned operations into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months ended March 31, 2024, we had net loss of $43.0 million, of which $18.4 million related to non-cash stock-based compensation expense. We expect to continue to incur additional losses in future periods. As of March 31, 2024, we had an accumulated deficit of $1,195.6 million. We believe that the cash and cash equivalents will be sufficient to meet our anticipated operating and capital expenditure requirements at least 12 months following the date of this Quarterly Report on Form 10-Q.</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54"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preclinical development activities,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significant uncertainties caused by any public health crises, the on-going geopolitical conflicts, inflation,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spacing w:after="0" w:line="7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 in 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9"/>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7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(39,600 )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(47,221 )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(39,728 )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126,182</w:t>
            </w:r>
          </w:p>
        </w:tc>
        <w:tc>
          <w:tcPr>
            <w:tcW w:w="100" w:type="dxa"/>
            <w:vAlign w:val="bottom"/>
            <w:shd w:val="clear" w:color="auto" w:fill="CFF0FC"/>
          </w:tcPr>
          <w:p>
            <w:pPr>
              <w:spacing w:after="0"/>
              <w:rPr>
                <w:sz w:val="22"/>
                <w:szCs w:val="22"/>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$39.6 million for the three months ended March 31, 2024, based on operational spend of $17.8 million and changes in operating assets and liabilities of $21.8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2023, which was filed with the SEC on March 28, 2024. There have been no material changes in our contractual obligations and commitments since December 31, 2023, except as otherwise described in Note 5 to our unaudited condensed consolidated financial statements included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critical accounting policies as reported in our Annual Report on Form 10-K for the year ended December 31, 2023, which was filed with the SEC on March 28, 2024, except as otherwise described in Note 2 to our unaudited condensed consolidated financial statements included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market risk disclosures as reported in our Annual Report on Form 10-K for the year ended December 31, 2023, which was filed with the SEC on March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1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56"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March 31, 2024. Based upon such evaluation, our principal executive officer and principal financial officer concluded that the design and operation of our disclosure controls and procedures were effective at a reasonable assurance level as of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2024, that has materially affected, or is reasonably likely to materially affect, our internal control over financial reporting.</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Certain of our trials did not meet their primary efficacy endpoints, and in July 2023 we announced a business decision to wind-down development of tarcocimab. Following additional positive results from other on-going tarcocimab clinical trials, we plan to resume the tarcocimab development program.</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To date, we have not obtained marketing approval for any product candidates, including tarcocimab and KSI-501, our dual inhibitor antibody biopolymer conjugate targeting both IL-6 (anti-IL-6 antibody) and VEGF (VEGF-trap),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are heavily dependent on our tarcocimab and KSI-501 product candidates, which are currently in clinical development for multiple indications.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prospects will be heavily dependent on our tarcocimab and KSI-501 product candidates and the results of planned or pending clinical studies.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be certain that our product candidates will be successful in any of the planned or pending clinical trials.</w:t>
      </w:r>
    </w:p>
    <w:p>
      <w:pPr>
        <w:spacing w:after="0" w:line="9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early preclinical and Phase 1/1b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example, in our Phase 2b/3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right="20"/>
        <w:spacing w:after="0" w:line="282" w:lineRule="auto"/>
        <w:rPr>
          <w:sz w:val="20"/>
          <w:szCs w:val="20"/>
          <w:color w:val="auto"/>
        </w:rPr>
      </w:pPr>
      <w:r>
        <w:rPr>
          <w:rFonts w:ascii="Times New Roman" w:cs="Times New Roman" w:eastAsia="Times New Roman" w:hAnsi="Times New Roman"/>
          <w:sz w:val="18"/>
          <w:szCs w:val="18"/>
          <w:color w:val="auto"/>
        </w:rPr>
        <w:t>If approved, clinical study designs and data are not necessarily predictive of the final marketed product label. FDA may not approve a label for a particular dosing frequency, even if we believe the data demonstrate support for that dosing.</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While a Phase 1 study of KSI-501 was conducted to evaluate the safety, tolerability and bioactivity of KSI-501 in DME, it may be years before a registrational-type trial is completed, if at all.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and KSI-501.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 for the development of tarcocimab may be unsuccessful.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discontinued further development of tarcocimab in mid-2023 pending the outcomes of two other trials that were then underway. While those other trials produced favorable results and we have resumed development of tarcocimab, that development may not be successful. In connection with our development program, we developed an enhanced, commercial formulation of tarcocimab to improve manufacturability and usability by reducing injection time from 7-10 seconds to 2-3 seconds. While we believe that doing so does not affect the applicability of prior test results, we cannot be sure that the FDA, EMA or comparable foreign regulatory authorities would agree or accept our planned BLA even if our planned additional trial is successful.</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pivotal studies of tarcocimab to meet their primary efficacy endpoints may lead us to pause, change or discontinue development of other product candidates based on our ABC Platform.</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two of our pivotal Phase 3 clinical trials of tarcocimab did not meet their primary efficacy endpoints and, as a result, we paused further development of tarcocimab pending review of data from the BEACON study in patients with macular edema due to RVO and the GLOW1 study patients with diabetic retinopathy. Although we have resumed the development of tarcocimab, we may again determine to discontinue development of tarcocimab or our ABC Platform or other product candidates using our ABC Platform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5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3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have in the past and may in the future not successfully complete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approval may be for indications, dosage and administration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platform technologies that render our ABC Platform obsolete or less attractive;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 or commercially attractive;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4" w:name="page25"/>
    <w:bookmarkEnd w:id="24"/>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For example, in July 2023 we announced a business decision to wind-down development of tarcocimab after certain of our trials did not meet their primary efficacy endpoints. Events that may prevent successful or timely initiation or completion of clinical trials include:</w:t>
      </w:r>
    </w:p>
    <w:p>
      <w:pPr>
        <w:spacing w:after="0" w:line="7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IRB, approval at each clinical trial site;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or GCPs, requirements, or applicable EMA or other regulatory guidelines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CMOs or by us, and delays or failure by our CMOs or us to make any necessary changes to such manufacturing process;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6" w:name="page27"/>
    <w:bookmarkEnd w:id="26"/>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most advanced product candidate, tarcocimab, is an anti-VEGF biologic that we have studied in wet AMD, DME, DR and RVO. KSI-501 is our investigational medicine and is a first-in-class bispecific antibody conjugate designed to inhibit two mechanisms implicated in retinal diseases: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and KSI-501 may heighten the risk of adverse effects associated with anti-VEGF treatments generally, both in the eye and in the rest of the body. There are risks inherent in the intravitreal injection procedure of drugs like tarcocimab and KSI-501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and KSI-501 in broader populations and impact clinical trial enrollment, regulatory approval and commercial success.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a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including the resulting shelter-in-place, travel or similar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safety events may cause physicians to decrease patient enrollment in our current or planned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targeting patient populations meeting our patient eligibility criteria;</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w:t>
      </w:r>
    </w:p>
    <w:p>
      <w:pPr>
        <w:spacing w:after="0" w:line="11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clinical trial evaluating the efficacy, durability and safety of tarcocimab in treatment-naïve subjects with neovascular wet AMD and in our Phase 3 GLEAM and GLIMMER studies, tarcocimab did not meet the primary efficacy endpoint of showing non-inferior visual acuity gains. Most product candidates that begin clinical trials are never approved by regulatory authorities for commercialization.</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spacing w:after="0" w:line="17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 DR and RVO.</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 / or commercializing therapeutics in the retinal disease area include large companies with significant financial resources, such as Roche, Novartis, Bayer and Regeneron, AbbVie, Boehringer Ingelheim, Amgen, Johnson &amp; Johnson, and Samsung Bioepis. In addition to competition from other companies targeting retinal indications, any products we may develop may also face competition from other types of therapies, such as gene-editing therapies and drug delivery devices.</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Two Lucentis biosimilars were approved in the United States in 2022, and their approval may impact market dynamics and payor policies negatively for our product candidates. Roche’s product, Vabysmo (faricimab) received FDA approval for the treatment of wet AMD and DME in January 2022 and received FDA approval for RVO in October 2023. Vabysmo has gained rapid adoption since launch, and we believe it will become an important product in the marketplace. Regeneron’s product, Eylea HD (high dose aflibercept) gained FDA approval for the treatment of wet AMD, DME and DR in August 2023. We believe it will become an important therapy in the marketplace given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highly complex and requires substantial lead time to produce.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rely on third parties for raw materials needed for manufacturing our product candidates. We may not be able to obtain adequate amounts in the future. These challenges are magnified by the international nature of our supply chain, which, for tarcocimab and KSI-501, requires drug substance and drug product sourced from single source suppliers from China, Japan, the United Kingdom, the United States and Switzerland.</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manufacturing or formulation of product candidates may result in additional costs or delay.</w:t>
      </w:r>
    </w:p>
    <w:p>
      <w:pPr>
        <w:spacing w:after="0" w:line="121"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7"/>
          <w:szCs w:val="17"/>
          <w:color w:val="auto"/>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recently created a scale-up formulation of tarcocimab in a manner that we believe may improve manufacturability and usability.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spacing w:after="0" w:line="1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5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Factors that may inhibit our efforts to commercialize any approved product on our own include:</w:t>
      </w:r>
    </w:p>
    <w:p>
      <w:pPr>
        <w:spacing w:after="0" w:line="79" w:lineRule="exact"/>
        <w:rPr>
          <w:sz w:val="20"/>
          <w:szCs w:val="20"/>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any future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2" w:name="page33"/>
    <w:bookmarkEnd w:id="32"/>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pivotal clinical trials and published in peer-reviewed journals;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label as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access programs, such as co-pay assistance;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physicians recommend our products to their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EMA or other regulatory agencies;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candidates we develop do not achieve an adequate level of acceptance, we may not generate significant product revenue, and we may not become profitable.</w:t>
      </w:r>
    </w:p>
    <w:p>
      <w:pPr>
        <w:spacing w:after="0" w:line="15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Drug pricing and access policies in the United States and internationally may change and negatively impact the commercial viability of our product candidates. Proposed policy changes, including the potential for Medicare to negotiate with drug manufacturers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jc w:val="both"/>
        <w:ind w:right="260" w:firstLine="509"/>
        <w:spacing w:after="0" w:line="272" w:lineRule="auto"/>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4" w:name="page35"/>
    <w:bookmarkEnd w:id="3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program and timeline of tarcocimab may impact our ability to use the Ursus facility as intended, which could result in an excess of capital expenditures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In July 2023, we announced a decision to pause further development of tarcocimab, and then in November 2023, following additional positive clinical trial results, we announced a decision to resume the development of tarcocimab. The development plan,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implementation or results of our clinical trials or the portfolio of clinical trials planned for submission in our BLA;</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foreign regulatory authorities that a product candidate’s risk-benefit ratio for its proposed indication(s), when compared to the standard of care, is acceptable;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data may not be positive in all clinical trials demonstrating a mix of positive and negative clinical trial results;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31" w:lineRule="exact"/>
        <w:rPr>
          <w:rFonts w:ascii="Times New Roman" w:cs="Times New Roman" w:eastAsia="Times New Roman" w:hAnsi="Times New Roman"/>
          <w:sz w:val="17"/>
          <w:szCs w:val="17"/>
          <w:color w:val="auto"/>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6" w:name="page37"/>
    <w:bookmarkEnd w:id="3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clinical trials for our product candidates outside the United States (or the respective jurisdictions of other regulatory authorities), and the FDA (or EMA and applicable foreign regulatory authorities) may not accept data from such trials.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extensive regulatory scrutiny.</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firstLine="509"/>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that would result in adverse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w:t>
      </w:r>
    </w:p>
    <w:p>
      <w:pPr>
        <w:spacing w:after="0" w:line="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and Consolidated Appropriations Act of 2023, will remain in effect until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effective January 1, 2024.</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9" w:name="page40"/>
    <w:bookmarkEnd w:id="39"/>
    <w:p>
      <w:pPr>
        <w:ind w:right="80" w:firstLine="509"/>
        <w:spacing w:after="0" w:line="251" w:lineRule="auto"/>
        <w:rPr>
          <w:sz w:val="20"/>
          <w:szCs w:val="20"/>
          <w:color w:val="auto"/>
        </w:rPr>
      </w:pPr>
      <w:r>
        <w:rPr>
          <w:rFonts w:ascii="Times New Roman" w:cs="Times New Roman" w:eastAsia="Times New Roman" w:hAnsi="Times New Roman"/>
          <w:sz w:val="18"/>
          <w:szCs w:val="18"/>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9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51"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50" w:lineRule="exact"/>
        <w:rPr>
          <w:sz w:val="20"/>
          <w:szCs w:val="20"/>
          <w:color w:val="auto"/>
        </w:rPr>
      </w:pPr>
    </w:p>
    <w:p>
      <w:pPr>
        <w:ind w:left="1020" w:right="20" w:hanging="503"/>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ind w:left="1020" w:right="4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80"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1020" w:right="20" w:hanging="503"/>
        <w:spacing w:after="0" w:line="25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9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provincial, state, national, and foreign laws and regulations, as well as policies, contracts and other obligations. Data privacy and security laws and regulations are evolving and may result in ever-increasing regulatory and public scrutiny and escalating levels of enforcement and sanctions.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and other similar laws. In the past few years, numerous U.S. states — including California, Colorado, Connecticut, Utah and Virginia — have enacted comprehensive privacy laws that impose certain obligations on covered businesses, including providing specific disclosures in privacy notices and affording residents with certain rights concerning their personal data. As applicable, such rights may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(the CCPA) provides for civil penalties for violations (up to $7,500 per violation) and a private right of action for certain data breaches(which could lead to the recovery of significant statutory damages). Although these laws may exempt some data processed in the context of clinical trials, these laws increase compliance costs and potential liability in the general data processing industry. Similar laws are being considered in other states as well as at the federal and local levels. We expect more laws to apply to our data processing activities. These laws will further complicate our compliance efforts and increase our legal risks and compliance costs (including of third parties upon whom we rely).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government regulators may impose temporary or definitive bans on data processing,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w:t>
      </w:r>
    </w:p>
    <w:p>
      <w:pPr>
        <w:spacing w:after="0" w:line="7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transfers. Although there are various mechanisms (such as the European Economic Area standard contractual clauses, the UK’s International Data Transfer Agreement/Addendum, and the EU-U.S. Data Privacy Framework and the UK extension), that may be used in some cases to lawfully transfer personal data to the United States or other countries, these mechanisms are subject to legal challenges and may not be available to us.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and other adverse consequences.</w:t>
      </w:r>
    </w:p>
    <w:p>
      <w:pPr>
        <w:spacing w:after="0" w:line="7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If we or any third party on which we rely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or FCPA, and similar anti-bribery and anti-corruption laws.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68"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currently rely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4"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5" w:name="page46"/>
    <w:bookmarkEnd w:id="4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we may develop, pose the following risks to us:</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generally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collaborations;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the cooperation of our collaborators to enforce or defend any intellectual property we contribute to or that arises out of our collaborations, which may not be provided to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6" w:name="page47"/>
    <w:bookmarkEnd w:id="46"/>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 candidates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undergo a change of control and the new owners may decide to take the collaboration in a direction which is not in our best interest;</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at our collaborators may leave, which could negatively impact our ability to productively work with our collaborators;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require us to incur short and long-term expenditures, issue securities that dilute our stockholders, or disrupt our management and business;</w:t>
      </w:r>
    </w:p>
    <w:p>
      <w:pPr>
        <w:spacing w:after="0" w:line="53"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patent applications does not issue as a patent in any jurisdiction, we may not be able to compete effectively.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and KSI-501, if we rely on a different product, its development could involve the use of government funds, which can require additional compliance aspects to make certain all rights are transferred to or remain with us.</w:t>
      </w:r>
    </w:p>
    <w:p>
      <w:pPr>
        <w:spacing w:after="0" w:line="1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1" w:name="page52"/>
    <w:bookmarkEnd w:id="5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or our collaborators may prevent or delay the development and commercialization of our product candidates, the ABC Platform and other technologies.</w:t>
      </w:r>
    </w:p>
    <w:p>
      <w:pPr>
        <w:spacing w:after="0" w:line="7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As stated above, this reform adds uncertainty to the possibility of challenge to our patents in the future.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2" w:name="page53"/>
    <w:bookmarkEnd w:id="52"/>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may license or own;</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jc w:val="center"/>
        <w:ind w:left="780" w:right="60"/>
        <w:spacing w:after="0" w:line="407"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3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107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operational, financial and management controls, reporting systems and procedures;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w:t>
      </w:r>
    </w:p>
    <w:p>
      <w:pPr>
        <w:spacing w:after="0" w:line="11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5" w:name="page56"/>
    <w:bookmarkEnd w:id="55"/>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stockholders;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strategic partnership;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if we undertake such a transaction, we may incur large one-time expenses and acquire intangible assets that could result in significant future amortization expense.</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or others'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others upon which we rely process personal data and other sensitive information, including proprietary and confidential business data, trade secrets, intellectual property, data collected about trial participants in connection with clinical trials, and sensitive third-party data. 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upon which we rely may be vulnerable to a heightened risk of attacks, including cyber-attacks that could materially disrupt our systems and operations and supply chain. We and the third parties upon which we rely may be subject to a variety of evolving threats, including but not limited to social-engineering attacks (including through deep fakes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160"/>
        <w:spacing w:after="0" w:line="282" w:lineRule="auto"/>
        <w:rPr>
          <w:sz w:val="20"/>
          <w:szCs w:val="20"/>
          <w:color w:val="auto"/>
        </w:rPr>
      </w:pPr>
      <w:r>
        <w:rPr>
          <w:rFonts w:ascii="Times New Roman" w:cs="Times New Roman" w:eastAsia="Times New Roman" w:hAnsi="Times New Roman"/>
          <w:sz w:val="18"/>
          <w:szCs w:val="18"/>
          <w:color w:val="auto"/>
        </w:rPr>
        <w:t>partners’ supply chains have not been compromised or that they do not contain exploitable defects or bugs that could result in a breach of or disruption to our information technology systems or the third-party information technology systems that support us.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Additionally, certain personnel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5"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pricing and reimbursement regimes in non-U.S. countries;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planned international operations may materially adversely affect our business, financial condition, and ability to attain profitable operations.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the effects of disease outbreaks, epidemics and pandemics, as well as the business or operations of our manufacturers, CROs or other third parties with whom we conduct business.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$83.8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conditions could adversely affect our business, financial condition or results of operations</w:t>
      </w:r>
      <w:r>
        <w:rPr>
          <w:rFonts w:ascii="Arial" w:cs="Arial" w:eastAsia="Arial" w:hAnsi="Arial"/>
          <w:sz w:val="15"/>
          <w:szCs w:val="15"/>
          <w:b w:val="1"/>
          <w:bCs w:val="1"/>
          <w:i w:val="1"/>
          <w:iCs w:val="1"/>
          <w:color w:val="auto"/>
        </w:rPr>
        <w: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increasing inflation rates and the responses by central banking authorities to control such inflation,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$43.0 million for the three months ended March 31, 2024. As of March 31, 2024, we had an accumulated deficit of $1,195.6 million.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or, in the future, establish and operate a manufacturing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current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contract manufacturers or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0" w:name="page61"/>
    <w:bookmarkEnd w:id="60"/>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ABC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For example, recent geopolitical conflicts in Europe and the Middle East created extreme volatility in the global capital markets and are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9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firstLine="509"/>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 may impact our financial position and results.</w:t>
      </w:r>
    </w:p>
    <w:p>
      <w:pPr>
        <w:spacing w:after="0" w:line="121"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 purchasing shares.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For example, the closing price of our common stock from December 31, 2022 to December 31, 2023 ranged from a low of $1.40 to a high of $9.48 and from January 1, 2024 to April 30, 2024, ranged from a low of $3.01 to a high of $7.45. As a result, shareholders may not be able to sell their common stock at or above the price that they paid for such shares. Some of the factors that may cause the market price of our common stock to fluctuate include:</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our current product candidates and any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our ABC Platform;</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current inflationary environment, lowered consumer confidence, bank failures, major geopolitical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by a majority vote, to amend the bylaws;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 even if our business is doing well.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9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7"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p>
    <w:p>
      <w:pPr>
        <w:spacing w:after="0" w:line="32"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These reporting and other obligations place significant demands on our management and administrative and operational resources, including accounting resources.</w:t>
      </w:r>
    </w:p>
    <w:p>
      <w:pPr>
        <w:spacing w:after="0" w:line="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(a)</w:t>
            </w:r>
          </w:p>
        </w:tc>
        <w:tc>
          <w:tcPr>
            <w:tcW w:w="6640" w:type="dxa"/>
            <w:vAlign w:val="bottom"/>
            <w:gridSpan w:val="23"/>
          </w:tcPr>
          <w:p>
            <w:pPr>
              <w:ind w:left="10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0" w:type="dxa"/>
            <w:vAlign w:val="bottom"/>
          </w:tcPr>
          <w:p>
            <w:pPr>
              <w:spacing w:after="0"/>
              <w:rPr>
                <w:sz w:val="1"/>
                <w:szCs w:val="1"/>
                <w:color w:val="auto"/>
              </w:rPr>
            </w:pPr>
          </w:p>
        </w:tc>
      </w:tr>
      <w:tr>
        <w:trPr>
          <w:trHeight w:val="475"/>
        </w:trPr>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Certificate of Incorporation of Kodiak Sciences Inc.</w:t>
              </w:r>
            </w:hyperlink>
          </w:p>
        </w:tc>
        <w:tc>
          <w:tcPr>
            <w:tcW w:w="0" w:type="dxa"/>
            <w:vAlign w:val="bottom"/>
          </w:tcPr>
          <w:p>
            <w:pPr>
              <w:spacing w:after="0"/>
              <w:rPr>
                <w:sz w:val="1"/>
                <w:szCs w:val="1"/>
                <w:color w:val="auto"/>
              </w:rPr>
            </w:pPr>
          </w:p>
        </w:tc>
      </w:tr>
      <w:tr>
        <w:trPr>
          <w:trHeight w:val="37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Amended and Restated Bylaws of Kodiak Sciences Inc.</w:t>
              </w:r>
            </w:hyperlink>
          </w:p>
        </w:tc>
        <w:tc>
          <w:tcPr>
            <w:tcW w:w="1420" w:type="dxa"/>
            <w:vAlign w:val="bottom"/>
            <w:tcBorders>
              <w:top w:val="single" w:sz="8" w:color="0000FF"/>
            </w:tcBorders>
            <w:gridSpan w:val="3"/>
          </w:tcPr>
          <w:p>
            <w:pPr>
              <w:spacing w:after="0"/>
              <w:rPr>
                <w:sz w:val="24"/>
                <w:szCs w:val="24"/>
                <w:color w:val="auto"/>
              </w:rPr>
            </w:pPr>
          </w:p>
        </w:tc>
        <w:tc>
          <w:tcPr>
            <w:tcW w:w="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Form of Common Stock Certificate</w:t>
              </w:r>
            </w:hyperlink>
          </w:p>
        </w:tc>
        <w:tc>
          <w:tcPr>
            <w:tcW w:w="3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Form of Class B Share Warrant</w:t>
              </w:r>
            </w:hyperlink>
          </w:p>
        </w:tc>
        <w:tc>
          <w:tcPr>
            <w:tcW w:w="20" w:type="dxa"/>
            <w:vAlign w:val="bottom"/>
            <w:tcBorders>
              <w:bottom w:val="single" w:sz="8" w:color="0000EE"/>
            </w:tcBorders>
          </w:tcPr>
          <w:p>
            <w:pPr>
              <w:spacing w:after="0"/>
              <w:rPr>
                <w:sz w:val="24"/>
                <w:szCs w:val="24"/>
                <w:color w:val="auto"/>
              </w:rPr>
            </w:pPr>
          </w:p>
        </w:tc>
        <w:tc>
          <w:tcPr>
            <w:tcW w:w="4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Registration Rights Agreement, dated March 1, 2021, by and among the registrant and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the investors named therein</w:t>
              </w:r>
            </w:hyperlink>
          </w:p>
        </w:tc>
        <w:tc>
          <w:tcPr>
            <w:tcW w:w="20" w:type="dxa"/>
            <w:vAlign w:val="bottom"/>
            <w:tcBorders>
              <w:bottom w:val="single" w:sz="8" w:color="0000EE"/>
            </w:tcBorders>
          </w:tcPr>
          <w:p>
            <w:pPr>
              <w:spacing w:after="0"/>
              <w:rPr>
                <w:sz w:val="17"/>
                <w:szCs w:val="17"/>
                <w:color w:val="auto"/>
              </w:rPr>
            </w:pPr>
          </w:p>
        </w:tc>
        <w:tc>
          <w:tcPr>
            <w:tcW w:w="44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Accounting and Financial Officer Pursuant to Rules 13a-14(a)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 Pursuant to</w:t>
            </w:r>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1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Accounting and Financial Officer Pursuant to 18 U.S.C.</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0" w:type="dxa"/>
            <w:vAlign w:val="bottom"/>
          </w:tcPr>
          <w:p>
            <w:pPr>
              <w:spacing w:after="0"/>
              <w:rPr>
                <w:sz w:val="1"/>
                <w:szCs w:val="1"/>
                <w:color w:val="auto"/>
              </w:rPr>
            </w:pPr>
          </w:p>
        </w:tc>
      </w:tr>
      <w:tr>
        <w:trPr>
          <w:trHeight w:val="38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3399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11/16/2018</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11/16/2018</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333-227237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9/24/2018</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333-227237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9/7/2018</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001-38682</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3/1/2021</w:t>
            </w:r>
          </w:p>
        </w:tc>
      </w:tr>
    </w:tbl>
    <w:p>
      <w:pPr>
        <w:spacing w:after="0" w:line="4355" w:lineRule="exact"/>
        <w:rPr>
          <w:sz w:val="20"/>
          <w:szCs w:val="20"/>
          <w:color w:val="auto"/>
        </w:rPr>
      </w:pPr>
    </w:p>
    <w:p>
      <w:pPr>
        <w:sectPr>
          <w:pgSz w:w="11900" w:h="16838" w:orient="portrait"/>
          <w:cols w:equalWidth="0" w:num="2">
            <w:col w:w="7440" w:space="120"/>
            <w:col w:w="3680"/>
          </w:cols>
          <w:pgMar w:left="320" w:top="981" w:right="339" w:bottom="1440" w:gutter="0" w:footer="0" w:header="0"/>
        </w:sectPr>
      </w:pPr>
    </w:p>
    <w:p>
      <w:pPr>
        <w:ind w:left="1040" w:right="3940" w:hanging="1019"/>
        <w:spacing w:after="0" w:line="282"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91" w:lineRule="exact"/>
        <w:rPr>
          <w:rFonts w:ascii="Times New Roman" w:cs="Times New Roman" w:eastAsia="Times New Roman" w:hAnsi="Times New Roman"/>
          <w:sz w:val="18"/>
          <w:szCs w:val="18"/>
          <w:color w:val="auto"/>
        </w:rPr>
      </w:pPr>
    </w:p>
    <w:p>
      <w:pPr>
        <w:ind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8" w:name="page69"/>
    <w:bookmarkEnd w:id="6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KODIAK SCIENCES INC.</w:t>
      </w:r>
    </w:p>
    <w:p>
      <w:pPr>
        <w:spacing w:after="0" w:line="25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32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Kodiak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ended March 31, 2024 as filed with the Securities and Exchange Commission on the date hereof (the “Report”), I certify, pursuant to 18 U.S.C. § 1350, as adopted pursuant to § 906 of the Sarbanes-Oxley Act of 2002, to the best of my knowledge, that:</w:t>
      </w:r>
    </w:p>
    <w:p>
      <w:pPr>
        <w:spacing w:after="0" w:line="17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220" w:val="left"/>
          <w:tab w:leader="none" w:pos="77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Kodiak Sciences Inc. (the “Company”) on Form 10-Q for the period ended March 31, 2024 as filed with the Securities and Exchange Commission on the date hereof (the “Report”), I certify, pursuant to 18 U.S.C. § 1350, as adopted pursuant to § 906 of the Sarbanes-Oxley Act of 2002, to the best of my knowledge, that:</w:t>
      </w:r>
    </w:p>
    <w:p>
      <w:pPr>
        <w:spacing w:after="0" w:line="17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220" w:val="left"/>
          <w:tab w:leader="none" w:pos="77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(Principal Accounting and Financial Officer)</w:t>
      </w:r>
    </w:p>
    <w:p>
      <w:pPr>
        <w:spacing w:after="0" w:line="22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lvl w:ilvl="1">
      <w:lvlJc w:val="left"/>
      <w:lvlText w:val="%2"/>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191" Type="http://schemas.openxmlformats.org/officeDocument/2006/relationships/hyperlink" Target="https://www.sec.gov/Archives/edgar/data/1468748/000156459018029743/kod-ex31_303.htm" TargetMode="External"/><Relationship Id="rId192" Type="http://schemas.openxmlformats.org/officeDocument/2006/relationships/hyperlink" Target="https://www.sec.gov/Archives/edgar/data/1468748/000156459018029743/kod-ex32_302.htm" TargetMode="External"/><Relationship Id="rId193" Type="http://schemas.openxmlformats.org/officeDocument/2006/relationships/hyperlink" Target="https://www.sec.gov/Archives/edgar/data/1468748/000119312518280419/d516071dex41.htm" TargetMode="External"/><Relationship Id="rId194" Type="http://schemas.openxmlformats.org/officeDocument/2006/relationships/hyperlink" Target="https://www.sec.gov/Archives/edgar/data/1468748/000119312518269221/d516071dex45.htm" TargetMode="External"/><Relationship Id="rId195" Type="http://schemas.openxmlformats.org/officeDocument/2006/relationships/hyperlink" Target="https://www.sec.gov/Archives/edgar/data/1468748/000156459021009946/kod-ex47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2024-05-15T16:00:59Z</dcterms:created>
  <dcterms:modified xsi:type="dcterms:W3CDTF">2024-05-15T16:00:59Z</dcterms:modified>
</cp:coreProperties>
</file>