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60" w:right="1580" w:hanging="3652"/>
        <w:spacing w:after="0" w:line="391"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3460" w:right="1580" w:hanging="3452"/>
        <w:spacing w:after="0" w:line="375"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-515620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27-0476525</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23"/>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1200 Page Mill Road</w:t>
            </w:r>
          </w:p>
        </w:tc>
        <w:tc>
          <w:tcPr>
            <w:tcW w:w="3060" w:type="dxa"/>
            <w:vAlign w:val="bottom"/>
          </w:tcPr>
          <w:p>
            <w:pPr>
              <w:spacing w:after="0"/>
              <w:rPr>
                <w:sz w:val="19"/>
                <w:szCs w:val="19"/>
                <w:color w:val="auto"/>
              </w:rPr>
            </w:pPr>
          </w:p>
        </w:tc>
      </w:tr>
      <w:tr>
        <w:trPr>
          <w:trHeight w:val="212"/>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2"/>
              </w:rPr>
              <w:t>Palo Alto, CA</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94304</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32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2"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80" w:firstLine="510"/>
        <w:spacing w:after="0" w:line="22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18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00"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520" w:right="2460"/>
        <w:spacing w:after="0" w:line="28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31, 2020, the registrant had </w:t>
      </w:r>
      <w:r>
        <w:rPr>
          <w:rFonts w:ascii="Arial" w:cs="Arial" w:eastAsia="Arial" w:hAnsi="Arial"/>
          <w:sz w:val="15"/>
          <w:szCs w:val="15"/>
          <w:color w:val="auto"/>
        </w:rPr>
        <w:t>44,803,447</w:t>
      </w:r>
      <w:r>
        <w:rPr>
          <w:rFonts w:ascii="Arial" w:cs="Arial" w:eastAsia="Arial" w:hAnsi="Arial"/>
          <w:sz w:val="14"/>
          <w:szCs w:val="14"/>
          <w:color w:val="auto"/>
        </w:rPr>
        <w:t xml:space="preserve">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70" w:lineRule="exact"/>
        <w:rPr>
          <w:sz w:val="20"/>
          <w:szCs w:val="20"/>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17"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“2022 Vision” of a Biologics License Application, or BLA, of KSI-301 in 2022;</w:t>
      </w:r>
    </w:p>
    <w:p>
      <w:pPr>
        <w:spacing w:after="0" w:line="117" w:lineRule="exact"/>
        <w:rPr>
          <w:rFonts w:ascii="Arial" w:cs="Arial" w:eastAsia="Arial" w:hAnsi="Arial"/>
          <w:sz w:val="18"/>
          <w:szCs w:val="18"/>
          <w:color w:val="auto"/>
        </w:rPr>
      </w:pPr>
    </w:p>
    <w:p>
      <w:pPr>
        <w:ind w:left="620" w:right="20" w:hanging="113"/>
        <w:spacing w:after="0" w:line="263"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75" w:lineRule="exact"/>
        <w:rPr>
          <w:rFonts w:ascii="Arial" w:cs="Arial" w:eastAsia="Arial" w:hAnsi="Arial"/>
          <w:sz w:val="18"/>
          <w:szCs w:val="18"/>
          <w:color w:val="auto"/>
        </w:rPr>
      </w:pPr>
    </w:p>
    <w:p>
      <w:pPr>
        <w:ind w:left="620" w:right="26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the U.S. Food and Drug Administration, or FDA, approval of KSI-301 in wet AMD, DME, RVO and DR;</w:t>
      </w:r>
    </w:p>
    <w:p>
      <w:pPr>
        <w:spacing w:after="0" w:line="62"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620" w:right="34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620" w:right="44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ind w:left="620" w:hanging="1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28" w:lineRule="exact"/>
        <w:rPr>
          <w:rFonts w:ascii="Arial" w:cs="Arial" w:eastAsia="Arial" w:hAnsi="Arial"/>
          <w:sz w:val="17"/>
          <w:szCs w:val="17"/>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620" w:right="600" w:hanging="113"/>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impact of the ongoing COVID-19 pandemic on our business and operations, the business and operations of our collaborators, and on the global economy;</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620" w:right="640" w:hanging="113"/>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r>
        <w:rPr>
          <w:rFonts w:ascii="Arial" w:cs="Arial" w:eastAsia="Arial" w:hAnsi="Arial"/>
          <w:sz w:val="18"/>
          <w:szCs w:val="18"/>
          <w:color w:val="auto"/>
        </w:rPr>
        <w: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Investing in our common stock involves numerous risks, including the risks described in “Part II—Other Information, Item 1A. Risk Factors”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any one of which could materially adversely affect our business, financial condition, results of operations, and prospects.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among others, the following:</w:t>
      </w:r>
    </w:p>
    <w:p>
      <w:pPr>
        <w:spacing w:after="0" w:line="103" w:lineRule="exact"/>
        <w:rPr>
          <w:sz w:val="20"/>
          <w:szCs w:val="20"/>
          <w:color w:val="auto"/>
        </w:rPr>
      </w:pPr>
    </w:p>
    <w:p>
      <w:pPr>
        <w:ind w:left="740" w:right="10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170"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obtain additional financing, we may be unable to complete the development and, if approved, commercialization of our product candidates.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prospects are heavily dependent on our KSI-301 product candidate, which is currently in clinical development for multiple indications.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failure of KSI-301 in clinical development may require us to discontinue development of other product candidates based on our ABC Platform.</w:t>
      </w:r>
    </w:p>
    <w:p>
      <w:pPr>
        <w:spacing w:after="0" w:line="248" w:lineRule="exact"/>
        <w:rPr>
          <w:rFonts w:ascii="Arial" w:cs="Arial" w:eastAsia="Arial" w:hAnsi="Arial"/>
          <w:sz w:val="16"/>
          <w:szCs w:val="16"/>
          <w:color w:val="auto"/>
        </w:rPr>
      </w:pPr>
    </w:p>
    <w:p>
      <w:pPr>
        <w:ind w:left="740" w:right="2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170"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may not be able to conduct or complete our clinical trials on the timelines we expect, if at all.</w:t>
      </w:r>
    </w:p>
    <w:p>
      <w:pPr>
        <w:spacing w:after="0" w:line="170" w:lineRule="exact"/>
        <w:rPr>
          <w:rFonts w:ascii="Arial" w:cs="Arial" w:eastAsia="Arial" w:hAnsi="Arial"/>
          <w:sz w:val="18"/>
          <w:szCs w:val="18"/>
          <w:color w:val="auto"/>
        </w:rPr>
      </w:pPr>
    </w:p>
    <w:p>
      <w:pPr>
        <w:ind w:left="740" w:right="12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86"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225" w:lineRule="exact"/>
        <w:rPr>
          <w:rFonts w:ascii="Arial" w:cs="Arial" w:eastAsia="Arial" w:hAnsi="Arial"/>
          <w:sz w:val="18"/>
          <w:szCs w:val="18"/>
          <w:color w:val="auto"/>
        </w:rPr>
      </w:pPr>
    </w:p>
    <w:p>
      <w:pPr>
        <w:ind w:left="740" w:right="300" w:hanging="368"/>
        <w:spacing w:after="0" w:line="30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46" w:lineRule="exact"/>
        <w:rPr>
          <w:rFonts w:ascii="Arial" w:cs="Arial" w:eastAsia="Arial" w:hAnsi="Arial"/>
          <w:sz w:val="17"/>
          <w:szCs w:val="17"/>
          <w:color w:val="auto"/>
        </w:rPr>
      </w:pPr>
    </w:p>
    <w:p>
      <w:pPr>
        <w:ind w:left="740" w:hanging="368"/>
        <w:spacing w:after="0" w:line="30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57" w:lineRule="exact"/>
        <w:rPr>
          <w:rFonts w:ascii="Arial" w:cs="Arial" w:eastAsia="Arial" w:hAnsi="Arial"/>
          <w:sz w:val="16"/>
          <w:szCs w:val="16"/>
          <w:color w:val="auto"/>
        </w:rPr>
      </w:pPr>
    </w:p>
    <w:p>
      <w:pPr>
        <w:ind w:left="740" w:right="10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183"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170" w:lineRule="exact"/>
        <w:rPr>
          <w:rFonts w:ascii="Arial" w:cs="Arial" w:eastAsia="Arial" w:hAnsi="Arial"/>
          <w:sz w:val="18"/>
          <w:szCs w:val="18"/>
          <w:color w:val="auto"/>
        </w:rPr>
      </w:pPr>
    </w:p>
    <w:p>
      <w:pPr>
        <w:ind w:left="740" w:right="4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vMerge w:val="restart"/>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INFORMATION</w:t>
              </w:r>
            </w:hyperlink>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95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 (Unaudited)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Operations and Comprehensive Loss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Stockholders’ Equity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Condensed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1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tcPr>
          <w:p>
            <w:pPr>
              <w:ind w:left="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520" w:type="dxa"/>
            <w:vAlign w:val="bottom"/>
          </w:tcPr>
          <w:p>
            <w:pPr>
              <w:ind w:left="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Defaults Upon Senior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520" w:type="dxa"/>
            <w:vAlign w:val="bottom"/>
          </w:tcPr>
          <w:p>
            <w:pPr>
              <w:ind w:left="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520" w:type="dxa"/>
            <w:vAlign w:val="bottom"/>
          </w:tcPr>
          <w:p>
            <w:pPr>
              <w:ind w:left="1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Exhibits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Signatures</w:t>
              </w:r>
            </w:hyperlink>
          </w:p>
        </w:tc>
        <w:tc>
          <w:tcPr>
            <w:tcW w:w="9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89"/>
              </w:rPr>
              <w:t>Kodiak Sciences Inc.</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6"/>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291,585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211,797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88,865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124,684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381,745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339,230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11,015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75,542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480,736</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358,866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Liability related to sale of future royalties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99,877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198,956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issued and outstanding at September 30, 2020 and</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490,000,000 shares authorized at</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September 30, 2020 and December 31, 2019; 44,760,513 and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44,413,404 shares issued and outstanding at September 30, 2020</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December 31, 2019, respectively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526,174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(244,644)</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(158,131)</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281,780</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345,359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480,736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358,866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29,306</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10,115</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70,033</w:t>
            </w:r>
          </w:p>
        </w:tc>
        <w:tc>
          <w:tcPr>
            <w:tcW w:w="1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in</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computing net loss per common share,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45,119,885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37,330,066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44,972,085</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37,291,328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gains related to available-for-sale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debt securities, net of tax</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16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30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4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2019</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44,413,404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503,475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(158,131)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345,359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39,297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(24,392)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(24,392)</w:t>
            </w: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Arial" w:cs="Arial" w:eastAsia="Arial" w:hAnsi="Arial"/>
                <w:sz w:val="14"/>
                <w:szCs w:val="14"/>
                <w:color w:val="auto"/>
              </w:rPr>
              <w:t>Balances at March 31, 2020</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44,452,701</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509,716</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(182,523)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327,687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203,373</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360"/>
              <w:spacing w:after="0" w:line="149" w:lineRule="exact"/>
              <w:rPr>
                <w:sz w:val="20"/>
                <w:szCs w:val="20"/>
                <w:color w:val="auto"/>
              </w:rPr>
            </w:pPr>
            <w:r>
              <w:rPr>
                <w:rFonts w:ascii="Arial" w:cs="Arial" w:eastAsia="Arial" w:hAnsi="Arial"/>
                <w:sz w:val="14"/>
                <w:szCs w:val="14"/>
                <w:color w:val="auto"/>
              </w:rPr>
              <w:t>vesting of restricted stock units,</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net of taxes withheld</w:t>
            </w:r>
          </w:p>
        </w:tc>
        <w:tc>
          <w:tcPr>
            <w:tcW w:w="1080" w:type="dxa"/>
            <w:vAlign w:val="bottom"/>
          </w:tcPr>
          <w:p>
            <w:pPr>
              <w:jc w:val="right"/>
              <w:spacing w:after="0"/>
              <w:rPr>
                <w:sz w:val="20"/>
                <w:szCs w:val="20"/>
                <w:color w:val="auto"/>
              </w:rPr>
            </w:pPr>
            <w:r>
              <w:rPr>
                <w:rFonts w:ascii="Arial" w:cs="Arial" w:eastAsia="Arial" w:hAnsi="Arial"/>
                <w:sz w:val="14"/>
                <w:szCs w:val="14"/>
                <w:color w:val="auto"/>
              </w:rPr>
              <w:t>10,942</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(25,999)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(25,999)</w:t>
            </w:r>
          </w:p>
        </w:tc>
        <w:tc>
          <w:tcPr>
            <w:tcW w:w="0" w:type="dxa"/>
            <w:vAlign w:val="bottom"/>
          </w:tcPr>
          <w:p>
            <w:pPr>
              <w:spacing w:after="0"/>
              <w:rPr>
                <w:sz w:val="1"/>
                <w:szCs w:val="1"/>
                <w:color w:val="auto"/>
              </w:rPr>
            </w:pPr>
          </w:p>
        </w:tc>
      </w:tr>
      <w:tr>
        <w:trPr>
          <w:trHeight w:val="156"/>
        </w:trPr>
        <w:tc>
          <w:tcPr>
            <w:tcW w:w="3480" w:type="dxa"/>
            <w:vAlign w:val="bottom"/>
          </w:tcPr>
          <w:p>
            <w:pPr>
              <w:spacing w:after="0" w:line="155" w:lineRule="exact"/>
              <w:rPr>
                <w:sz w:val="20"/>
                <w:szCs w:val="20"/>
                <w:color w:val="auto"/>
              </w:rPr>
            </w:pPr>
            <w:r>
              <w:rPr>
                <w:rFonts w:ascii="Arial" w:cs="Arial" w:eastAsia="Arial" w:hAnsi="Arial"/>
                <w:sz w:val="14"/>
                <w:szCs w:val="14"/>
                <w:color w:val="auto"/>
              </w:rPr>
              <w:t>Balances at June 30, 2020</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44,667,016</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517,120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(208,522)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309,197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93,497</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(36,122)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(36,122)</w:t>
            </w:r>
          </w:p>
        </w:tc>
        <w:tc>
          <w:tcPr>
            <w:tcW w:w="0" w:type="dxa"/>
            <w:vAlign w:val="bottom"/>
          </w:tcPr>
          <w:p>
            <w:pPr>
              <w:spacing w:after="0"/>
              <w:rPr>
                <w:sz w:val="1"/>
                <w:szCs w:val="1"/>
                <w:color w:val="auto"/>
              </w:rPr>
            </w:pPr>
          </w:p>
        </w:tc>
      </w:tr>
      <w:tr>
        <w:trPr>
          <w:trHeight w:val="155"/>
        </w:trPr>
        <w:tc>
          <w:tcPr>
            <w:tcW w:w="3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September 30, 2020</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44,760,513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526,174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(244,644)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281,780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16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30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5"/>
        </w:trPr>
        <w:tc>
          <w:tcPr>
            <w:tcW w:w="34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2018</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36,829,857</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197,595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(110,766)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86,833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80,000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(7,984)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Arial" w:cs="Arial" w:eastAsia="Arial" w:hAnsi="Arial"/>
                <w:sz w:val="14"/>
                <w:szCs w:val="14"/>
                <w:color w:val="auto"/>
              </w:rPr>
              <w:t>Balances at March 31, 2019</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36,909,857</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198,835</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(118,750)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80,095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21,284</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(11,385)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155"/>
        </w:trPr>
        <w:tc>
          <w:tcPr>
            <w:tcW w:w="348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Balances at June 30, 2019</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36,931,141</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200,138</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(130,135)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70,019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77,855</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exercise of common stock warrant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(12,380)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(12,380)</w:t>
            </w:r>
          </w:p>
        </w:tc>
        <w:tc>
          <w:tcPr>
            <w:tcW w:w="0" w:type="dxa"/>
            <w:vAlign w:val="bottom"/>
          </w:tcPr>
          <w:p>
            <w:pPr>
              <w:spacing w:after="0"/>
              <w:rPr>
                <w:sz w:val="1"/>
                <w:szCs w:val="1"/>
                <w:color w:val="auto"/>
              </w:rPr>
            </w:pPr>
          </w:p>
        </w:tc>
      </w:tr>
      <w:tr>
        <w:trPr>
          <w:trHeight w:val="155"/>
        </w:trPr>
        <w:tc>
          <w:tcPr>
            <w:tcW w:w="348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Balances at September 30, 2019</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37,008,997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202,183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(142,515)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59,691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(86,513)</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(31,749)</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(accretion) of premium (discount) on marketable securities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operating lease right-of-use asset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(3,654)</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(4,365)</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and other current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(56,409)</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(27,853)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(1,855)</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(86,317)</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(40,231)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marketable securities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134,148</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16,800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(23,715)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common stock upon options exercise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Payments for restricted stock units, net of taxes withheld</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(206)</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sale of future royalties, net of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99,643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of capital lease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Principal payments of tenant improvement allowance payable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101,096</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90,663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(51,221)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211,937</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88,394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302,600</w:t>
            </w:r>
          </w:p>
        </w:tc>
        <w:tc>
          <w:tcPr>
            <w:tcW w:w="2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37,173</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cash, cash equivalents and restricted cash to consolidated balance sheets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291,585</w:t>
            </w:r>
          </w:p>
        </w:tc>
        <w:tc>
          <w:tcPr>
            <w:tcW w:w="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37,033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in consolidated balance sheets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302,600</w:t>
            </w:r>
          </w:p>
        </w:tc>
        <w:tc>
          <w:tcPr>
            <w:tcW w:w="2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37,173</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property and equipment under accounts payable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1,034</w:t>
            </w:r>
          </w:p>
        </w:tc>
        <w:tc>
          <w:tcPr>
            <w:tcW w:w="280" w:type="dxa"/>
            <w:vAlign w:val="bottom"/>
          </w:tcPr>
          <w:p>
            <w:pPr>
              <w:spacing w:after="0"/>
              <w:rPr>
                <w:sz w:val="20"/>
                <w:szCs w:val="20"/>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Kodiak Sciences Inc. (the “Company”) is a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candidates including activities to conduct clinical studies of its product candidates, manufacture product candidates and provide general and administrative support for these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As of September 30, 2020, the Company had cash, cash equivalents and marketable securities of $380.5 million. Although the Company has incurred significant operating losses since inception and expects to continue to incur operating losses and negative operating cash flows for the foreseeable future, the Company believes that the cash, cash equivalents and marketable securities will be sufficient to meet the anticipated operating and capital expenditure requirements for the 12 months following the date of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present fairly the Company's financial position and results of operations for the reported periods.</w:t>
      </w:r>
    </w:p>
    <w:p>
      <w:pPr>
        <w:spacing w:after="0" w:line="7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These condensed consolidated financial statements have been prepared on a basis substantially consistent with, and should be read in conjunction with the audited financial statements for the year ended December 31, 2019 and notes thereto, included in the Company’s Annual Report on Form 10-K filed with the Securities and Exchange Commission (“SEC”) on March 16, 2020.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2020, or for any future period.</w:t>
      </w:r>
    </w:p>
    <w:p>
      <w:pPr>
        <w:spacing w:after="0" w:line="53"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Such reclassifications had no impact on subtotals in the prior year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for the three and nine months ended September 30, 2020. As events continue to unfold and additional information becomes available, these estimates may change materially in future periods. Actual results could differ from those estimates.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The Company will continue to monitor the COVID-19 situation and its impact on the ability to continue the development of, and seek regulatory approvals for, the Company’s product candidates, and begin to commercialize any approved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and nine months ended September 30, 2020 are consistent with those discussed in Note 2 to the consolidated financial statements in the Company’s Annual Report on Form 10-K for the year ended December 31, 2019, except as noted below with respect to the Company’s liability related to sale of future royalties and as noted within the “Recent Accounting Pronouncements – Recently Adopted Accounting Pronouncements”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December 1, 2019, the Company and its subsidiary Kodiak Sciences GmbH entered into a funding agreement with Baker Bros. Advisors, LP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(“BBA”), which holds more than 5% of the Company’s stock, pursuant to which BBA purchased the right to receive a capped 4.5% royalty on future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of KSI-301, the Company’s anti-VEGF antibody biopolymer conjugate therapy, in exchange for $225.0 million. Under the terms of the funding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there is no obligation to repay any funding amount received, other than through the capped royalty payments on future product revenues.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recorded the funding amount paid by BBA as a liability on the consolidated balance sheet net of issuance costs, in accordance with ASC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repay the funding amount paid to the Company. Once royalty payments to BBA are determined to be probable and estimable, and if such amounts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exceed the liability balance, the Company will impute interest to accrete the liability on a prospective basis based on such estimates. If and when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makes royalty payments under the funding agreement, it would reduce the liability balance at such time. Refer to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For available-for-sale debt securities in an unrealized loss position, the Company will periodically assess its portfolio for impairment. The assessment first considers the intent or requirement to sell the security. If either of these criteria are met, the amortized cost basis will be written down to fair value through earnings.</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If not met, the Company will evaluate whether the decline resulted from credit losses or other factors by considering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impairment that has not been recorded through an allowance for credit losses is recognized in other comprehensive income or loss, as applicable.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under its ASC or other standard setting bodies, and adopted by the Company as of the specified effective date, unless otherwise discussed below.</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which intends to improve financial reporting by requiring earlier recognition of credit losses on certain financial assets, such as available-for-sale debt securities. The Company assessed the impact of ASU 2016-13 on its available-for-sale debt securities and determined there were no credit losses within the portfolio requiring an allowance upon adoption. The Company adopted this new guidance as of January 1, 2020, which did not impact its consolidated financial statements and related disclosures.</w:t>
      </w:r>
    </w:p>
    <w:p>
      <w:pPr>
        <w:spacing w:after="0" w:line="80"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 - Changes to the Disclosure Requirements for Fair Value Measurements</w:t>
      </w:r>
      <w:r>
        <w:rPr>
          <w:rFonts w:ascii="Arial" w:cs="Arial" w:eastAsia="Arial" w:hAnsi="Arial"/>
          <w:sz w:val="16"/>
          <w:szCs w:val="16"/>
          <w:color w:val="auto"/>
        </w:rPr>
        <w:t>, which eliminates, adds and modifies certain disclosure requirements for fair value measurements as part of the FASB’s disclosure framework project. Among the changes, entities will no longer be required to disclose the amount of and reasons for transfers between Levels 1 and 2 of the fair value hierarchy, but will be required to disclose the range and weighted average used to develop significant unobservable inputs for Level 3 fair value measurements. The Company adopted this new guidance as of January 1, 2020, which did not impact its consolidated financial statements and related disclosures.</w:t>
      </w:r>
    </w:p>
    <w:p>
      <w:pPr>
        <w:spacing w:after="0" w:line="53"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which clarifies the accounting for implementation, set-up, and other upfront costs incurred in cloud computing arrangements. The Company adopted this new guidance as of January 1, 2020, which did not impact its consolidated financial statements and related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jc w:val="both"/>
        <w:ind w:right="220" w:firstLine="51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ASU 2019-12 removes certain exceptions to the general principles in Topic 740 and also clarifies and amends existing guidance to improve consistent application. The new standard will be effective beginning January 1, 2021. The Company is currently evaluating the impact of adopting this guidance on its consolidated financial statements and related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FF0FC"/>
            </w:tcBorders>
          </w:tcPr>
          <w:p>
            <w:pPr>
              <w:spacing w:after="0"/>
              <w:rPr>
                <w:sz w:val="20"/>
                <w:szCs w:val="20"/>
                <w:color w:val="auto"/>
              </w:rPr>
            </w:pPr>
          </w:p>
        </w:tc>
        <w:tc>
          <w:tcPr>
            <w:tcW w:w="34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3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3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Accrued legal fees</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other liabilities</w:t>
            </w:r>
          </w:p>
        </w:tc>
        <w:tc>
          <w:tcPr>
            <w:tcW w:w="3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3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40" w:type="dxa"/>
            <w:vAlign w:val="bottom"/>
            <w:vMerge w:val="restart"/>
          </w:tcPr>
          <w:p>
            <w:pPr>
              <w:jc w:val="right"/>
              <w:ind w:right="197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September 30, 2020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266,250</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266,250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40,147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Corporate notes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42,735</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2019</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155,276</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155,276</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agreements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50,185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Corporate notes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51,662</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The marketable securities are classified as available-for-sale and consist of U.S. treasury securities, commercial paper and corporate notes.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marketable securities held at September 30, 2020 and December 31,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As of September 30, 2020</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42,735</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marketable securities, current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88,620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88,865</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As of December 31, 2019</w:t>
            </w:r>
          </w:p>
        </w:tc>
        <w:tc>
          <w:tcPr>
            <w:tcW w:w="16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Commercial paper</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 marketable securities, current</w:t>
            </w:r>
          </w:p>
        </w:tc>
        <w:tc>
          <w:tcPr>
            <w:tcW w:w="16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124,678</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124,684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Corporate notes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11,692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noncurrent</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4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1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All marketable securities held at September 30, 2020 and December 31, 2019 had contractual maturities of less than 18 months. There were no realized gains or losses recognized on the sale or maturity of available-for-sale debt securities during the three and nine months ended September 30, 2020 and 2019, respectively, and as a result, the Company did not reclassify any amounts out of accumulated comprehensive loss. As of September 30, 2020 and December 31, 2019, the Company had no allowance for credit losses for available-for-sale debt securities. There were no impairment charges or recoveries recorded during each of the three and nine months ended September 30, 2020 and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Palo Alto, California Leases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June 2020, the Company entered into lease agreements for two buildings at 1200 and 1250 Page Mill Road in Palo Alto, California, which are now the Company’s U.S. headquarters. The facilities are approximately 82,662 square feet and 72,812 square feet, respectively and include office and laboratory space. For 1200 Page Mill Road, the monthly rent during the initial 6.5-year term will be approximately $0.6 million, with annual year-over-year increases of 3% plus certain operating expenses and taxes and total rent abatement of approximately $7.2 million. For 1250 Page Mill Road, the monthly rent during the initial 13-year term will be approximately $0.5 million, with annual year-over-year increases of 3% plus certain operating expenses and taxes and total rent abatement of approximately $6.3 million. The Landlord will provide a tenant improvement allowance of approximately $1.2 million and $10.6 million for each building, respectively. The Company executed a $10.9 million cash-collateralized letter of credit, which may be reduced in the future subject to the terms of the leases and certain reduction requirements specified therein. The cash collateralizing the letter of credit is classified as restricted cash on the Company’s condensed consolidated balance sheets. Under ASC 842, the Company classified these leases as operating leases and recorded right-of-use assets and lease liabilities on the lease commencement date.</w:t>
      </w:r>
    </w:p>
    <w:p>
      <w:pPr>
        <w:spacing w:after="0" w:line="7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continues to lease office and laboratory space at 2631 Hanover Street in Palo Alto, California. The Company entered into a lease agreement in January 2013 which was amended in March 2016 and extended the lease term until October 2023. The Company classified this lease as an operating lease and recorded a right-of-use asset and lease liability on January 1, 2019 and recognized rent expense on a straight-line basis throughout the remaining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 Lease</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April 2020, the Company entered into a lease agreement for office and laboratory space at Rottenstrasse 5 in Visp, Switzerland. The space is approximately 1,000 square meters. The monthly rent during the initial 5-year term will be approximately 0.03 million Swiss Francs plus certain operating expenses and taxes. Under ASC 842, the Company classified these leases as operating leases and recorded right-of-use assets and lease liabilities on the lease commencement date.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w w:val="94"/>
              </w:rPr>
              <w:t>The maturities of the operating lease liabilities as of September 30, 2020 were as follows (in thousands):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3"/>
        </w:trPr>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rPr>
              <w:t>As of</w:t>
            </w:r>
          </w:p>
        </w:tc>
      </w:t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September 30, 2020</w:t>
            </w:r>
          </w:p>
        </w:tc>
      </w:tr>
      <w:tr>
        <w:trPr>
          <w:trHeight w:val="223"/>
        </w:trPr>
        <w:tc>
          <w:tcPr>
            <w:tcW w:w="8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7,642</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15,136</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15,036</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86,265</w:t>
            </w:r>
          </w:p>
        </w:tc>
        <w:tc>
          <w:tcPr>
            <w:tcW w:w="120" w:type="dxa"/>
            <w:vAlign w:val="bottom"/>
            <w:tcBorders>
              <w:bottom w:val="single" w:sz="8" w:color="CFF0FC"/>
            </w:tcBorders>
          </w:tcPr>
          <w:p>
            <w:pPr>
              <w:spacing w:after="0"/>
              <w:rPr>
                <w:sz w:val="19"/>
                <w:szCs w:val="19"/>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129,791</w:t>
            </w:r>
          </w:p>
        </w:tc>
        <w:tc>
          <w:tcPr>
            <w:tcW w:w="120" w:type="dxa"/>
            <w:vAlign w:val="bottom"/>
            <w:shd w:val="clear" w:color="auto" w:fill="CFF0FC"/>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(52,467)</w:t>
            </w:r>
          </w:p>
        </w:tc>
      </w:tr>
      <w:tr>
        <w:trPr>
          <w:trHeight w:val="223"/>
        </w:trPr>
        <w:tc>
          <w:tcPr>
            <w:tcW w:w="8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August 2020, the Company and its subsidiary Kodiak Sciences GmbH entered into a manufacturing agreement with a contract manufacturing organization for the clinical and commercial supply of drug substance for KSI-301, the Company’s proprietary therapeutic candidate for the treatment and prevention of retinal vascular diseases. A custom-built manufacturing suite is planned to be completed and dedicated to the manufacture of the Company’s drug substance with an estimated capital contribution of 40 million Swiss Francs from the Company. Construction of the manufacturing suite is targeted for completion in 2021. The Company will be required to pay annual suite fees of 12 million Swiss Francs for 2021 and 16 million Swiss Francs for each year thereafter, which covers the manufacturing fees for a specified number of batches, and the Company may pay for additional batches to be manufactured. The manufacturing agreement has an initial term of eight years, and the Company has the right to extend the term up to a total of 16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September 30, 2020, the Company did not have control of this manufacturing space and therefore, did not record a right-of-use asset and corresponding lease liability. These commitments are not included in the above 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The Company has entered into service agreements with a variety of service providers, pursuant to which such service providers agreed to perform activities in connection with the manufacturing of certain materials. Such agreements, and related amendments, state that planned activities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As of September 30, 2020 and December 31, 2019, the total amount of cancelable and/or non-cancelable purchase obligations, including accrued amounts, under these agreements were $221.1 million and $4.7 million, respectively. Expense recognized under these agreements during the period, including amounts paid and accrued, for the three and nine months ended September 30, 2020 were $4.4 million and $12.0 million, respectively, and for the three and nine months ended September 30, 2019 were $2.7 million and $6.1 million, respectively. As of September 30, 2020, the Company had not incurred any cancellation fees. 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Liability related to Sale of Future Royalties</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 December 1, 2019, the Company and its subsidiary Kodiak Sciences GmbH entered into a funding agreement with Baker Bros. Advisors, LP (“BBA”), which holds more than 5% of the Company’s stock, pursuant to which BBA purchased the right to receive a capped 4.5% royalty on future net sales of KSI-301, the Company’s anti-VEGF antibody biopolymer conjugate therapy, in exchange for $225.0 million. The royalty terminates upon the date that BBA has received an aggregate amount equal to 4.5 times the funding amount paid to the Company, unless earlier terminated or repurchased by the Company. Under the terms of the funding agreement, there is no obligation to repay any funding amount received, other than through the capped royalty payments on future product revenues.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closing of the funding agreement was subject to certain conditions and occurred in February 2020. The Company received $100.0 million of the funding on February 4, 2020. The remaining $125.0 million shall be payable to the Company upon enrollment of 50% of the patients in the planned RVO clinical program.</w:t>
      </w:r>
    </w:p>
    <w:p>
      <w:pPr>
        <w:spacing w:after="0" w:line="76"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 xml:space="preserve">The Company recorded the initial $100.0 million payment as a liability on the consolidated balance sheet net of issuance costs,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 to 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In January 2020 and 2019, the number of shares of common stock available for issuance under the 2018 Equity Incentive Plan was increased by approximately by 1.8 million and 1.5 million shares, respectively, as a result of the automatic increase provision in the 2018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the 2018 Plan and 2015 Equity Incentive Plan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6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476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4760" w:type="dxa"/>
            <w:vAlign w:val="bottom"/>
          </w:tcPr>
          <w:p>
            <w:pPr>
              <w:spacing w:after="0"/>
              <w:rPr>
                <w:sz w:val="20"/>
                <w:szCs w:val="20"/>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6,671,542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1,032,085</w:t>
            </w:r>
          </w:p>
        </w:tc>
        <w:tc>
          <w:tcPr>
            <w:tcW w:w="16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(336,167)</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Forfeited or canceled</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(129,097)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23.06</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2020</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7,238,363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272,370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40" w:type="dxa"/>
            <w:vAlign w:val="bottom"/>
          </w:tcPr>
          <w:p>
            <w:pPr>
              <w:spacing w:after="0"/>
              <w:rPr>
                <w:sz w:val="18"/>
                <w:szCs w:val="18"/>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40" w:type="dxa"/>
            <w:vAlign w:val="bottom"/>
          </w:tcPr>
          <w:p>
            <w:pPr>
              <w:spacing w:after="0"/>
              <w:rPr>
                <w:sz w:val="18"/>
                <w:szCs w:val="18"/>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Restricted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740" w:type="dxa"/>
            <w:vAlign w:val="bottom"/>
          </w:tcPr>
          <w:p>
            <w:pPr>
              <w:spacing w:after="0"/>
              <w:rPr>
                <w:sz w:val="20"/>
                <w:szCs w:val="20"/>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4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160,747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224,045</w:t>
            </w:r>
          </w:p>
        </w:tc>
        <w:tc>
          <w:tcPr>
            <w:tcW w:w="200" w:type="dxa"/>
            <w:vAlign w:val="bottom"/>
          </w:tcPr>
          <w:p>
            <w:pPr>
              <w:spacing w:after="0"/>
              <w:rPr>
                <w:sz w:val="19"/>
                <w:szCs w:val="19"/>
                <w:color w:val="auto"/>
              </w:rPr>
            </w:pP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9"/>
                <w:szCs w:val="19"/>
                <w:color w:val="auto"/>
              </w:rPr>
            </w:pPr>
          </w:p>
        </w:tc>
      </w:tr>
      <w:tr>
        <w:trPr>
          <w:trHeight w:val="229"/>
        </w:trPr>
        <w:tc>
          <w:tcPr>
            <w:tcW w:w="8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(12,789)</w:t>
            </w:r>
          </w:p>
        </w:tc>
        <w:tc>
          <w:tcPr>
            <w:tcW w:w="4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19"/>
                <w:szCs w:val="19"/>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Shares withheld related to net share settlement of RSUs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(4,058)</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r>
      <w:tr>
        <w:trPr>
          <w:trHeight w:val="230"/>
        </w:trPr>
        <w:tc>
          <w:tcPr>
            <w:tcW w:w="8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Canceled</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(4,750)</w:t>
            </w:r>
          </w:p>
        </w:tc>
        <w:tc>
          <w:tcPr>
            <w:tcW w:w="4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Unvested at September 30, 2020</w:t>
            </w:r>
          </w:p>
        </w:tc>
        <w:tc>
          <w:tcPr>
            <w:tcW w:w="14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363,195</w:t>
            </w:r>
          </w:p>
        </w:tc>
        <w:tc>
          <w:tcPr>
            <w:tcW w:w="200" w:type="dxa"/>
            <w:vAlign w:val="bottom"/>
          </w:tcPr>
          <w:p>
            <w:pPr>
              <w:spacing w:after="0"/>
              <w:rPr>
                <w:sz w:val="19"/>
                <w:szCs w:val="19"/>
                <w:color w:val="auto"/>
              </w:rPr>
            </w:pP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117"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The Company granted 170,150 performance-based stock options and 128,900 performance-based restricted stock units (“RSUs”) to employees in 2019. These performance-based equity awards will vest one-quarter upon the achievement of specific clinical development milestones. The remaining shares will then vest in three equal annual installments after that date. Performance-based stock options and performance-based restricted stock units are recorded as expense beginning when vesting events are determined to be probable.</w:t>
      </w:r>
    </w:p>
    <w:p>
      <w:pPr>
        <w:spacing w:after="0" w:line="63" w:lineRule="exact"/>
        <w:rPr>
          <w:sz w:val="20"/>
          <w:szCs w:val="20"/>
          <w:color w:val="auto"/>
        </w:rPr>
      </w:pPr>
    </w:p>
    <w:p>
      <w:pPr>
        <w:jc w:val="both"/>
        <w:ind w:right="380" w:firstLine="510"/>
        <w:spacing w:after="0" w:line="311" w:lineRule="auto"/>
        <w:rPr>
          <w:sz w:val="20"/>
          <w:szCs w:val="20"/>
          <w:color w:val="auto"/>
        </w:rPr>
      </w:pPr>
      <w:r>
        <w:rPr>
          <w:rFonts w:ascii="Arial" w:cs="Arial" w:eastAsia="Arial" w:hAnsi="Arial"/>
          <w:sz w:val="16"/>
          <w:szCs w:val="16"/>
          <w:color w:val="auto"/>
        </w:rPr>
        <w:t>None of these performance-based equity awards vested during 2019. The Company believes that the achievement of the requisite performance condition continues to be probable. Stock-based compensation expense recognized was $1.8 million and $5.5 million during the three and nine months ended September 30, 2020, respectively, and none during the three and nine months ended September 30, 2019,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Stock-based compensation for options and restricted shares is classified in the condensed consolidated statements of operations and comprehensive loss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5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4,759</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11,983</w:t>
            </w: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3,482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8,241</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1,773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21,213</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As of September 30, 2020, the unrecognized stock-based compensation of unvested stock options, restricted stock units, and performance-based options and restricted stock units was $90.4 million and it is expected to be recognized over a weighted-average period of 3.04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Common Share</w:t>
      </w:r>
    </w:p>
    <w:p>
      <w:pPr>
        <w:spacing w:after="0" w:line="12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gridSpan w:val="4"/>
          </w:tcPr>
          <w:p>
            <w:pPr>
              <w:ind w:left="920"/>
              <w:spacing w:after="0"/>
              <w:rPr>
                <w:sz w:val="20"/>
                <w:szCs w:val="20"/>
                <w:color w:val="auto"/>
              </w:rPr>
            </w:pPr>
            <w:r>
              <w:rPr>
                <w:rFonts w:ascii="Arial" w:cs="Arial" w:eastAsia="Arial" w:hAnsi="Arial"/>
                <w:sz w:val="18"/>
                <w:szCs w:val="18"/>
                <w:b w:val="1"/>
                <w:bCs w:val="1"/>
                <w:color w:val="auto"/>
              </w:rPr>
              <w:t>As of September 30,</w:t>
            </w:r>
          </w:p>
        </w:tc>
      </w:tr>
      <w:tr>
        <w:trPr>
          <w:trHeight w:val="223"/>
        </w:trPr>
        <w:tc>
          <w:tcPr>
            <w:tcW w:w="7720" w:type="dxa"/>
            <w:vAlign w:val="bottom"/>
            <w:tcBorders>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7,238,363</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6,083,474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363,195</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7,601,558</w:t>
            </w:r>
          </w:p>
        </w:tc>
        <w:tc>
          <w:tcPr>
            <w:tcW w:w="2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6,090,859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2019, included in our Annual Report on Form 10-K filed with the Securities and Exchange Commission, or the SEC, on March 16, 2020.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Our goal is to prevent and treat the major causes of blindness by developing and commercializing next-generation therapeutics for chronic, high-prevalence retinal diseases.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Throughout 2019 and 2020, we have generated clinical data with our most advanced product candidate, KSI-301, a biologic therapy built with our antibody biopolymer conjugate platform, or ABC Platform, which is designed to maintain potent and effective drug levels in ocular tissues for longer periods than the currently-marketed biologic medicines used to treat retinal diseases. To date, KSI-301 has been administered more than 1,500 times to more than 400 patients representing more than 250 patient-years of clinical experience. We believe that KSI-301, if approved, has the potential to be an important therapy to treat patients with wet age-related macular degeneration, or wet AMD, diabetic retinopathy, or DR, including diabetic macular edema, or DME, and macular edema due to retinal vein occlusion, or RVO.</w:t>
      </w:r>
    </w:p>
    <w:p>
      <w:pPr>
        <w:spacing w:after="0" w:line="8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our ongoing Phase 1b clinical study, in which enrollment is complete, we have administered multiple doses of KSI-301 to treatment-naïve patients with wet AMD, DME or RVO, and we continue to observe promising safety, efficacy, and clinical durability data in each of the retinal diseases under study. We believe the data support an acceleration of efforts to bring KSI-301 to the market in these retinal diseases and that the data lend confidence to the design of our currently-ongoing and planned pivotal (registrational) studies of KSI-301. We believe these registrational clinical studies, if successful, may demonstrate a meaningfully differentiated clinical profile of KSI-301 as compared to current therapies, and we also believe that this profile would allow KSI-301 to compete effectively in the evolving commercial and product landscape. The potential clinical (and thus commercial/competitive) advantages of a long-acting retinal therapeutic such as KSI-301 go well beyond fewer and less frequent injections over time and also include the potential for patients to retain their vision over the long term due to fewer missed treatments and/or fewer drug holidays, as a result of more manageable treatment schedules. Moreover, a longer-acting medicine allows patients with vision-threatening diseases to remain on effective treatment even in context of treatment disruptions that occur in ordinary circumstances (such as missed visits due to travel or concurrent illnesses), as well as extraordinary disruptions of regular treatment such as that exemplified by the COVID-19 pandemic, where more frequent clinic visits may not be desirable, possible or allowed in certain regions or countries.</w:t>
      </w:r>
    </w:p>
    <w:p>
      <w:pPr>
        <w:spacing w:after="0" w:line="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Based on the encouraging data that continue to be observed in our Phase 1b study, we have expanded the KSI-301 clinical pivotal program in the third quarter of 2020, and we have entered into the manufacturing-related commitments necessary for KSI-301’s commercial scale-up and BLA submission. We believe the intersection of these clinical and manufacturing activities remain on track per our “2022 Vision” to submit a single BLA for wet AMD, DME and RVO in calendar year 2022. We successfully recruited patients into both of our paired pivotal studies in DME (GLEAM and GLIMMER) and into our pivotal study in RVO (BEACON) in the third quarter of 2020. The pivotal study for wet AMD (DAZZLE) began recruiting in the third quarter of 2019 and completed U.S. patient enrollment in the third quarter of 2020. DAZZLE patient recruitment in the EU is expected to complete in the fourth quarter of 2020.</w:t>
      </w:r>
    </w:p>
    <w:p>
      <w:pPr>
        <w:spacing w:after="0" w:line="8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In 2019, we completed an End of Phase 2 meeting with the FDA where we agreed on the order and number of clinical studies required to support the licensure of KSI-301 in wet AMD, DME, RVO and non-proliferative DR (NPDR without DME). We confirmed that two studies conducted in a single indication are expected by FDA in order to demonstrate the initial safety and efficacy of KSI-301 and that one study each in the additional disease indications, if successful, can be used to support approval in the additional indications. Following our communications with FDA at the time of our End of Phase 2 meetings as well as subsequent communications, we upgraded our pivotal study program to assess KSI-301 in two Phase 3 studies (our ongoing GLEAM and GLIMMER studies) in DME to provide the mutually-confirmatory studies required by FDA for initial demonstration of safety and efficacy, one Phase 2b/3 study (our ongoing DAZZLE study) in wet AMD, one Phase 3 study (our ongoing BEACON study) in RVO, and one Phase 3 study (GLOW) in NPDR without DME. By conducting paired studies in DME, we are able to generate additional data on the safety, efficacy and durability of KSI-301 in this area of high unmet need and commercial opportunity, while also narrowing the number of sites and countries required for successful enrollment of the entire pivotal program. We expect a majority of research sites to be located in the U.S. with most of the remaining sites in the EU. Given the strong new patient enrollment and low missed visit rates seen to date in our DAZZLE wet AMD pivotal study in the U.S. despite the ongoing COVID-19 pandemic, we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120"/>
        <w:spacing w:after="0" w:line="271" w:lineRule="auto"/>
        <w:rPr>
          <w:sz w:val="20"/>
          <w:szCs w:val="20"/>
          <w:color w:val="auto"/>
        </w:rPr>
      </w:pPr>
      <w:r>
        <w:rPr>
          <w:rFonts w:ascii="Arial" w:cs="Arial" w:eastAsia="Arial" w:hAnsi="Arial"/>
          <w:sz w:val="17"/>
          <w:szCs w:val="17"/>
          <w:color w:val="auto"/>
        </w:rPr>
        <w:t>believe focusing the KSI-301 program in this way helps minimize uncertainty with respect to clinical trial conduct during and through the COVID-19 pandemic and towards our “2022 Vision.” Additional specific reasons for running paired DME pivotals (and one RVO pivotal) include: fewer countries and sites needed for two DME studies versus two RVO studies (avoiding the cost and logistical burdens of opening and supporting clinical trial sites that would only participate in RVO studies); better oversight of operational execution (essentially all sites can concurrently enroll treatment naïve patients in wet AMD, DME and RVO); higher unmet need in DME versus RVO; marginal, if any, increase in overall trial execution costs; and the potential for an accelerated timeline for two DME versus two RVO pivotals. On top of these operational considerations, we remain pleased with the DME clinical data we are seeing in the Phase 1b study and want to align greater clinical data generation in DME given the larger number of diabetic patients and higher unmet need and market opportunity as compared to RVO.</w:t>
      </w:r>
    </w:p>
    <w:p>
      <w:pPr>
        <w:spacing w:after="0" w:line="70"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The ABC Platform and KSI-301 were developed at Kodiak, and we own rights to these assets in key geographies including the US, EU, China and other major countries.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In October 2020, we announced that we entered a supplemental research agreement with AbCellera to generate additional therapeutic antibody candidates for novel disease targets in ophthalmology in support of our evolving research pipeline. We intend to progress these and other product candidates to address high-prevalence ophthalmic diseases.</w:t>
      </w:r>
    </w:p>
    <w:p>
      <w:pPr>
        <w:spacing w:after="0" w:line="56"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Our overall objective is to develop our product candidates, seek FDA and worldwide health authority marketing authorization approvals, and ultimately commercialize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We have implemented various enhancements into our ongoing study execution to help ensure the safety of patients, physicians, study site staff and Kodiak operations team members during the ongoing COVID-19 pandemic, including the use of remote study monitoring. To date, we have observed minimal disruption resulting from the evolving effects of the COVID-19 pandemic in our ongoing clinical trials. In DAZZLE, patient missed visit rates remain low (less than 5%), and clinical trial sites enrolled patients rapidly in the third quarter. This is a testament to the serious diseases we are attempting to treat and is a vote of confidence from the patients, physicians and study sites partnering with us to advance KSI-301. With $380.5 million in cash, cash equivalents and marketable securities as of September 30, 2020, and thoughtful management of our spending, we remain on a strong financial footing.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Pivotal Program</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initiated two Phase 3 studies in DME (GLEAM and GLIMMER) and one Phase 3 study in RVO (BEACON) in the third quarter of 2020. The randomization of treatment-naïve patients into these three pivotal studies in the third quarter is a critical step to build the clinical evidence for KSI-301 as a safe, effective and highly durable therapy for patients with retinal diseases. We have also completed U.S. patient enrollment in our ongoing Phase 2b/3 study in wet AMD (DAZZLE) and continue to recruit patients in the EU. We expect to complete DAZZLE enrollment by year end 2020. We believe that the initiation of the additional Phase 3 studies and the robust patient recruitment into DAZZLE represent strong operational progress towards our 2022 Vision of a single BLA filed for KSI-301 in wet AMD, DME and RVO in calendar year 2022. Importantly, to date the data emerging in our Phase 1b study remain consistent and provide support for and confidence in our pivotal study designs.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March 2020, the World Health Organization declared a pandemic related to the global COVID-19 outbreak. Governments have taken preventative and protective actions, including but not limited to, restrictions on non-essential travel, business operations, and gatherings of individuals. The State of California, where our headquarters is located in the San Francisco Bay Area, declared a state of emergency and shelter-in-place order in March 2020. Although certain restrictions have eased, and phased re-openings are underway, it is not certain when such restrictions will be fully lifted, and recent resurgences in number and rates of infections, reactions to increased testing and/or further spreading of the virus may result in the return or implementation of more restrictive measures. Global financial markets have also experienced extreme volatility and as a result, economic uncertainties have arisen which could impact the Company’s operations and its financial position. The extent of the impact of the ongoing COVID-19 pandemic will depend on certain evolving developments, including the duration and spread of the outbreak, regulatory and private sector responses, and the impact on our employees, vendors including supply chain and clinical partners, all of which are uncertain and cannot be predicted.</w:t>
      </w:r>
    </w:p>
    <w:p>
      <w:pPr>
        <w:spacing w:after="0" w:line="5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continue to monitor government responses and may elect to temporarily close our office and/or laboratory space to protect our employees. We continue to assess the potential for supply chain disruptions as the pandemic may impact personnel at third party manufacturing facilities in China, Switzerland and other countries, as well as its impact on the availability and/or cost of materials. We continue to monitor financial markets and the impact on our operations and capital resources.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80" w:firstLine="510"/>
        <w:spacing w:after="0" w:line="259" w:lineRule="auto"/>
        <w:rPr>
          <w:sz w:val="20"/>
          <w:szCs w:val="20"/>
          <w:color w:val="auto"/>
        </w:rPr>
      </w:pPr>
      <w:r>
        <w:rPr>
          <w:rFonts w:ascii="Arial" w:cs="Arial" w:eastAsia="Arial" w:hAnsi="Arial"/>
          <w:sz w:val="18"/>
          <w:szCs w:val="18"/>
          <w:color w:val="auto"/>
        </w:rPr>
        <w:t>We and our key clinical and manufacturing partners have been able to continue to advance our operations. Because the diseases under study in the KSI-301 development program are serious, vision-threatening conditions for which patients are still seeking and receiving treatment from retina specialists during the pandemic, we have been able to continue advancing the clinical programs for KSI-301 during the pandemic towards achieving our “2022 Vision.”</w:t>
      </w:r>
    </w:p>
    <w:p>
      <w:pPr>
        <w:spacing w:after="0" w:line="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During this pandemic, we continue to work closely with our clinical sites towards maximal patient safety and the lowest number of missed visits and study discontinuations. We have taken and continue to take proactive measures to maintain the integrity of our ongoing clinical studies. To date, we are seeing low levels of patient missed visits (&lt;5%).</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response to the COVID-19 global pandemic with regards to business operations, clinical trials, and manufacturing activities:</w:t>
      </w:r>
    </w:p>
    <w:p>
      <w:pPr>
        <w:spacing w:after="0" w:line="117" w:lineRule="exact"/>
        <w:rPr>
          <w:sz w:val="20"/>
          <w:szCs w:val="20"/>
          <w:color w:val="auto"/>
        </w:rPr>
      </w:pPr>
    </w:p>
    <w:p>
      <w:pPr>
        <w:ind w:left="620" w:right="20" w:hanging="113"/>
        <w:spacing w:after="0" w:line="263"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taken steps in line with guidance from the U.S. Centers for Disease Control and Prevention, or CDC, and the State of California to protect the health and safety of our employees and the community. In particular, the Company has implemented remote work arrangements for non-essential employees since March 17, 2020.</w:t>
      </w:r>
    </w:p>
    <w:p>
      <w:pPr>
        <w:spacing w:after="0" w:line="75" w:lineRule="exact"/>
        <w:rPr>
          <w:rFonts w:ascii="Arial" w:cs="Arial" w:eastAsia="Arial" w:hAnsi="Arial"/>
          <w:sz w:val="18"/>
          <w:szCs w:val="18"/>
          <w:color w:val="auto"/>
        </w:rPr>
      </w:pPr>
    </w:p>
    <w:p>
      <w:pPr>
        <w:ind w:left="620" w:right="80" w:hanging="113"/>
        <w:spacing w:after="0" w:line="272"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working closely with our clinical trial sites to monitor and attempt to minimize the potential impacts of the evolving COVID-19 pandemic on patient enrollment, continued participation of patients already enrolled in our clinical studies, protocol compliance, data quality, and overall study integrity. Some specific actions we have taken in the United States include the use of remote study monitoring, temporarily increasing study site budget overhead rates, providing additional transportation service options for patients to attend study site visits and focusing on new patient enrollment only at study sites with appropriate backup resource plans in place and where the local COVID-19 situation allows. Since the month of March 2020, the rate of missed study visits has remained &lt;5%. As of now, we have not experienced significant delays to our ongoing or planned clinical trials; however, this could change rapidly depending on the dynamics of the pandemic.</w:t>
      </w:r>
    </w:p>
    <w:p>
      <w:pPr>
        <w:spacing w:after="0" w:line="69" w:lineRule="exact"/>
        <w:rPr>
          <w:rFonts w:ascii="Arial" w:cs="Arial" w:eastAsia="Arial" w:hAnsi="Arial"/>
          <w:sz w:val="17"/>
          <w:szCs w:val="17"/>
          <w:color w:val="auto"/>
        </w:rPr>
      </w:pPr>
    </w:p>
    <w:p>
      <w:pPr>
        <w:ind w:left="620" w:right="160" w:hanging="113"/>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2020, we restarted patient recruitment activities at certain sites in EU countries. DAZZLE study sites in the EU were activated in the first quarter of 2020, but we deferred study patient enrollment until June due to the pandemic.</w:t>
      </w:r>
    </w:p>
    <w:p>
      <w:pPr>
        <w:spacing w:after="0" w:line="62" w:lineRule="exact"/>
        <w:rPr>
          <w:rFonts w:ascii="Arial" w:cs="Arial" w:eastAsia="Arial" w:hAnsi="Arial"/>
          <w:sz w:val="18"/>
          <w:szCs w:val="18"/>
          <w:color w:val="auto"/>
        </w:rPr>
      </w:pPr>
    </w:p>
    <w:p>
      <w:pPr>
        <w:ind w:left="620" w:right="200" w:hanging="113"/>
        <w:spacing w:after="0" w:line="296"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minimize the potential for disruption of our pivotal studies of KSI-301, we have refined our study designs, including sample size and country selection. We began enrollment of our pivotal DME (GLEAM and GLIMMER) and RVO (BEACON) studies in the third quarter of 2020 in the United States and aim to initiate the pivotal study in non-proliferative DR (GLOW) in the first quarter of 2021, dependent on the continued evolution of the COVID-19 pandemic. Ex-U.S. clinical trial application submissions are underway for GLEAM, GLIMMER and BEACON. We believe we are still on track to achieve our “2022 Vision” objective of filing a single BLA in 2022 for KSI-301 in wet AMD, DME and RVO.</w:t>
      </w:r>
    </w:p>
    <w:p>
      <w:pPr>
        <w:spacing w:after="0" w:line="53" w:lineRule="exact"/>
        <w:rPr>
          <w:rFonts w:ascii="Arial" w:cs="Arial" w:eastAsia="Arial" w:hAnsi="Arial"/>
          <w:sz w:val="16"/>
          <w:szCs w:val="16"/>
          <w:color w:val="auto"/>
        </w:rPr>
      </w:pPr>
    </w:p>
    <w:p>
      <w:pPr>
        <w:ind w:left="620" w:right="560" w:hanging="113"/>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supply chain and manufacturing activities remain intact, and we do not currently anticipate disruptions to our supply of KSI-301 due to COVID-19.</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will continue to monitor the COVID-19 situation closely. The ultimate impact of the ongoing COVID-19 pandemic on our business operations remains highly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7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bispecific conjugate KSI-501 inhibits both interleukin 6, or IL-6, and Vascular Endothelial Growth Factor, or VEGF. Tissue based IL-6 mediated inflammatory response syndromes have been associated with severe COVID-19 disease. As such, IL-6 blockade is being explored as a novel therapeutic strategy in patients with COVID-19 disease. Similarly, tissue specific edema such as pulmonary edema is implicated in severe and critical COVID-19 disease. VEGF in the alveolar space is a potent inducer of vascular permeability and resultant pulmonary edema which plays a pathological role in lung dysfunction. Emerging data show VEGF levels are elevated in COVID-19 patients. OG2072, the bispecific fusion protein used to build our ophthalmology product candidate KSI-501, binds with high affinity to both of its targets simultaneously (IL-6 and VEGF). Intriguingly, we have seen synergistic inhibition in vitro and we are interested in the possible unique benefit this synergistic inhibition may have in lung and other organs that can be severely damaged by SARS-CoV2 and the associated immunologic and tissue responses. Further, unlike currently marketed anti-VEGF and anti-IL-6R antibodies, OG2072’s Fc region is immunologically inert and does not activate immune effector functions. OG2072 may thus be beneficial in preventing further immune-mediated tissue damage in the lung, kidney, heart and other organs affected in critical illness due to COVID-19. To this end, we are advancing by six or more months the GMP manufacturing for OG2072, which could both enable a potential assessment of systemically administered OG2072 in patients with worsening COVID-19 disease (for example, as part of ongoing basket studies of potential COVID-19 therapeutics). Ancillary benefits of this acceleration include the use of GMP material for KSI-501 toxicology program and a more predictable IND submission and First in Human timeline for KSI-501 in patients with retinal vascular diseases featuring an inflammatory component.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highlights of our activities included:</w:t>
      </w:r>
    </w:p>
    <w:p>
      <w:pPr>
        <w:spacing w:after="0" w:line="117" w:lineRule="exact"/>
        <w:rPr>
          <w:sz w:val="20"/>
          <w:szCs w:val="20"/>
          <w:color w:val="auto"/>
        </w:rPr>
      </w:pPr>
    </w:p>
    <w:p>
      <w:pPr>
        <w:ind w:left="620" w:right="80" w:hanging="113"/>
        <w:spacing w:after="0" w:line="25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Upgraded Pivotal Study Program</w:t>
      </w:r>
      <w:r>
        <w:rPr>
          <w:rFonts w:ascii="Arial" w:cs="Arial" w:eastAsia="Arial" w:hAnsi="Arial"/>
          <w:sz w:val="18"/>
          <w:szCs w:val="18"/>
          <w:color w:val="auto"/>
        </w:rPr>
        <w:t>: We finalized the design of our KSI-301 pivotal study programs in RVO and DME and have launched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We are currently conducting two Phase 3 studies in DME (GLEAM and GLIMMER) to provide the mutually-confirmatory studies required by FDA for initial demonstration of safety and efficacy, one study in wet AMD (our ongoing DAZZLE study), and one study in RVO (BEACON). Each study protocol design has been optimized based on Phase 1b data and experience and will include the same treatment-naïve patient populations as in the Phase 1b, as well as tighter dosing interval ranging, tighter disease control, and decreased subjectivity for retreatments, and each has high statistical power for non-inferiority (&gt;90%). We also intend to initiate in early 2021 a Phase 3 study of KSI-301 in non-proliferative diabetic retinopathy (GLOW).</w:t>
      </w:r>
    </w:p>
    <w:p>
      <w:pPr>
        <w:spacing w:after="0" w:line="86" w:lineRule="exact"/>
        <w:rPr>
          <w:rFonts w:ascii="Arial" w:cs="Arial" w:eastAsia="Arial" w:hAnsi="Arial"/>
          <w:sz w:val="18"/>
          <w:szCs w:val="18"/>
          <w:color w:val="auto"/>
        </w:rPr>
      </w:pPr>
    </w:p>
    <w:p>
      <w:pPr>
        <w:ind w:left="620" w:right="40" w:hanging="113"/>
        <w:spacing w:after="0" w:line="27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DAZZLE Study Progress</w:t>
      </w:r>
      <w:r>
        <w:rPr>
          <w:rFonts w:ascii="Arial" w:cs="Arial" w:eastAsia="Arial" w:hAnsi="Arial"/>
          <w:sz w:val="17"/>
          <w:szCs w:val="17"/>
          <w:color w:val="auto"/>
        </w:rPr>
        <w:t>: We saw robust patient enrollment through the third quarter of 2020 and have completed U.S. patient recruitment into our</w:t>
      </w:r>
      <w:r>
        <w:rPr>
          <w:rFonts w:ascii="Arial" w:cs="Arial" w:eastAsia="Arial" w:hAnsi="Arial"/>
          <w:sz w:val="17"/>
          <w:szCs w:val="17"/>
          <w:i w:val="1"/>
          <w:iCs w:val="1"/>
          <w:color w:val="auto"/>
        </w:rPr>
        <w:t xml:space="preserve"> </w:t>
      </w:r>
      <w:r>
        <w:rPr>
          <w:rFonts w:ascii="Arial" w:cs="Arial" w:eastAsia="Arial" w:hAnsi="Arial"/>
          <w:sz w:val="17"/>
          <w:szCs w:val="17"/>
          <w:color w:val="auto"/>
        </w:rPr>
        <w:t>DAZZLE pivotal study in wet AMD – a potential reflection of the enthusiasm for KSI-301 on the part of clinical investigators and patients. EU patient enrollment commenced in June 2020 and we continue to see robust recruitment. We expect to complete overall DAZZLE study enrollment by year end 2020. With a one-year primary endpoint, we remain on track for a DAZZLE study top-line data readout in early 2022. As of November 4, 2020, over 545 of the planned 550 patients have been enrolled in DAZZLE.</w:t>
      </w:r>
    </w:p>
    <w:p>
      <w:pPr>
        <w:spacing w:after="0" w:line="68" w:lineRule="exact"/>
        <w:rPr>
          <w:rFonts w:ascii="Arial" w:cs="Arial" w:eastAsia="Arial" w:hAnsi="Arial"/>
          <w:sz w:val="17"/>
          <w:szCs w:val="17"/>
          <w:color w:val="auto"/>
        </w:rPr>
      </w:pPr>
    </w:p>
    <w:p>
      <w:pPr>
        <w:ind w:left="620" w:hanging="113"/>
        <w:spacing w:after="0" w:line="25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GLEAM / GLIMMER and BEACON Study Initiations</w:t>
      </w:r>
      <w:r>
        <w:rPr>
          <w:rFonts w:ascii="Arial" w:cs="Arial" w:eastAsia="Arial" w:hAnsi="Arial"/>
          <w:sz w:val="18"/>
          <w:szCs w:val="18"/>
          <w:color w:val="auto"/>
        </w:rPr>
        <w:t>: We initiated two Phase 3 studies in DME (GLEAM and GLIMMER) and one Phase 3 study</w:t>
      </w:r>
      <w:r>
        <w:rPr>
          <w:rFonts w:ascii="Arial" w:cs="Arial" w:eastAsia="Arial" w:hAnsi="Arial"/>
          <w:sz w:val="18"/>
          <w:szCs w:val="18"/>
          <w:i w:val="1"/>
          <w:iCs w:val="1"/>
          <w:color w:val="auto"/>
        </w:rPr>
        <w:t xml:space="preserve"> </w:t>
      </w:r>
      <w:r>
        <w:rPr>
          <w:rFonts w:ascii="Arial" w:cs="Arial" w:eastAsia="Arial" w:hAnsi="Arial"/>
          <w:sz w:val="18"/>
          <w:szCs w:val="18"/>
          <w:color w:val="auto"/>
        </w:rPr>
        <w:t>in RVO (BEACON) in the third quarter of 2020. The randomization of treatment-naïve patients into these three studies is a critical step to build the clinical evidence for KSI-301 as a safe, effective and highly durable therapy for patients with retinal diseases. The initiation of the additional Phase 3 studies and the robust patient recruitment into DAZZLE represent strong operational progress towards our 2022 Vision of a single BLA filed for KSI-301 in wet AMD, DME, and RVO in 2022.</w:t>
      </w:r>
    </w:p>
    <w:p>
      <w:pPr>
        <w:spacing w:after="0" w:line="79" w:lineRule="exact"/>
        <w:rPr>
          <w:rFonts w:ascii="Arial" w:cs="Arial" w:eastAsia="Arial" w:hAnsi="Arial"/>
          <w:sz w:val="18"/>
          <w:szCs w:val="18"/>
          <w:color w:val="auto"/>
        </w:rPr>
      </w:pPr>
    </w:p>
    <w:p>
      <w:pPr>
        <w:ind w:left="620" w:hanging="113"/>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Continued maturation of Phase 1b Data</w:t>
      </w:r>
      <w:r>
        <w:rPr>
          <w:rFonts w:ascii="Arial" w:cs="Arial" w:eastAsia="Arial" w:hAnsi="Arial"/>
          <w:sz w:val="18"/>
          <w:szCs w:val="18"/>
          <w:color w:val="auto"/>
        </w:rPr>
        <w:t>: Updated safety and efficacy results from our ongoing Phase 1b trial of KSI-301 in patients with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naïve wet AMD, DME, or RVO were presented at the American Society of Retina Specialists 2020 Virtual Annual Meeting in July 2020. We believe the data continue to support the “anti-VEGF Generation 2.0” profile of KSI-301. We intend to continue presenting data updates from the Phase 1b as the study progresses over its full three-year duration.</w:t>
      </w:r>
    </w:p>
    <w:p>
      <w:pPr>
        <w:spacing w:after="0" w:line="78" w:lineRule="exact"/>
        <w:rPr>
          <w:rFonts w:ascii="Arial" w:cs="Arial" w:eastAsia="Arial" w:hAnsi="Arial"/>
          <w:sz w:val="18"/>
          <w:szCs w:val="18"/>
          <w:color w:val="auto"/>
        </w:rPr>
      </w:pPr>
    </w:p>
    <w:p>
      <w:pPr>
        <w:ind w:left="620" w:right="100" w:hanging="113"/>
        <w:spacing w:after="0" w:line="255"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Commercial Manufacturing Progress</w:t>
      </w:r>
      <w:r>
        <w:rPr>
          <w:rFonts w:ascii="Arial" w:cs="Arial" w:eastAsia="Arial" w:hAnsi="Arial"/>
          <w:sz w:val="18"/>
          <w:szCs w:val="18"/>
          <w:color w:val="auto"/>
        </w:rPr>
        <w:t>: We successfully negotiated a long-term agreement with Lonza for the manufacture of KSI-301.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will provide Kodiak with a custom-built bioconjugation facility with a capacity to supply millions of doses per year. With construction targeted for completion in 2021, the Lonza-Kodiak Ibex facility will provide Kodiak with the facility needed for commercial-scale manufacturing of KSI-301. The timing of this expanded partnership is designed to support Kodiak’s BLA submission timeline in 2022, and the scale is designed to support KSI-301’s potential to achieve significant market share as a new first-line agent designed to improve outcomes for patients with common and serious retinal vascular diseases.</w:t>
      </w:r>
    </w:p>
    <w:p>
      <w:pPr>
        <w:spacing w:after="0" w:line="84" w:lineRule="exact"/>
        <w:rPr>
          <w:rFonts w:ascii="Arial" w:cs="Arial" w:eastAsia="Arial" w:hAnsi="Arial"/>
          <w:sz w:val="18"/>
          <w:szCs w:val="18"/>
          <w:color w:val="auto"/>
        </w:rPr>
      </w:pPr>
    </w:p>
    <w:p>
      <w:pPr>
        <w:ind w:left="620" w:right="280" w:hanging="113"/>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Completed Lease Agreement for Kodiak’s New U.S. Headquarters</w:t>
      </w:r>
      <w:r>
        <w:rPr>
          <w:rFonts w:ascii="Arial" w:cs="Arial" w:eastAsia="Arial" w:hAnsi="Arial"/>
          <w:sz w:val="18"/>
          <w:szCs w:val="18"/>
          <w:color w:val="auto"/>
        </w:rPr>
        <w:t>: We have leased approximately 82,662 square feet located at 1200 Page Mill</w:t>
      </w:r>
      <w:r>
        <w:rPr>
          <w:rFonts w:ascii="Arial" w:cs="Arial" w:eastAsia="Arial" w:hAnsi="Arial"/>
          <w:sz w:val="18"/>
          <w:szCs w:val="18"/>
          <w:i w:val="1"/>
          <w:iCs w:val="1"/>
          <w:color w:val="auto"/>
        </w:rPr>
        <w:t xml:space="preserve"> </w:t>
      </w:r>
      <w:r>
        <w:rPr>
          <w:rFonts w:ascii="Arial" w:cs="Arial" w:eastAsia="Arial" w:hAnsi="Arial"/>
          <w:sz w:val="18"/>
          <w:szCs w:val="18"/>
          <w:color w:val="auto"/>
        </w:rPr>
        <w:t>Road, Palo Alto, California and approximately 72,812 square feet located at 1250 Page Mill Road, Palo Alto, California. These newly leased buildings will serve as Kodiak’s U.S. headquarters for office and laboratory space. We also leased approximately 10,750 square feet in Visp, Switzerland, for manufacturing support and supervision.</w:t>
      </w:r>
    </w:p>
    <w:p>
      <w:pPr>
        <w:spacing w:after="0" w:line="7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Our current cash, cash equivalents and marketable securities provide the resources for us to advance the KSI-301 program towards achieving our “2022 Vision” and also to advance our pipeline of drug candidates including KSI-501 and our triplet inhibitor drug candidates and for working capital and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Kodiak is Today</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i w:val="1"/>
          <w:iCs w:val="1"/>
          <w:color w:val="auto"/>
        </w:rPr>
        <w:t>Growing KSI-301 Clinical Experience</w:t>
      </w:r>
      <w:r>
        <w:rPr>
          <w:rFonts w:ascii="Arial" w:cs="Arial" w:eastAsia="Arial" w:hAnsi="Arial"/>
          <w:sz w:val="18"/>
          <w:szCs w:val="18"/>
          <w:color w:val="auto"/>
        </w:rPr>
        <w:t>: KSI-301 has been assessed in more than 1,500 injections in more than 400 patients with more than 250</w:t>
      </w:r>
      <w:r>
        <w:rPr>
          <w:rFonts w:ascii="Arial" w:cs="Arial" w:eastAsia="Arial" w:hAnsi="Arial"/>
          <w:sz w:val="18"/>
          <w:szCs w:val="18"/>
          <w:i w:val="1"/>
          <w:iCs w:val="1"/>
          <w:color w:val="auto"/>
        </w:rPr>
        <w:t xml:space="preserve"> </w:t>
      </w:r>
      <w:r>
        <w:rPr>
          <w:rFonts w:ascii="Arial" w:cs="Arial" w:eastAsia="Arial" w:hAnsi="Arial"/>
          <w:sz w:val="18"/>
          <w:szCs w:val="18"/>
          <w:color w:val="auto"/>
        </w:rPr>
        <w:t>patient-years of exposure. With a majority of patients in the Phase 1b clinical study achieving six months or longer between doses in wet AMD and DME and four months or longer between doses in RVO, KSI-301’s clinical durability continues to be supported with maturing data. We remain very pleased with the current clinical profile of KSI-301. Notably, KSI-301 continues to demonstrate a safety profile that is tracking with standard of care anti-VEGF agents. When and if we submit our planned single BLA in wet AMD, DME and RVO, we expect to have safety, efficacy and durability data on KSI-301 treatment in over 1,000 patients in concurrent pivotal studies.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1" w:name="page22"/>
    <w:bookmarkEnd w:id="21"/>
    <w:p>
      <w:pPr>
        <w:ind w:right="240" w:firstLine="510"/>
        <w:spacing w:after="0" w:line="259" w:lineRule="auto"/>
        <w:rPr>
          <w:sz w:val="20"/>
          <w:szCs w:val="20"/>
          <w:color w:val="auto"/>
        </w:rPr>
      </w:pPr>
      <w:r>
        <w:rPr>
          <w:rFonts w:ascii="Arial" w:cs="Arial" w:eastAsia="Arial" w:hAnsi="Arial"/>
          <w:sz w:val="18"/>
          <w:szCs w:val="18"/>
          <w:i w:val="1"/>
          <w:iCs w:val="1"/>
          <w:color w:val="auto"/>
        </w:rPr>
        <w:t>Thoughtfully Designed Pivotal Clinical Trials</w:t>
      </w:r>
      <w:r>
        <w:rPr>
          <w:rFonts w:ascii="Arial" w:cs="Arial" w:eastAsia="Arial" w:hAnsi="Arial"/>
          <w:sz w:val="18"/>
          <w:szCs w:val="18"/>
          <w:color w:val="auto"/>
        </w:rPr>
        <w:t>: The exploratory Phase 1b study was designed to push KSI-301 in terms of dosing intervals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us with a broad view of our product’s clinical profile. The data we are seeing in the Phase 1b study are supportive of our ability to demonstrate a strong clinical profile in registrational studies. We have applied the learnings from the exploratory Phase 1b study to further optimize each of our pivotal study protocols.</w:t>
      </w:r>
    </w:p>
    <w:p>
      <w:pPr>
        <w:spacing w:after="0" w:line="79"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i w:val="1"/>
          <w:iCs w:val="1"/>
          <w:color w:val="auto"/>
        </w:rPr>
        <w:t>Investing with Conviction Commensurate with the Opportunity</w:t>
      </w:r>
      <w:r>
        <w:rPr>
          <w:rFonts w:ascii="Arial" w:cs="Arial" w:eastAsia="Arial" w:hAnsi="Arial"/>
          <w:sz w:val="17"/>
          <w:szCs w:val="17"/>
          <w:color w:val="auto"/>
        </w:rPr>
        <w:t>: There remains a great unmet need among patients receiving anti-VEGF therapies</w:t>
      </w:r>
      <w:r>
        <w:rPr>
          <w:rFonts w:ascii="Arial" w:cs="Arial" w:eastAsia="Arial" w:hAnsi="Arial"/>
          <w:sz w:val="17"/>
          <w:szCs w:val="17"/>
          <w:i w:val="1"/>
          <w:iCs w:val="1"/>
          <w:color w:val="auto"/>
        </w:rPr>
        <w:t xml:space="preserve"> </w:t>
      </w:r>
      <w:r>
        <w:rPr>
          <w:rFonts w:ascii="Arial" w:cs="Arial" w:eastAsia="Arial" w:hAnsi="Arial"/>
          <w:sz w:val="17"/>
          <w:szCs w:val="17"/>
          <w:color w:val="auto"/>
        </w:rPr>
        <w:t>today. Despite the promise of today’s medicines as demonstrated in their registrational clinical trials, visual gains are not maintained. In the real world, patients cannot be treated frequently enough and are over-extended between doses. Under-treatment leads to disease progression and permanent retinal damage, and high-intensity treatment regimens lead to patient and caregiver treatment fatigue and/or abandoning of treatment. A new, better, longer-lasting medicine is required to shift the curve, to reset what has been appropriately called an “epidemic of preventable blindness.”</w:t>
      </w:r>
    </w:p>
    <w:p>
      <w:pPr>
        <w:spacing w:after="0" w:line="6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believe KSI-301 stands the best chance among treatments currently in development to directly address this great need. We have made significant progress with enrollment in our pivotal study in wet AMD (DAZZLE), and we have reached our desired enrollment in the U.S. in the third quarter of 2020. We also initiated pivotal studies in DME (GLEAM and GLIMMER) and RVO (BEACON) in the third quarter of 2020. We are moving forward with the preparations for a study in non-proliferative diabetic retinopathy (GLOW) and are currently assessing the timing of study initiation in light of the impact of COVID-19 on this less acute yet high unmet need indication.</w:t>
      </w:r>
    </w:p>
    <w:p>
      <w:pPr>
        <w:spacing w:after="0" w:line="8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Kodiak remains focused on thoughtful execution of our KSI-301 pivotal program, the requisite manufacturing efforts, the regulatory strategy and the pre-commercial readiness. We continue to build our team, and we are thankful for the positive interest in KSI-301 and our ABC Platform by the retina community. As to manufacturing, in line with our “2022 Vision” which sees us submitting our initial BLA in 2022 and potentially commercializing KSI-301 in 2023, it is our intent to be able to supply millions of doses in Year 1 from our Lonza-Kodiak Ibex Dedicate facility designed from inception with Flex Up capabilities and capacity for double digit millions of doses per year to supply a growing market demand.</w:t>
      </w:r>
    </w:p>
    <w:p>
      <w:pPr>
        <w:spacing w:after="0" w:line="6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i w:val="1"/>
          <w:iCs w:val="1"/>
          <w:color w:val="auto"/>
        </w:rPr>
        <w:t>Poised Commercial Opportunity</w:t>
      </w:r>
      <w:r>
        <w:rPr>
          <w:rFonts w:ascii="Arial" w:cs="Arial" w:eastAsia="Arial" w:hAnsi="Arial"/>
          <w:sz w:val="18"/>
          <w:szCs w:val="18"/>
          <w:color w:val="auto"/>
        </w:rPr>
        <w:t>: We are optimistic for the future care of patients with retinal vascular diseases. The competitive landscape of</w:t>
      </w:r>
      <w:r>
        <w:rPr>
          <w:rFonts w:ascii="Arial" w:cs="Arial" w:eastAsia="Arial" w:hAnsi="Arial"/>
          <w:sz w:val="18"/>
          <w:szCs w:val="18"/>
          <w:i w:val="1"/>
          <w:iCs w:val="1"/>
          <w:color w:val="auto"/>
        </w:rPr>
        <w:t xml:space="preserve"> </w:t>
      </w:r>
      <w:r>
        <w:rPr>
          <w:rFonts w:ascii="Arial" w:cs="Arial" w:eastAsia="Arial" w:hAnsi="Arial"/>
          <w:sz w:val="18"/>
          <w:szCs w:val="18"/>
          <w:color w:val="auto"/>
        </w:rPr>
        <w:t>intravitreally-injected anti-VEGF biologic therapies and therapeutic candidates is clearing, due to the incremental durability of competing molecules, and/or safety challenges that, even if only recently appreciated, have been observed from early in the development of these potential competitors. Adjacent surgical and gene therapy solutions may also face challenges with long-term safety, limited accessibility and the complex economics of surgical implantation.</w:t>
      </w:r>
    </w:p>
    <w:p>
      <w:pPr>
        <w:spacing w:after="0" w:line="8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KSI-301, with its powerful combination of design attributes, has the potential to be a Generation 2.0 anti-VEGF – a first-line anti-VEGF “product for everyone” that may achieve a significant market share.</w:t>
      </w:r>
    </w:p>
    <w:p>
      <w:pPr>
        <w:spacing w:after="0" w:line="62"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As a company, we remain independent. This independence provides us with the flexibility to adapt both R&amp;D and commercial decision-making within the ever-changing domestic and global landscapes. We remain well capitalized and supported by a high-quality group of long-term investors who understand what is needed to build, invest and execute commensurate with the opportunity.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Kodiak’s 2022 Vision and KSI-301 Accelerated Development Strategy</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believe we remain on track to achieve our “2022 Vision” of a single BLA submission and initial FDA approval for KSI-301 in wet AMD, DME and RVO in 2022 with a total of four pivotal trials— two in DME (GLEAM and GLIMMER), one in wet AMD (DAZZLE) and one in RVO (BEACON). We initiated three additional pivotal trials in the third quarter of 2020 – two matched studies in DME to provide the mutually-confirmatory studies required by FDA for initial demonstration of safety and efficacy and one in patients with RVO. We intend to initiate a pivotal study in DR in the first quarter of 2021. These studies, together with our ongoing pivotal study in wet AMD, will be the basis of our intended BLA and supplemental BLA submissions. We currently expect to submit the wet AMD, DME, and RVO indications in a single initial BLA for KSI-301 and the DR indication in a supplemental BLA in the United States.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firstLine="510"/>
        <w:spacing w:after="0" w:line="342" w:lineRule="auto"/>
        <w:rPr>
          <w:sz w:val="20"/>
          <w:szCs w:val="20"/>
          <w:color w:val="auto"/>
        </w:rPr>
      </w:pPr>
      <w:r>
        <w:rPr>
          <w:rFonts w:ascii="Arial" w:cs="Arial" w:eastAsia="Arial" w:hAnsi="Arial"/>
          <w:sz w:val="16"/>
          <w:szCs w:val="16"/>
          <w:color w:val="auto"/>
        </w:rPr>
        <w:t>We continue to invest in our science and our pipeline, including our bispecific ABC product candidate KSI-501 for retinal vascular diseases with a strong inflammatory component and our new triplet ABC product candidate KSI-601 for the high prevalence multifactorial retinal disease dry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27305</wp:posOffset>
            </wp:positionV>
            <wp:extent cx="6163310" cy="3463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Our “2022 Vision” includes the following potential catalysts and milestones in 2020, 2021, 2022 and 2023, along with the important milestones achieved in 2019 and 2020 that support the concurrent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57150</wp:posOffset>
            </wp:positionV>
            <wp:extent cx="6163310" cy="3463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3" w:name="page24"/>
    <w:bookmarkEnd w:id="23"/>
    <w:p>
      <w:pPr>
        <w:ind w:right="200" w:firstLine="510"/>
        <w:spacing w:after="0" w:line="263" w:lineRule="auto"/>
        <w:rPr>
          <w:sz w:val="20"/>
          <w:szCs w:val="20"/>
          <w:color w:val="auto"/>
        </w:rPr>
      </w:pPr>
      <w:r>
        <w:rPr>
          <w:rFonts w:ascii="Arial" w:cs="Arial" w:eastAsia="Arial" w:hAnsi="Arial"/>
          <w:sz w:val="18"/>
          <w:szCs w:val="18"/>
          <w:color w:val="auto"/>
        </w:rPr>
        <w:t>Our “2022 Vision” is built on the following concurrent development strategy. This table incorporates our most recent view of the KSI-301 clinical program and its execution, as described above, and we believe the successful prosecution of this program is achievable based on our currently available information and the evolving effects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Phase 1b Data Continue to Support KSI-301’s Differentiated Profile</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We have continued to make progress with our studies of KSI-301, and the maturing durability data we continue to observe in the Phase 1b study continue to surpass our expectations. We now have 140+ patient-years of clinical experience with KSI-301 in the Phase 1b study.</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overall study duration was originally nine and then 18 months, and we have now extended the treatment and follow-up period to 36 months total, to continue generating long-term outcomes data in advance of the pivotal studies. Outcomes include vision, measured as change in best corrected visual acuity or BCVA using the standard ETDRS testing protocol, and retinal anatomy, which is measured as change in retinal central subfield thickness, or CST, using optical coherence tomography imaging, or OCT. We also obtain other images such as fluorescein angiography, color fundus photos, and OCT angiography.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4" w:name="page25"/>
    <w:bookmarkEnd w:id="24"/>
    <w:p>
      <w:pPr>
        <w:jc w:val="both"/>
        <w:ind w:firstLine="510"/>
        <w:spacing w:after="0" w:line="301" w:lineRule="auto"/>
        <w:rPr>
          <w:sz w:val="20"/>
          <w:szCs w:val="20"/>
          <w:color w:val="auto"/>
        </w:rPr>
      </w:pPr>
      <w:r>
        <w:rPr>
          <w:rFonts w:ascii="Arial" w:cs="Arial" w:eastAsia="Arial" w:hAnsi="Arial"/>
          <w:sz w:val="16"/>
          <w:szCs w:val="16"/>
          <w:color w:val="auto"/>
        </w:rPr>
        <w:t>The figures below present the most recent data on durability and efficacy outcomes from the ongoing Phase 1b study presented at the ASRS 2020 Virtual Annual Meeting, held in July 2020. Across all three diseases under study, improvements in vision and retinal anatomy were observed through 44 weeks of patient follow-up, with stability in OCT and BCVA over time in the monthly follow-up intervals following the three mandatory loading doses. Vision is measured as change in BCVA, on a standardized eye chart, and retinal anatomy is measured as change in retinal CST using OCT imaging.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48895</wp:posOffset>
            </wp:positionV>
            <wp:extent cx="6163310" cy="7003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63310" cy="700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Wet AMD</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data below are from the 31 wet AMD patients who reached the week 44 visit prior to the ASRS meeting data cutoff date of June 9, 2020. Improvements in BCVA and OCT from the initial treatments are noted, as expected for an anti-VEGF. From baseline to week 12, patients gained an average of 6.7 letters off their good starting base of approximately 65 letters and an improvement in OCT CST of 93 microns. In the period between week 12 and week 44, the treatment effect is maintained both in terms of BCVA and OCT with just an average of 1.32 injections per patient, and notably 44% of those treatments were the mandatory every 6-month doses. 58% of the 31 patients received their first retreatment at week 32, six months after the last loading dose. Supporting the extended durability, we see only a very slow fluctuation in the OCT over time, which compares favorably to the OCT fluctuations observed with existing anti-VEGFs given on shorter dosing intervals. The stability in BCVA over this interval is also consistent with the prolonged duration of KSI-301.</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the Phase 1b study, the average retinal thickness or OCT CST data as reported by our clinical investigators includes the height of pigment epithelial detachments or PEDs. PEDs are an anatomic feature in some patients with wet AMD; treatment success in subjects with PEDs does not necessarily imply complete flattening of the PED, but rather eliminating the intraretinal and subretinal fluid, particularly when the PED is very high prior to anti-VEGF treatment. Additionally, comparison across studies of OCT mean CST values is difficult because it is often not clear or not disclosed in presentations and publications whether the data include or exclude the height of the PED, and whether or how the data are corrected for different OCT machine, among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71120</wp:posOffset>
            </wp:positionV>
            <wp:extent cx="6163310" cy="3463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firstLine="510"/>
        <w:spacing w:after="0" w:line="301" w:lineRule="auto"/>
        <w:rPr>
          <w:sz w:val="20"/>
          <w:szCs w:val="20"/>
          <w:color w:val="auto"/>
        </w:rPr>
      </w:pPr>
      <w:r>
        <w:rPr>
          <w:rFonts w:ascii="Arial" w:cs="Arial" w:eastAsia="Arial" w:hAnsi="Arial"/>
          <w:sz w:val="16"/>
          <w:szCs w:val="16"/>
          <w:color w:val="auto"/>
        </w:rPr>
        <w:t>When comparing subjects with and without very high PED at baseline, which we defined as 500 microns or more total CST, the BCVA and OCT CST curves are similar in shape to those of the full cohort. Excluding the high PED patients, the OCT CST values are lower at baseline and over time, and the standard error of the mean (SEM) error bars are narrower. Those four patients with high PEDs thus pull the overall average CST value up. Excluding those four patients, the average retinal center subfield thickness is around 300 microns after initiation of treatment with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48895</wp:posOffset>
            </wp:positionV>
            <wp:extent cx="6163310" cy="3463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8" w:name="page29"/>
    <w:bookmarkEnd w:id="28"/>
    <w:p>
      <w:pPr>
        <w:ind w:firstLine="510"/>
        <w:spacing w:after="0" w:line="257" w:lineRule="auto"/>
        <w:rPr>
          <w:sz w:val="20"/>
          <w:szCs w:val="20"/>
          <w:color w:val="auto"/>
        </w:rPr>
      </w:pPr>
      <w:r>
        <w:rPr>
          <w:rFonts w:ascii="Arial" w:cs="Arial" w:eastAsia="Arial" w:hAnsi="Arial"/>
          <w:sz w:val="18"/>
          <w:szCs w:val="18"/>
          <w:color w:val="auto"/>
        </w:rPr>
        <w:t>Overall, 92% of our wet AMD patients have achieved a time to first retreatment of three months or longer. Of these patients, 82% went four months or longer, and most patients have not received their first retreatment until five to six months after the last loading dose. 49% reached the six-month cap without retreatment after the initial loading doses. Remarkably, 72%, of these wet AMD patients have achieved a six-month treatment interval at least once during follow-up. As this is an anti-VEGF treatment naïve population, there is no pre-selection for “anti-VEGF responders” or patients who might require less frequent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6163310" cy="3463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9" w:name="page30"/>
    <w:bookmarkEnd w:id="29"/>
    <w:p>
      <w:pPr>
        <w:ind w:firstLine="510"/>
        <w:spacing w:after="0" w:line="263" w:lineRule="auto"/>
        <w:rPr>
          <w:sz w:val="20"/>
          <w:szCs w:val="20"/>
          <w:color w:val="auto"/>
        </w:rPr>
      </w:pPr>
      <w:r>
        <w:rPr>
          <w:rFonts w:ascii="Arial" w:cs="Arial" w:eastAsia="Arial" w:hAnsi="Arial"/>
          <w:sz w:val="18"/>
          <w:szCs w:val="18"/>
          <w:color w:val="auto"/>
        </w:rPr>
        <w:t>It is reassuring to see that as the Phase 1b data mature, the vision, OCT and durability outcomes have remained consistent. For example, when comparing the outcomes presented at the Angiogenesis meeting earlier in 2020 versus the data presented in July 2020 at the ASRS virtual meeting, the durability proportions remain stable, as do the visual acuity and OCT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341" w:right="71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Diabetic Macular Edema (DME)</w:t>
      </w:r>
    </w:p>
    <w:p>
      <w:pPr>
        <w:spacing w:after="0" w:line="13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measure KSI-301 efficacy data in treatment naïve DME as change from baseline in BCVA and OCT CST. Below are data from the 18 DME patients who reached the week 44 visit prior to the data cutoff date. These patients had good starting vision, approximately 70 letters. They experienced a visual acuity increase after 3 loading doses and maintained a gain of 6.6 letters with a mean of just 0.61 retreatments. Notably, two thirds of patients never required retreatment during this nine-month follow-up period. Consistent with the extended durability effect of KSI-301, we see again only slight fluctuations in the OCT over time, which compares favorably to the OCT fluctuations observed with existing anti-VEGF agents that are given on shorter dosing intervals.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71120</wp:posOffset>
            </wp:positionV>
            <wp:extent cx="6163310" cy="3463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31" w:name="page32"/>
    <w:bookmarkEnd w:id="31"/>
    <w:p>
      <w:pPr>
        <w:ind w:firstLine="510"/>
        <w:spacing w:after="0" w:line="254" w:lineRule="auto"/>
        <w:rPr>
          <w:sz w:val="20"/>
          <w:szCs w:val="20"/>
          <w:color w:val="auto"/>
        </w:rPr>
      </w:pPr>
      <w:r>
        <w:rPr>
          <w:rFonts w:ascii="Arial" w:cs="Arial" w:eastAsia="Arial" w:hAnsi="Arial"/>
          <w:sz w:val="18"/>
          <w:szCs w:val="18"/>
          <w:color w:val="auto"/>
        </w:rPr>
        <w:t>The swim lane plot for DME durability is shown below. So far, 97% of DME patients have gone three months or longer before their first retreatment; only one patient of 33 required their first retreatment at two months after the loading doses. Of these patients, 76% have gone four months or longer, and 70% five months or longer before their first treatment. Further, 67% have gone six-months or longer – as there is no cap to the treatment interval in the DME cohort. Almost half of the patients, or 45%, have not required retreatment to date, denoted by the purple bars. 79% of patients have achieved a 6-month or longer treatment-free interval at least once during follow-up. Some of these patients have gone for a year without needing any additional treatment. The data set has also remained consistent over time, comparing the follow-up data available at the Angiogenesis meeting earlier in 2020 to the data presented at ASRS.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72390</wp:posOffset>
            </wp:positionV>
            <wp:extent cx="6163310" cy="3463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696595</wp:posOffset>
            </wp:positionH>
            <wp:positionV relativeFrom="page">
              <wp:posOffset>302895</wp:posOffset>
            </wp:positionV>
            <wp:extent cx="6163310" cy="3463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Retinal Vein Occlusion (RVO)</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KSI-301 efficacy in treatment naïve RVO is also measured as change from baseline in BCVA and OCT CST. The 33 RVO patients that completed their week 44 visit began with a lower visual acuity baseline of approximately 55 letters, typical of this disease. After three loading doses, their visual acuity substantially improved, with a 22.4 letter improvement at week 44, which is over four lines of vision gained on the standardized eye chart. The vision gain was maintained with an average of just 1.33 injections, with only a third of patients requiring more than one retreatment in this period. A sustained OCT response with a decrease of 370 microns was also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6163310" cy="3463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sectPr>
      </w:pPr>
    </w:p>
    <w:bookmarkStart w:id="34" w:name="page35"/>
    <w:bookmarkEnd w:id="34"/>
    <w:p>
      <w:pPr>
        <w:ind w:firstLine="510"/>
        <w:spacing w:after="0" w:line="255" w:lineRule="auto"/>
        <w:rPr>
          <w:sz w:val="20"/>
          <w:szCs w:val="20"/>
          <w:color w:val="auto"/>
        </w:rPr>
      </w:pPr>
      <w:r>
        <w:rPr>
          <w:rFonts w:ascii="Arial" w:cs="Arial" w:eastAsia="Arial" w:hAnsi="Arial"/>
          <w:sz w:val="18"/>
          <w:szCs w:val="18"/>
          <w:color w:val="auto"/>
        </w:rPr>
        <w:t>In this swim lane plot of the durability of individual patients with RVO, the disease with arguably the highest VEGF load, the bars in pink and orange now denote retreatment intervals of four months or longer and two months or shorter, respectively. 94% of RVO patients, 31 of the 33 patients, have gone two months or longer before their first retreatment. Only 6% of patients had their first retreatment at one month after the loading doses. 66% had their first retreatment three months or later since the loading doses, and 56% achieved a first interval of four months or longer. Remarkably, given that many RVO patients require monthly therapy for the best results with existing medicines, 81% of patients have achieved a four month or longer interval at least once during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71120</wp:posOffset>
            </wp:positionV>
            <wp:extent cx="6163310" cy="3463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firstLine="510"/>
        <w:spacing w:after="0" w:line="263" w:lineRule="auto"/>
        <w:rPr>
          <w:sz w:val="20"/>
          <w:szCs w:val="20"/>
          <w:color w:val="auto"/>
        </w:rPr>
      </w:pPr>
      <w:r>
        <w:rPr>
          <w:rFonts w:ascii="Arial" w:cs="Arial" w:eastAsia="Arial" w:hAnsi="Arial"/>
          <w:sz w:val="18"/>
          <w:szCs w:val="18"/>
          <w:color w:val="auto"/>
        </w:rPr>
        <w:t>Looking at the recent efficacy and durability data compared to where they stood earlier this year, we see the consistency in the maturing Phase 1b data, both with longer follow-up and more patients. In particular, the OCT and VA outcomes were stable from week 24, presented at Angiogenesis, to week 44, presented at the recent ASRS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Safety of KSI-301 Injections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believe the safety profile of KSI-301 continues to be very encouraging. Now with 622 injections given in the Phase 1a/1b program (as of September 15, 2020), and with patients followed for as long as 22 months, we are continuing to track with the expectations set by the safety profile of the current standard of care intravitreal medicines.</w:t>
      </w:r>
    </w:p>
    <w:p>
      <w:pPr>
        <w:spacing w:after="0" w:line="7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None of the serious adverse events, or SAEs, observed have been reported as or deemed drug-related, and they are typical of the systemic SAEs expected in these patient populations. The ocular SAE of worsening cataract was in a diabetic patient with pre-existing cataract, was not drug-related, and resolved with routine cataract surgery.</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There are only two events (previously described) of intraocular inflammation. The events were mild in nature, both trace to 1+ grade cells in the vitreous, on a standardized scale where 0 is none and 4+ is severe. They resolved completely, and there was no vasculitis or retinitis in either patient. Both patients have done very well with substantial improvements in vision from baseline; each of them had gained 30 letters or 6 lines of vision as of their last visits.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67310</wp:posOffset>
            </wp:positionV>
            <wp:extent cx="6163310" cy="3463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KSI-301 Pivotal Study Designs</w:t>
      </w:r>
    </w:p>
    <w:p>
      <w:pPr>
        <w:spacing w:after="0" w:line="13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pivotal study designs for wet AMD (our ongoing DAZZLE study), DME (our ongoing GLEAM and GLIMMER studies), and RVO (our ongoing BEACON study) have been optimized based on Phase 1b data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57150</wp:posOffset>
            </wp:positionV>
            <wp:extent cx="6163310" cy="3463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449" w:right="91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Wet AMD DAZZLE Study</w:t>
      </w:r>
    </w:p>
    <w:p>
      <w:pPr>
        <w:spacing w:after="0" w:line="13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DAZZLE (NCT04049266) assesses patients with treatment naïve wet AMD and are randomized 1:1 to receive KSI-301 every 12 to 20 weeks or Eylea every 8 weeks, each after 3 monthly loading doses. The determination of treatment interval for the patients assigned to KSI-301 is based on disease activity assessments where both OCT and BCVA are measured and compared against prior data, similar to other recent and ongoing Phase 3 studies in the field. By default, patients are on an every 20 week regimen. If disease activity criteria are met before 20 weeks, that is, 12 or 16 weeks after the last dose, then the treatment interval is correspondingly shortened.</w:t>
      </w:r>
    </w:p>
    <w:p>
      <w:pPr>
        <w:spacing w:after="0" w:line="8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primary endpoint is at one year and is a non-inferiority comparison to Eylea, with a four-letter non-inferiority margin. The one year endpoint is measured as the average of the BCVA change from baseline to weeks 48 and 52. All of the KSI-301 patients are analyzed together as a single group with respect to the primary comparison to Eylea. In the second year of the study, patients whose disease is stable can have their KSI-301 treatment interval extended, and patients originally randomized to Eylea, will be re-randomized 1:1 to either continued Eylea or switched to every eight week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48895</wp:posOffset>
            </wp:positionV>
            <wp:extent cx="6163310" cy="3463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39" w:name="page40"/>
    <w:bookmarkEnd w:id="39"/>
    <w:p>
      <w:pPr>
        <w:ind w:firstLine="510"/>
        <w:spacing w:after="0" w:line="259" w:lineRule="auto"/>
        <w:rPr>
          <w:sz w:val="20"/>
          <w:szCs w:val="20"/>
          <w:color w:val="auto"/>
        </w:rPr>
      </w:pPr>
      <w:r>
        <w:rPr>
          <w:rFonts w:ascii="Arial" w:cs="Arial" w:eastAsia="Arial" w:hAnsi="Arial"/>
          <w:sz w:val="18"/>
          <w:szCs w:val="18"/>
          <w:color w:val="auto"/>
        </w:rPr>
        <w:t>Disease assessment criteria are used to determine whether the treatment interval is 12, 16 or 20 weeks. These criteria are tightened, and subjectivity has been reduced, compared to the retreatment criteria used in the Phase 1b study. The DAZZLE criteria, and the overall approach to dosing regimen determination in DAZZLE, are very similar to other recent Phase 3 programs in wet AMD. The aim is to customize the dose interval per patient, in a way that is feasible in a large, multicenter, double-masked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67310</wp:posOffset>
            </wp:positionV>
            <wp:extent cx="6163310" cy="3463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Diabetic Macular Edema Paired Studies, GLEAM and GLIMMER</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DME, we are conducting two Phase 3 studies in parallel with identical design. In each of the two studies, called GLEAM (NCT04611152) and GLIMMER (NCT04603937), we will randomize 450 treatment-naïve DME patients to either KSI-301 every 8 to 24 weeks after 3 loading doses, or Eylea every 8 weeks after 5 loading doses. The primary endpoint is the change from baseline in BCVA at one year, again the average of the week 48 and 52 visits. The studies are non-inferiority studies with a margin of 4.5 letters.</w:t>
      </w:r>
    </w:p>
    <w:p>
      <w:pPr>
        <w:spacing w:after="0" w:line="7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At each monthly study visit, patients who have been randomized to KSI-301 will undergo a disease activity assessment, using data from both BCVA and OCT measurements. Depending on their disease activity status, the dosing interval can be shortened, lengthened, or maintained at the same interval. This is different from the DAZZLE wet AMD study design where the interval can only be maintained or shortened in the first year. In DME, patients may experience disease modification (improvement in the severity of the underlying retinopathy) that curtails the need for therapy over time, an event that has been seen in many DME patients treated with KSI-301 allowing for the treatment interval to be potentially further prolonged after the first retreatment. The minimum KSI-301 treatment interval in GLEAM and GLIMMER is every eight weeks, and the maximum interval is every 24 weeks 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53340</wp:posOffset>
            </wp:positionV>
            <wp:extent cx="6163310" cy="3463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firstLine="510"/>
        <w:spacing w:after="0" w:line="277" w:lineRule="auto"/>
        <w:rPr>
          <w:sz w:val="20"/>
          <w:szCs w:val="20"/>
          <w:color w:val="auto"/>
        </w:rPr>
      </w:pPr>
      <w:r>
        <w:rPr>
          <w:rFonts w:ascii="Arial" w:cs="Arial" w:eastAsia="Arial" w:hAnsi="Arial"/>
          <w:sz w:val="18"/>
          <w:szCs w:val="18"/>
          <w:color w:val="auto"/>
        </w:rPr>
        <w:t>In the second year of both studies, the same approach is maintained. Eylea will stay on its q8 week regimen, and patients on KSI-301 will continue to be on an 8 to 24 week regimen based on disease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57150</wp:posOffset>
            </wp:positionV>
            <wp:extent cx="6163310" cy="3463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GLEAM and GLIMMER study design was also optimized using learnings from the Phase 1b study results to maintain Phase 1b study population (treatment-naïve DME patients), tighten dosing intervals and disease activity criteria, decrease subjectivity and incorporate high statistical power for non-inferiority (&gt;90%).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42" w:name="page43"/>
    <w:bookmarkEnd w:id="42"/>
    <w:p>
      <w:pPr>
        <w:ind w:firstLine="510"/>
        <w:spacing w:after="0" w:line="259" w:lineRule="auto"/>
        <w:rPr>
          <w:sz w:val="20"/>
          <w:szCs w:val="20"/>
          <w:color w:val="auto"/>
        </w:rPr>
      </w:pPr>
      <w:r>
        <w:rPr>
          <w:rFonts w:ascii="Arial" w:cs="Arial" w:eastAsia="Arial" w:hAnsi="Arial"/>
          <w:sz w:val="18"/>
          <w:szCs w:val="18"/>
          <w:color w:val="auto"/>
        </w:rPr>
        <w:t>To determine the treatment interval for KSI-301 patients, we are employing disease activity assessments and protocol-specified criteria. All patients randomized to KSI-301 are on the longest interval by default. If patients meet any of these disease activity criteria at earlier timepoints, the retreatment interval is shortened. The criteria for shortening the treatment interval are tighter than they are in Phase 1b, and the subjectivity is reduced. Additional anatomic criteria have also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67310</wp:posOffset>
            </wp:positionV>
            <wp:extent cx="6163310" cy="3317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6331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63"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Retinal Vein Occlusion BEACON Study Design</w:t>
      </w:r>
    </w:p>
    <w:p>
      <w:pPr>
        <w:spacing w:after="0" w:line="13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Phase 3 BEACON study (NCT04592419) in patients with RVO is a year-long study in which we will randomize 550 patients with treatment-naïve RVO, either branch or central vein type, to either every 8 week KSI-301 after two loading doses, or to monthly Eylea, for the first six months. The primary endpoint is at six months, with a non-inferiority margin of 4.5 letters.</w:t>
      </w:r>
    </w:p>
    <w:p>
      <w:pPr>
        <w:spacing w:after="0" w:line="76"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In the second six months, patients in both groups will receive treatment on an individualized regimen, again using typical disease activity assessments. This phase of the study will provide a direct, head-to-head comparison of Eylea and KSI-301 on the same criteria-driven regimen. The minimum interval is monthly and there is no upper limit to the retreatment interval in this 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53975</wp:posOffset>
            </wp:positionV>
            <wp:extent cx="6163310" cy="3463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sectPr>
      </w:pPr>
    </w:p>
    <w:bookmarkStart w:id="44" w:name="page45"/>
    <w:bookmarkEnd w:id="44"/>
    <w:p>
      <w:pPr>
        <w:ind w:firstLine="510"/>
        <w:spacing w:after="0" w:line="342" w:lineRule="auto"/>
        <w:rPr>
          <w:sz w:val="20"/>
          <w:szCs w:val="20"/>
          <w:color w:val="auto"/>
        </w:rPr>
      </w:pPr>
      <w:r>
        <w:rPr>
          <w:rFonts w:ascii="Arial" w:cs="Arial" w:eastAsia="Arial" w:hAnsi="Arial"/>
          <w:sz w:val="16"/>
          <w:szCs w:val="16"/>
          <w:color w:val="auto"/>
        </w:rPr>
        <w:t>The BEACON study design was optimized using learnings from the Phase 1b study results to maintain Phase 1b study population (treatment-naïve RVO patients), tighten dosing intervals and disease activity criteria, decrease subjectivity and incorporate high statistical power for non-inferiority (&gt;90%).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27305</wp:posOffset>
            </wp:positionV>
            <wp:extent cx="6163310" cy="3463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5" w:name="page46"/>
    <w:bookmarkEnd w:id="45"/>
    <w:p>
      <w:pPr>
        <w:ind w:firstLine="510"/>
        <w:spacing w:after="0" w:line="263" w:lineRule="auto"/>
        <w:rPr>
          <w:sz w:val="20"/>
          <w:szCs w:val="20"/>
          <w:color w:val="auto"/>
        </w:rPr>
      </w:pPr>
      <w:r>
        <w:rPr>
          <w:rFonts w:ascii="Arial" w:cs="Arial" w:eastAsia="Arial" w:hAnsi="Arial"/>
          <w:sz w:val="18"/>
          <w:szCs w:val="18"/>
          <w:color w:val="auto"/>
        </w:rPr>
        <w:t>Because the first six months of the study are fixed-interval dosing, the disease activity assessment criteria are only used to determine dosing in the second six months of the RVO study. The criteria are similar to our DME studies, and tighter than they are in Phase 1b, with the OCT and BCVA measured against the best previous measurements; subjectivity is also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Overall, we believe that the continued maturation of the safety, efficacy, and durability data of KSI-301, as shown in the Phase 1b study, support our efforts to bring KSI-301 to the market as a ‘Generation 2.0’ anti-VEGF in these retinal diseases and that the data lend confidence to the design of our current and planned pivotal studies of KSI-301. We believe these clinical studies, if successful, may demonstrate a meaningfully differentiated clinical profile of KSI-301 as compared to current therapies,, and we also believe that this profile would allow KSI-301 to compete effectively in the evolving commercial and product landscape.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46" w:name="page47"/>
    <w:bookmarkEnd w:id="46"/>
    <w:p>
      <w:pPr>
        <w:ind w:right="80" w:firstLine="510"/>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high prevalence retinal diseases. We plan to continue to use third-party clinical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are investing in commercial manufacturing capacity. We do not have any products approved for sale and have not generated any product revenue since inception.</w:t>
      </w:r>
    </w:p>
    <w:p>
      <w:pPr>
        <w:spacing w:after="0" w:line="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have funded our operations primarily through equity securities. In October 2018, we completed our initial public offering, or IPO. In December 2019, we completed a follow-on offering. In addition, we entered into a royalty funding agreement and received an initial payment of $100.0 million in February 2020.</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Our net loss was $86.5 million for the nine months ended September 30, 2020. As of September 30, 2020, we had an accumulated deficit of $244.6 million.</w:t>
      </w:r>
    </w:p>
    <w:p>
      <w:pPr>
        <w:spacing w:after="0" w:line="8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RVO, DME or DR without DME or delay our efforts to advance and expand our product pipeline.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we had cash, cash equivalents and marketable securities of $380.5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conduct our Phase 3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6"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the Securities and Exchange Commission, or SEC, investor relations costs and director and officer insurance premiums.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Other income (expense), net consists primarily of accretion income and amortization expense on marketable debt securities net of amortized issuance costs from the liability related to the future sale of royalties to BBA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93"/>
              </w:rPr>
              <w:t>Three Months 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right"/>
              <w:ind w:right="381"/>
              <w:spacing w:after="0"/>
              <w:rPr>
                <w:sz w:val="20"/>
                <w:szCs w:val="20"/>
                <w:color w:val="auto"/>
              </w:rPr>
            </w:pPr>
            <w:r>
              <w:rPr>
                <w:rFonts w:ascii="Arial" w:cs="Arial" w:eastAsia="Arial" w:hAnsi="Arial"/>
                <w:sz w:val="18"/>
                <w:szCs w:val="18"/>
                <w:b w:val="1"/>
                <w:bCs w:val="1"/>
                <w:color w:val="auto"/>
                <w:w w:val="94"/>
              </w:rPr>
              <w:t>Nine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5"/>
          </w:tcPr>
          <w:p>
            <w:pPr>
              <w:jc w:val="right"/>
              <w:ind w:right="501"/>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0"/>
              </w:rPr>
              <w:t>Change</w:t>
            </w: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29,306</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10,115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19,191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24,676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45,357</w:t>
            </w:r>
          </w:p>
        </w:tc>
        <w:tc>
          <w:tcPr>
            <w:tcW w:w="100" w:type="dxa"/>
            <w:vAlign w:val="bottom"/>
          </w:tcPr>
          <w:p>
            <w:pPr>
              <w:spacing w:after="0"/>
              <w:rPr>
                <w:sz w:val="19"/>
                <w:szCs w:val="19"/>
                <w:color w:val="auto"/>
              </w:rPr>
            </w:pPr>
          </w:p>
        </w:tc>
      </w:tr>
      <w:tr>
        <w:trPr>
          <w:trHeight w:val="229"/>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shd w:val="clear" w:color="auto" w:fill="CFF0FC"/>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(89,165)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(56,159)</w:t>
            </w:r>
          </w:p>
        </w:tc>
        <w:tc>
          <w:tcPr>
            <w:tcW w:w="100" w:type="dxa"/>
            <w:vAlign w:val="bottom"/>
          </w:tcPr>
          <w:p>
            <w:pPr>
              <w:spacing w:after="0"/>
              <w:rPr>
                <w:sz w:val="19"/>
                <w:szCs w:val="19"/>
                <w:color w:val="auto"/>
              </w:rPr>
            </w:pPr>
          </w:p>
        </w:tc>
      </w:tr>
      <w:tr>
        <w:trPr>
          <w:trHeight w:val="229"/>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FF0FC"/>
          </w:tcPr>
          <w:p>
            <w:pPr>
              <w:spacing w:after="0"/>
              <w:rPr>
                <w:sz w:val="19"/>
                <w:szCs w:val="19"/>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3"/>
              </w:rPr>
              <w:t>Three Months 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Change</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(1)</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KSI-501 program external expenses </w:t>
            </w:r>
            <w:r>
              <w:rPr>
                <w:rFonts w:ascii="Arial" w:cs="Arial" w:eastAsia="Arial" w:hAnsi="Arial"/>
                <w:sz w:val="15"/>
                <w:szCs w:val="15"/>
                <w:color w:val="auto"/>
              </w:rPr>
              <w:t>(3)</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(4)</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(5)</w:t>
            </w: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12,703</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29,306</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19,191</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45,357</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640" w:hanging="492"/>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and clinical trial costs. These expenses are primarily for services provided by CMOs and CROs.</w:t>
      </w:r>
    </w:p>
    <w:p>
      <w:pPr>
        <w:spacing w:after="0" w:line="1" w:lineRule="exact"/>
        <w:rPr>
          <w:rFonts w:ascii="Arial" w:cs="Arial" w:eastAsia="Arial" w:hAnsi="Arial"/>
          <w:sz w:val="18"/>
          <w:szCs w:val="18"/>
          <w:color w:val="auto"/>
        </w:rPr>
      </w:pPr>
    </w:p>
    <w:p>
      <w:pPr>
        <w:ind w:left="500" w:right="34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KSI-501 program external expenses relates to research and development of KSI-501.</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20" w:lineRule="exact"/>
        <w:rPr>
          <w:rFonts w:ascii="Arial" w:cs="Arial" w:eastAsia="Arial" w:hAnsi="Arial"/>
          <w:sz w:val="17"/>
          <w:szCs w:val="17"/>
          <w:color w:val="auto"/>
        </w:rPr>
      </w:pPr>
    </w:p>
    <w:p>
      <w:pPr>
        <w:ind w:left="500" w:right="260" w:hanging="492"/>
        <w:spacing w:after="0" w:line="323"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60" w:firstLine="510"/>
        <w:spacing w:after="0" w:line="257" w:lineRule="auto"/>
        <w:rPr>
          <w:sz w:val="20"/>
          <w:szCs w:val="20"/>
          <w:color w:val="auto"/>
        </w:rPr>
      </w:pPr>
      <w:r>
        <w:rPr>
          <w:rFonts w:ascii="Arial" w:cs="Arial" w:eastAsia="Arial" w:hAnsi="Arial"/>
          <w:sz w:val="18"/>
          <w:szCs w:val="18"/>
          <w:color w:val="auto"/>
        </w:rPr>
        <w:t>KSI-301 program external expenses increased $9.6 million and $25.9 million during the three and nine months ended September 30, 2020, respectively, as compared to 2019. The increase was primarily due to clinical trial costs to support ongoing trials and planned trials, as well as manufacturing progress for KSI-301. Our pivotal Phase 2b/3 clinical study in wAMD (DAZZLE) dosed the first patient in October 2019, and patient recruitment is expected to complete in the fourth quarter of 2020. We initiated two pivotal Phase 3 clinical studies in DME (GLEAM and GLIMMER) and one pivotal Phase 3 clinical study in RVO (BEACON) in the third quarter of 2020.</w:t>
      </w:r>
    </w:p>
    <w:p>
      <w:pPr>
        <w:spacing w:after="0" w:line="80"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ABC Platform external expenses increased $1.7 million and $3.4 million during the three and nine months ended September 30, 2020, respectively, as compared to 2019. The increase was primarily driven by manufacturing runs to support our product candidate pipeline.</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KSI-501 program external expenses remained relatively constant during the three and nine months ended September 30, 2020, as compared to 2019.</w:t>
      </w:r>
    </w:p>
    <w:p>
      <w:pPr>
        <w:spacing w:after="0" w:line="14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Other research and development expenses increased $2.5 million and $3.5 million during the three and nine months ended September 30, 2020, respectively, as compared to 2019, primarily due to the allocation of lease costs for Palo Alto and Switzerland.</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Payroll and personnel expenses increased $5.2 million and $12.7 million during the three and nine months ended September 30, 2020, respectively, as compared to 2019, due to increased headcount and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40" w:firstLine="510"/>
        <w:spacing w:after="0" w:line="311" w:lineRule="auto"/>
        <w:rPr>
          <w:sz w:val="20"/>
          <w:szCs w:val="20"/>
          <w:color w:val="auto"/>
        </w:rPr>
      </w:pPr>
      <w:r>
        <w:rPr>
          <w:rFonts w:ascii="Arial" w:cs="Arial" w:eastAsia="Arial" w:hAnsi="Arial"/>
          <w:sz w:val="16"/>
          <w:szCs w:val="16"/>
          <w:color w:val="auto"/>
        </w:rPr>
        <w:t>General and administrative expenses increased $4.7 million and $10.8 million during the three and nine months ended September 30, 2020, respectively, as compared to 2019. The increase was primarily driven by increased headcount and stock-based compensation expense as well as professional services related to consulting, legal and accounting, and due to the allocation of lease costs for Palo Alto and Switzerland.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have funded our operations primarily through the sale of equity securities. In addition, we entered into a royalty funding agreement and received an initial payment of $100.0 million in February 2020. As of September 30, 2020, we had cash, cash equivalents and marketable securities of $380.5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We have incurred net losses since our inception. For the nine months ended September 30, 2020, we had net loss of $86.5 million, and we expect to continue to incur additional losses in future periods. As of September 30, 2020, we had an accumulated deficit of $244.6 million.</w:t>
      </w:r>
    </w:p>
    <w:p>
      <w:pPr>
        <w:spacing w:after="0" w:line="3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620" w:right="140" w:hanging="113"/>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620" w:right="700" w:hanging="113"/>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620" w:right="700" w:hanging="113"/>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5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significant uncertainties caused by the evolving effects of the ongoing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4"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7"/>
              </w:rPr>
              <w:t>(in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(56,409)</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(27,853)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(23,715)</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101,096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90,663</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(51,221)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The $28.6 million increase in cash used in operating activities for the nine months ended September 30, 2020 as compared to 2019 was primarily driven by the increase in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$69.7 million increase in cash provided by investing activities for the nine months ended September 30, 2020 as compared to 2019 was driven by the investment of funds from maturities of marketable securities into money market funds during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$100.7 million increase in cash provided by financing activities for the nine months ended September 30, 2020 as compared to 2019 was due to the proceeds from sale of future royalties to BBA and proceeds from stock option exercises.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2019. There have been no material changes in our contractual obligations and commitments since December 31, 2019, except as otherwise described in Note 6 to our unaudited condensed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During the nine months ended September 30, 2020, there were no material changes to our critical accounting policies as reported in our Annual Report on Form 10-K for the year ended December 31, 2019, which was filed with the SEC on March 16, 2020, except as otherwise described in Note 2 to our unaudited condensed consolidated financial statements included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Jumpstart Our Business Startups Act of 2012, or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During the nine months ended September 30, 2020, there were no material changes to our market risk disclosures as reported in our Annual Report on Form 10-K for the year ended December 31, 2019, which was filed with the SEC on March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9"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upon such evaluation, management concluded that the design and operation of our disclosure controls and procedures were effective at a reasonable assurance level as of September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2020, that has materially affected, or is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We are a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have incurred net losses in each reporting period since our inception, including net loss of $86.5 million for the nine months ended September 30, 2020. As of September 30, 2020, we had an accumulated deficit of $244.6 million.</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620" w:right="140" w:hanging="113"/>
        <w:spacing w:after="0" w:line="277"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 including KSI-301;</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620" w:right="40" w:hanging="113"/>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620" w:right="280" w:hanging="113"/>
        <w:spacing w:after="0" w:line="263"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4" w:name="page55"/>
    <w:bookmarkEnd w:id="54"/>
    <w:p>
      <w:pPr>
        <w:ind w:firstLine="510"/>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KSI-301 product candidate.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As of September 30, 2020, we had cash, cash equivalents and marketable securities of $380.5 million. 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53"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will require additional capital for the further development and, if approved, commercialization of our product candidates. Additional capital may not be available when we need it, on terms acceptable to us or at all. For example, the ongoing COVID-19 pandemic has significantly disrupted world financial markets, negatively impacted US market conditions, increased the volatility of trading prices for biopharmaceutical companies, and may reduce opportunities for us to seek out additional funding when needed.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prospects are heavily dependent on our KSI-301 product candidate, which is currently in clinical development for multiple indications.</w:t>
      </w:r>
    </w:p>
    <w:p>
      <w:pPr>
        <w:spacing w:after="0" w:line="12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KSI-301 is our only product candidate currently in clinical trials. It may be years before any registrational type trial is completed, if at all. Further, we cannot be certain that either KSI-301 or any of our product candidates will be successful in clinical trials.</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Our early encouraging preclinical and Phase 1/1b clinical trial results for KSI-301 in the respective indications are not necessarily predictive of the results of our ongoing or future discovery programs or any future preclinical or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8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ind w:right="280" w:firstLine="510"/>
        <w:spacing w:after="0" w:line="279" w:lineRule="auto"/>
        <w:rPr>
          <w:sz w:val="20"/>
          <w:szCs w:val="20"/>
          <w:color w:val="auto"/>
        </w:rPr>
      </w:pPr>
      <w:r>
        <w:rPr>
          <w:rFonts w:ascii="Arial" w:cs="Arial" w:eastAsia="Arial" w:hAnsi="Arial"/>
          <w:sz w:val="17"/>
          <w:szCs w:val="17"/>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17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620" w:right="6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620" w:right="98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620" w:right="34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ind w:right="240" w:firstLine="510"/>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the Center for Drug Evaluation under the China National Medical Products Administration, or CDE,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70" w:lineRule="exact"/>
        <w:rPr>
          <w:sz w:val="20"/>
          <w:szCs w:val="20"/>
          <w:color w:val="auto"/>
        </w:rPr>
      </w:pPr>
    </w:p>
    <w:p>
      <w:pPr>
        <w:ind w:left="620" w:hanging="11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8" w:lineRule="exact"/>
        <w:rPr>
          <w:rFonts w:ascii="Arial" w:cs="Arial" w:eastAsia="Arial" w:hAnsi="Arial"/>
          <w:sz w:val="17"/>
          <w:szCs w:val="17"/>
          <w:color w:val="auto"/>
        </w:rPr>
      </w:pPr>
    </w:p>
    <w:p>
      <w:pPr>
        <w:ind w:left="620" w:right="6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rFonts w:ascii="Arial" w:cs="Arial" w:eastAsia="Arial" w:hAnsi="Arial"/>
          <w:sz w:val="18"/>
          <w:szCs w:val="18"/>
          <w:color w:val="auto"/>
        </w:rPr>
      </w:pPr>
    </w:p>
    <w:p>
      <w:pPr>
        <w:ind w:left="620" w:right="260" w:hanging="11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rFonts w:ascii="Arial" w:cs="Arial" w:eastAsia="Arial" w:hAnsi="Arial"/>
          <w:sz w:val="18"/>
          <w:szCs w:val="18"/>
          <w:color w:val="auto"/>
        </w:rPr>
      </w:pPr>
    </w:p>
    <w:p>
      <w:pPr>
        <w:ind w:left="620" w:right="60" w:hanging="113"/>
        <w:spacing w:after="0" w:line="255"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CDE or any other regulatory authority concerns about risk to patients of the technology broadly; or if the FDA, EMA, CDE or any other regulatory authority finds that the investigational protocol or plan is clearly deficient to meet its stated objectives;</w:t>
      </w:r>
    </w:p>
    <w:p>
      <w:pPr>
        <w:spacing w:after="0" w:line="84"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620" w:right="360" w:hanging="11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CDE or other regulatory guidelines in other countries;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620" w:right="320" w:hanging="11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620" w:right="460" w:hanging="11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CDE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CDE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CDE or other comparable foreign regulatory authorities.</w:t>
      </w:r>
    </w:p>
    <w:p>
      <w:pPr>
        <w:spacing w:after="0" w:line="7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most advanced product candidate, KSI-301,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5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69"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620" w:right="460" w:hanging="113"/>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38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6" w:lineRule="exact"/>
        <w:rPr>
          <w:sz w:val="20"/>
          <w:szCs w:val="20"/>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620" w:right="100" w:hanging="113"/>
        <w:spacing w:after="0" w:line="263"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effects of health epidemics, including the ongoing COVID-19 pandemic and the resulting shelter-in-place, travel or similar restrictions;</w:t>
      </w:r>
    </w:p>
    <w:p>
      <w:pPr>
        <w:spacing w:after="0" w:line="128" w:lineRule="exact"/>
        <w:rPr>
          <w:rFonts w:ascii="Arial" w:cs="Arial" w:eastAsia="Arial" w:hAnsi="Arial"/>
          <w:sz w:val="17"/>
          <w:szCs w:val="17"/>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620" w:right="520" w:hanging="113"/>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53"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20" w:firstLine="510"/>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0"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Regeneron and Novartis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CDE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w:t>
      </w:r>
    </w:p>
    <w:p>
      <w:pPr>
        <w:spacing w:after="0" w:line="6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7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187"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the manufacturing process for any products that we may develop is subject to FDA, EMA, CDE and foreign regulatory authority approval processes and continuous oversight. We will need to contract with manufacturers who can meet all applicable FDA, EMA, CDE and foreign regulatory authority requirements, including complying with current good manufacturing practices, or cGMPs, on an ongoing basis. If we or our third-party manufacturers are unable to reliably produce products to specifications acceptable to the FDA, EMA, CDE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CDE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16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620" w:right="460" w:hanging="113"/>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620" w:right="140" w:hanging="113"/>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620" w:right="180" w:hanging="113"/>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CDE or other regulatory agencies;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left="620" w:right="680" w:hanging="113"/>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CDE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CDE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CDE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time required to obtain approval by the FDA, EMA, CDE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620" w:hanging="113"/>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EMA, CDE or comparable foreign regulatory authorities may disagree with the design, implementation or results of our clinical trials;</w:t>
      </w:r>
    </w:p>
    <w:p>
      <w:pPr>
        <w:spacing w:after="0" w:line="140" w:lineRule="exact"/>
        <w:rPr>
          <w:rFonts w:ascii="Arial" w:cs="Arial" w:eastAsia="Arial" w:hAnsi="Arial"/>
          <w:sz w:val="16"/>
          <w:szCs w:val="16"/>
          <w:color w:val="auto"/>
        </w:rPr>
      </w:pPr>
    </w:p>
    <w:p>
      <w:pPr>
        <w:ind w:left="620" w:right="420" w:hanging="113"/>
        <w:spacing w:after="0" w:line="263"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EMA, CDE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5"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20" w:right="20" w:hanging="113"/>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FDA, EMA, CDE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EMA, CDE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20" w:right="720" w:hanging="113"/>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620" w:right="780" w:hanging="113"/>
        <w:spacing w:after="0" w:line="342"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EMA, CDE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620" w:right="260" w:hanging="113"/>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CDE or comparable foreign regulatory authorities may significantly change in a manner rendering our clinical data insufficient for approval.</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CDE and applicable foreign regulatory authorities may not accept data from such trials.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CDE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CDE or any applicable foreign regulatory authority will accept data from trials conducted outside of the United States or the applicable jurisdiction, including any trials that we may conduct in China. If the FDA, EMA, CDE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6" w:name="page67"/>
    <w:bookmarkEnd w:id="66"/>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CDE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6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400" w:firstLine="510"/>
        <w:spacing w:after="0" w:line="31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1"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CDE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6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CDE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5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Since the ACA’s enactment, there have been, and continue to be, numerous challenges to the ACA. Since January 2017, President Trump has signed several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Further, the 2020 federal spending package permanently eliminated, effective January 1, 2020, the ACA-mandated “Cadillac” tax on high-cost employer-sponsored health coverage and medical device tax and, effective January 1, 2021, also eliminates the health insurer tax. In addition,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60"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ongoing COVID-19 pandemic, suspended the 2% Medicare sequester from May 1, 2020 through December 31, 2020, and extended the sequester by one year, through 2030.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8" w:name="page69"/>
    <w:bookmarkEnd w:id="68"/>
    <w:p>
      <w:pPr>
        <w:ind w:right="14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administration’s budget proposal for fiscal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implementing some of these measures under its existing authority. For example, in May 2019, CMS issued a final rule to allow Medicare Advantage plans the option to use step therapy for Part B drugs beginning January 1, 2020. This final rule codified CMS’s policy change that was effective January 1, 2019. On July 24, 2020, the Trump administration announced four executive orders related to prescription drug pricing that attempt to implement several of the administration’s proposals, including a policy that would tie certain Medicare Part B drug prices to international drug prices, or the “most favored nation price,” the details of which were released on September 13, 2020 and also expanded the policy to cover certain Part D drugs; one that directs HHS to finalize the Canadian drug importation proposed rule previously issued by HHS and makes other changes allowing for personal importation of drugs from Canada; one that directs HHS to finalize the rulemaking process on modifying the anti-kickback law safe harbors for discounts for plans, pharmacies, and pharmaceutical benefit managers; and one that reduces costs of insulin and epipens to patients of federally qualified health centers. The FDA also recently released a final rule, effective November 30, 2020, implementing a portion of the importation executive order providing guidance for states to build and submit importation plans for drugs from Canada.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in response to the ongoing COVID-19 pandemic.</w:t>
      </w:r>
    </w:p>
    <w:p>
      <w:pPr>
        <w:spacing w:after="0" w:line="192"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CDE and other comparable foreign regulatory authorities; provide true, complete and accurate information to the FDA, EMA, CDE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right="40"/>
        <w:spacing w:after="0" w:line="290" w:lineRule="auto"/>
        <w:rPr>
          <w:sz w:val="20"/>
          <w:szCs w:val="20"/>
          <w:color w:val="auto"/>
        </w:rPr>
      </w:pPr>
      <w:r>
        <w:rPr>
          <w:rFonts w:ascii="Arial" w:cs="Arial" w:eastAsia="Arial" w:hAnsi="Arial"/>
          <w:sz w:val="16"/>
          <w:szCs w:val="16"/>
          <w:color w:val="auto"/>
        </w:rPr>
        <w:t>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620" w:right="20" w:hanging="113"/>
        <w:spacing w:after="0" w:line="272"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Arial" w:cs="Arial" w:eastAsia="Arial" w:hAnsi="Arial"/>
          <w:sz w:val="17"/>
          <w:szCs w:val="17"/>
          <w:color w:val="auto"/>
        </w:rPr>
      </w:pPr>
    </w:p>
    <w:p>
      <w:pPr>
        <w:ind w:left="620" w:right="20" w:hanging="113"/>
        <w:spacing w:after="0" w:line="255"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84" w:lineRule="exact"/>
        <w:rPr>
          <w:rFonts w:ascii="Arial" w:cs="Arial" w:eastAsia="Arial" w:hAnsi="Arial"/>
          <w:sz w:val="18"/>
          <w:szCs w:val="18"/>
          <w:color w:val="auto"/>
        </w:rPr>
      </w:pPr>
    </w:p>
    <w:p>
      <w:pPr>
        <w:ind w:left="620" w:right="140" w:hanging="113"/>
        <w:spacing w:after="0" w:line="255"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620" w:hanging="113"/>
        <w:spacing w:after="0" w:line="257"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 without appropriate authorization;</w:t>
      </w:r>
    </w:p>
    <w:p>
      <w:pPr>
        <w:spacing w:after="0" w:line="79" w:lineRule="exact"/>
        <w:rPr>
          <w:rFonts w:ascii="Arial" w:cs="Arial" w:eastAsia="Arial" w:hAnsi="Arial"/>
          <w:sz w:val="18"/>
          <w:szCs w:val="18"/>
          <w:color w:val="auto"/>
        </w:rPr>
      </w:pPr>
    </w:p>
    <w:p>
      <w:pPr>
        <w:ind w:left="620" w:right="60" w:hanging="113"/>
        <w:spacing w:after="0" w:line="257"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as defined by such law, and teaching hospitals, as well as ownership and investment interests held by physicians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left="620" w:right="40" w:hanging="113"/>
        <w:spacing w:after="0" w:line="259"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 and</w:t>
      </w:r>
    </w:p>
    <w:p>
      <w:pPr>
        <w:spacing w:after="0" w:line="78" w:lineRule="exact"/>
        <w:rPr>
          <w:rFonts w:ascii="Arial" w:cs="Arial" w:eastAsia="Arial" w:hAnsi="Arial"/>
          <w:sz w:val="18"/>
          <w:szCs w:val="18"/>
          <w:color w:val="auto"/>
        </w:rPr>
      </w:pPr>
    </w:p>
    <w:p>
      <w:pPr>
        <w:ind w:left="620" w:right="20" w:hanging="113"/>
        <w:spacing w:after="0" w:line="269"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may result in ever-increasing regulatory and public scrutiny and escalating levels of enforcement and sanctions. For example, the European Union General Data Protection Regulation, or GDPR, which became fully effective on May 25, 2018, imposes stringent data protection requirements and provides for penalties for noncompliance of up to the greater of 20 million euros or four percent of worldwide annual revenues. Additionally, California recently enacted legislation, the California Consumer Privacy Act, or CCPA, that, effective January 1, 2020, among other things, requires covered companies to provide new disclosures to California consumers, and afford such consumers new abilities to opt-out of certain sales of personal information. The GDPR, CCPA and many other laws and regulations relating to privacy and data protection are still being tested in courts, and they are subject to new and differing interpretations by courts and regulatory officials. We are working to comply with the GDPR, CCPA and other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right="20" w:firstLine="510"/>
        <w:spacing w:after="0" w:line="267" w:lineRule="auto"/>
        <w:rPr>
          <w:sz w:val="20"/>
          <w:szCs w:val="20"/>
          <w:color w:val="auto"/>
        </w:rPr>
      </w:pPr>
      <w:r>
        <w:rPr>
          <w:rFonts w:ascii="Arial" w:cs="Arial" w:eastAsia="Arial" w:hAnsi="Arial"/>
          <w:sz w:val="17"/>
          <w:szCs w:val="17"/>
          <w:color w:val="auto"/>
        </w:rPr>
        <w:t>European data protection laws, including the GDPR, generally restrict the transfer of personal information from Europe, including the European Economic Area, United Kingdom and Switzerland, to the United States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recently invalidated the EU-U.S. Privacy Shield.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Although we and third party service providers rely primarily on individuals’ explicit consent to transfer certain information from Europe to the United States and other countries, in certain cases we and third parties have relied on the EU-U.S. Privacy Shield and the Standard Contractual Clauses. Authorities in the United Kingdom and Switzerland, whose data protection laws are similar to those of the European Union, may similarly invalidate use of the EU-U.S. Privacy Shield and Swiss-U.S. Privacy Shield, respectively, as mechanisms for lawful personal information transfers from those countries to the United States. As such, if we are unable to rely on explicit consent to transfer individuals’ personal information from Europe, which can be revoked, or implement other valid compliance solutions, we may face increased exposure to fines under European data protection laws as well as injunctions against processing personal information from Europe. Inability to import personal information from the European Economic Area or Switzerland may also impact our operations in the European Economic Area and Switzerland and require us to increase our data processing capabilities in Europe.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8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actual or perceived failure to adequately comply with applicable laws and regulations relating to privacy and data protection, or to protect personal data and other data we process or maintain, could result in regulatory fines, investigations and enforcement actions, penalties and other liabilities, claims for damages by affected individuals, and damage to our reputation, any of which could materially affect our business, financial condition, results of operations and growth prospects.</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580" w:firstLine="510"/>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4" w:name="page75"/>
    <w:bookmarkEnd w:id="74"/>
    <w:p>
      <w:pPr>
        <w:ind w:right="14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620" w:right="140" w:hanging="113"/>
        <w:spacing w:after="0" w:line="263"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5"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620" w:right="78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620" w:right="200" w:hanging="113"/>
        <w:spacing w:after="0" w:line="342"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620" w:right="20" w:hanging="113"/>
        <w:spacing w:after="0" w:line="263"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Arial" w:cs="Arial" w:eastAsia="Arial" w:hAnsi="Arial"/>
          <w:sz w:val="18"/>
          <w:szCs w:val="18"/>
          <w:color w:val="auto"/>
        </w:rPr>
      </w:pPr>
    </w:p>
    <w:p>
      <w:pPr>
        <w:ind w:left="620" w:right="4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20" w:hanging="113"/>
        <w:spacing w:after="0" w:line="263"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620" w:right="18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620" w:right="38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620" w:right="960" w:hanging="113"/>
        <w:spacing w:after="0" w:line="342"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620" w:right="460" w:hanging="113"/>
        <w:spacing w:after="0" w:line="308"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ind w:left="620" w:hanging="113"/>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620" w:right="24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0"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right="80" w:firstLine="510"/>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ind w:right="20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firstLine="510"/>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6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3"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in the United States. The application for registration of the mark “KODIAK SCIENCES” in the United States has been allowed.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a cease and desist letter to one of the companies.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20" w:right="16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620" w:right="6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620" w:right="50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620" w:right="36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620" w:right="140" w:hanging="113"/>
        <w:spacing w:after="0" w:line="308"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620" w:right="2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September 30, 2020, we had 62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620" w:right="840" w:hanging="113"/>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4"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620" w:right="300" w:hanging="113"/>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620" w:right="560" w:hanging="113"/>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620" w:right="400" w:hanging="113"/>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right="240" w:firstLine="510"/>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6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Our network and storage applications and those of our collaborators, CROs and vendors may be subject to unauthorized access by hackers or breached due to operator error, malfeasance or other system disruptions. Additionally, the increased usage of computers operated on home networks due to the shelter-in-place or similar restrictions related to the ongoing COVID-19 pandemic may make our systems and those of our CROs and vendor more susceptible to security breaches.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right="60" w:firstLine="510"/>
        <w:spacing w:after="0" w:line="257"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17" w:lineRule="exact"/>
        <w:rPr>
          <w:rFonts w:ascii="Arial" w:cs="Arial" w:eastAsia="Arial" w:hAnsi="Arial"/>
          <w:sz w:val="18"/>
          <w:szCs w:val="18"/>
          <w:color w:val="auto"/>
        </w:rPr>
      </w:pPr>
    </w:p>
    <w:p>
      <w:pPr>
        <w:ind w:left="620" w:right="800" w:hanging="113"/>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June 2016, the United Kingdom, or UK, held a referendum in which a majority of the eligible members of the electorate voted for the U.K. to leave the EU. The U.K’s withdrawal from the EU is commonly referred to as Brexit. The U.K. and the EU agreed to a withdrawal agreement (the Withdrawal Agreement) pursuant to which the U.K. formally left the EU on January 31, 2020. Under the Withdrawal Agreement, the U.K. is subject to a transition period until December 31, 2020 (the Transition Period), during which EU rules will continue to apply. Negotiations between the U.K. and the European Union are expected to continue in relation to the customs and trading relationship between the U.K. and the European Union following the expiry of the Transition Period. Under the formal withdrawal arrangements between the U.K. and the EU, the parties had until June 30, 2020 to agree to extend the Transition Period if required. No such extension was agreed prior to such date. No agreement has yet been reached between the U.K. and the EU and it may be the case that no formal customs and trading agreement will be reached prior to the expiry of the Transition Period on December 31, 2020. The withdrawal may cause increased economic volatility, affecting our operations and business.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64"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6" w:name="page87"/>
    <w:bookmarkEnd w:id="86"/>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7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business could be materially and adversely affected by health epidemics in regions where we have concentrations of clinical trial sites or other business operations and could cause significant disruption in the operations of third party manufacturers and CROs upon whom we rely. For example, in March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 To date, we have observed minimal disruption resulting from the evolving effects of the COVID-19 pandemic, and we and our key clinical and manufacturing partners have been able to continue to advance our operations. during the pandemic towards achieving our “2022 Vision.”</w:t>
      </w:r>
    </w:p>
    <w:p>
      <w:pPr>
        <w:spacing w:after="0" w:line="70"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and may elect to temporarily close our office and/or laboratory space to protect our employees.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w:t>
      </w:r>
    </w:p>
    <w:p>
      <w:pPr>
        <w:spacing w:after="0" w:line="6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adversely impact our clinical trial operations. Kodiak staff and/or our CRO partners may not be able to travel to study sites, impacting further site initiations.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if these patients are adversely affected by the COVID-19 outbreak. To date, we are seeing low levels of patient missed visits (&lt;5%).</w:t>
      </w:r>
    </w:p>
    <w:p>
      <w:pPr>
        <w:spacing w:after="0" w:line="57"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7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To the extent the COVID-19 pandemic adversely affects our business and results of operations, it may also have the effect of heightening many of the other risks described in this “Risk Factors”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of December 31, 2019, we had federal net operating loss carryforwards, or NOLs, of $31.8 million. A portion of the federal net operating loss carryforwards begins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5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Tax Cuts and Jobs Act (the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after 2019 and before 2023. The new limitations on use of NOLs may significantly impact our ability to utilize our NOLs to offset taxable income in the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17" w:lineRule="exact"/>
        <w:rPr>
          <w:rFonts w:ascii="Arial" w:cs="Arial" w:eastAsia="Arial" w:hAnsi="Arial"/>
          <w:sz w:val="18"/>
          <w:szCs w:val="18"/>
          <w:color w:val="auto"/>
        </w:rPr>
      </w:pPr>
    </w:p>
    <w:p>
      <w:pPr>
        <w:ind w:left="620" w:right="40" w:hanging="113"/>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fluctuations attributable to the ongoing COVID-19 pandemic and other unforeseeable circumstances;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62"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ind w:right="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internal controls, our business, financial position and results of operations could be adversely affected.</w:t>
      </w:r>
    </w:p>
    <w:p>
      <w:pPr>
        <w:spacing w:after="0" w:line="140" w:lineRule="exact"/>
        <w:rPr>
          <w:sz w:val="20"/>
          <w:szCs w:val="20"/>
          <w:color w:val="auto"/>
        </w:rPr>
      </w:pPr>
    </w:p>
    <w:p>
      <w:pPr>
        <w:jc w:val="both"/>
        <w:ind w:right="280" w:firstLine="510"/>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jc w:val="both"/>
        <w:ind w:right="260" w:firstLine="510"/>
        <w:spacing w:after="0" w:line="287"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proceeds from any offering and may not use them effectively.</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received from any offering. Our management may spend a portion or all of the net proceeds from any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any offering in a manner that does not produce income or that loses value.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0" w:name="page91"/>
    <w:bookmarkEnd w:id="90"/>
    <w:p>
      <w:pPr>
        <w:ind w:right="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620" w:hanging="113"/>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620" w:right="300" w:hanging="113"/>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620" w:hanging="11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7900" w:type="dxa"/>
            <w:vAlign w:val="bottom"/>
            <w:gridSpan w:val="13"/>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500"/>
              <w:spacing w:after="0"/>
              <w:rPr>
                <w:sz w:val="20"/>
                <w:szCs w:val="20"/>
                <w:color w:val="auto"/>
              </w:rPr>
            </w:pPr>
            <w:r>
              <w:rPr>
                <w:rFonts w:ascii="Arial" w:cs="Arial" w:eastAsia="Arial" w:hAnsi="Arial"/>
                <w:sz w:val="18"/>
                <w:szCs w:val="18"/>
                <w:i w:val="1"/>
                <w:iCs w:val="1"/>
                <w:color w:val="auto"/>
              </w:rPr>
              <w:t>(a)</w:t>
            </w:r>
          </w:p>
        </w:tc>
        <w:tc>
          <w:tcPr>
            <w:tcW w:w="7060" w:type="dxa"/>
            <w:vAlign w:val="bottom"/>
            <w:gridSpan w:val="12"/>
          </w:tcPr>
          <w:p>
            <w:pPr>
              <w:ind w:left="40"/>
              <w:spacing w:after="0"/>
              <w:rPr>
                <w:sz w:val="20"/>
                <w:szCs w:val="20"/>
                <w:color w:val="auto"/>
              </w:rPr>
            </w:pPr>
            <w:r>
              <w:rPr>
                <w:rFonts w:ascii="Arial" w:cs="Arial" w:eastAsia="Arial" w:hAnsi="Arial"/>
                <w:sz w:val="18"/>
                <w:szCs w:val="18"/>
                <w:i w:val="1"/>
                <w:iCs w:val="1"/>
                <w:color w:val="auto"/>
              </w:rPr>
              <w:t>Exhibits.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3"/>
              </w:rPr>
              <w:t>Incorporated by Reference</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40" w:type="dxa"/>
            <w:vAlign w:val="bottom"/>
          </w:tcPr>
          <w:p>
            <w:pPr>
              <w:ind w:left="1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of Principal Executive Officer Pursuant to Rules 13a-14(a) and 15d-14(a)</w:t>
              </w:r>
            </w:hyperlink>
          </w:p>
        </w:tc>
        <w:tc>
          <w:tcPr>
            <w:tcW w:w="46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0"/>
          </w:tcPr>
          <w:p>
            <w:pPr>
              <w:spacing w:after="0" w:line="19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under the Securities Exchange Act of 1934, as Adopted Pursuant to Section 302 of the</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Sarbanes-Oxley Act of 2002</w:t>
              </w:r>
            </w:hyperlink>
          </w:p>
        </w:tc>
        <w:tc>
          <w:tcPr>
            <w:tcW w:w="5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of Principal Accounting and Financial Officer Pursuant to Rules 13a-14(a)</w:t>
              </w:r>
            </w:hyperlink>
          </w:p>
        </w:tc>
        <w:tc>
          <w:tcPr>
            <w:tcW w:w="3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and 15d-14(a) under the Securities Exchange Act of 1934, as Adopted Pursuant to Section</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302 of the Sarbanes-Oxley Act of 2002</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Certification of Principal Executive Officer Pursuant to 18 U.S.C. Section 1350, as</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tcBorders>
              <w:top w:val="single" w:sz="8" w:color="0000EE"/>
            </w:tcBorders>
            <w:gridSpan w:val="3"/>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Adopted Pursuant to Section 906 of the Sarbanes-Oxley Act of 2002</w:t>
              </w:r>
            </w:hyperlink>
          </w:p>
        </w:tc>
        <w:tc>
          <w:tcPr>
            <w:tcW w:w="740" w:type="dxa"/>
            <w:vAlign w:val="bottom"/>
            <w:gridSpan w:val="7"/>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1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Certification of Principal Accounting and Financial Officer Pursuant to 18 U.S.C. Section</w:t>
              </w:r>
            </w:hyperlink>
          </w:p>
        </w:tc>
        <w:tc>
          <w:tcPr>
            <w:tcW w:w="2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10"/>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1350, as Adopted Pursuant to Section 906 of the Sarbanes-Oxley Act of 2002</w:t>
              </w:r>
            </w:hyperlink>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0" w:right="3780" w:hanging="1192"/>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9512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53" w:lineRule="exact"/>
        <w:rPr>
          <w:sz w:val="20"/>
          <w:szCs w:val="20"/>
          <w:color w:val="auto"/>
        </w:rPr>
      </w:pPr>
    </w:p>
    <w:p>
      <w:pPr>
        <w:ind w:left="500" w:right="200" w:hanging="492"/>
        <w:spacing w:after="0" w:line="301"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Senior Vice President and Chief Financial Officer</w:t>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800"/>
          </w:cols>
          <w:pgMar w:left="320" w:top="337" w:right="7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35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2020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2020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04"/>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2020-11-09T15:58:57Z</dcterms:created>
  <dcterms:modified xsi:type="dcterms:W3CDTF">2020-11-09T15:58:57Z</dcterms:modified>
</cp:coreProperties>
</file>