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od-20231231.htm"/>
      <w:bookmarkStart w:id="1" w:name="kskod20231231"/>
      <w:bookmarkEnd w:id="0"/>
      <w:bookmarkEnd w:id="1"/>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spacing w:before="4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40" w:after="283"/>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spacing w:before="40" w:after="283"/>
        <w:jc w:val="center"/>
        <w:rPr/>
      </w:pPr>
      <w:r>
        <w:rPr/>
        <w:t> </w:t>
      </w:r>
    </w:p>
    <w:p>
      <w:pPr>
        <w:pStyle w:val="TextBody"/>
        <w:bidi w:val="0"/>
        <w:spacing w:before="40" w:after="283"/>
        <w:jc w:val="center"/>
        <w:rPr>
          <w:rFonts w:ascii="Times New Roman" w:hAnsi="Times New Roman"/>
          <w:b/>
          <w:color w:val="000000"/>
          <w:sz w:val="28"/>
        </w:rPr>
      </w:pPr>
      <w:r>
        <w:rPr>
          <w:rFonts w:ascii="Times New Roman" w:hAnsi="Times New Roman"/>
          <w:b/>
          <w:color w:val="000000"/>
          <w:sz w:val="28"/>
        </w:rPr>
        <w:t>FORM 10-K</w:t>
      </w:r>
    </w:p>
    <w:p>
      <w:pPr>
        <w:pStyle w:val="TextBody"/>
        <w:pBdr>
          <w:bottom w:val="single" w:sz="4" w:space="1" w:color="000000"/>
        </w:pBdr>
        <w:bidi w:val="0"/>
        <w:spacing w:before="40" w:after="283"/>
        <w:jc w:val="center"/>
        <w:rPr/>
      </w:pPr>
      <w:r>
        <w:rPr/>
        <w:t> </w:t>
      </w:r>
    </w:p>
    <w:p>
      <w:pPr>
        <w:pStyle w:val="TextBody"/>
        <w:bidi w:val="0"/>
        <w:spacing w:before="4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spacing w:before="40" w:after="283"/>
        <w:jc w:val="left"/>
        <w:rPr/>
      </w:pPr>
      <w:r>
        <w:rPr>
          <w:color w:val="000000"/>
        </w:rPr>
        <w:t xml:space="preserve">☒ </w:t>
      </w:r>
      <w:r>
        <w:rPr>
          <w:rFonts w:ascii="Times New Roman" w:hAnsi="Times New Roman"/>
          <w:b/>
          <w:color w:val="000000"/>
          <w:sz w:val="18"/>
        </w:rPr>
        <w:t>ANNUAL REPORT PURSUANT TO SECTION 13 OR 15(d) OF THE SECURITIES EXCHANGE ACT OF 1934</w:t>
      </w:r>
    </w:p>
    <w:p>
      <w:pPr>
        <w:pStyle w:val="TextBody"/>
        <w:bidi w:val="0"/>
        <w:spacing w:before="40" w:after="283"/>
        <w:jc w:val="center"/>
        <w:rPr>
          <w:rFonts w:ascii="Times New Roman" w:hAnsi="Times New Roman"/>
          <w:sz w:val="20"/>
        </w:rPr>
      </w:pPr>
      <w:r>
        <w:rPr>
          <w:rFonts w:ascii="Times New Roman" w:hAnsi="Times New Roman"/>
          <w:b/>
          <w:color w:val="000000"/>
          <w:sz w:val="16"/>
        </w:rPr>
        <w:t>For the fiscal year ended December 31, 2023</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OR</w:t>
      </w:r>
    </w:p>
    <w:p>
      <w:pPr>
        <w:pStyle w:val="TextBody"/>
        <w:bidi w:val="0"/>
        <w:spacing w:before="40" w:after="283"/>
        <w:jc w:val="left"/>
        <w:rPr/>
      </w:pPr>
      <w:r>
        <w:rPr>
          <w:color w:val="000000"/>
        </w:rPr>
        <w:t xml:space="preserve">☐ </w:t>
      </w:r>
      <w:r>
        <w:rPr>
          <w:rFonts w:ascii="Times New Roman" w:hAnsi="Times New Roman"/>
          <w:b/>
          <w:color w:val="000000"/>
          <w:sz w:val="18"/>
        </w:rPr>
        <w:t>TRANSITION REPORT PURSUANT TO SECTION 13 OR 15(d) OF THE SECURITIES EXCHANGE ACT OF 1934</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For the transition period from __________ to _________</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Commission File Number: 001-38682</w:t>
      </w:r>
    </w:p>
    <w:p>
      <w:pPr>
        <w:pStyle w:val="TextBody"/>
        <w:pBdr>
          <w:bottom w:val="single" w:sz="4" w:space="1" w:color="000000"/>
        </w:pBdr>
        <w:bidi w:val="0"/>
        <w:spacing w:before="40" w:after="283"/>
        <w:jc w:val="center"/>
        <w:rPr/>
      </w:pPr>
      <w:r>
        <w:rPr/>
        <w:t> </w:t>
      </w:r>
    </w:p>
    <w:p>
      <w:pPr>
        <w:pStyle w:val="TextBody"/>
        <w:bidi w:val="0"/>
        <w:spacing w:before="40" w:after="283"/>
        <w:jc w:val="center"/>
        <w:rPr>
          <w:rFonts w:ascii="Times New Roman" w:hAnsi="Times New Roman"/>
          <w:b/>
          <w:color w:val="000000"/>
          <w:sz w:val="42"/>
        </w:rPr>
      </w:pPr>
      <w:r>
        <w:rPr>
          <w:rFonts w:ascii="Times New Roman" w:hAnsi="Times New Roman"/>
          <w:b/>
          <w:color w:val="000000"/>
          <w:sz w:val="42"/>
        </w:rPr>
        <w:t>KODIAK SCIENCES INC.</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spacing w:before="40" w:after="283"/>
        <w:jc w:val="left"/>
        <w:rPr/>
      </w:pPr>
      <w:r>
        <w:rPr/>
        <w:t> </w:t>
      </w:r>
    </w:p>
    <w:tbl>
      <w:tblPr>
        <w:tblW w:w="3823" w:type="dxa"/>
        <w:jc w:val="left"/>
        <w:tblInd w:w="0" w:type="dxa"/>
        <w:tblLayout w:type="fixed"/>
        <w:tblCellMar>
          <w:top w:w="28" w:type="dxa"/>
          <w:left w:w="28" w:type="dxa"/>
          <w:bottom w:w="28" w:type="dxa"/>
          <w:right w:w="28" w:type="dxa"/>
        </w:tblCellMar>
      </w:tblPr>
      <w:tblGrid>
        <w:gridCol w:w="2431"/>
        <w:gridCol w:w="146"/>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vAlign w:val="center"/>
          </w:tcPr>
          <w:p>
            <w:pPr>
              <w:pStyle w:val="TableContents"/>
              <w:bidi w:val="0"/>
              <w:spacing w:before="40" w:after="283"/>
              <w:jc w:val="center"/>
              <w:rPr/>
            </w:pPr>
            <w:r>
              <w:rPr/>
              <w:t> </w:t>
            </w:r>
          </w:p>
        </w:tc>
        <w:tc>
          <w:tcPr>
            <w:tcW w:w="1246" w:type="dxa"/>
            <w:tcBorders/>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27-0476525</w:t>
            </w:r>
          </w:p>
        </w:tc>
      </w:tr>
      <w:tr>
        <w:trPr/>
        <w:tc>
          <w:tcPr>
            <w:tcW w:w="2431" w:type="dxa"/>
            <w:tcBorders/>
            <w:vAlign w:val="center"/>
          </w:tcPr>
          <w:p>
            <w:pPr>
              <w:pStyle w:val="TableContents"/>
              <w:bidi w:val="0"/>
              <w:spacing w:before="40" w:after="283"/>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4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46" w:type="dxa"/>
            <w:tcBorders/>
            <w:vAlign w:val="center"/>
          </w:tcPr>
          <w:p>
            <w:pPr>
              <w:pStyle w:val="TableContents"/>
              <w:bidi w:val="0"/>
              <w:spacing w:before="40" w:after="283"/>
              <w:jc w:val="center"/>
              <w:rPr/>
            </w:pPr>
            <w:r>
              <w:rPr/>
              <w:t> </w:t>
            </w:r>
          </w:p>
        </w:tc>
        <w:tc>
          <w:tcPr>
            <w:tcW w:w="1246" w:type="dxa"/>
            <w:tcBorders/>
            <w:vAlign w:val="center"/>
          </w:tcPr>
          <w:p>
            <w:pPr>
              <w:pStyle w:val="TableContents"/>
              <w:bidi w:val="0"/>
              <w:spacing w:before="40" w:after="283"/>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4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vAlign w:val="center"/>
          </w:tcPr>
          <w:p>
            <w:pPr>
              <w:pStyle w:val="TableContents"/>
              <w:bidi w:val="0"/>
              <w:spacing w:before="40" w:after="15"/>
              <w:jc w:val="center"/>
              <w:rPr>
                <w:rFonts w:ascii="Times New Roman" w:hAnsi="Times New Roman"/>
                <w:b/>
                <w:color w:val="000000"/>
                <w:sz w:val="16"/>
              </w:rPr>
            </w:pPr>
            <w:r>
              <w:rPr>
                <w:rFonts w:ascii="Times New Roman" w:hAnsi="Times New Roman"/>
                <w:b/>
                <w:color w:val="000000"/>
                <w:sz w:val="16"/>
              </w:rPr>
              <w:t>1200 Page Mill Road</w:t>
            </w:r>
          </w:p>
          <w:p>
            <w:pPr>
              <w:pStyle w:val="TableContents"/>
              <w:bidi w:val="0"/>
              <w:spacing w:before="40" w:after="15"/>
              <w:jc w:val="center"/>
              <w:rPr>
                <w:rFonts w:ascii="Times New Roman" w:hAnsi="Times New Roman"/>
                <w:b/>
                <w:color w:val="000000"/>
                <w:sz w:val="16"/>
              </w:rPr>
            </w:pPr>
            <w:r>
              <w:rPr>
                <w:rFonts w:ascii="Times New Roman" w:hAnsi="Times New Roman"/>
                <w:b/>
                <w:color w:val="000000"/>
                <w:sz w:val="16"/>
              </w:rPr>
              <w:t>Palo Alto, CA</w:t>
            </w:r>
          </w:p>
        </w:tc>
        <w:tc>
          <w:tcPr>
            <w:tcW w:w="146" w:type="dxa"/>
            <w:tcBorders/>
            <w:vAlign w:val="center"/>
          </w:tcPr>
          <w:p>
            <w:pPr>
              <w:pStyle w:val="TableContents"/>
              <w:bidi w:val="0"/>
              <w:spacing w:before="40" w:after="283"/>
              <w:jc w:val="center"/>
              <w:rPr/>
            </w:pPr>
            <w:r>
              <w:rPr/>
              <w:t> </w:t>
            </w:r>
          </w:p>
        </w:tc>
        <w:tc>
          <w:tcPr>
            <w:tcW w:w="1246" w:type="dxa"/>
            <w:tcBorders/>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94304</w:t>
            </w:r>
          </w:p>
        </w:tc>
      </w:tr>
      <w:tr>
        <w:trPr/>
        <w:tc>
          <w:tcPr>
            <w:tcW w:w="2431" w:type="dxa"/>
            <w:tcBorders/>
            <w:vAlign w:val="center"/>
          </w:tcPr>
          <w:p>
            <w:pPr>
              <w:pStyle w:val="TableContents"/>
              <w:bidi w:val="0"/>
              <w:spacing w:before="4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46" w:type="dxa"/>
            <w:tcBorders/>
            <w:vAlign w:val="center"/>
          </w:tcPr>
          <w:p>
            <w:pPr>
              <w:pStyle w:val="TableContents"/>
              <w:bidi w:val="0"/>
              <w:spacing w:before="40" w:after="283"/>
              <w:jc w:val="center"/>
              <w:rPr/>
            </w:pPr>
            <w:r>
              <w:rPr/>
              <w:t> </w:t>
            </w:r>
          </w:p>
        </w:tc>
        <w:tc>
          <w:tcPr>
            <w:tcW w:w="1246" w:type="dxa"/>
            <w:tcBorders/>
            <w:vAlign w:val="center"/>
          </w:tcPr>
          <w:p>
            <w:pPr>
              <w:pStyle w:val="TableContents"/>
              <w:bidi w:val="0"/>
              <w:spacing w:before="4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Registrant’s telephone number, including area code: (650) 281-0850</w:t>
      </w:r>
    </w:p>
    <w:p>
      <w:pPr>
        <w:pStyle w:val="TextBody"/>
        <w:bidi w:val="0"/>
        <w:spacing w:before="40" w:after="283"/>
        <w:jc w:val="center"/>
        <w:rPr/>
      </w:pPr>
      <w:r>
        <w:rPr/>
        <w:t> </w:t>
      </w:r>
    </w:p>
    <w:p>
      <w:pPr>
        <w:pStyle w:val="TextBody"/>
        <w:bidi w:val="0"/>
        <w:spacing w:before="40" w:after="283"/>
        <w:jc w:val="left"/>
        <w:rPr>
          <w:rFonts w:ascii="Times New Roman" w:hAnsi="Times New Roman"/>
          <w:b/>
          <w:color w:val="000000"/>
          <w:sz w:val="16"/>
        </w:rPr>
      </w:pPr>
      <w:r>
        <w:rPr>
          <w:rFonts w:ascii="Times New Roman" w:hAnsi="Times New Roman"/>
          <w:b/>
          <w:color w:val="000000"/>
          <w:sz w:val="16"/>
        </w:rPr>
        <w:t>Securities registered pursuant to Section 12(b) of the Act:</w:t>
      </w:r>
    </w:p>
    <w:p>
      <w:pPr>
        <w:pStyle w:val="TextBody"/>
        <w:bidi w:val="0"/>
        <w:jc w:val="left"/>
        <w:rPr/>
      </w:pPr>
      <w:r>
        <w:rPr/>
        <w:t> </w:t>
      </w:r>
    </w:p>
    <w:tbl>
      <w:tblPr>
        <w:tblW w:w="7308" w:type="dxa"/>
        <w:jc w:val="left"/>
        <w:tblInd w:w="0" w:type="dxa"/>
        <w:tblLayout w:type="fixed"/>
        <w:tblCellMar>
          <w:top w:w="28" w:type="dxa"/>
          <w:left w:w="28" w:type="dxa"/>
          <w:bottom w:w="28" w:type="dxa"/>
          <w:right w:w="28" w:type="dxa"/>
        </w:tblCellMar>
      </w:tblPr>
      <w:tblGrid>
        <w:gridCol w:w="2536"/>
        <w:gridCol w:w="1456"/>
        <w:gridCol w:w="3316"/>
      </w:tblGrid>
      <w:tr>
        <w:trPr/>
        <w:tc>
          <w:tcPr>
            <w:tcW w:w="253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53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53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$0.0001</w:t>
            </w:r>
          </w:p>
        </w:tc>
        <w:tc>
          <w:tcPr>
            <w:tcW w:w="145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KOD</w:t>
            </w:r>
          </w:p>
        </w:tc>
        <w:tc>
          <w:tcPr>
            <w:tcW w:w="331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40" w:after="283"/>
        <w:jc w:val="center"/>
        <w:rPr>
          <w:rFonts w:ascii="Times New Roman" w:hAnsi="Times New Roman"/>
          <w:sz w:val="20"/>
        </w:rPr>
      </w:pPr>
      <w:r>
        <w:rPr>
          <w:rFonts w:ascii="Times New Roman" w:hAnsi="Times New Roman"/>
          <w:b/>
          <w:color w:val="000000"/>
          <w:sz w:val="16"/>
        </w:rPr>
        <w:t xml:space="preserve">Securities registered pursuant to Section 12(g) of the Act: </w:t>
      </w:r>
      <w:r>
        <w:rPr>
          <w:rFonts w:ascii="Times New Roman" w:hAnsi="Times New Roman"/>
          <w:color w:val="000000"/>
          <w:sz w:val="16"/>
        </w:rPr>
        <w:t>None</w:t>
      </w:r>
    </w:p>
    <w:p>
      <w:pPr>
        <w:pStyle w:val="TextBody"/>
        <w:pBdr>
          <w:bottom w:val="single" w:sz="4" w:space="1" w:color="000000"/>
        </w:pBdr>
        <w:bidi w:val="0"/>
        <w:spacing w:before="40" w:after="283"/>
        <w:jc w:val="center"/>
        <w:rPr/>
      </w:pPr>
      <w:r>
        <w:rPr/>
        <w:t>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w:t>
      </w:r>
      <w:r>
        <w:rPr>
          <w:rFonts w:ascii="Times New Roman" w:hAnsi="Times New Roman"/>
          <w:color w:val="008000"/>
          <w:sz w:val="20"/>
        </w:rPr>
        <w:t xml:space="preserve"> </w:t>
      </w:r>
      <w:r>
        <w:rPr>
          <w:rFonts w:ascii="Times New Roman" w:hAnsi="Times New Roman"/>
          <w:color w:val="000000"/>
          <w:sz w:val="16"/>
        </w:rPr>
        <w:t>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515" w:type="dxa"/>
        <w:jc w:val="left"/>
        <w:tblInd w:w="0" w:type="dxa"/>
        <w:tblLayout w:type="fixed"/>
        <w:tblCellMar>
          <w:top w:w="28" w:type="dxa"/>
          <w:left w:w="28" w:type="dxa"/>
          <w:bottom w:w="28" w:type="dxa"/>
          <w:right w:w="28" w:type="dxa"/>
        </w:tblCellMar>
      </w:tblPr>
      <w:tblGrid>
        <w:gridCol w:w="1666"/>
        <w:gridCol w:w="316"/>
        <w:gridCol w:w="14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spacing w:before="4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sz w:val="20"/>
        </w:rPr>
      </w:pPr>
      <w:bookmarkStart w:id="2" w:name="dp001"/>
      <w:bookmarkEnd w:id="2"/>
      <w:r>
        <w:rPr>
          <w:rFonts w:ascii="Times New Roman" w:hAnsi="Times New Roman"/>
          <w:color w:val="000000"/>
          <w:sz w:val="16"/>
        </w:rPr>
        <w:t>The aggregate market value of the common stock held by non-affiliates of the registrant, based on the closing price of a share of the registrant’s common stock on June 30, 2023 as reported by the Nasdaq Global Market on such date, was approximately $222.4</w:t>
      </w:r>
      <w:r>
        <w:rPr>
          <w:rFonts w:ascii="Times New Roman" w:hAnsi="Times New Roman"/>
          <w:color w:val="000000"/>
          <w:sz w:val="20"/>
        </w:rPr>
        <w:t xml:space="preserve"> </w:t>
      </w:r>
      <w:r>
        <w:rPr>
          <w:rFonts w:ascii="Times New Roman" w:hAnsi="Times New Roman"/>
          <w:color w:val="000000"/>
          <w:sz w:val="16"/>
        </w:rPr>
        <w:t>million.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pStyle w:val="TextBody"/>
        <w:bidi w:val="0"/>
        <w:spacing w:before="40" w:after="283"/>
        <w:jc w:val="left"/>
        <w:rPr>
          <w:rFonts w:ascii="Times New Roman" w:hAnsi="Times New Roman"/>
          <w:sz w:val="20"/>
        </w:rPr>
      </w:pPr>
      <w:r>
        <w:rPr>
          <w:rFonts w:ascii="Times New Roman" w:hAnsi="Times New Roman"/>
          <w:color w:val="000000"/>
          <w:sz w:val="16"/>
        </w:rPr>
        <w:t>As of February 29, 2024, the registrant had 52,508,602</w:t>
      </w:r>
      <w:r>
        <w:rPr>
          <w:rFonts w:ascii="Times New Roman" w:hAnsi="Times New Roman"/>
          <w:color w:val="000000"/>
          <w:sz w:val="20"/>
        </w:rPr>
        <w:t xml:space="preserve"> </w:t>
      </w:r>
      <w:r>
        <w:rPr>
          <w:rFonts w:ascii="Times New Roman" w:hAnsi="Times New Roman"/>
          <w:color w:val="000000"/>
          <w:sz w:val="16"/>
        </w:rPr>
        <w:t>shares of common stock, $0.0001 par value per share, outstanding.</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Portions of the registrant’s definitive Proxy Statement relating to the 2024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2023.</w:t>
      </w:r>
    </w:p>
    <w:p>
      <w:pPr>
        <w:pStyle w:val="TextBody"/>
        <w:pBdr>
          <w:bottom w:val="double" w:sz="6" w:space="1" w:color="000000"/>
        </w:pBdr>
        <w:bidi w:val="0"/>
        <w:spacing w:before="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Annual Report on Form 10-K for the Fiscal Year Ended December 31,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40"/>
        <w:gridCol w:w="8753"/>
        <w:gridCol w:w="512"/>
      </w:tblGrid>
      <w:tr>
        <w:trPr/>
        <w:tc>
          <w:tcPr>
            <w:tcW w:w="940" w:type="dxa"/>
            <w:tcBorders/>
            <w:vAlign w:val="center"/>
          </w:tcPr>
          <w:p>
            <w:pPr>
              <w:pStyle w:val="TableContents"/>
              <w:bidi w:val="0"/>
              <w:spacing w:before="0" w:after="283"/>
              <w:jc w:val="left"/>
              <w:rPr>
                <w:sz w:val="4"/>
                <w:szCs w:val="4"/>
              </w:rPr>
            </w:pPr>
            <w:r>
              <w:rPr>
                <w:sz w:val="4"/>
                <w:szCs w:val="4"/>
              </w:rPr>
            </w:r>
          </w:p>
        </w:tc>
        <w:tc>
          <w:tcPr>
            <w:tcW w:w="875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940" w:type="dxa"/>
            <w:tcBorders/>
            <w:shd w:fill="FFFFFF" w:val="clear"/>
            <w:vAlign w:val="center"/>
          </w:tcPr>
          <w:p>
            <w:pPr>
              <w:pStyle w:val="TableContents"/>
              <w:bidi w:val="0"/>
              <w:spacing w:before="0" w:after="283"/>
              <w:ind w:left="137" w:right="0" w:firstLine="137"/>
              <w:jc w:val="left"/>
              <w:rPr/>
            </w:pPr>
            <w:r>
              <w:rPr/>
              <w:t> </w:t>
            </w:r>
          </w:p>
        </w:tc>
        <w:tc>
          <w:tcPr>
            <w:tcW w:w="8753" w:type="dxa"/>
            <w:tcBorders/>
            <w:shd w:fill="FFFFFF" w:val="clear"/>
            <w:vAlign w:val="center"/>
          </w:tcPr>
          <w:p>
            <w:pPr>
              <w:pStyle w:val="TableContents"/>
              <w:bidi w:val="0"/>
              <w:spacing w:before="0" w:after="283"/>
              <w:jc w:val="center"/>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40" w:type="dxa"/>
            <w:tcBorders/>
            <w:shd w:fill="FFFFFF" w:val="clear"/>
            <w:vAlign w:val="center"/>
          </w:tcPr>
          <w:p>
            <w:pPr>
              <w:pStyle w:val="TableContents"/>
              <w:bidi w:val="0"/>
              <w:spacing w:before="0" w:after="283"/>
              <w:jc w:val="left"/>
              <w:rPr/>
            </w:pPr>
            <w:r>
              <w:rPr/>
              <w:t> </w:t>
            </w:r>
          </w:p>
        </w:tc>
        <w:tc>
          <w:tcPr>
            <w:tcW w:w="8753" w:type="dxa"/>
            <w:tcBorders/>
            <w:shd w:fill="FFFFFF" w:val="clear"/>
            <w:vAlign w:val="center"/>
          </w:tcPr>
          <w:p>
            <w:pPr>
              <w:pStyle w:val="TableContents"/>
              <w:bidi w:val="0"/>
              <w:spacing w:before="0" w:after="283"/>
              <w:jc w:val="left"/>
              <w:rPr/>
            </w:pPr>
            <w:hyperlink w:anchor="forward_looking_statements">
              <w:r>
                <w:rPr>
                  <w:rStyle w:val="InternetLink"/>
                  <w:rFonts w:ascii="Times New Roman" w:hAnsi="Times New Roman"/>
                  <w:color w:val="0000FF"/>
                  <w:sz w:val="20"/>
                  <w:u w:val="single"/>
                </w:rPr>
                <w:t>Special Note Regarding Forward-Looking Statements</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rPr/>
        <w:tc>
          <w:tcPr>
            <w:tcW w:w="940" w:type="dxa"/>
            <w:tcBorders/>
            <w:shd w:fill="FFFFFF" w:val="clear"/>
            <w:vAlign w:val="center"/>
          </w:tcPr>
          <w:p>
            <w:pPr>
              <w:pStyle w:val="TableContents"/>
              <w:bidi w:val="0"/>
              <w:spacing w:before="0" w:after="283"/>
              <w:jc w:val="left"/>
              <w:rPr/>
            </w:pPr>
            <w:r>
              <w:rPr/>
              <w:t> </w:t>
            </w:r>
          </w:p>
        </w:tc>
        <w:tc>
          <w:tcPr>
            <w:tcW w:w="8753" w:type="dxa"/>
            <w:tcBorders/>
            <w:shd w:fill="FFFFFF" w:val="clear"/>
            <w:vAlign w:val="center"/>
          </w:tcPr>
          <w:p>
            <w:pPr>
              <w:pStyle w:val="TableContents"/>
              <w:bidi w:val="0"/>
              <w:spacing w:before="0" w:after="283"/>
              <w:jc w:val="left"/>
              <w:rPr/>
            </w:pPr>
            <w:hyperlink w:anchor="risk_summary">
              <w:r>
                <w:rPr>
                  <w:rStyle w:val="InternetLink"/>
                  <w:rFonts w:ascii="Times New Roman" w:hAnsi="Times New Roman"/>
                  <w:color w:val="0000FF"/>
                  <w:sz w:val="20"/>
                  <w:u w:val="single"/>
                </w:rPr>
                <w:t>Risk Factor Summary</w:t>
              </w:r>
            </w:hyperlink>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iv</w:t>
            </w:r>
          </w:p>
        </w:tc>
      </w:tr>
      <w:tr>
        <w:trPr/>
        <w:tc>
          <w:tcPr>
            <w:tcW w:w="94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53"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t> </w:t>
            </w:r>
          </w:p>
        </w:tc>
      </w:tr>
      <w:tr>
        <w:trPr/>
        <w:tc>
          <w:tcPr>
            <w:tcW w:w="9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53" w:type="dxa"/>
            <w:tcBorders/>
            <w:shd w:fill="FFFFFF" w:val="cle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753" w:type="dxa"/>
            <w:tcBorders/>
            <w:shd w:fill="FFFFFF" w:val="cle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9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753" w:type="dxa"/>
            <w:tcBorders/>
            <w:shd w:fill="FFFFFF" w:val="cle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9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753" w:type="dxa"/>
            <w:tcBorders/>
            <w:shd w:fill="FFFFFF" w:val="cle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9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2. </w:t>
            </w:r>
          </w:p>
        </w:tc>
        <w:tc>
          <w:tcPr>
            <w:tcW w:w="8753" w:type="dxa"/>
            <w:tcBorders/>
            <w:shd w:fill="FFFFFF" w:val="cle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r>
              <w:rPr>
                <w:rFonts w:ascii="Times New Roman" w:hAnsi="Times New Roman"/>
                <w:color w:val="0000FF"/>
                <w:sz w:val="20"/>
              </w:rPr>
              <w:t xml:space="preserve">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9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53" w:type="dxa"/>
            <w:tcBorders/>
            <w:shd w:fill="FFFFFF" w:val="cle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9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53" w:type="dxa"/>
            <w:tcBorders/>
            <w:shd w:fill="FFFFFF" w:val="cle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r>
              <w:rPr>
                <w:rFonts w:ascii="Times New Roman" w:hAnsi="Times New Roman"/>
                <w:color w:val="0000FF"/>
                <w:sz w:val="20"/>
              </w:rPr>
              <w:t xml:space="preserve">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94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53" w:type="dxa"/>
            <w:tcBorders/>
            <w:shd w:fill="FFFFFF" w:val="clear"/>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9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753" w:type="dxa"/>
            <w:tcBorders/>
            <w:shd w:fill="FFFFFF" w:val="cle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Stockholders Matters and Issuer Purchases of Equity Securities</w:t>
              </w:r>
            </w:hyperlink>
            <w:r>
              <w:rPr>
                <w:rFonts w:ascii="Times New Roman" w:hAnsi="Times New Roman"/>
                <w:color w:val="0000FF"/>
                <w:sz w:val="20"/>
              </w:rPr>
              <w:t xml:space="preserve">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9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753" w:type="dxa"/>
            <w:tcBorders/>
            <w:shd w:fill="FFFFFF" w:val="clear"/>
            <w:vAlign w:val="center"/>
          </w:tcPr>
          <w:p>
            <w:pPr>
              <w:pStyle w:val="TableContents"/>
              <w:bidi w:val="0"/>
              <w:spacing w:before="0" w:after="283"/>
              <w:jc w:val="left"/>
              <w:rPr/>
            </w:pPr>
            <w:hyperlink w:anchor="item_6_selected_consolidated_financial_d">
              <w:r>
                <w:rPr>
                  <w:rStyle w:val="InternetLink"/>
                  <w:rFonts w:ascii="Times New Roman" w:hAnsi="Times New Roman"/>
                  <w:color w:val="0000FF"/>
                  <w:sz w:val="20"/>
                  <w:u w:val="single"/>
                </w:rPr>
                <w:t>Reserved</w:t>
              </w:r>
            </w:hyperlink>
            <w:r>
              <w:rPr>
                <w:rFonts w:ascii="Times New Roman" w:hAnsi="Times New Roman"/>
                <w:color w:val="0000FF"/>
                <w:sz w:val="20"/>
              </w:rPr>
              <w:t xml:space="preserve">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9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753" w:type="dxa"/>
            <w:tcBorders/>
            <w:shd w:fill="FFFFFF" w:val="cle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9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753" w:type="dxa"/>
            <w:tcBorders/>
            <w:shd w:fill="FFFFFF" w:val="cle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r>
        <w:trPr/>
        <w:tc>
          <w:tcPr>
            <w:tcW w:w="9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753" w:type="dxa"/>
            <w:tcBorders/>
            <w:shd w:fill="FFFFFF" w:val="cle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r>
              <w:rPr>
                <w:rFonts w:ascii="Times New Roman" w:hAnsi="Times New Roman"/>
                <w:color w:val="0000FF"/>
                <w:sz w:val="20"/>
              </w:rPr>
              <w:t xml:space="preserve">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r>
        <w:trPr/>
        <w:tc>
          <w:tcPr>
            <w:tcW w:w="9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753" w:type="dxa"/>
            <w:tcBorders/>
            <w:shd w:fill="FFFFFF" w:val="cle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Disclosures</w:t>
              </w:r>
            </w:hyperlink>
            <w:r>
              <w:rPr>
                <w:rFonts w:ascii="Times New Roman" w:hAnsi="Times New Roman"/>
                <w:color w:val="0000FF"/>
                <w:sz w:val="20"/>
              </w:rPr>
              <w:t xml:space="preserve">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r>
      <w:tr>
        <w:trPr/>
        <w:tc>
          <w:tcPr>
            <w:tcW w:w="9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753" w:type="dxa"/>
            <w:tcBorders/>
            <w:shd w:fill="FFFFFF" w:val="cle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r>
      <w:tr>
        <w:trPr/>
        <w:tc>
          <w:tcPr>
            <w:tcW w:w="9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753" w:type="dxa"/>
            <w:tcBorders/>
            <w:shd w:fill="FFFFFF" w:val="cle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r>
              <w:rPr>
                <w:rFonts w:ascii="Times New Roman" w:hAnsi="Times New Roman"/>
                <w:color w:val="0000FF"/>
                <w:sz w:val="20"/>
              </w:rPr>
              <w:t xml:space="preserve">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r>
      <w:tr>
        <w:trPr/>
        <w:tc>
          <w:tcPr>
            <w:tcW w:w="9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753" w:type="dxa"/>
            <w:tcBorders/>
            <w:shd w:fill="FFFFFF" w:val="clear"/>
            <w:vAlign w:val="center"/>
          </w:tcPr>
          <w:p>
            <w:pPr>
              <w:pStyle w:val="TableContents"/>
              <w:bidi w:val="0"/>
              <w:spacing w:before="0" w:after="283"/>
              <w:jc w:val="left"/>
              <w:rPr/>
            </w:pPr>
            <w:hyperlink w:anchor="item_9c_discl_foreign_juris">
              <w:r>
                <w:rPr>
                  <w:rStyle w:val="InternetLink"/>
                  <w:rFonts w:ascii="Times New Roman" w:hAnsi="Times New Roman"/>
                  <w:color w:val="0000FF"/>
                  <w:sz w:val="20"/>
                  <w:u w:val="single"/>
                </w:rPr>
                <w:t>Disclosure Regarding Foreign Jurisdictions that Prevent Inspections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r>
      <w:tr>
        <w:trPr/>
        <w:tc>
          <w:tcPr>
            <w:tcW w:w="94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753" w:type="dxa"/>
            <w:tcBorders/>
            <w:shd w:fill="FFFFFF" w:val="clear"/>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9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753" w:type="dxa"/>
            <w:tcBorders/>
            <w:shd w:fill="FFFFFF" w:val="cle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r>
      <w:tr>
        <w:trPr/>
        <w:tc>
          <w:tcPr>
            <w:tcW w:w="9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753" w:type="dxa"/>
            <w:tcBorders/>
            <w:shd w:fill="FFFFFF" w:val="cle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r>
      <w:tr>
        <w:trPr/>
        <w:tc>
          <w:tcPr>
            <w:tcW w:w="9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753" w:type="dxa"/>
            <w:tcBorders/>
            <w:shd w:fill="FFFFFF" w:val="cle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Stockholders Matters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r>
      <w:tr>
        <w:trPr/>
        <w:tc>
          <w:tcPr>
            <w:tcW w:w="9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753" w:type="dxa"/>
            <w:tcBorders/>
            <w:shd w:fill="FFFFFF" w:val="clear"/>
            <w:vAlign w:val="center"/>
          </w:tcPr>
          <w:p>
            <w:pPr>
              <w:pStyle w:val="TableContents"/>
              <w:bidi w:val="0"/>
              <w:spacing w:before="0" w:after="283"/>
              <w:jc w:val="left"/>
              <w:rPr/>
            </w:pPr>
            <w:hyperlink w:anchor="item_13_certain_relationships_related_pa">
              <w:r>
                <w:rPr>
                  <w:rStyle w:val="InternetLink"/>
                  <w:rFonts w:ascii="Times New Roman" w:hAnsi="Times New Roman"/>
                  <w:color w:val="0000FF"/>
                  <w:sz w:val="20"/>
                  <w:u w:val="single"/>
                </w:rPr>
                <w:t>Certain Relationships and Related Transactions, and Director Independence</w:t>
              </w:r>
            </w:hyperlink>
            <w:r>
              <w:rPr>
                <w:rFonts w:ascii="Times New Roman" w:hAnsi="Times New Roman"/>
                <w:color w:val="0000FF"/>
                <w:sz w:val="20"/>
              </w:rPr>
              <w:t xml:space="preserve">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r>
      <w:tr>
        <w:trPr/>
        <w:tc>
          <w:tcPr>
            <w:tcW w:w="9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14. </w:t>
            </w:r>
          </w:p>
        </w:tc>
        <w:tc>
          <w:tcPr>
            <w:tcW w:w="8753" w:type="dxa"/>
            <w:tcBorders/>
            <w:shd w:fill="FFFFFF" w:val="cle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Principal Accountant Fees and Services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r>
      <w:tr>
        <w:trPr/>
        <w:tc>
          <w:tcPr>
            <w:tcW w:w="94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753" w:type="dxa"/>
            <w:tcBorders/>
            <w:shd w:fill="FFFFFF" w:val="clear"/>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9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15. </w:t>
            </w:r>
          </w:p>
        </w:tc>
        <w:tc>
          <w:tcPr>
            <w:tcW w:w="8753" w:type="dxa"/>
            <w:tcBorders/>
            <w:shd w:fill="FFFFFF" w:val="cle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and Financial Statement Schedules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r>
      <w:tr>
        <w:trPr/>
        <w:tc>
          <w:tcPr>
            <w:tcW w:w="9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16. </w:t>
            </w:r>
          </w:p>
        </w:tc>
        <w:tc>
          <w:tcPr>
            <w:tcW w:w="8753" w:type="dxa"/>
            <w:tcBorders/>
            <w:shd w:fill="FFFFFF" w:val="cle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r>
      <w:tr>
        <w:trPr/>
        <w:tc>
          <w:tcPr>
            <w:tcW w:w="940" w:type="dxa"/>
            <w:tcBorders/>
            <w:shd w:fill="FFFFFF" w:val="clear"/>
            <w:vAlign w:val="center"/>
          </w:tcPr>
          <w:p>
            <w:pPr>
              <w:pStyle w:val="TableContents"/>
              <w:bidi w:val="0"/>
              <w:spacing w:before="0" w:after="283"/>
              <w:jc w:val="left"/>
              <w:rPr/>
            </w:pPr>
            <w:r>
              <w:rPr/>
              <w:t> </w:t>
            </w:r>
          </w:p>
        </w:tc>
        <w:tc>
          <w:tcPr>
            <w:tcW w:w="8753" w:type="dxa"/>
            <w:tcBorders/>
            <w:shd w:fill="FFFFFF" w:val="cle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forward_looking_statements"/>
      <w:bookmarkEnd w:id="3"/>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Annual Report on Form 10-K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“hope”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titled “Risk Factors” and elsewhere in this Annual Report on Form 10-K. Forward-looking statements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cost and timing of our development activities, preclinical studies, clinical trials and regulatory filings;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translation of our preclinical results and data and early clinical trial results in particular relating to safety, efficacy and durability into future clinical trials in humans;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continued durability, efficacy and safety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portfolio of clinical trials planned for submission in our Biologics License Application, or BLA, of tarcocimab tedromer (formerly KSI-301, also known as tarcocimab);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developing any product candidates we have or may develop, and conducting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Lonza’s ability to successfully execute on our manufacturing development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size and design of clinical trials that regulatory authorities may require to obtain marketing approval, including the order and number of clinical studies required to support a BLA in retinal vein occlusion, or RVO, diabetic retinopathy, or DR, and wet age-related macular degeneration, or wet AMD, or any of our current or future product candidates, including the sufficiency of a single additional pivotal study of tarcocimab tedromer and a single BLA for wet AMD, RVO and DR together;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chemistry manufacturing and controls, or CMC, requirements of the United States Food and Drug Administration, or FDA, and other regulatory bodies to support any BLA submission and potential commercial launch;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enhancements and benefits of new formulations of tarcocimab, KSI-501 or other ABC Platform derived molecules;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or likelihood of regulatory filings and approvals, including the potential to achieve FDA approval of any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regulatory approval of our product candidates, and any related restrictions, limitations and/or warnings in the label of any approved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funding for our operations, including funding necessary to develop, manufacture and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competing products or platform technologies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ability to establish sales, marketing and distribution infrastructure to commercialize any product candidates for which we obtain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 as to the concentration of retinal specialists in the United States and its impact on our sales and marketing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enter into manufacturing-related commitments, and the timing thereof;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agreements with third parties in connection with the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growth potential of the markets for our product candidates, if approved for commercial use, and our ability to serve those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regulations and regulatory developments in the United States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potential benefits of strategic collaboration agreements and our ability to attract collaborators with development, regulatory and commercialization expertise;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 candidates and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claims relating to our intellectual property and third-party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contract with third-party suppliers and manufacturers and their ability to perform adequately;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and reimbursement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the unfavorable U.S. and global economic conditions on our business and operations, the business and operations of our collaborators, and on the global economy;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aspirational goals and objectives related to our human capital resources and workforce objectives;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managerial, scientific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our estimates regarding the sufficiency of our cash resources, expenses, future revenue, capital requirements and needs for additional financing;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forward-looking statements are based on information available to us on the date of this Annual Report on Form 10-K and we will not update any of the forward-looking statements after the date of this Annual Report on Form 10-K, except as required by law. Our actual results could differ materially from those discussed in this Annual Report on Form 10-K. The forward-looking statements contained in this Annual Report on Form 10-K,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Part I, Item 1A “Risk Factors” of this Annual Report on Form 10-K.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Annual Report on Form 10-K,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All brand names or trademarks appearing in this Annual Report on Form 10-K are the property of their respective holders. Unless the context requires otherwise, references in this Annual Report on Form 10-K to “Kodiak” the “Company,” “we,” “us,” and “our” refer to Kodiak Sciences Inc. and its subsidiaries.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bookmarkStart w:id="4" w:name="risk_summary"/>
      <w:bookmarkEnd w:id="4"/>
      <w:r>
        <w:rPr>
          <w:rFonts w:ascii="Times New Roman" w:hAnsi="Times New Roman"/>
          <w:b/>
          <w:color w:val="000000"/>
          <w:sz w:val="20"/>
        </w:rPr>
        <w:t>RISK FACTOR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in our common stock involves numerous risks, including the risks described in “Risk Factors” in Part I, Item 1A of this Annual Report on Form 10-K, any one of which could materially adversely affect our business, financial condition, results of operations, and prospects. These risks include, among others,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 the clinical stage of drug development and have a very limited operating history and no products approved for commercial sale, which may make it difficult to evaluate our current business and predict our future success and viability.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net losses in each period since our inception and anticipate that we will continue to incur significant and increasing net losses for the foreseeable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 development is a highly uncertain undertaking and involves a substantial degree of risk. We have never generated any revenue from product sales, and we may never generate revenue or be profitable.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prospects are heavily dependent on our tarcocimab and KSI-501 product candidates, which are currently in clinical development for multiple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pivotal studies of tarcocimab to meet their primary efficacy endpoints may lead us to pause, change or discontinue development of other product candidates based on our ABC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of biopharmaceutical products is inherently risky. We cannot give any assurance that any of our product candidates will receive regulatory, including marketing, approval, which is necessary before they can be commercialized.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 for the development of tarcocimab may be unsuccessful.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encounter substantial delays in our clinical trials, or may not be able to conduct or complete our clinical trials on the timelines we expect,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may fail to demonstrate substantial evidence of the durability, efficacy and safety of our product candidates, which would prevent, delay or limit the scope of regulatory approval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key personnel, and if we are not successful in attracting, motivating and retaining highly qualified personnel, we may not be able to successfully implement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obtain additional financing, we may be unable to complete the development and, if approved, commercialization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 w:name="part_i"/>
      <w:bookmarkEnd w:id="5"/>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bookmarkStart w:id="6" w:name="item_1_business"/>
      <w:bookmarkEnd w:id="6"/>
      <w:r>
        <w:rPr>
          <w:rFonts w:ascii="Times New Roman" w:hAnsi="Times New Roman"/>
          <w:b/>
          <w:color w:val="000000"/>
          <w:sz w:val="20"/>
        </w:rPr>
        <w:t>ITEM 1. BUSINESS</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its founding in 2009, Kodiak Sciences Inc. (“Kodiak,” the “Company,” “we” or “our”) has developed a new technology platform, the Antibody Biopolymer Conjugate (“ABC”) Platform, for retinal medicines. Our goal is to prevent and treat the major causes of blindness by developing and commercializing next-generation therapeutics to address multiple unmet needs on the spectrum of retinal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Kodiak has developed three clinical programs based on its internal discovery and development engine. The lead investigational medicine, tarcocimab tedromer (“KSI-301” or “tarcocimab”), was built from Kodiak’s ABC Platform and has been studied in six pivotal clinical studies across four high prevalence retinal diseases, three of which were successful. The tarcocimab clinical program was designed to target high prevalence retinal diseases that are treated with anti-vascular endothelial growth factor (“anti-VEGF”) therapies and was designed as a package to support a broad product label, which we hope will include the key diseases and the longest dosing intervals among anti-VEGF therapies. Tarcocimab is being developed to become a differentiated, long-interval therapy for use in many patients who may benefit from anti-VEGF therapy.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Kodiak’s second investigational medicine, KSI-501 (formerly KSI-501ABC), is a bispecific antibody biopolymer conjugate targeting the pro-inflammatory cytokine interleukin-6 (IL-6) and VEGF. KSI-501 is built from Kodiak’s ABC Platform and designed to address the underlying inflammatory cascade in addition to vascular permeability in high prevalence retinal diseases. A Phase 1 study was conducted to evaluate KSI-501’s safety, tolerability and bioactivity. Positive results from the Phase 1 study were recently shared. Kodiak expects to advance KSI-501 into pivotal clinical studies in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Kodiak is developing a third investigational medicine, KSI-101 (formerly KSI-501P), an unconjugated bispecific protein targeting IL-6 and VEGF. KSI-101 is being developed for retinal inflammatory conditions, a new market segment separate from the established anti-VEGF market. KSI-101 is a clinical program with opportunities and risks uncoupled from the ABC Platform, and as such is an important part of our portfolio. Kodiak intends to advance KSI-101 into a Phase 1b study in 2024 to evaluate its safety and tolerability and to identify two dose levels to progress into pivotal studies, which are being planned to initiate later in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Beyond its clinical pipeline, Kodiak is progressing its ABC Platform with “duet” and “triplet” programs that embed small molecules and other bioactive molecules in the biopolymer backbone to provide a high drug-antibody ratio (“DAR”). The diverse bioactives are designed to be released over time to achieve sustained inhibition of targeted biological pathways. We believe this unique combination of high DAR and extended therapeutic benefit offers potential for broad and important utility for multifactorial ophthalmic and systemic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advancing our pipeline, we have made important progress in process development and commercial scale manufacturing, including the commissioning and regulatory approval of Ursus, our dedicated commercial-scale drug substance manufacturing facility that was custom-designed and built in collaboration with Lonza. We believe these manufacturing efforts would position Kodiak well for potential market share capture if tarcocimab is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Notably, up to this point, Kodiak has retained all global rights to make, use and sell its product candidates, which we believe preserves future value and allows for agile decision-making.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engaged in these research and development efforts, we believe we have demonstrated a disciplined and creative approach to building and financing the Company. As of December 31, 2023, we had $285.5 million in 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objective is to develop our retina-focused product candidates, seek FDA approval, and ultimately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from these efforts, we believe Kodiak has the potential to achieve our ambition of becoming an important retinal development and commercialization franchise, but recognize that there are substantial risks to realizing this potential.</w:t>
      </w:r>
    </w:p>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Tarcocimab Clinical Program Summary and Update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Kodiak’s lead clinical program tarcocimab is an investigational anti-VEGF therapy built on Kodiak’s ABC Platform and is designed to maintain potent and effective drug levels in ocular tissues for longer than existing available agents. Kodiak’s objective with tarcocimab is to enable earlier treatment and prevention of vision loss for patients with diabetic retinopathy and to develop a new durability agent to improve outcomes for patients with retinal vascular diseases.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tarcocimab has been studied in six pivotal clinical studies: Phase 3 GLOW1 study in non-proliferative diabetic retinopathy (“NPDR”), Phase 3 BEACON study in retinal vein occlusion (“RVO”), Phase 3 DAYLIGHT study in wet age-related macular degeneration (“wet AMD”), Phase 3 GLEAM and GLIMMER studies with identical study design in diabetic macular edema (“DME”), and Phase 2/3 DAZZLE study in wet AMD. Of the six registrational studies, GLOW1, BEACON and DAYLIGHT successfully met the primary endpoint. More information about study design and results from each individual pivotal study are summarized below: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GLOW1 – Phase 3 Study in Patients with Non-Proliferative Diabetic Retinopathy without DME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Phase 3 GLOW1 study was a global, multi-center, randomized pivotal superiority study designed to evaluate the efficacy and safety of tarcocimab in treatment-naïve patients with moderately severe to severe NPDR. Patients were randomized to receive either tarcocimab every six months after initiating doses given at baseline, 8 weeks and 20 weeks into the study, or to receive sham injections. The primary endpoint was at one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6, 2023, Kodiak announced that GLOW1 met its primary endpoint of the proportion of patients with at least a 2-step improvement on the Diabetic Retinopathy Severity Scale (DRSS) score, a grading system measuring the degree of retinopathy. Tarcocimab achieved a 29-fold increased response rate ratio, with 41.1% of evaluable patients on tarcocimab demonstrating at least 2-step improvement versus 1.4% of evaluable patients in the sham group (p less than 0.0001). Visual acuity and retinal anatomy were improved and stable with tarcocimab on its extended-dosing intervals. At one year, GLOW1 also met its key secondary endpoint of greater reductions in the proportion of patients developing sight-threatening complications (such as diabetic macular edema and proliferative diabetic retinopathy), versus sham, demonstrating an 89% decreased risk, achieving 21.0% versus 2.3% (p less than 0.0001). Tarcocimab also showed a 95% risk reduction in the development of DME, versus sham, from 13.7% on sham versus 0.7% on tarcocimab. The rates of serious ocular adverse events and intraocular inflammation in patients treated with tarcocimab and sham were similar.</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BEACON – Phase 3 Study in Patients with Treatment-Naïve Retinal Vein Occlusion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Phase 3 BEACON study was a randomized, double-masked, multicenter, active comparator-controlled study in treatment naïve patients with vision loss and macular edema due to retinal vein occlusion, including both branch ("BRVO") and central ("CRVO") subtypes. In the initial six months of the study, patients received tarcocimab on a fixed every-8-week dosing regimen following 2 monthly loading doses or aflibercept 2mg on a fixed monthly dosing regimen per its label. In the second six months of the study, tarcocimab and aflibercept were tested head-to-head according to a pro re nata (“PRN") protocol in which patients in both groups were treated only when disease reactivated according to matched predefined disease activity criteria.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2022, Kodiak announced that the BEACON study met the primary efficacy endpoint of non-inferior visual acuity change from baseline at week 24 for subjects given tarcocimab every two months after 2 monthly loading doses compared to subjects given monthly aflibercept.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7, 2023, Kodiak announced new one-year results from the BEACON study. Tarcocimab demonstrated matched efficacy with differentiated durability versus aflibercept in the head-to-head comparison. After 4 initiating doses in the first 6 months, 47% of tarcocimab-treated patients required no additional injections in the second 6 months while matching the vision and anatomic outcomes of aflibercept-treated patients. Despite receiving 6 initiating monthly doses, only 37% of aflibercept patients were injection free in the second half of the study. 77% of tarcocimab treated patients received 5 or fewer doses in year one, while 93% of aflibercept treated patients received 6 or more doses. BRVO patients received a median of 4.0 injections on tarcocimab versus 7.0 injections of aflibercept. Despite materially fewer injections in tarcocimab treated patients, vision outcomes favored tarcocimab-treated patients achieving an observed mean of 76.6 letters versus 75.6 letters for aflibercept treated patients. All RVO patients received a median of 5.0 injections on tarcocimab versus 7.0 injections of aflibercept. Despite materially fewer injections in tarcocimab treated patients, vision outcomes favored tarcocimab-treated patients achieving an observed mean of 74.6 letters versus 74.3 letters for aflibercept treated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Safety and tolerability were comparable between tarcocimab and aflibercept. Intraocular inflammation (IOI) rate was comparable between groups (tarcocimab 2.5% vs aflibercept 0.7%). No cases of inflammation associated with vascular occlusion or vasculitis were reported.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DAYLIGHT – Phase 3 Study in Patients with Treatment-Naïve Wet AMD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DAYLIGHT study was a randomized, double-masked, active comparator-controlled study evaluating the efficacy and safety of a high intensity dosing regimen of tarcocimab in 557 treatment-naïve subjects with wet AMD. On July 24, 2023, Kodiak announced that the DAYLIGHT study met the primary endpoint of non-inferior visual acuity gains at year 1 for tarcocimab dosed monthly compared to aflibercept dosed every 8 weeks following 3 monthly loading doses. Intraocular inflammation occurred in 3.3% of patients treated with monthly tarcocimab and 0.4% of patients treated with aflibercept with no vasculitis or occlusion.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GLEAM / GLIMMER – Paired Phase 3 Studies in Patients with Treatment-Naïve Diabetic Macular Edema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GLEAM and GLIMMER studies were identically designed, randomized, double-masked, active comparator-controlled studies evaluating the efficacy, durability and safety of tarcocimab in 460 and 457 treatment-naïve subjects with DME, respectively, run in parallel.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24, 2023, Kodiak announced that although high proportions of patients on meaningfully longer treatment intervals were observed with tarcocimab, with half of patients on every 24-week dosing at the primary endpoint, the GLEAM and GLIMMER studies did not meet their primary efficacy endpoints of showing non-inferior visual acuity gains for tarcocimab dosed every 8 to 24 weeks after 3 monthly loading doses compared to aflibercept given every 8 weeks after 5 monthly loading doses. At the primary efficacy endpoint of the GLEAM study, patients treated with tarcocimab gained an observed average of 6.4 eye chart letters (to 73.1 letters), compared with 10.3 letters for patients treated with aflibercept (to 76.5 letters). In GLIMMER, patients treated with tarcocimab gained an observed average of 7.4 eye chart letters at the primary endpoint (to 72.5 letters) compared with 12.2 letters (to 76.4 letters) for patients treated with aflibercept.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unexpected increase in cataract adverse events was reported over time in the tarcocimab arms of both GLEAM and GLIMMER, with 19% on tarcocimab versus 9% on aflibercept at the primary endpoint based on the pooled safety population. Kodiak’s evaluation suggested that the decline in visual acuity associated with cataracts likely contributed meaningfully to the failure of each study.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Half of tarcocimab treated patients in the GLEAM and GLIMMER studies were on every 24-week dosing at the primary endpoint, two-thirds achieved at least one 6-month dosing interval during the studies, and three-quarters achieved at least one 5-month or longer treatment interval. Intraocular inflammation was rare, occurring in 1.3% and 0.2% of tarcocimab and aflibercept treated patients, respectively. No cases of intraocular inflammation with vasculitis or vascular occlusion were observed.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DAZZLE – Phase 2b/3 Study in Patients with Treatment-Naïve Wet AMD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DAZZLE study was a global, multi-center, randomized pivotal study designed to evaluate the durability, efficacy and safety of tarcocimab in patients with treatment-naïve wet AMD. In February 2022 Kodiak announced that this initial pivotal study did not meet its primary efficacy endpoint of non-inferior visual acuity gains for subjects dosed on extended regimens every 12-, 16- or 20 weeks with tarcocimab compared to subjects given aflibercept every 8 weeks. Following this announcement, Kodiak discontinued the study and concluded remaining trial-associated activities.</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we have three successful Phase 3 studies across three different diseases, an additional successful pivotal study in one of these indications is required for regulatory approval. We believe tarcocimab demonstrated strong and consistent durability of approximately 6 months for the majority of patients and favorable safety across the full pivotal program, and we believe tarcocimab has the potential to become an important medicine for patients and a meaningfully differentiated product in the marketplace. Therefore, we have activated GLOW2, a Phase 3 study in diabetic retinopathy (“DR”). The GLOW2 study has a similar design as GLOW1 with the benefit of an additional, third monthly loading dose (weeks 0, 4 and 8). We discussed the study design with the FDA, and the study is currently recruiting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in light of the importance of wet AMD in today’s anti-VEGF market, we also plan to study tarcocimab as a second investigational arm in the KSI-501 Phase 3 DAYBREAK study to evaluate its durability, strengthen its competitive position in wet AMD and bolster our ex-US regulatory dossier. We are discussing the study design of DAYBREAK with the FDA and plan to initiate the study as soon as regulatory alignment is completed, which we hope is mid-2024.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made adjustments to the tarcocimab product that improve the manufacturability in a prefilled syringe and we believe may also enhance the utility of the product. We believe now is the time to implement these changes given the additional clinical studies we plan to conduct, and the FDA has agreed that these additional clinical studies should be sufficient to bridge the former material to the go-to-market material we would like to commercialize going forward. Both GLOW2 and DAYBREAK will be run using our go-to-market formulation of tarcocimab.</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Antibody Biopolymer Conjugate Drug Substance 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2020, we entered into a manufacturing agreement with Lonza Ltd (“Lonza”) for the clinical and commercial supply of the Company’s antibody biopolymer conjugate drug substance which included a custom-built manufacturing facility. The manufacturing agreement has an initial term of 8 years, and the Company has the right to extend the term up to a total of 16 years. The Company and Lonza each have the ability to terminate this agreement upon the occurrence of certain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2021, the agreement was amended to provide for greater manufacturing flexibility, to define a comprehensive mandate as an antibody biopolymer conjugates manufacturing facility to be used for the Company’s antibody biopolymer conjugates pipeline, at clinical as well as commercial scales, across a broad capacity range under the tight quality controls required for ophthalmology and retinal medicines, and to allow for future process and equipment changes as needed.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agreement, Kodiak and Lonza planned a custom-built facility (“Ursus”) dedicated to the commercial-scale manufacturing of Kodiak’s drug substance. In January 2023, the custom-built manufacturing suite Ursus was commissioned as a cGMP facility. Kodiak worked together with Lonza and regulatory authorities to obtain approval for Ursus, and we released our first commercial scale cGMP batch of tarcocimab in July 2023. In October 2023, Kodiak made a final payment of $26.8 million to Lonza for final activation of Ursus. Separately, tarcocimab drug product based on our go-to-market formulation was released in March 2024 and is ready for use in the GLOW2 and DAYBREAK pivotal studies.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KSI-501 Clinical Program Update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KSI-501 is a first-in-class bispecific molecule designed to inhibit two mechanisms implicated in retinal diseases: vascular endothelial growth factor (“VEGF”) and interleukin-6 (“IL-6”). IL-6 is a pro-inflammatory cytokine and growth factor implicated in the pathophysiology of multiple retinal diseases and, in conditions for which anti-VEGF treatment is used, elevated levels of ocular IL-6 have been associated with poor anti-VEGF treatment response. The bispecific mechanism of action of KSI-501 is designed to provide potent inhibition of (i) VEGF-mediated angiogenesis and vascular permeability through a soluble decoy receptor inhibiting the binding of VEGF-A and PLGF to their cognate receptors and (ii) IL-6 mediated inflammation through an antibody that binds soluble interleukin-6, inhibiting its binding to both soluble and membrane-bound IL-6 receptors. In cell-based assays, KSI-501 inhibited angiogenesis and also normalized inner and outer blood retinal barriers; dual inhibition of VEGF and IL-6 by KSI-501 conferred superior normalization of cell morphology and junctional biology compared to either anti-VEGF or anti-IL-6 monotherapy. We believe KSI-501 has the potential to become a new category of retinal medicines with greater therapeutic efficacy than existing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Kodiak intends to develop KSI-501 as two therapeutic programs in parallel, KSI-501 (formerly KSI-501ABC) and KSI-101 (formerly KSI-501P), to address different unmet needs.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KSI-501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KSI-501 is an anti-IL-6, VEGF-trap bispecific antibody biopolymer conjugate built on the ABC platform and is being developed for high prevalence retinal vascular diseases to address the unmet needs of targeting multiple biologies and extended durability. A Phase 1 trial was conducted to evaluate its safety, tolerability and bioactivity in DME patients. In February 2024, the Phase 1 study results were presented at the Angiogenesis, Exudation, and Degeneration 2024 Virtual Meeting. Kodiak believes the Phase 1 study met its objectives: 1) repeated monthly dosing of KSI-501 was safe and well tolerated; 2) KSI-501 demonstrated bioactivity in both functional (vision) and anatomical (OCT CST) measures.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Kodiak intends to advance KSI-501 into a Phase 3 study DAYBREAK in 2024 to evaluate its efficacy, durability and safety in wet AMD. The DAYBREAK study is intended to be a non-inferiority study evaluating KSI-501 dosed every 4 to 24 weeks, compared to aflibercept dosed per label. The DAYBREAK study will use an enhanced formulation of KSI-501 educated from tarcocimab’s commercial manufacturing scale-up. We are in the process of obtaining regulatory feedback on the study design and intend to initiate the study as soon as regulatory alignment is completed, targeting mid-2024.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KSI-101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KSI-101 is the unconjugated protein portion of KSI-501 and is a novel bispecific protein targeting IL-6 and VEGF. We intend to develop KSI-101 for patients who have retinal fluid and inflammation. Currently there are no available intravitreal biologic therapies addressing the spectrum of inflammatory conditions of the retina. We believe that retinal inflammatory conditions represent a new market segment separate from the established anti-VEGF market. KSI-101 is a clinical prospect with opportunities and risks uncoupled from the ABC Platform, and as such is an important part of our late-phase portfolio. We intend to initiate a dose-finding Phase 1b study in the second quarter of 2024 to evaluate its safety and tolerability and identify two dose levels to progress into pivotal studies. We are currently in the process of obtaining regulatory feedback on the design of the pivotal program, and we hope to initiate dual Phase 2b/3 studies later in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KSI-501 and KSI-101 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been progressing the manufacturing of KSI-501 and KSI-101 in preparation for the anticipated clinical studies. Clinical material for both KSI-501 (50 mg/mL strength in our enhanced formulation) and KSI-101 (100 mg/mL strength) were successfully manufactured in the first quarter of 2024.</w:t>
      </w:r>
    </w:p>
    <w:p>
      <w:pPr>
        <w:pStyle w:val="TextBody"/>
        <w:bidi w:val="0"/>
        <w:spacing w:before="240" w:after="283"/>
        <w:jc w:val="left"/>
        <w:rPr>
          <w:rFonts w:ascii="Times New Roman" w:hAnsi="Times New Roman"/>
          <w:sz w:val="20"/>
        </w:rPr>
      </w:pPr>
      <w:r>
        <w:rPr>
          <w:rFonts w:ascii="Times New Roman" w:hAnsi="Times New Roman"/>
          <w:b/>
          <w:i/>
          <w:color w:val="000000"/>
          <w:sz w:val="20"/>
        </w:rPr>
        <w:t>Technology Platform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continued progressing our technology development with our “duet” and “triplet” inhibitors that embed small molecules and other bioactive molecules in the biopolymer backbone to provide a high drug-antibody ratio ("DAR"). The diverse bioactives are designed to be released over time to achieve sustained inhibition of targeted biological pathways. The biopolymer embedded with its poly-pharmacy payloads is conjugated to a protein therapeutic to form a “triplet” for tissue and cell targeting or omits the protein therapeutic to form a “duet”. We believe this unique combination of high DAR and extended therapeutic benefit offers potential for broad and important utility for multifactorial ophthalmic and systemic diseases.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Digital Health Platform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developing a visual engagement technology and imager (“VETi”) designed by Kodiak engineers initially to be used by eye care professionals for vision and ophthalmic anatomical examination, diagnosis and monitoring. Our longer-term goal with VETi, built with semiconductor technologies, is to deliver a wearable device for long-term health engagement and monitoring.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 Kodiak VETi platform as a medical engagement and imaging platform has the potential to disrupt ophthalmology clinical trials by enabling new trial endpoints, thereby enabling faster and more cost-effective medicines development in ophthalmic disease, an area that historically requires lengthy and expensive trials. VETi may also aid in market build and shaping for undertreated or underdiagnosed diseases, such as diabetic eye diseases where Kodiak’s product candidates tarcocimab and KSI-501 are being studied and where early treatment and prevention may allow patients to achieve better outcomes.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current standard of care for DR (including DME), RVO and wet AMD is intravitreal administration of anti-VEGF monotherapies, principally Avastin, Lucentis and Eylea, which are well-established therapies and are widely accepted by physicians, patients and third-party payors.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newer competitors have received FDA approval in recent years, such as Vabysmo (faricimab) from Roche. Vabysmo is a bispecific antibody targeting VEGF and angiopoietin-2 (Ang-2) and received FDA approval for the treatment of wet AMD and DME in January 2022 and received FDA approval for RVO in October 2023. Vabysmo demonstrated non-inferiority in visual acuity gains to Eylea in wet AMD and DME, with extended dosing of up to once every 16 weeks for slightly less than half of patients in Phase 3 trials. Vabysmo also demonstrated non-inferiority in visual acuity gains to Eylea in Phase 3 studies in RVO with monthly dosing regimen for both therapies. We believe Vabysmo may be perceived to offer incremental benefit in durability over currently established therapies such as Lucentis and Eylea. Vabysmo has been gaining adoption since launch and we believe it will become an important product in the marketplace.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2023, Regeneron’s product, Eylea HD (high dose aflibercept) gained FDA approval for the treatment of wet AMD, DME and DR. High dose aflibercept demonstrated non-inferior visual acuity gains to Eylea in Phase 3 studies in wet AMD and DME while dosing a majority of patients on an every 3 or 4 month interval compared to Eylea dosed every 8 weeks per its label. We believe high dose aflibercept may become an important therapy in the marketplace given Regeneron’s incumbent position in retinal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also other companies and research organizations developing treatments targeting other molecular targets, potential gene therapy treatments, stem cell transplant treatments, medical devices as well as biosimilars for the treatment of DR, RVO and wet AMD. We believe the therapeutic space of retinal diseases may become increasingly competitive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Funding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a funding agreement, we sold a 4.5% capped royalty on global net sales of tarcocimab (and potentially other products) following marketing approval. Currently, the royalty “caps” or terminates upon the payment of a cumulative amount of $450 million, which is equal to 4.5 times the funding amount received by the Company to date under the funding agreement. For a more detailed description of the funding agreement, please refer to Note 15 to our consolidated financial statements included in Part II, Item 8 of this Annual Report on Form 10-K. </w:t>
      </w:r>
    </w:p>
    <w:p>
      <w:pPr>
        <w:pStyle w:val="TextBody"/>
        <w:bidi w:val="0"/>
        <w:spacing w:before="240" w:after="283"/>
        <w:jc w:val="left"/>
        <w:rPr>
          <w:rFonts w:ascii="Times New Roman" w:hAnsi="Times New Roman"/>
          <w:sz w:val="20"/>
        </w:rPr>
      </w:pPr>
      <w:r>
        <w:rPr>
          <w:rFonts w:ascii="Times New Roman" w:hAnsi="Times New Roman"/>
          <w:b/>
          <w:color w:val="000000"/>
          <w:sz w:val="20"/>
        </w:rPr>
        <w:t>Government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drug and biological products. Generally, before a new drug or biologic can be marketed, considerable data demonstrating its quality, safety and efficacy must be obtained, organized into a format specific for each regulatory authority, submitted for review and approved by the regulatory authority.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U.S. Drug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the FDA regulates drugs under the Federal Food, Drug, and Cosmetic Act, or FDCA, and its implementing regulations, and biologics under the FDCA, the Public Health Service Act, or PHSA, and their implementing regulations. Both drugs and biologics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product candidates must be approved by the FDA through either a new drug application, or NDA, or a biologics license application, or BLA, process before they may be legally marketed in the United States. The process generally involves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completion of extensive preclinical studies in accordance with applicable regulations, including studies conducted in accordance with good laboratory practice, or GLP,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submission to the FDA of an IND, which must become effective before human clinical trials may begin;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by an independent institutional review board, or IRB, or ethics committee at each clinical trial site before each trial may be initiated;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of adequate and well-controlled human clinical trials in accordance with applicable IND regulations, good clinical practice, or GCP, requirements and other clinical trial-related regulations to establish the safety and efficacy of the investigational product for each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submission to the FDA of an NDA or BLA;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determination by the FDA within 60 days of its receipt of an NDA or BLA to accept the filing for review;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satisfactory completion of FDA pre-approval inspection of the manufacturing facility or facilities where the drug or biologic will be produced to assess compliance with current good manufacturing practices, or cGMP, requirements to assure that the facilities, methods and controls are adequate to preserve the drug or biologic’s identity, strength, quality and purity;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FDA audit of the preclinical and/or clinical trial sites that generated the data in support of the NDA or BLA;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review and approval of the NDA or BLA, including consideration of the views of any FDA advisory committee, prior to any commercial marketing or sale of the drug or biologic in the United States;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any post-approval requirements, including the potential requirement to implement a Risk Evaluation and Mitigation Strategy, or REMS, and the potential requirement to conduct post-approval studies.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required to support an NDA or BLA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 </w:t>
      </w:r>
    </w:p>
    <w:p>
      <w:pPr>
        <w:pStyle w:val="TextBody"/>
        <w:bidi w:val="0"/>
        <w:spacing w:before="240" w:after="283"/>
        <w:jc w:val="left"/>
        <w:rPr>
          <w:rFonts w:ascii="Times New Roman" w:hAnsi="Times New Roman"/>
          <w:sz w:val="20"/>
        </w:rPr>
      </w:pPr>
      <w:r>
        <w:rPr>
          <w:rFonts w:ascii="Times New Roman" w:hAnsi="Times New Roman"/>
          <w:b/>
          <w:i/>
          <w:color w:val="000000"/>
          <w:sz w:val="20"/>
        </w:rPr>
        <w:t>Preclinical Studies and IND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preclinical developmental stage generally involves laboratory evaluations of drug chemistry, formulation and stability, as well as studies to evaluate toxicity in animals, which support subsequent clinical testing.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 </w:t>
      </w:r>
    </w:p>
    <w:p>
      <w:pPr>
        <w:pStyle w:val="TextBody"/>
        <w:bidi w:val="0"/>
        <w:spacing w:before="240" w:after="283"/>
        <w:jc w:val="left"/>
        <w:rPr>
          <w:rFonts w:ascii="Times New Roman" w:hAnsi="Times New Roman"/>
          <w:sz w:val="20"/>
        </w:rPr>
      </w:pPr>
      <w:r>
        <w:rPr>
          <w:rFonts w:ascii="Times New Roman" w:hAnsi="Times New Roman"/>
          <w:b/>
          <w:i/>
          <w:color w:val="000000"/>
          <w:sz w:val="20"/>
        </w:rPr>
        <w:t>Clinical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or BLA. The FDA will accept a well-designed and well-conducted foreign clinical study not conducted under an IND if the study was conducted in accordance with GCP requirements and the FDA is able to validate the data through an onsite inspection if deemed necessary.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in the United States generally are conducted in three sequential phases, known as Phase 1, Phase 2 and Phase 3, and may overlap.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side effect tolerability and safety of the drug.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 or BLA.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drug, findings from animal or in vitro testing that suggest a significant risk for human subjects and any clinically important increase in the rate of a serious suspected adverse reaction over that listed in the protocol or investigator brochure.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 points based on access to certain data from the trial. 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our product candidates do not undergo unacceptable deterioration over their shelf life. </w:t>
      </w:r>
    </w:p>
    <w:p>
      <w:pPr>
        <w:pStyle w:val="TextBody"/>
        <w:bidi w:val="0"/>
        <w:spacing w:before="240" w:after="283"/>
        <w:jc w:val="left"/>
        <w:rPr>
          <w:rFonts w:ascii="Times New Roman" w:hAnsi="Times New Roman"/>
          <w:sz w:val="20"/>
        </w:rPr>
      </w:pPr>
      <w:r>
        <w:rPr>
          <w:rFonts w:ascii="Times New Roman" w:hAnsi="Times New Roman"/>
          <w:b/>
          <w:i/>
          <w:color w:val="000000"/>
          <w:sz w:val="20"/>
        </w:rPr>
        <w:t>NDA/BLA Review Process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completion of the clinical trials, data are analyzed to assess whether the investigational product is safe and effective for the proposed indicated use or uses. The results of preclinical studies and clinical trials are then submitted to the FDA as part of an NDA or BLA, along with proposed labeling, chemistry and manufacturing information to ensure product quality and other relevant data. In short, the NDA or BLA is a request for approval to market the drug or biologic for one or more specified indications and must contain proof of safety and efficacy for a drug or safety, purity and potency for a biologic.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or BLA must be obtained before a drug or biologic may be marketed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Prescription Drug User Fee Act, or PDUFA, as amended, each NDA or BLA must be accompanied by a user fee. The FDA adjusts the PDUFA user fees on an annual basis. PDUFA also imposes an annual program fee for approved human drugs and biologics.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reviews all submitted NDAs and BLAs before it accepts them for filing, and may request additional information rather than accepting the NDA or BLA for filing. The FDA must make a decision on accepting an NDA or BLA for filing within 60 days of receipt. Once the submission is accepted for filing, the FDA begins an in-depth review of the NDA or BLA. Under the goals and policies agreed to by the FDA under PDUFA, the FDA has ten months, from the filing date, in which to complete its initial review of a new molecular-entity NDA or original BLA and respond to the applicant, and six months from the filing date of a new molecular-entity NDA or original BLA designated for priority review. The FDA does not always meet its PDUFA goal dates for standard and priority NDAs or BLAs, and the review process is often extended by FDA requests for additional information or clarification.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approving an NDA or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or BLA,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or BLA identified by the FDA. The Complete Response Letter may require additional clinical data, additional pivotal Phase 3 clinical trial(s) and/or other significant and time-consuming requirements related to clinical trials, preclinical studies or manufacturing. If a Complete Response Letter is issued, the applicant may either resubmit the NDA or BLA, addressing all of the deficiencies identified in the letter, or withdraw the application. Even if such data and information are submitted, the FDA may decide that the NDA or BLA does not satisfy the criteria for approval. Data obtained from clinical trials are not always conclusive and the FDA may interpret data differently than we interpret the same data. </w:t>
      </w:r>
    </w:p>
    <w:p>
      <w:pPr>
        <w:pStyle w:val="TextBody"/>
        <w:bidi w:val="0"/>
        <w:spacing w:before="240" w:after="283"/>
        <w:jc w:val="left"/>
        <w:rPr>
          <w:rFonts w:ascii="Times New Roman" w:hAnsi="Times New Roman"/>
          <w:sz w:val="20"/>
        </w:rPr>
      </w:pPr>
      <w:r>
        <w:rPr>
          <w:rFonts w:ascii="Times New Roman" w:hAnsi="Times New Roman"/>
          <w:b/>
          <w:i/>
          <w:color w:val="000000"/>
          <w:sz w:val="20"/>
        </w:rPr>
        <w:t>Expedited Development and Review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has a fast track program that is intended to expedite or facilitate the process for reviewing new drugs and biologics that meet certain criteria. Specifically, new drugs and biologics are eligible for fast track designation if they are intended to treat a serious or life 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 track status any time before receiving NDA or BLA approval, but ideally no later than the pre-NDA or pre-BLA meeting.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may require that a sponsor of a drug or biologic receiving accelerated approval perform adequate and well-controlled post-marketing clinical trials. If the FDA concludes that a drug or biologic shown to be effective can be safely used only if distribution or use is restricted, it may require such post-marketing restrictions, as it deems necessary to assure safe use of the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a drug or biologic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 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 </w:t>
      </w:r>
    </w:p>
    <w:p>
      <w:pPr>
        <w:pStyle w:val="TextBody"/>
        <w:bidi w:val="0"/>
        <w:spacing w:before="240" w:after="283"/>
        <w:jc w:val="left"/>
        <w:rPr>
          <w:rFonts w:ascii="Times New Roman" w:hAnsi="Times New Roman"/>
          <w:sz w:val="20"/>
        </w:rPr>
      </w:pPr>
      <w:r>
        <w:rPr>
          <w:rFonts w:ascii="Times New Roman" w:hAnsi="Times New Roman"/>
          <w:b/>
          <w:i/>
          <w:color w:val="000000"/>
          <w:sz w:val="20"/>
        </w:rPr>
        <w:t>Abbreviated Licensure Pathway of Biological Products as Biosimilar or Interchangeable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Biologics Price Competition and Innovation Act of 2009, or BPCIA, created an abbreviated approval pathway for biological products shown to be highly similar to an FDA-licensed reference biological product. An application for licensure of a biosimilar product must include information demonstrating biosimilarity based upon the following, unless the FDA determines otherwise: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analytical studies demonstrating that the proposed biosimilar product is highly similar to the approved product notwithstanding minor differences in clinically inactive components;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animal studies (including the assessment of toxicity);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clinical study or studies (including the assessment of immunogenicity and pharmacokinetics or pharmacodynamics) sufficient to demonstrate safety, purity and potency in one or more conditions for which the reference product is licensed and intended to be used.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an application must include information demonstrating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proposed biosimilar product and reference product utilize the same mechanism of action for the condition(s) of use prescribed, recommended, or suggested in the proposed labeling, but only to the extent the mechanism(s) of action are known for the reference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condition or conditions of use prescribed, recommended, or suggested in the labeling for the proposed biosimilar product have been previously approved for the reference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route of administration, the dosage form, and the strength of the proposed biosimilar product are the same as those for the reference product;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facility in which the biological product is manufactured, processed, packed or held meets standards designed to assure that the biological product continues to be safe, pure, and potent.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Biosimilarity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the law provides for a designation of “interchangeability” between the reference and biosimilar products, whereby the biosimilar may be substituted for the reference product without the intervention of the health care provider who prescribed the reference product. The higher standard of interchangeability must be demonstrated by information sufficient to show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proposed product is biosimilar to the reference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proposed product is expected to produce the same clinical result as the reference product in any given patient;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approval is required before a biosimilar may be marketed in the United States. In addition, as with BLAs, biosimilar product applications will not be approved unless the product is manufactured in facilities designed to assure and preserve the biological product’s safety, purity and potency.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 The FDA cannot approve a biosimilar application for twelve years from the date of first licensure of the reference product. Additionally, a biosimilar product sponsor may not submit an application for four years from the date of first licensure of the reference product. A reference product may also be entitled to exclusivity under other statutory provisions. For example, a reference product designated for a rare disease or condition (an “orphan drug”) may be entitled to seven years of exclusivity, in which case no product that is biosimilar to the reference product may be approved until either the end of the twelve-year period provided under the biosimilarity statute or the end of the seven-year orphan drug exclusivity period, whichever occurs later. In certain circumstances, a regulatory exclusivity period can extend beyond the life of a patent, and thus block biosimilarity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Post-Approval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approval of a new product, the manufacturer and the approved product are subject to continuing regulation by the FDA, including, among other things, monitoring and record-keeping requirements, requirements to report adverse experiences, and comply with promotion and advertising requirements, which include restrictions on promoting drugs for unapproved uses or patient populations (known as “off-label use”)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or biologic, including changes in indications, labeling or manufacturing processes or facilities, the applicant may be required to submit and obtain FDA approval of a new NDA/BLA or NDA/BLA supplement, which may require the development of additional data or preclinical studies and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also place other conditions on approvals including the requirement for a Risk Evaluation and Mitigation Strategy, 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restrictions on the marketing or manufacturing of the product, complete withdrawal of the product from the market or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warning letters or holds on post-approval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of the FDA to approve pending applications or supplements to approved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applications, or suspension or revocation of product license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products;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U.S. Regulatory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sales, promotion and other activities following product approval are also subject to regulation by numerous regulatory authorities in the United States in addition to the FDA, including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in the United States, our business operations, including any sales, marketing and scientific and educational programs, also must comply with state and federal fraud and abuse laws, including the federal Anti-Kickback Statue and false claims laws; federal data privacy and security laws; and federal transparency laws related to payments and/or other transfers of value made to physicians and other healthcare professionals and teaching hospitals. The federal Anti-Kickback Statute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ACA provides that the government may assert that a claim including items or services resulting from a violation of the federal Anti-Kickback Statute constitutes a false or fraudulent claim for purposes of the False Claims Act. Federal false claims laws, including the False Claims Act, prohibit individuals or entities from, among other things, knowingly presenting, or causing to be presented, false or fraudulent claims for payment of federal funds, and knowingly making, or causing to be made, a false record or statement material to a false or fraudulent claim to avoid, decrease or conceal an obligation to pay money to the federal government.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or HIPAA,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states have similar laws and regulations that may differ from federal law in significant ways, thus complicating compliance efforts. For example, states have anti-kickback and false claims laws that may be broader in scope than analogous federal laws and may apply regardless of payer. In addition, the federal physician payment transparency requirements, sometimes referred to as the “Physician Payments Sunshine Act,” created under the ACA and its implementing regulations, require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physicians and their immediate family members.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of 2009 (HITECH) and their respective implementing regulations, impose requirements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relating to the privacy, security, and transmission of such individually identifiable health information. In addition, state data privacy laws that protect the security of health information may differ from each other and may not be preempted by federal law.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several states and local jurisdictions have enacted legislation requiring pharmaceutical manufacturers to, among other things, establish marketing compliance programs, file periodic reports with the state, make periodic public disclosures on sales and marketing activities, report information related to drug pricing, require the registration of sales representatives, and prohibit certain other sales and marketing practices. In addition, the approval and commercialization of any of our product candidates outside the United States will also likely subject us to foreign equivalents of the healthcare laws mentioned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distribution of biologic and pharmaceutical products is subject to additional requirements and regulations, including extensive record-keeping, licensing, storage and security requirements intended to prevent the unauthorized sale of pharmaceutical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maintain compliance with these healthcare laws could result in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Data Privacy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Privacy laws in the U.S. are also increasingly complex and changing rapidly. For example, the California legislature enacted the California Consumer Privacy Act, or CCPA, which took effect on January 1, 2020 and it has been subsequently amended. The CCPA requires covered companies to provide certain disclosures to California residents, and afford them certain rights such as to access, delete and opt-out of certain sharing of their personal information. The CCPA provides for civil penalties for violations. Since the enactment of the CCPA, new or revised privacy and data security laws have been proposed in many states and in the U.S. Congress, reflecting a trend toward more stringent privacy legislation in the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processing of personal data in connection with clinical trials in the EU must comply with comprehensive data protection requirements imposed by EU’s General Data Protection Regulation, or EU GDPR. The EU GDPR, which took effect on May 25, 2018, imposes stringent data protection requirements and provides for penalties for noncompliance that can include bans on processing personal data and fines of up to the greater of 20 million euros or four percent of worldwide annual revenues. The EU GDPR requires organizations to give detailed disclosures about how they collect, use and share personal data; under certain conditions, obtain explicit consent to process sensitive personal data, such as health or genetic information; contractually require vendors to meet data protection requirements; maintain adequate data security measures; notify regulators and affected individuals of certain data breaches; meet extensive privacy governance and documentation requirements; and afford individuals’ data protection rights, including their rights to access, correct and delete their personal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European data protection laws, generally restrict the transfer of personal data from Europe, including from the European Economic Area, the United Kingdom and Switzerland, to the U.S. and most other countries unless the parties to the transfer have implemented specific safeguards to protect the transferred personal data. Legal challenges, in the past and future, may be successful in limiting the mechanisms available to transfer personal data across national borders.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comply with any of these laws or regulatory requirements may result in legal and regulatory actions. Depending on the circumstances, failure to meet applicable regulatory requirements can result in significant penalties, including administrative, civil, and criminal penalties, fines, imprisonment, disgorgement, injunctions, exclusion from participation in federal healthcare programs, integrity oversight and reporting obligations,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 Health Care Reform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regulations, statutes or the interpretation of existing regulations could impact our business in the future by requiring, for example: (1) changes to our manufacturing arrangements; (2) additions or modifications to product labeling; (3) the recall or discontinuation of our products; or (4) additional record-keeping requirements. If any such changes were to be imposed, they could adversely affect the operation of our business. Further, the United States, there have been and continue to be a number of healthcare-related legislative initiatives that have significantly affected the healthcare industry. For example, on June 17, 2021 the U.S. Supreme Court dismissed a challenge on procedural grounds that argued the ACA is unconstitutional in its entirety because the “individual mandate” was repealed by Congress. Further, prior to the U.S. Supreme Court ruling, on January 28, 2021, President Biden issued an executive order that initiated a special enrollment period from February 15, 2021 through May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unclear how any additional challenges and healthcare form measures of the Biden administration will impact the ACA and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implemented but is likely to have a significant impact on the pharmaceutical industry.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w:t>
      </w:r>
    </w:p>
    <w:p>
      <w:pPr>
        <w:pStyle w:val="TextBody"/>
        <w:bidi w:val="0"/>
        <w:spacing w:before="240" w:after="283"/>
        <w:jc w:val="left"/>
        <w:rPr>
          <w:rFonts w:ascii="Times New Roman" w:hAnsi="Times New Roman"/>
          <w:sz w:val="20"/>
        </w:rPr>
      </w:pPr>
      <w:r>
        <w:rPr>
          <w:rFonts w:ascii="Times New Roman" w:hAnsi="Times New Roman"/>
          <w:b/>
          <w:i/>
          <w:color w:val="000000"/>
          <w:sz w:val="20"/>
        </w:rPr>
        <w:t>U.S. Patent-Term Restoration and Marketing Exclusivity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FDA approval of any future product candidates, some of our U.S. patents may be eligible for limited patent term extension under the Drug Price Competition and Patent Term Restoration Act of 1984, commonly referred to as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 or BLA.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exclusivity provisions under the FDCA also can delay the submission or the approval of certain applications. The FDCA provides a five-year period of non-patent marketing exclusivity within the United States to the first applicant to gain approval of a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reference biological product is granted twelve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 </w:t>
      </w:r>
    </w:p>
    <w:p>
      <w:pPr>
        <w:pStyle w:val="TextBody"/>
        <w:bidi w:val="0"/>
        <w:spacing w:before="240" w:after="283"/>
        <w:jc w:val="left"/>
        <w:rPr>
          <w:rFonts w:ascii="Times New Roman" w:hAnsi="Times New Roman"/>
          <w:sz w:val="20"/>
        </w:rPr>
      </w:pPr>
      <w:r>
        <w:rPr>
          <w:rFonts w:ascii="Times New Roman" w:hAnsi="Times New Roman"/>
          <w:b/>
          <w:i/>
          <w:color w:val="000000"/>
          <w:sz w:val="20"/>
        </w:rPr>
        <w:t>European Union Drug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in the United States, medicinal products can be marketed only if a marketing authorization from the competent regulatory agencies has been obtained.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 will be identical. In the meantime, Clinical Trials Directive 2001/20/EC continues to govern all clinical trials performed in the EU. </w:t>
      </w:r>
    </w:p>
    <w:p>
      <w:pPr>
        <w:pStyle w:val="TextBody"/>
        <w:bidi w:val="0"/>
        <w:spacing w:before="240" w:after="283"/>
        <w:jc w:val="left"/>
        <w:rPr>
          <w:rFonts w:ascii="Times New Roman" w:hAnsi="Times New Roman"/>
          <w:sz w:val="20"/>
        </w:rPr>
      </w:pPr>
      <w:r>
        <w:rPr>
          <w:rFonts w:ascii="Times New Roman" w:hAnsi="Times New Roman"/>
          <w:b/>
          <w:i/>
          <w:color w:val="000000"/>
          <w:sz w:val="20"/>
        </w:rPr>
        <w:t>European Union Drug Review and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European Economic Area, or EEA, which is comprised of the 27 Member States of the European Union (including Norway and excluding Croatia), Iceland and Liechtenstein, medicinal products can only be commercialized after obtaining a Marketing Authorization, or MA. There are two types of marketing authorizations.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Community MA is issued by the European Commission through the Centralized Procedure, based on the opinion of the Committee for Medicinal Products for Human Use, or CHMP, of the European Medicines Agency, or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w:t>
      </w:r>
      <w:r>
        <w:rPr>
          <w:rFonts w:ascii="Times New Roman" w:hAnsi="Times New Roman"/>
          <w:i/>
          <w:color w:val="000000"/>
          <w:sz w:val="20"/>
        </w:rPr>
        <w:t>i.e.,</w:t>
      </w:r>
      <w:r>
        <w:rPr>
          <w:color w:val="000000"/>
        </w:rPr>
        <w:t xml:space="preserve"> </w:t>
      </w:r>
      <w:r>
        <w:rPr>
          <w:rFonts w:ascii="Times New Roman" w:hAnsi="Times New Roman"/>
          <w:color w:val="000000"/>
          <w:sz w:val="20"/>
        </w:rPr>
        <w:t xml:space="preserve">in the RMS and the Member States Concerned).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above described procedures, before granting the MA, the EMA or the competent authorities of the Member States of the EEA make an assessment of the risk-benefit balance of the product on the basis of scientific criteria concerning its quality, safety and efficacy. </w:t>
      </w:r>
    </w:p>
    <w:p>
      <w:pPr>
        <w:pStyle w:val="TextBody"/>
        <w:bidi w:val="0"/>
        <w:spacing w:before="240" w:after="283"/>
        <w:jc w:val="left"/>
        <w:rPr>
          <w:rFonts w:ascii="Times New Roman" w:hAnsi="Times New Roman"/>
          <w:sz w:val="20"/>
        </w:rPr>
      </w:pPr>
      <w:r>
        <w:rPr>
          <w:rFonts w:ascii="Times New Roman" w:hAnsi="Times New Roman"/>
          <w:b/>
          <w:i/>
          <w:color w:val="000000"/>
          <w:sz w:val="20"/>
        </w:rPr>
        <w:t>Coverage and Reimbursement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or biological products exists. Accordingly, decisions regarding the extent of coverage and amount of reimbursement to be provided for any of our products will be 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government, state legislatures and foreign governments have shown significant interest in implementing cost containment programs to limit the growth of government-paid health care costs, including price-controls, restrictions on reimbursement and requirements for substitution of generic products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general controls and measures, coupled with the tightening of restrictive policies in jurisdictions with existing controls and measures, could limit payments for pharmaceutical drugs. </w:t>
      </w:r>
    </w:p>
    <w:p>
      <w:pPr>
        <w:pStyle w:val="TextBody"/>
        <w:bidi w:val="0"/>
        <w:spacing w:before="120" w:after="283"/>
        <w:jc w:val="left"/>
        <w:rPr>
          <w:rFonts w:ascii="Times New Roman" w:hAnsi="Times New Roman"/>
          <w:sz w:val="20"/>
        </w:rPr>
      </w:pPr>
      <w:r>
        <w:rPr>
          <w:rFonts w:ascii="Times New Roman" w:hAnsi="Times New Roman"/>
          <w:color w:val="000000"/>
          <w:sz w:val="20"/>
        </w:rPr>
        <w:t>The Medicaid Drug Rebate Program requires pharmaceutical manufacturers to enter into and have in effect a national rebate agreement with the Secretary of HHS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or AMP, to 23.1% of AMP and adding a new rebate calculation for “line extensions” (</w:t>
      </w:r>
      <w:r>
        <w:rPr>
          <w:rFonts w:ascii="Times New Roman" w:hAnsi="Times New Roman"/>
          <w:i/>
          <w:color w:val="000000"/>
          <w:sz w:val="20"/>
        </w:rPr>
        <w:t>i.e.,</w:t>
      </w:r>
      <w:r>
        <w:rPr>
          <w:rFonts w:ascii="Times New Roman" w:hAnsi="Times New Roman"/>
          <w:color w:val="000000"/>
          <w:sz w:val="20"/>
        </w:rPr>
        <w:t xml:space="preserv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CMS has proposed to expand Medicaid rebate liability to the territories of the United States as well.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In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prices are determined based on AMP and Medicaid rebate data, the revisions to the Medicaid rebate formula and AMP definition described above could cause the required 340B discount to increase.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noted above, the marketability of any products for which we receive regulatory approval for commercial sale may suffer if the government and third-party payors fail to provide adequate coverage and reimbursement. An increasing emphasis on cost containment measures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strive to protect and enhance the proprietary technology, inventions, and improvements that are commercially important to our business, including seeking, maintaining, and defending patent rights. We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and continuing innovation to develop, strengthen, and maintain our proprietary position in the field. Although we are not party to any material in-license agreements as of the date of this Annual Report on Form 10-K, we may in the future pursue in-licensing opportunities to strengthen our proprietary position in the field. We additionally rely on data exclusivity, market exclusivity, and patent term extensions when available, and may seek and rely on regulatory protection afforded through orphan drug designations. Our commercial success may depend in part on our ability to obtain and maintain patent and other proprietary protection for our technology, inventions, and improvements; to preserve the confidentiality of our trade secrets; to defend and enforce our proprietary rights, including our patents; and to operate without infringing the valid and enforceable patents and other proprietary rights of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prosecuted numerous patents and patent applications and possess know-how and trade secrets relating to the development and commercialization of our ABC Platform and product candidates, including related manufacturing processes and technology. As of December 31, 2023, we were the assignee of record for approximately 11 U.S. issued patents, and the applicant for approximately 20 U.S. pending patent applications and 4 pending PCT applications directed to certain of our proprietary technology, inventions, and improvements and our most advanced product candidates, as well as 48 patents issued in jurisdictions outside of the United States and 59 patent applications pending in jurisdictions outside of the United States that, in many cases, are counterparts to the foregoing U.S. patents and patent applications. For example, these patents and patent applications include claims directed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therapeutic proteins and biologically active agents conjugated to a biopolymer, which comprise our ABC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specific therapeutics, including tarcocimab;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components of our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patents and patent applications (including anticipated 20-year expiration dates, which could be altered by, for example, a disclaimer, patent term adjustment or patent term extension) relate to tarcocimab, KSI-501, and/or ABC Platform: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41"/>
        <w:gridCol w:w="146"/>
        <w:gridCol w:w="1158"/>
        <w:gridCol w:w="146"/>
        <w:gridCol w:w="1814"/>
      </w:tblGrid>
      <w:tr>
        <w:trPr/>
        <w:tc>
          <w:tcPr>
            <w:tcW w:w="6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r>
      <w:tr>
        <w:trPr/>
        <w:tc>
          <w:tcPr>
            <w:tcW w:w="69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Patent and Patent Application Numbers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158"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Anticipated U.S.</w:t>
            </w:r>
          </w:p>
          <w:p>
            <w:pPr>
              <w:pStyle w:val="TableContents"/>
              <w:bidi w:val="0"/>
              <w:spacing w:before="0" w:after="283"/>
              <w:jc w:val="center"/>
              <w:rPr>
                <w:rFonts w:ascii="Times New Roman" w:hAnsi="Times New Roman"/>
                <w:sz w:val="20"/>
              </w:rPr>
            </w:pPr>
            <w:r>
              <w:rPr>
                <w:rFonts w:ascii="Times New Roman" w:hAnsi="Times New Roman"/>
                <w:b/>
                <w:color w:val="000000"/>
                <w:sz w:val="20"/>
              </w:rPr>
              <w:t>Expiration Date</w:t>
            </w:r>
            <w:r>
              <w:rPr>
                <w:rFonts w:ascii="Times New Roman" w:hAnsi="Times New Roman"/>
                <w:color w:val="000000"/>
                <w:sz w:val="20"/>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814"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Representative U.S. Claims</w:t>
            </w:r>
          </w:p>
        </w:tc>
      </w:tr>
      <w:tr>
        <w:trPr/>
        <w:tc>
          <w:tcPr>
            <w:tcW w:w="69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15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814" w:type="dxa"/>
            <w:tcBorders/>
            <w:vAlign w:val="center"/>
          </w:tcPr>
          <w:p>
            <w:pPr>
              <w:pStyle w:val="TableContents"/>
              <w:bidi w:val="0"/>
              <w:spacing w:before="0" w:after="283"/>
              <w:jc w:val="left"/>
              <w:rPr/>
            </w:pPr>
            <w:r>
              <w:rPr/>
              <w:t> </w:t>
            </w:r>
          </w:p>
        </w:tc>
      </w:tr>
      <w:tr>
        <w:trPr/>
        <w:tc>
          <w:tcPr>
            <w:tcW w:w="69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8,846,021, US Appl. No. 17/553,605, EP Patent No. 1988910, JP Patent No. 5528710, JP Patent No. 5745009, and foreign applications in certain jurisdictions claiming priority to PCT/US2007/005372</w:t>
            </w:r>
          </w:p>
        </w:tc>
        <w:tc>
          <w:tcPr>
            <w:tcW w:w="146" w:type="dxa"/>
            <w:tcBorders/>
            <w:vAlign w:val="center"/>
          </w:tcPr>
          <w:p>
            <w:pPr>
              <w:pStyle w:val="TableContents"/>
              <w:bidi w:val="0"/>
              <w:spacing w:before="0" w:after="283"/>
              <w:jc w:val="center"/>
              <w:rPr/>
            </w:pPr>
            <w:r>
              <w:rPr/>
              <w:t> </w:t>
            </w:r>
          </w:p>
        </w:tc>
        <w:tc>
          <w:tcPr>
            <w:tcW w:w="115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2/28/2027</w:t>
            </w:r>
          </w:p>
        </w:tc>
        <w:tc>
          <w:tcPr>
            <w:tcW w:w="146" w:type="dxa"/>
            <w:tcBorders/>
            <w:vAlign w:val="center"/>
          </w:tcPr>
          <w:p>
            <w:pPr>
              <w:pStyle w:val="TableContents"/>
              <w:bidi w:val="0"/>
              <w:spacing w:before="0" w:after="283"/>
              <w:jc w:val="left"/>
              <w:rPr/>
            </w:pPr>
            <w:r>
              <w:rPr/>
              <w:t> </w:t>
            </w:r>
          </w:p>
        </w:tc>
        <w:tc>
          <w:tcPr>
            <w:tcW w:w="181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Representative claims include conjugates</w:t>
            </w:r>
          </w:p>
        </w:tc>
      </w:tr>
      <w:tr>
        <w:trPr/>
        <w:tc>
          <w:tcPr>
            <w:tcW w:w="69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15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814" w:type="dxa"/>
            <w:tcBorders/>
            <w:vAlign w:val="center"/>
          </w:tcPr>
          <w:p>
            <w:pPr>
              <w:pStyle w:val="TableContents"/>
              <w:bidi w:val="0"/>
              <w:spacing w:before="0" w:after="283"/>
              <w:jc w:val="left"/>
              <w:rPr/>
            </w:pPr>
            <w:r>
              <w:rPr/>
              <w:t> </w:t>
            </w:r>
          </w:p>
        </w:tc>
      </w:tr>
      <w:tr>
        <w:trPr/>
        <w:tc>
          <w:tcPr>
            <w:tcW w:w="69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Appl. No. 17/409,578, AU Patent No. 2011239434, AU Patent No. 2017201930, BR Patent No. 11 2012 0261185, CA Patent No. 2795667, EP Patent No. 2558538, EP Patent No. 3549963, HK Patent No. 40015590, JP Patent No. 6568748, JP Patent No. 6754749, KR Patent No. 10-2416359, MX Patent No. 365521, and foreign applications in certain jurisdictions claiming priority to PCT/US2011/032768</w:t>
            </w:r>
          </w:p>
        </w:tc>
        <w:tc>
          <w:tcPr>
            <w:tcW w:w="146" w:type="dxa"/>
            <w:tcBorders/>
            <w:vAlign w:val="center"/>
          </w:tcPr>
          <w:p>
            <w:pPr>
              <w:pStyle w:val="TableContents"/>
              <w:bidi w:val="0"/>
              <w:spacing w:before="0" w:after="283"/>
              <w:jc w:val="center"/>
              <w:rPr/>
            </w:pPr>
            <w:r>
              <w:rPr/>
              <w:t> </w:t>
            </w:r>
          </w:p>
        </w:tc>
        <w:tc>
          <w:tcPr>
            <w:tcW w:w="115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4/15/2031</w:t>
            </w:r>
          </w:p>
        </w:tc>
        <w:tc>
          <w:tcPr>
            <w:tcW w:w="146" w:type="dxa"/>
            <w:tcBorders/>
            <w:vAlign w:val="center"/>
          </w:tcPr>
          <w:p>
            <w:pPr>
              <w:pStyle w:val="TableContents"/>
              <w:bidi w:val="0"/>
              <w:spacing w:before="0" w:after="283"/>
              <w:jc w:val="left"/>
              <w:rPr/>
            </w:pPr>
            <w:r>
              <w:rPr/>
              <w:t> </w:t>
            </w:r>
          </w:p>
        </w:tc>
        <w:tc>
          <w:tcPr>
            <w:tcW w:w="181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Representative claims include conjugates</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77"/>
        <w:gridCol w:w="146"/>
        <w:gridCol w:w="583"/>
        <w:gridCol w:w="146"/>
        <w:gridCol w:w="2653"/>
      </w:tblGrid>
      <w:tr>
        <w:trPr/>
        <w:tc>
          <w:tcPr>
            <w:tcW w:w="6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r>
      <w:tr>
        <w:trPr/>
        <w:tc>
          <w:tcPr>
            <w:tcW w:w="66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8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653" w:type="dxa"/>
            <w:tcBorders/>
            <w:vAlign w:val="center"/>
          </w:tcPr>
          <w:p>
            <w:pPr>
              <w:pStyle w:val="TableContents"/>
              <w:bidi w:val="0"/>
              <w:spacing w:before="0" w:after="283"/>
              <w:jc w:val="left"/>
              <w:rPr/>
            </w:pPr>
            <w:r>
              <w:rPr/>
              <w:t> </w:t>
            </w:r>
          </w:p>
        </w:tc>
      </w:tr>
      <w:tr>
        <w:trPr/>
        <w:tc>
          <w:tcPr>
            <w:tcW w:w="66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8,765,432, US 11,819,531, AU Patent No. 2010330727, BR Patent No. 1120120145568, CA Patent No. 2783615, CA Patent No. 3039426, EP Patent No. 2512462, EP Patent No. 3254678, EP Patent No. 3659591, CN Patent No. ZL201080062252.7, HK Patent No. 1247828, IN Patent No. 319269, JP Patent No. 5760007, JP Patent No. 5990629, JP Patent No. 6416832, JP Patent No. 6777706, MX Patent No. 346423, MX Patent No. 374020, KR Patent No. 10-1852044, MO Patent No. J/002943, and foreign applications in certain jurisdictions claiming priority to PCT/US2010/061358</w:t>
            </w:r>
          </w:p>
        </w:tc>
        <w:tc>
          <w:tcPr>
            <w:tcW w:w="146" w:type="dxa"/>
            <w:tcBorders/>
            <w:vAlign w:val="center"/>
          </w:tcPr>
          <w:p>
            <w:pPr>
              <w:pStyle w:val="TableContents"/>
              <w:bidi w:val="0"/>
              <w:spacing w:before="0" w:after="283"/>
              <w:jc w:val="center"/>
              <w:rPr/>
            </w:pPr>
            <w:r>
              <w:rPr/>
              <w:t> </w:t>
            </w:r>
          </w:p>
        </w:tc>
        <w:tc>
          <w:tcPr>
            <w:tcW w:w="5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5/10/2030</w:t>
            </w:r>
          </w:p>
        </w:tc>
        <w:tc>
          <w:tcPr>
            <w:tcW w:w="146" w:type="dxa"/>
            <w:tcBorders/>
            <w:vAlign w:val="center"/>
          </w:tcPr>
          <w:p>
            <w:pPr>
              <w:pStyle w:val="TableContents"/>
              <w:bidi w:val="0"/>
              <w:spacing w:before="0" w:after="283"/>
              <w:jc w:val="left"/>
              <w:rPr/>
            </w:pPr>
            <w:r>
              <w:rPr/>
              <w:t> </w:t>
            </w:r>
          </w:p>
        </w:tc>
        <w:tc>
          <w:tcPr>
            <w:tcW w:w="26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Representative claims include copolymers and methods of making copolymers (ABC Platform specifically)</w:t>
            </w:r>
          </w:p>
        </w:tc>
      </w:tr>
      <w:tr>
        <w:trPr/>
        <w:tc>
          <w:tcPr>
            <w:tcW w:w="66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8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653" w:type="dxa"/>
            <w:tcBorders/>
            <w:vAlign w:val="center"/>
          </w:tcPr>
          <w:p>
            <w:pPr>
              <w:pStyle w:val="TableContents"/>
              <w:bidi w:val="0"/>
              <w:spacing w:before="0" w:after="283"/>
              <w:jc w:val="left"/>
              <w:rPr/>
            </w:pPr>
            <w:r>
              <w:rPr/>
              <w:t> </w:t>
            </w:r>
          </w:p>
        </w:tc>
      </w:tr>
      <w:tr>
        <w:trPr/>
        <w:tc>
          <w:tcPr>
            <w:tcW w:w="66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10,702,608, US 11,590,235, EP Patent No. 3041513, JP Patent No. 6463361, JP Patent No. 6732056, JP Patent No. 7232796, and foreign applications in certain jurisdictions claiming priority to PCT/US2014/054622</w:t>
            </w:r>
          </w:p>
        </w:tc>
        <w:tc>
          <w:tcPr>
            <w:tcW w:w="146" w:type="dxa"/>
            <w:tcBorders/>
            <w:vAlign w:val="center"/>
          </w:tcPr>
          <w:p>
            <w:pPr>
              <w:pStyle w:val="TableContents"/>
              <w:bidi w:val="0"/>
              <w:spacing w:before="0" w:after="283"/>
              <w:jc w:val="center"/>
              <w:rPr/>
            </w:pPr>
            <w:r>
              <w:rPr/>
              <w:t> </w:t>
            </w:r>
          </w:p>
        </w:tc>
        <w:tc>
          <w:tcPr>
            <w:tcW w:w="5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12/21/2034</w:t>
            </w:r>
          </w:p>
        </w:tc>
        <w:tc>
          <w:tcPr>
            <w:tcW w:w="146" w:type="dxa"/>
            <w:tcBorders/>
            <w:vAlign w:val="center"/>
          </w:tcPr>
          <w:p>
            <w:pPr>
              <w:pStyle w:val="TableContents"/>
              <w:bidi w:val="0"/>
              <w:spacing w:before="0" w:after="283"/>
              <w:jc w:val="left"/>
              <w:rPr/>
            </w:pPr>
            <w:r>
              <w:rPr/>
              <w:t> </w:t>
            </w:r>
          </w:p>
        </w:tc>
        <w:tc>
          <w:tcPr>
            <w:tcW w:w="26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Representative claims include polymers and method of making polymers</w:t>
            </w:r>
          </w:p>
        </w:tc>
      </w:tr>
      <w:tr>
        <w:trPr/>
        <w:tc>
          <w:tcPr>
            <w:tcW w:w="66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53" w:type="dxa"/>
            <w:tcBorders/>
            <w:vAlign w:val="center"/>
          </w:tcPr>
          <w:p>
            <w:pPr>
              <w:pStyle w:val="TableContents"/>
              <w:bidi w:val="0"/>
              <w:spacing w:before="0" w:after="283"/>
              <w:jc w:val="left"/>
              <w:rPr/>
            </w:pPr>
            <w:r>
              <w:rPr/>
              <w:t> </w:t>
            </w:r>
          </w:p>
        </w:tc>
      </w:tr>
      <w:tr>
        <w:trPr/>
        <w:tc>
          <w:tcPr>
            <w:tcW w:w="66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11,066,465, US Appl. No. 17/301599, JP Patent No. 7088454, MX Patent No. 407292, RU Patent No. 2744860, and foreign applications in certain jurisdictions claiming priority to PCT/US2016/069336</w:t>
            </w:r>
          </w:p>
        </w:tc>
        <w:tc>
          <w:tcPr>
            <w:tcW w:w="146"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12/29/2036</w:t>
            </w:r>
          </w:p>
        </w:tc>
        <w:tc>
          <w:tcPr>
            <w:tcW w:w="146" w:type="dxa"/>
            <w:tcBorders/>
            <w:vAlign w:val="center"/>
          </w:tcPr>
          <w:p>
            <w:pPr>
              <w:pStyle w:val="TableContents"/>
              <w:bidi w:val="0"/>
              <w:spacing w:before="0" w:after="283"/>
              <w:jc w:val="left"/>
              <w:rPr/>
            </w:pPr>
            <w:r>
              <w:rPr/>
              <w:t> </w:t>
            </w:r>
          </w:p>
        </w:tc>
        <w:tc>
          <w:tcPr>
            <w:tcW w:w="26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Representative claims include antibody and antibody conjugate, and methods of making and using the conjugates</w:t>
            </w:r>
          </w:p>
        </w:tc>
      </w:tr>
      <w:tr>
        <w:trPr/>
        <w:tc>
          <w:tcPr>
            <w:tcW w:w="66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8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653" w:type="dxa"/>
            <w:tcBorders/>
            <w:vAlign w:val="center"/>
          </w:tcPr>
          <w:p>
            <w:pPr>
              <w:pStyle w:val="TableContents"/>
              <w:bidi w:val="0"/>
              <w:spacing w:before="0" w:after="283"/>
              <w:jc w:val="left"/>
              <w:rPr/>
            </w:pPr>
            <w:r>
              <w:rPr/>
              <w:t> </w:t>
            </w:r>
          </w:p>
        </w:tc>
      </w:tr>
      <w:tr>
        <w:trPr/>
        <w:tc>
          <w:tcPr>
            <w:tcW w:w="66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Appl. No. 17/066856, US Appl. No. 18/504723, and foreign applications in certain jurisdictions claiming priority to PCT/US2020/055074</w:t>
            </w:r>
          </w:p>
        </w:tc>
        <w:tc>
          <w:tcPr>
            <w:tcW w:w="146"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10/9/2040</w:t>
            </w:r>
          </w:p>
        </w:tc>
        <w:tc>
          <w:tcPr>
            <w:tcW w:w="146" w:type="dxa"/>
            <w:tcBorders/>
            <w:vAlign w:val="center"/>
          </w:tcPr>
          <w:p>
            <w:pPr>
              <w:pStyle w:val="TableContents"/>
              <w:bidi w:val="0"/>
              <w:spacing w:before="0" w:after="283"/>
              <w:jc w:val="left"/>
              <w:rPr/>
            </w:pPr>
            <w:r>
              <w:rPr/>
              <w:t> </w:t>
            </w:r>
          </w:p>
        </w:tc>
        <w:tc>
          <w:tcPr>
            <w:tcW w:w="26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Representative claims include method of treating an eye disorder using the antibody conjugates</w:t>
            </w:r>
          </w:p>
        </w:tc>
      </w:tr>
      <w:tr>
        <w:trPr/>
        <w:tc>
          <w:tcPr>
            <w:tcW w:w="66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53" w:type="dxa"/>
            <w:tcBorders/>
            <w:vAlign w:val="center"/>
          </w:tcPr>
          <w:p>
            <w:pPr>
              <w:pStyle w:val="TableContents"/>
              <w:bidi w:val="0"/>
              <w:spacing w:before="0" w:after="283"/>
              <w:jc w:val="left"/>
              <w:rPr/>
            </w:pPr>
            <w:r>
              <w:rPr/>
              <w:t> </w:t>
            </w:r>
          </w:p>
        </w:tc>
      </w:tr>
      <w:tr>
        <w:trPr/>
        <w:tc>
          <w:tcPr>
            <w:tcW w:w="66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Appl. No. 18/555122 and EP application claiming priority to PCT/US2022/024598</w:t>
            </w:r>
          </w:p>
        </w:tc>
        <w:tc>
          <w:tcPr>
            <w:tcW w:w="146"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4/13/2042</w:t>
            </w:r>
          </w:p>
        </w:tc>
        <w:tc>
          <w:tcPr>
            <w:tcW w:w="146" w:type="dxa"/>
            <w:tcBorders/>
            <w:vAlign w:val="center"/>
          </w:tcPr>
          <w:p>
            <w:pPr>
              <w:pStyle w:val="TableContents"/>
              <w:bidi w:val="0"/>
              <w:spacing w:before="0" w:after="283"/>
              <w:jc w:val="left"/>
              <w:rPr/>
            </w:pPr>
            <w:r>
              <w:rPr/>
              <w:t> </w:t>
            </w:r>
          </w:p>
        </w:tc>
        <w:tc>
          <w:tcPr>
            <w:tcW w:w="26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Representative claims include method of treating an eye disorder using the antibody conjugates</w:t>
            </w:r>
          </w:p>
        </w:tc>
      </w:tr>
      <w:tr>
        <w:trPr/>
        <w:tc>
          <w:tcPr>
            <w:tcW w:w="66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653" w:type="dxa"/>
            <w:tcBorders/>
            <w:vAlign w:val="center"/>
          </w:tcPr>
          <w:p>
            <w:pPr>
              <w:pStyle w:val="TableContents"/>
              <w:bidi w:val="0"/>
              <w:spacing w:before="0" w:after="283"/>
              <w:jc w:val="left"/>
              <w:rPr/>
            </w:pPr>
            <w:r>
              <w:rPr/>
              <w:t> </w:t>
            </w:r>
          </w:p>
        </w:tc>
      </w:tr>
      <w:tr>
        <w:trPr/>
        <w:tc>
          <w:tcPr>
            <w:tcW w:w="66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Appl. No. 18/166755 and PCT Application No. PCT/US2023/062322</w:t>
            </w:r>
          </w:p>
        </w:tc>
        <w:tc>
          <w:tcPr>
            <w:tcW w:w="146"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2/9/2043</w:t>
            </w:r>
          </w:p>
        </w:tc>
        <w:tc>
          <w:tcPr>
            <w:tcW w:w="146" w:type="dxa"/>
            <w:tcBorders/>
            <w:vAlign w:val="center"/>
          </w:tcPr>
          <w:p>
            <w:pPr>
              <w:pStyle w:val="TableContents"/>
              <w:bidi w:val="0"/>
              <w:spacing w:before="0" w:after="283"/>
              <w:jc w:val="left"/>
              <w:rPr/>
            </w:pPr>
            <w:r>
              <w:rPr/>
              <w:t> </w:t>
            </w:r>
          </w:p>
        </w:tc>
        <w:tc>
          <w:tcPr>
            <w:tcW w:w="26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Representative claims include method of purifying the antibody conjugates</w:t>
            </w:r>
          </w:p>
        </w:tc>
      </w:tr>
      <w:tr>
        <w:trPr/>
        <w:tc>
          <w:tcPr>
            <w:tcW w:w="66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653" w:type="dxa"/>
            <w:tcBorders/>
            <w:vAlign w:val="center"/>
          </w:tcPr>
          <w:p>
            <w:pPr>
              <w:pStyle w:val="TableContents"/>
              <w:bidi w:val="0"/>
              <w:spacing w:before="0" w:after="283"/>
              <w:jc w:val="left"/>
              <w:rPr/>
            </w:pPr>
            <w:r>
              <w:rPr/>
              <w:t> </w:t>
            </w:r>
          </w:p>
        </w:tc>
      </w:tr>
      <w:tr>
        <w:trPr/>
        <w:tc>
          <w:tcPr>
            <w:tcW w:w="66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PCT Application No. PCT/US2023/074805</w:t>
            </w:r>
          </w:p>
        </w:tc>
        <w:tc>
          <w:tcPr>
            <w:tcW w:w="146"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9/21/2043</w:t>
            </w:r>
          </w:p>
        </w:tc>
        <w:tc>
          <w:tcPr>
            <w:tcW w:w="146" w:type="dxa"/>
            <w:tcBorders/>
            <w:vAlign w:val="center"/>
          </w:tcPr>
          <w:p>
            <w:pPr>
              <w:pStyle w:val="TableContents"/>
              <w:bidi w:val="0"/>
              <w:spacing w:before="0" w:after="283"/>
              <w:jc w:val="left"/>
              <w:rPr/>
            </w:pPr>
            <w:r>
              <w:rPr/>
              <w:t> </w:t>
            </w:r>
          </w:p>
        </w:tc>
        <w:tc>
          <w:tcPr>
            <w:tcW w:w="26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Representative claims include methods of preparing a protein solution or therapeutic formulation</w:t>
            </w:r>
          </w:p>
        </w:tc>
      </w:tr>
      <w:tr>
        <w:trPr/>
        <w:tc>
          <w:tcPr>
            <w:tcW w:w="66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653" w:type="dxa"/>
            <w:tcBorders/>
            <w:vAlign w:val="center"/>
          </w:tcPr>
          <w:p>
            <w:pPr>
              <w:pStyle w:val="TableContents"/>
              <w:bidi w:val="0"/>
              <w:spacing w:before="0" w:after="283"/>
              <w:jc w:val="left"/>
              <w:rPr/>
            </w:pPr>
            <w:r>
              <w:rPr/>
              <w:t> </w:t>
            </w:r>
          </w:p>
        </w:tc>
      </w:tr>
      <w:tr>
        <w:trPr/>
        <w:tc>
          <w:tcPr>
            <w:tcW w:w="66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Appl. No. 16/290128 and foreign applications in certain jurisdictions claiming priority to PCT/US2019/020418</w:t>
            </w:r>
          </w:p>
        </w:tc>
        <w:tc>
          <w:tcPr>
            <w:tcW w:w="146"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3/1/2039</w:t>
            </w:r>
          </w:p>
        </w:tc>
        <w:tc>
          <w:tcPr>
            <w:tcW w:w="146" w:type="dxa"/>
            <w:tcBorders/>
            <w:vAlign w:val="center"/>
          </w:tcPr>
          <w:p>
            <w:pPr>
              <w:pStyle w:val="TableContents"/>
              <w:bidi w:val="0"/>
              <w:spacing w:before="0" w:after="283"/>
              <w:jc w:val="left"/>
              <w:rPr/>
            </w:pPr>
            <w:r>
              <w:rPr/>
              <w:t> </w:t>
            </w:r>
          </w:p>
        </w:tc>
        <w:tc>
          <w:tcPr>
            <w:tcW w:w="26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Representative claims include fusion proteins and conjugates thereof, and methods of making and using the fusion proteins and the conjugates</w:t>
            </w:r>
          </w:p>
        </w:tc>
      </w:tr>
      <w:tr>
        <w:trPr/>
        <w:tc>
          <w:tcPr>
            <w:tcW w:w="66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653" w:type="dxa"/>
            <w:tcBorders/>
            <w:vAlign w:val="center"/>
          </w:tcPr>
          <w:p>
            <w:pPr>
              <w:pStyle w:val="TableContents"/>
              <w:bidi w:val="0"/>
              <w:spacing w:before="0" w:after="283"/>
              <w:jc w:val="left"/>
              <w:rPr/>
            </w:pPr>
            <w:r>
              <w:rPr/>
              <w:t> </w:t>
            </w:r>
          </w:p>
        </w:tc>
      </w:tr>
      <w:tr>
        <w:trPr/>
        <w:tc>
          <w:tcPr>
            <w:tcW w:w="66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Appl. No. 17/997866 and foreign applications in certain jurisdictions claiming priority to PCT/US2021/031194</w:t>
            </w:r>
          </w:p>
        </w:tc>
        <w:tc>
          <w:tcPr>
            <w:tcW w:w="146"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5/6/2041</w:t>
            </w:r>
          </w:p>
        </w:tc>
        <w:tc>
          <w:tcPr>
            <w:tcW w:w="146" w:type="dxa"/>
            <w:tcBorders/>
            <w:vAlign w:val="center"/>
          </w:tcPr>
          <w:p>
            <w:pPr>
              <w:pStyle w:val="TableContents"/>
              <w:bidi w:val="0"/>
              <w:spacing w:before="0" w:after="283"/>
              <w:jc w:val="left"/>
              <w:rPr/>
            </w:pPr>
            <w:r>
              <w:rPr/>
              <w:t> </w:t>
            </w:r>
          </w:p>
        </w:tc>
        <w:tc>
          <w:tcPr>
            <w:tcW w:w="26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Representative claims include method of treating a disorder related to an infection or a systemic inflammatory condition using fusion proteins and conjugates thereof</w:t>
            </w:r>
          </w:p>
        </w:tc>
      </w:tr>
      <w:tr>
        <w:trPr/>
        <w:tc>
          <w:tcPr>
            <w:tcW w:w="66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653" w:type="dxa"/>
            <w:tcBorders/>
            <w:vAlign w:val="center"/>
          </w:tcPr>
          <w:p>
            <w:pPr>
              <w:pStyle w:val="TableContents"/>
              <w:bidi w:val="0"/>
              <w:spacing w:before="0" w:after="283"/>
              <w:jc w:val="left"/>
              <w:rPr/>
            </w:pPr>
            <w:r>
              <w:rPr/>
              <w:t> </w:t>
            </w:r>
          </w:p>
        </w:tc>
      </w:tr>
      <w:tr>
        <w:trPr/>
        <w:tc>
          <w:tcPr>
            <w:tcW w:w="66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PCT Application No. PCT/US2023/082545</w:t>
            </w:r>
          </w:p>
        </w:tc>
        <w:tc>
          <w:tcPr>
            <w:tcW w:w="146"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12/5/2043</w:t>
            </w:r>
          </w:p>
        </w:tc>
        <w:tc>
          <w:tcPr>
            <w:tcW w:w="146" w:type="dxa"/>
            <w:tcBorders/>
            <w:vAlign w:val="center"/>
          </w:tcPr>
          <w:p>
            <w:pPr>
              <w:pStyle w:val="TableContents"/>
              <w:bidi w:val="0"/>
              <w:spacing w:before="0" w:after="283"/>
              <w:jc w:val="left"/>
              <w:rPr/>
            </w:pPr>
            <w:r>
              <w:rPr/>
              <w:t> </w:t>
            </w:r>
          </w:p>
        </w:tc>
        <w:tc>
          <w:tcPr>
            <w:tcW w:w="26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Representative claims include formulations of a fusion protein and conjugates thereof, and methods of producing the same</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normal course of business, we intend to pursue, when possible, composition, method of use, dosing and formulation patent protection, as well as manufacturing and drug development processes and technology. The patents and patent applications we have filed outside of the United States are in Europe, Japan, and various other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filing date. In addition, in certain instances, a patent term can be extended to recapture a portion of the term effectively lost as a result of the FDA regulatory review period.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issued U.S. patents will expire on dates ranging from 2027 to 2038. If patents are issued on our pending patent applications, the resulting patents are projected to expire on dates ranging from 2027 to 2043.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have a total of 33 pending trademark applications and issued trademark registrations. These include two trademark registrations and three pending trademark applications in the United States, and 24 trademark registrations and three pending trademark applications in jurisdictions outside of the United States. Of the trademark registrations in jurisdictions outside of the United States, 17 are in China and one is in each of Canada, the European Union, India, Japan, Singapore, Switzerland and the United Kingdom. Of the pending trademark applications in jurisdictions outside of the United States, one in each of Canada, the European Union, the United Kingdom and Japan. We also may rely, in some circumstances, on trade secrets to protect our technology. However, trade secrets are difficult to protect. We seek to protect our technology and product candidates, in part,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our employees, contractors, consultants, collaborators, and advisors use intellectual property owned by others in their work for us, disputes may arise as to the rights in related or resulting know-how and inventions. For this and more comprehensive risks related to our proprietary technology, inventions, improvements and products, please see the section on “Risk Factors—Risks Related to Intellectual Property.” </w:t>
      </w:r>
    </w:p>
    <w:p>
      <w:pPr>
        <w:pStyle w:val="TextBody"/>
        <w:bidi w:val="0"/>
        <w:spacing w:before="240" w:after="283"/>
        <w:jc w:val="left"/>
        <w:rPr>
          <w:rFonts w:ascii="Times New Roman" w:hAnsi="Times New Roman"/>
          <w:sz w:val="20"/>
        </w:rPr>
      </w:pPr>
      <w:r>
        <w:rPr>
          <w:rFonts w:ascii="Times New Roman" w:hAnsi="Times New Roman"/>
          <w:b/>
          <w:color w:val="000000"/>
          <w:sz w:val="20"/>
        </w:rPr>
        <w:t>Human Capital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had 111 employees worldwide, of whom 14 were based outside of the United States. Of these employees, 76 employees were engaged in or support research, development and clinical activities, 27 of whom hold a Ph.D. degree or M.D. (or equivalent) degree. None of our employees is subject to a collective bargaining agreement. We continually assess employee turnover, recruitment initiatives, compensation and benefits programs, safety in performing critical laboratory work, diversity and other matters relevant to human capital management, and we review results with our Board of Directors on a periodic basis. We aim to offer competitive compensation (including salary, incentive bonus, and equity) and benefits packages in each of our locations and in each of employee groups at each level around the globe as assessed with internal and external benchmarking data. </w:t>
      </w:r>
    </w:p>
    <w:p>
      <w:pPr>
        <w:pStyle w:val="TextBody"/>
        <w:bidi w:val="0"/>
        <w:spacing w:before="240" w:after="283"/>
        <w:jc w:val="left"/>
        <w:rPr>
          <w:rFonts w:ascii="Times New Roman" w:hAnsi="Times New Roman"/>
          <w:sz w:val="20"/>
        </w:rPr>
      </w:pPr>
      <w:r>
        <w:rPr>
          <w:rFonts w:ascii="Times New Roman" w:hAnsi="Times New Roman"/>
          <w:b/>
          <w:color w:val="000000"/>
          <w:sz w:val="20"/>
        </w:rPr>
        <w:t>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the date of this Annual Report on Form 10-K, we are not a party to any material legal proceedings. In the normal course of business, we may be named as a party to various legal claims, actions and complaints. We cannot predict whether any resulting liability would have a material adverse effect on our financial position, results of operations or cash flows.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an internet website at the following address: https://kodiak.com. The information on our website is not incorporated by reference in this Annual Report on Form 10-K or in any other filings we make with the Securities and Exchange Commission, or SEC.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make available on or through our website certain reports and amendments to those reports that we file with or furnish to the SEC in accordance with the Securities Exchange Act of 1934, as amended, or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In addition, the SEC maintains a website at www.sec.gov that contains reports, proxy and information statements, and other information regarding issuers that file electronically with the SEC.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7" w:name="item_1a_risk_factors"/>
      <w:bookmarkEnd w:id="7"/>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consider carefully the following risk factors, together with all the other information in this Annual Report on Form 10-K, including the “Management’s Discussion and Analysis of Financial Condition and Results of Operations” section and our consolidated financial statements and notes thereto. The occurrence of any events described in the following risk factors and the risks described elsewhere in this Annual Report on Form 10-K could harm our business, operating results, financial condition, and/or growth prospects or cause our actual results to differ materially from those contained in forward-looking statements that we have made in this Annual Report on Form 10-K and those may make from time to time. You should consider all of the risk factors described when evaluating our business.</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the Discovery, Development and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in the clinical stage of drug development and have a very limited operating history and no products approved for commercial sale, which may make it difficult to evaluate our current business and predict our future success and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 stage biopharmaceutical company committed to researching, developing and commercializing transformative therapeutics to treat high prevalence retinal diseases. We commenced operations in June 2009, have no products approved for commercial sale and have not generated any revenue. Drug development is a highly uncertain undertaking and involves a substantial degree of risk. We have conducted clinical trials, including Phase 3 pivotal clinical trials, of tarcocimab in patients with wet AMD, DME, NPDR and RVO. Certain of our trials did not meet their primary efficacy endpoints, and in July 2023 we announced a business decision to wind-down development of tarcocimab. Following additional positive results from other on-going tarcocimab clinical trials, we plan to resume the tarcocimab development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not obtained marketing approval for any product candidates, including tarcocimab and KSI-501, our dual inhibitor antibody biopolymer conjugate targeting both IL-6 (anti-IL-6 antibody) and VEGF (VEGF-trap), manufactured a commercial scale product,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 </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prospects are heavily dependent on our tarcocimab and KSI-501 product candidates, which are currently in clinical development for multiple indications.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prospects will be heavily dependent on our tarcocimab and KSI-501 product candidates and the results of planned or pending clinical studies. We cannot be certain that our product candidates will be successful in any of the planned or pending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early preclinical and Phase 1/1b clinical trial results are not necessarily predictive of the results of our ongoing or future discovery programs or any future preclinical or clinical studies. Our ability to demonstrate efficacy, safety and clinical durability in pivotal studies may be affected by the patient populations sampled and the design of our pivotal studies. Many companies in the pharmaceutical and biotechnology industries have suffered significant setbacks in late-stage clinical studies after achieving positive results in early-stage development, including early-stage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or unobserved adverse events as more patients are treated and followed for longer periods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in our Phase 2b/3 clinical trial evaluating the efficacy, durability and safety of tarcocimab in treatment-naïve subjects with neovascular wet AMD and in our Phase 3 GLEAM and GLIMMER studies, tarcocimab did not meet the primary efficacy endpoint of showing non-inferior visual acuity gains.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 If approved, clinical study designs and data are not necessarily predictive of the final marketed product label. FDA may not approve a label for a particular dosing frequency, even if we believe the data demonstrate support for that dosing.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a Phase 1 study of KSI-501 has completed the dosing phase in patients in the United States to evaluate the safety, tolerability and bioactivity of KSI-501 in DME, it may be years before a registrational-type trial is completed, if at all. We may in the future develop other product candidates, advance additional product candidates into clinical trials and terminate such trials prior to their completion. It will take additional investment and time for such programs to reach the same stage of development as tarcocimab and KSI-501.</w:t>
      </w:r>
    </w:p>
    <w:p>
      <w:pPr>
        <w:pStyle w:val="TextBody"/>
        <w:bidi w:val="0"/>
        <w:spacing w:before="240" w:after="283"/>
        <w:jc w:val="left"/>
        <w:rPr>
          <w:rFonts w:ascii="Times New Roman" w:hAnsi="Times New Roman"/>
          <w:sz w:val="20"/>
        </w:rPr>
      </w:pPr>
      <w:r>
        <w:rPr>
          <w:rFonts w:ascii="Times New Roman" w:hAnsi="Times New Roman"/>
          <w:b/>
          <w:i/>
          <w:color w:val="000000"/>
          <w:sz w:val="20"/>
        </w:rPr>
        <w:t>Our plan for the development of tarcocimab may be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discontinued further development of tarcocimab in mid-2023 pending the outcomes of two other trials that were then underway. While those other trials produced favorable results and we have resumed development of tarcocimab, that development may not be successful. In connection with our development program, we developed an enhanced, commercial formulation of tarcocimab to improve manufacturability and usability by reducing injection time from 7-10 seconds to 2-3 seconds. While we believe that doing so does not affect the applicability of prior test results, we cannot be sure that the FDA, EMA or comparable foreign regulatory authorities would agree or accept our planned BLA even if our planned additional trial is successful.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failure of pivotal studies of tarcocimab to meet their primary efficacy endpoints may lead us to pause, change or discontinue development of other product candidates based on our ABC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2023, we announced that two of our pivotal Phase 3 clinical trials of tarcocimab did not meet their primary efficacy endpoints and, as a result, we paused further development of tarcocimab pending review of data from the BEACON study in patients with macular edema due to RVO and the GLOW1 study patients with diabetic retinopathy. Although we have resumed the development of tarcocimab, we may again determine to discontinue development of tarcocimab or our ABC Platform or other product candidates using our ABC Platform based on future information or trials results, which could prevent us from, or significantly delay, achieving profitability and could result in disruptions to our business including potential impairment charges, restructuring costs, or costs that are greater than expected.</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of biopharmaceutical products is inherently risky. We cannot give any assurance that any of our product candidates will receive regulatory, including marketing, approval, which is necessary before they can be commercialized.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have in the past and may in the future not successfully complete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product candidate obtains regulatory approval, approval may be for indications, dosage and administration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on further study, be shown to have harmful side effects or other characteristics that indicate it is unlikely to be effective or otherwise does not meet applicable regulatory criteria, for example a positive benefit-risk profile;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develop therapeutics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develop platform technologies that render our ABC Platform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 candidates and ABC Platform that we develop may not be sufficiently covered by intellectual property for which we hold exclusive rights or may be covered by third party patents or other intellectual property or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for a product candidate may change so that the continued development of that product candidate is no longer reasonable or commercially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capable of being produced in commercial quantities at an acceptable cost,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product candidate obtains regulatory approval, we may be unable to establish sales and marketing capabilities, or successfully market such approved product candidate, to gain market acceptance;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accepted as safe and effective by patients, the medical community or third-party payors, if applicable.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these events occurs, we may be forced to abandon our development efforts for a product candidate or candidates, which would have a material adverse effect on our business and could potentially cause us to cease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a product candidate may occur at any stage of preclinical or clinical development, and, because our product candidates and our ABC Platform are in development, there is a relatively higher risk of failure and we may never succeed in developing marketable products or generating product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we may not be successful in our efforts to further develop our product candidates in time to meet the current and identified market opportunity.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various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in any jurisdiction.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dosage and administration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encounter substantial delays in our clinical trials, or may not be able to conduct or complete our clinical trials on the timelines we expect,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For example, in July 2023 we announced a business decision to wind-down development of tarcocimab after certain of our trials did not meet their primary efficacy endpoints. Events that may prevent successful or timely initiation or completion of clinical trials include: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inability to generate sufficient preclinical, toxicology, or other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or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data to support the initiation or continuation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study design;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determination by the reviewing regulatory authority to require more costly or lengthy clinical trials than we currently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agreement on acceptable terms with prospective CROs, and clinical trial sites, the terms of which can be subject to extensive negotiation and may vary significantly among different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identifying, recruiting and training suitable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obtaining required Institutional Review Board, or IRB,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or any other regulatory authority concerns about risk to patients of the technology broadly; or if the FDA, EMA or any other regulatory authority finds that the investigational protocol or plan is clearly deficient to meet its stated objectives;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identifying, recruiting and enrolling suitable patients to participate in our clinical trials, and delays caused by patients withdrawing from clinical trials or failing to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collaborating with patient groups and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by our CROs, other third parties, or us to adhere to clinical trial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perform in accordance with the FDA’s or any other regulatory authority’s good clinical practices, or GCPs, requirements, or applicable EMA or other regulatory guidelines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adverse events associated with the product candidate that are viewed to outweigh its potential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and guidance that require amending or submitting new clinical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standard of care on which a clinical development plan was based, which may require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being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producing negative or inconclusive results, which may result in our deciding, or regulators requiring us, to conduct additional clinical trials or abandon development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transfer of manufacturing processes to larger-scale facilities operated by CMOs or by us, and delays or failure by our CMOs or us to make any necessary changes to such manufacturing process;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manufacturing, testing, releasing, validating, or importing/exporting sufficient stable quantities of our product candidates for use in clinical trials and for use in regulatory filings or the inability to do any of the foregoing.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also encounter delays if a clinical trial is suspended or terminated by us, by the data safety monitoring board for such trial or by the FDA, EMA or any other regulatory authority, or if the IRBs of the institutions in which such trials are being conducted suspend or terminate the participation of their clinical investigators and sites subject to their review. Regulatory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We may also face delays if we are unable to reach agreement with the FDA, EMA or other regulatory authorities regarding CMC matters, including methodologies for, and assessment of, comparability of manufacturing procedures and lots.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the commencement, conduct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may cause undesirable side effects or have other properties that could halt their clinical development, prevent their regulatory approval,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events or other undesirable side effects caused by our product candidates could cause us or regulatory authorities to interrupt, delay or halt clinical trials and could result in a more restrictive label or the delay or denial of regulatory approval by the FDA, EMA or other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 For example, in the tarcocimab arms of our completed GLEAM AND GLIMMER clinical trials, we observed an unexpected increase in cataracts, which we believe may have contributed meaningfully to the failure of each study to meet its primary efficacy endpoint.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most advanced product candidate, tarcocimab, is an anti-VEGF biologic that we have studied in wet AMD, DME, NPDR and RVO. KSI-501 is our investigational medicine and is a first-in-class bispecific antibody conjugate designed to inhibit two mechanisms implicated in retinal diseases: interleukin-6 (IL-6) and vascular endothelial growth factor ("VEGF"). There are some potential side effects associated with intravitreal anti-VEGF therapies such as intraocular hemorrhage, intraocular pressure elevation, retinal detachment, inflammation, vasculitis, artery occlusion or infection inside the eye, progression of cataract, and over-inhibition of VEGF, as well as the potential for potential systemic side effects such as heart attack, stroke, wound healing problems and high blood pressure. Recent trends in the development of anti-VEGF therapies have favored increased molar dosages, as compared to currently marketed treatments. To date these heightened dosages have not exhibited a safety profile significantly worse than that of current treatments, as attributable to molar dose. However, anti-VEGF product candidates featuring higher molar dosages, including tarcocimab and KSI-501 may heighten the risk of adverse effects associated with anti-VEGF treatments generally, both in the eye and in the rest of the body. There are risks inherent in the intravitreal injection procedure of drugs like tarcocimab and KSI-501 which can cause injury to the eye and other complications including conjunctival hemorrhage, punctate keratitis, eye pain, conjunctival hyperemia, intra-ocular inflammation and endophthalmitis. Any additional toxicology signal observed, be it real or perceived, may negatively impact perceptions of utilization of tarcocimab and KSI-501 in broader populations and impact clinical trial enrollment, regulatory approval and commercial success.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approvals of such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additional warnings on the label;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or conduct additional clinical trials or post-approval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create a REMS plan, which could include a medication guide outlining the risks of such side effects for distribution to patients, a communication plan for healthcare providers and/or other elements to assure safe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the particular product candidate, if approved, and could significantly harm our business,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encounter difficulties enrolling patients in our clinical trials, and our clinical development activities could thereby be delayed or otherwise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study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a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health epidemics, including the resulting shelter-in-place, travel or similar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safety events may cause physicians to decrease patient enrollment in our current or planned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trial investigators with the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clinical trials for similar therapies or targeting patient populations meeting our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clinicians’ and patients’ perceptions as to the potential advantages and side effects of the product candidate being studied in relation to other available therapies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patients enrolled in clinical trials will not complete such trials, for any reason.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 </w:t>
      </w:r>
    </w:p>
    <w:p>
      <w:pPr>
        <w:pStyle w:val="TextBody"/>
        <w:bidi w:val="0"/>
        <w:spacing w:before="240" w:after="283"/>
        <w:jc w:val="left"/>
        <w:rPr>
          <w:rFonts w:ascii="Times New Roman" w:hAnsi="Times New Roman"/>
          <w:sz w:val="20"/>
        </w:rPr>
      </w:pPr>
      <w:r>
        <w:rPr>
          <w:rFonts w:ascii="Times New Roman" w:hAnsi="Times New Roman"/>
          <w:b/>
          <w:i/>
          <w:color w:val="000000"/>
          <w:sz w:val="20"/>
        </w:rPr>
        <w:t>Our clinical trials may fail to demonstrate substantial evidence of the durability, efficacy and safety of our product candidates, which would prevent, delay or limit the scope of regulatory approval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This is especially true for anti-VEGF biologic agents, where Lucentis, Eylea and Avastin are established products with accepted safety profiles.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For example, in our Phase 2b/3 clinical trial evaluating the efficacy, durability and safety of tarcocimab in treatment-naïve subjects with neovascular wet AMD and in our Phase 3 GLEAM and GLIMMER studies, tarcocimab did not meet the primary efficacy endpoint of showing non-inferior visual acuity gains. Most product candidates that begin clinical trials are never approved by regulatory authorities for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even if such clinical trials are successfully completed, we cannot guarantee that the FDA or foreign regulatory authorities will interpret the results as we do, and more trials or trials of a different design could be required before we submit our product candidates for approval. To the extent that the results of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Even if trial results are successful at the primary endpoint, clinical trial results may be different or worse in the extended treatment periods following the primary endpoint, and such data may negatively impact perceptions by regulatory authorities, the clinical community or commercial payors of the benefits of our product candidates.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successful in our efforts to continue to create a pipeline of product candidates or to develop commercially successful products. If we fail to successfully identify and develop additional product candidates, our commercial opportunity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our strategies is to identify and pursue clinical development of product candidates based on our ABC Platform. Our ABC Platform may not produce a pipeline of viable product candidates, or our competitors may develop platform technologies that render our ABC Platform obsolete or less attractive.</w:t>
      </w:r>
    </w:p>
    <w:p>
      <w:pPr>
        <w:pStyle w:val="TextBody"/>
        <w:bidi w:val="0"/>
        <w:spacing w:before="240" w:after="283"/>
        <w:jc w:val="left"/>
        <w:rPr>
          <w:rFonts w:ascii="Times New Roman" w:hAnsi="Times New Roman"/>
          <w:sz w:val="20"/>
        </w:rPr>
      </w:pPr>
      <w:r>
        <w:rPr>
          <w:rFonts w:ascii="Times New Roman" w:hAnsi="Times New Roman"/>
          <w:b/>
          <w:i/>
          <w:color w:val="000000"/>
          <w:sz w:val="20"/>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 number of large pharmaceutical and biotechnology companies that are currently pursuing the development of products for the treatment of the retinal diseases for which we have product candidates. Certain of our competitors have commercially approved products for the treatment of retinal diseases that we are pursuing or may pursue in the future, including Roche, Regeneron and Novartis for the treatment of wet AMD, DME, DR and RVO. These drugs are well established therapies and are widely accepted by physicians, patients and third-party payors, which may make it difficult to educate these parties on the benefits of switching to any product candidates developed by us. Companies that we are aware are developing and / or commercializing therapeutics in the retinal disease area include large companies with significant financial resources, such as Roche, Novartis, Bayer and Regeneron, AbbVie, Boehringer Ingelheim, Amgen, Johnson &amp; Johnson, and Samsung Bioepis. In addition to competition from other companies targeting retinal indications, any products we may develop may also face competition from other types of therapies, such as gene-editing therapies and drug delivery devices.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Two Lucentis biosimilars were approved in the United States in 2022, and their approval may impact market dynamics and payor policies negatively for our product candidates. Roche’s product, Vabysmo (faricimab) received FDA approval for the treatment of wet AMD and DME in January 2022 and received FDA approval for RVO in October 2023. Vabysmo has gained rapid adoption since launch, and we believe it will become an important product in the marketplace. Regeneron’s product, Eylea HD (high dose aflibercept) gained FDA approval for the treatment of wet AMD, DME and DR in August 2023. We believe it will become an important therapy in the marketplace given Regeneron’s incumbent position in retinal diseases. Even if our product candidates present a compelling clinical profile, we may not be able to market our product candidates as effectively as our competitors. For example, entrenched franchises may seek to impede adoption of our product candidates through significant discounts or rebates.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of this Annual Report on Form 10-K titled “Risks Related to Our Intellectual Property.”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The manufacture of our product candidates is highly complex and requires substantial lead time to produce.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 Commercial manufacturing scale-up timelines may be negatively affected by material shortages, construction delays and supply chain challenges due to, among other factors, global supply chain shortages due to health epidemics, on-going geopolitical conflicts, global macroeconomic conditions, bank failures or other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In the event of significant product loss and materials shortages, we may be unable to produce adequate amounts of our product candidates or products for our operational needs.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for raw materials needed for manufacturing our product candidates. We may not be able to obtain adequate amounts in the future. These challenges are magnified by the international nature of our supply chain, which, for tarcocimab and KSI-501, requires drug substance and drug product sourced from single source suppliers from China, Japan, the United Kingdom, the United States and Switzerland.</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limited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ability to supply our products for patients, if approved, could be delayed or stopped, or we may be unable to establish a commercially viable cost 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order to conduct clinical trials of our product candidates, or supply commercial products, if approved, we will need to manufacture them in small and large quantities. Our third-party manufacturer has made only a limited number of commercial scale lots of tarcocimab based on our ABC Platform. Our manufacturing partners may be unable to successfully increase the manufacturing capacity for any of our product candidates in a timely or cost-effective manner, or at all. In addition, quality issues may arise during scale-up activities.</w:t>
      </w:r>
      <w:r>
        <w:rPr>
          <w:rFonts w:ascii="Times New Roman" w:hAnsi="Times New Roman"/>
          <w:color w:val="FF0000"/>
          <w:sz w:val="20"/>
        </w:rPr>
        <w:t xml:space="preserve"> </w:t>
      </w:r>
      <w:r>
        <w:rPr>
          <w:rFonts w:ascii="Times New Roman" w:hAnsi="Times New Roman"/>
          <w:color w:val="000000"/>
          <w:sz w:val="20"/>
        </w:rPr>
        <w:t>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manufacturing process for any products that we may develop is subject to FDA, EMA and foreign regulatory authority approval processes and continuous oversight. We will need to contract with manufacturers who can meet all applicable FDA, EMA and foreign regulatory authority requirements, including complying with current good manufacturing practices, or cGMPs, on an on-going basis. If we or our third-party manufacturers are unable to reliably produce products to specifications acceptable to the FDA, EMA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regulatory authorities, to produce it in sufficient quantities to meet the requirements for the potential launch of the product, or to meet potential future demand. For example, our manufacturers are also engaged in the manufacturing of vaccines and other therapeutic treatments, and the success of and demand for these vaccines and other therapeutic treatments means we and our programs are competing for scarce manufacturing resources. We hope to distribute tarcocimab in a prefilled syringe early in our commercial rollout. We may not be able to complete our prefilled syringe activities in a timely manner, or we may fail technically to design and develop a prefilled syringe for tarcocimab.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methods of manufacturing or formulation of product candidates may result in additional costs or delay.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product candidates proceed through preclinical studies to late-stage clinical trials towards potential approval and commercialization, our manufacturing methods and formulation of product candidates may be altered in an effort to optimize manufacturing processes and results. For example, we have recently created a scale-up formulation of tarcocimab in a manner that we believe may improve manufacturability and usability. However, these changes could cause tarcocimab to perform differently and affect the results of on-going clinical trials or other future clinical trials, and we may need to revert to a prior formulation and may be unable to recover the manufacturing costs of the drug product. In addition, changes to commercial formulations from those studied clinically could also lead regulatory authorities to delay the approval of our marketing applications until we can demonstrate through additional clinical data that there is comparability in the bioavailability of the two different formulations, or they may require us to revert to the prior formulation evaluated clinically. This could delay completion of clinical trials, require the repetition of one or more clinical trials, increase clinical trial costs, delay approval of tarcocimab or any future product candidates and jeopardize our ability to commence sales and generate revenue.</w:t>
      </w:r>
    </w:p>
    <w:p>
      <w:pPr>
        <w:pStyle w:val="TextBody"/>
        <w:bidi w:val="0"/>
        <w:spacing w:before="240" w:after="283"/>
        <w:jc w:val="left"/>
        <w:rPr>
          <w:rFonts w:ascii="Times New Roman" w:hAnsi="Times New Roman"/>
          <w:sz w:val="20"/>
        </w:rPr>
      </w:pPr>
      <w:r>
        <w:rPr>
          <w:rFonts w:ascii="Times New Roman" w:hAnsi="Times New Roman"/>
          <w:b/>
          <w:i/>
          <w:color w:val="000000"/>
          <w:sz w:val="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Factors that may inhibit our efforts to commercialize any approved product on our own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and retain adequate numbers of effective sales, marketing, reimbursement, customer service, medical affairs and other support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sales personnel to obtain access to physicians or educate adequate numbers of physicians on the benefits of prescribing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reimbursement professionals to negotiate arrangements for formulary access, reimbursement, and other acceptance by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price our products at a sufficient price point to ensure an adequate and attractive level of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or closed distribution channels that make it difficult to distribute our products to segments of the patient population;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commercialization organization.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any product candidates we develop receive marketing approval, they may fail to achieve the degree of market acceptance by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of such product candidates as demonstrated in pivotal clinical trials and published in peer-reviewed journals;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our product label as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our products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appropriate patient access programs, such as co-pay assistance;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physicians recommend our products to their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convenience and ease of dosing and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the product candidate is approved by FDA, EMA or other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of the FDA, EMA or other comparable foreign regulatory authorities, including any limitations, contraindications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how the product is distributed;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publicity concerning our products or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sufficient third-party coverage or reimbursement;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product candidates we develop do not achieve an adequate level of acceptance, we may not generate significant product revenue, and we may not become profitable.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are able to commercialize any product candidates, such products may become subject to unfavorable pricing regulations, third-party reimbursement practices or healthcare reform initiatives,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pricing and access policies in the United States and internationally may change and negatively impact the commercial viability of our product candidates. Proposed policy changes, including the potential for Medicare to negotiate with drug manufacturers under the Inflation Reduction Act of 2022, or the IRA, may limit our ability to competitively price our product candidates, if approved. Further, commercial insurers may limit patient access to our product candidates, if approved and other branded therapies. 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Further, coverage policies and third-party payor reimbursement rates may change at any time. Therefore, even if favorable coverage and reimbursement status is attained, less favorable coverage policies and reimbursement rates may be implemented in the future. Our inability to promptly obtain and maintain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may face competition from biological products that are biosimilar to or interchangeable with our product candidates sooner than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240" w:after="283"/>
        <w:jc w:val="left"/>
        <w:rPr>
          <w:rFonts w:ascii="Times New Roman" w:hAnsi="Times New Roman"/>
          <w:sz w:val="20"/>
        </w:rPr>
      </w:pPr>
      <w:r>
        <w:rPr>
          <w:rFonts w:ascii="Times New Roman" w:hAnsi="Times New Roman"/>
          <w:b/>
          <w:i/>
          <w:color w:val="000000"/>
          <w:sz w:val="20"/>
        </w:rPr>
        <w:t>The development program and timeline of tarcocimab may impact our ability to use the Ursus facility as intended, which could result in an excess of capital expenditures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2020, we, together with our wholly owned subsidiary Kodiak Sciences GmbH, entered into a manufacturing agreement with Lonza Ltd for the clinical and commercial supply of the Company’s antibody biopolymer conjugate drug substance, which included a custom-built manufacturing facility for the potential clinical and commercial supply of tarcocimab, or the Ursus facility. Fixed assets of $81.7 million, consisting of leasehold improvements and machinery and equipment, were placed in service and capitalized as of January 31, 2023. In October 2023, payment was made for the remaining $26.8 million of these fixed assets. In July 2023, we announced a decision to pause further development of tarcocimab, and then in November 2023, following additional positive clinical trial results, we announced a decision to resume the development of tarcocimab. The development plan, and any further changes thereto, as well as the timeline and success of tarcocimab, may impact our ability to fully utilize the Ursus facility. We may not realize any benefit from the capital expenditures to date, and we may incur substantial additional expenses and capital expenditures to repurpose the Ursus facility for our other product candidates or for use by third parties, any of which may negatively impact our operating results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are successful utilizing the Ursus facility, our manufacturing capabilities could be affected by cost-overruns, additional changes in our development plans, unexpected delays, equipment failures, labor shortages, natural disasters, power failures and numerous other factors that could prevent us from realizing the intended benefits of our manufacturing strategy and have a material adverse effect on our business. Any problems in our manufacturing process or facilities could make us a less attractive collaborator for potential partners, including larger pharmaceutical companies and academic research institutions, which could limit our access to additional attractive development programs.</w:t>
      </w:r>
    </w:p>
    <w:p>
      <w:pPr>
        <w:pStyle w:val="TextBody"/>
        <w:bidi w:val="0"/>
        <w:spacing w:before="240" w:after="283"/>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or interrupted demand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and inability to continue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exhaustion of any available insurance and our capital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product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decline in our share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Regulatory Approval and Other Legal Compliance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EMA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Applications for our product candidates could fail to receive regulatory approval for many reasons,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disagree with the design, implementation or results of our clinical trials or the portfolio of clinical trials planned for submission in our BLA;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population studied in the clinical program may not be sufficiently broad or representative to assure efficacy and safety in the full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FDA, EMA or comparable foreign regulatory authorities that a product candidate’s risk-benefit ratio for its proposed indication(s), when compared to the standard of care,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 BLA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study data may not be positive in all clinical trials demonstrating a mix of positive and negative clinical trial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fail to approve the chemistry, manufacturing and controls processes, test procedures and specifications, or facilities or third-party manufacturers with which we contract for clinical and commercial supplies;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EMA or comparable foreign regulatory authorities may significantly change in a manner rendering our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lengthy approval process, as well as the unpredictability of the results of clinical trials, may result in our failing to obtain regulatory approval to market any of our product candidates, which would significantly harm our business,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conducted clinical trials for our product candidates outside the United States (or the respective jurisdictions of other regulatory authorities), and the FDA (or EMA and applicable foreign regulatory authorities) may not accept data from such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conducted one or more of our clinical trials outside the United States, including Europe and other foreign countries. The acceptance of study data from global clinical trials by the FDA, EMA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their respective jurisdiction. If the FDA, EMA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obtain regulatory approval for a product candidate, our products will remain subject to extensive regulatory scrutiny.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Manufacturers and manufacturers’ facilities are required to comply with extensive requirements imposed by the FDA, EMA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BLA or marketing authorization application, or MAA. Accordingly, we and others with whom we work must continue to expend time, money and effort in all areas of regulatory compliance, including manufacturing, production and quality control.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will be subject to limitations on the approved indicated uses for which the product may be marketed and promoted or to the conditions of approval (including the requirement to implement a REMS), or contain requirements for potentially costly post-marketing testing. We will be required to report certain adverse reactions and production problems, if any, to the FDA, EMA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 warning letters that would result in adverse publicity;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or withdraw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any of our on-going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refuse to approve pending applications or supplements to approved applications submitted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restrictions on our operations, including closing our contract manufacturers’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seize or detain products;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a product recall.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Healthcare legislative measures aimed at reducing healthcare costs may have a material adverse effect on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or collectively the ACA, was enacted, which, among other things, subjected biologic products to potential competition by lower-cost biosimilars, addressed a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annual fees and taxes for certain branded prescription drugs, and provided incentives to programs that increase the federal government’s comparative effectiveness research.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ACA’s enactment, there have been numerous challenges to the ACA. For example, President Trump signed several Executive Orders and other directives designed to delay the implementation of certain provisions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On June 17, 2021, the U.S. Supreme Court dismissed a challenge on procedural grounds that argued that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Further, on August 16, 2022, President Biden signed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unclear how any such challenges and any additional healthcare reform measures of the Biden administration will impact the ACA and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to the statute, including the Infrastructure Investment and Jobs Act and Consolidated Appropriations Act of 2023, will remain in effect until 2032 unless additional Congressional action is taken. The American Taxpayer Relief Act of 2012 further reduced Medicare payments to several providers, including hospitals and cancer treatment centers, and increased the statute of limitations period for the government to recover overpayments to providers from three to five years. Further, on March 11, 2021, President Biden signed the American Rescue Plan Act of 2021 into law, which eliminates the statutory Medicaid drug rebate cap for single source and innovator multiple source drugs, beginning January 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our product candidates, if we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receive or set a price that we believe is fair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capital.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implemented but is likely to have a significant impact on the pharmaceutical industry.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the ACA, the IRA,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and other comparable foreign regulatory authorities; provide true, complete and accurate information to the FDA, EMA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healthcare laws, we could face substantial penalties and our business, operations and financial conditions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these statutes or specific intent to violate them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of 2009, or HITECH, and their respective implementing regulations, which impose requirements on certain covered healthcare providers, health plans and healthcare clearinghouses and their respective business associates and their subcontractors that perform services for them that involve the use, or disclosure of, individually identifiable health information as well as their covered subcontractors, relating to the privacy, security and transmission of individually identifiable health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the CMS under the Open Payments Program, information related to payments or other transfers of value made to physicians (defined to include doctors, dentists, optometrists, podiatrists and chiropractors), other healthcare professionals (such as physician assistant and nurse practitioners), and teaching hospitals, as well as ownership and investment interests held by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consumer protection and unfair competition laws, which broadly regulate marketplace activities and activities that potentially harm consumers;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stringent and evolving obligations related to data privacy and security. These obligations include U.S. and foreign laws, regulations and rules; contractual obligations; industry standards; and policies. Our actual or perceived failure to comply with such obligations could lead to regulatory investigations and actions; litigation (including class claims) and arbitration; fines and penalties; disruptions of our business operations; reputational harm; loss of revenue and profits; loss of sales; and other adverse business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(commonly known as processing)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provincial, state, national, and foreign laws and regulations, as well as policies, contracts and other obligations. Data privacy and security laws and regulations are evolving and may result in ever-increasing regulatory and public scrutiny and escalating levels of enforcement and sanctions.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federal, state, and local governments have enacted numerous data privacy and security laws, including data breach notification laws, personal data privacy laws, consumer protection laws and other similar laws. In the past few years, numerous U.S. states — including California, Colorado, Connecticut, Utah and Virginia — have enacted comprehensive privacy laws that impose certain obligations on covered businesses, including providing specific disclosures in privacy notices and affording residents with certain rights concerning their personal data. As applicable, such rights may include, in relation to their personal data, the right to access, correct, delete and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Certain of these state laws allow for statutory fines for noncompliance. For example, the California Consumer Privacy Act (the CCPA) provides for civil penalties for violations (up to $7,500 per violation) and a private right of action for certain data breaches(which could lead to the recovery of significant statutory damages). Although these laws may exempt some data processed in the context of clinical trials, these laws increase compliance costs and potential liability in the general data processing industry. Similar laws are being considered in other states as well as at the federal and local levels. We expect more laws to apply to our data processing activities. These laws will further complicate our compliance efforts and increase our legal risks and compliance costs (including of third parties upon whom we rely).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apply to data privacy and security. For example, the European Union’s General Data Protection Regulation, or EU GDPR, and the United Kingdom’s GDPR, or UK GDPR, impose strict requirements for processing personal data. Violators of these laws face significant penalties. For example, government regulators may impose temporary or definitive bans on data processing, as well as fines of up to 20 million Euros (under the EU GDPR) or 17.5 million pounds sterling (under the UK GDPR), or 4% of annual global revenue, whichever is greater, under either law. Further, the EU and UK GDPR also provide for private litigation related to the processing of personal data that can be brought by classes of data subjects or consumer protection organizations authorized at law to represent the data subjects’ interests.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be unable to transfer personal data from Europe and other jurisdictions to the United States or other countries due to data localization requirements or limitations on cross-border data transfers. Although there are various mechanisms (such as the European Economic Area standard contractual clauses, the UK’s International Data Transfer Agreement/Addendum, and the EU-U.S. Data Privacy Framework and the UK extension), that may be used in some cases to lawfully transfer personal data to the United States or other countries, these mechanisms are subject to legal challenges and may not be available to us. An inability or material limitation on our ability to transfer personal data to the United States or other countries could materially impact our business operations. If we cannot implement a valid compliance mechanism for cross-border data transfers, we may face increased exposure to regulatory actions, substantial fines, and injunctions against processing or transferring personal data from Europe and other foreign jurisdictions. The inability to import personal data to the United States could significantly and negatively impact our business operations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 Additionally, entities that transfer personal data across borders are subject to increased regulator, individual and activist group scrutiny. Some European regulators have ordered certain companies to suspend or permanently cease certain data transfers out of Europe for allegedly violating the GDPR’s cross-border data transfer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bound by contractual obligations related to data privacy and security, and our efforts to comply with such obligations may not be successful. We also publish privacy policies and other statements regarding data privacy and security. If these policies or statements are found to be deficient, lacking in transparency, deceptive, unfair or misrepresentative of our practices, we may be subject to investigation, enforcement actions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Obligations related to data privacy and security (and individuals’ data privacy and security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pStyle w:val="TextBody"/>
        <w:bidi w:val="0"/>
        <w:spacing w:before="120" w:after="283"/>
        <w:jc w:val="left"/>
        <w:rPr>
          <w:rFonts w:ascii="Times New Roman" w:hAnsi="Times New Roman"/>
          <w:sz w:val="20"/>
        </w:rPr>
      </w:pPr>
      <w:r>
        <w:rPr>
          <w:rFonts w:ascii="Times New Roman" w:hAnsi="Times New Roman"/>
          <w:color w:val="000000"/>
          <w:sz w:val="20"/>
        </w:rPr>
        <w:t>We may at times fail (or be perceived to have failed) in our efforts to comply with our data privacy and security obligations. Moreover, despite our efforts, our personnel or third parties upon whom we rely may fail to comply with such obligations which could negatively impact our business. If we or any third party on which we rely fail or are perceived to have failed to address or comply with applicable obligations relating to data privacy and security, we could face significant consequences including but not limited to: regulatory fines and bans on processing personal data; investigations and enforcement actions, penalties and other liabilities, litigation (including class action claims and mass arbitration demands); additional reporting requirements and/or oversight; orders to destroy or not use personal data; interruptions to our development process; and damage to our reputation, any of which could materially affect our business, financial condition, results of operations and growth prospects</w:t>
      </w:r>
      <w:r>
        <w:rPr>
          <w:rFonts w:ascii="Times New Roman" w:hAnsi="Times New Roman"/>
          <w:color w:val="000000"/>
          <w:sz w:val="24"/>
        </w:rPr>
        <w:t>.</w:t>
      </w:r>
    </w:p>
    <w:p>
      <w:pPr>
        <w:pStyle w:val="TextBody"/>
        <w:bidi w:val="0"/>
        <w:spacing w:before="240" w:after="283"/>
        <w:jc w:val="left"/>
        <w:rPr>
          <w:rFonts w:ascii="Times New Roman" w:hAnsi="Times New Roman"/>
          <w:sz w:val="20"/>
        </w:rPr>
      </w:pPr>
      <w:r>
        <w:rPr>
          <w:rFonts w:ascii="Times New Roman" w:hAnsi="Times New Roman"/>
          <w:b/>
          <w:i/>
          <w:color w:val="000000"/>
          <w:sz w:val="20"/>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activities may be subject to the Foreign Corrupt Practices Act, or FCPA, and similar anti-bribery and anti-corruption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expect to continue to rely on third parties, such as CROs, clinical data management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manufacturing facilities. We currently rely exclusively on a third-party manufacturer, Lonza AG, for the manufacture of our materials for preclinical studies and clinical trials and expect to continue to do so for preclinical studies, clinical trials and for commercial supply of any product candidates that we may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establish any further agreements with third-party manufacturers or to do so on acceptable terms. Even if we are able to establish agreements with third-party manufacturers, reliance on third-party manufacturers entails additional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early termination of the agreement by us at a time that requires us to pay a cancellation fee;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regulatory compliance, quality assurance, safety and pharmacovigilance and related reporting;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produce required volume in a timely manner and to quality standards.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medicines that we may develop may compete with other product candidates and products for access to manufacturing facilities. There are a limited number of manufacturers that operate under cGMP regulations and that might be capable of manufacturing for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 </w:t>
      </w:r>
    </w:p>
    <w:p>
      <w:pPr>
        <w:pStyle w:val="TextBody"/>
        <w:bidi w:val="0"/>
        <w:spacing w:before="240" w:after="283"/>
        <w:jc w:val="left"/>
        <w:rPr>
          <w:rFonts w:ascii="Times New Roman" w:hAnsi="Times New Roman"/>
          <w:sz w:val="20"/>
        </w:rPr>
      </w:pPr>
      <w:r>
        <w:rPr>
          <w:rFonts w:ascii="Times New Roman" w:hAnsi="Times New Roman"/>
          <w:b/>
          <w:i/>
          <w:color w:val="000000"/>
          <w:sz w:val="20"/>
        </w:rPr>
        <w:t>Reliance on third parties requires us to share our trade secrets, which increases the possibility that a competitor will discover them or that our trade secrets will be misappropriated or disclosed.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rely on third-party suppliers for key raw materials used in our manufacturing processes, and the loss of these third-party suppliers or their inability to supply us with adequate raw materials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involving our product candidates we may develop, pose the following risks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generally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our product candidates that result from our collaboration with them, and in such cases, we may not have the exclusive right to commercialize such intellectual property 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with respect to the ownership of intellectual property developed pursuant to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the cooperation of our collaborators to enforce or defend any intellectual property we contribute to or that arises out of our collaborations, which may not be provided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infringe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the collaborators and us that result in the delay or termination of the research, development, or commercialization of our product candidates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stop a clinical trial or abandon a product candidate, repeat or conduct new clinical trials, or require a new formulation of a product candidate for clinical testing;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with marketing and distribution rights to one or more product candidates may not commit sufficient resources to the marketing and distribution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lose certain valuable rights under circumstances identified in our collaborations, including if we undergo a change of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undergo a change of control and the new owners may decide to take the collaboration in a direction which is not in our best interest;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become party to a business combination transaction and the continued pursuit and emphasis on our development or commercialization program by the resulting entity under our existing collaboration could be delayed, diminished or terminated;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become bankrupt, which may significantly delay our research or development programs, or may cause us to lose access to valuable technology, know-how or intellectual property of the collaborator relating to our products,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key personnel at our collaborators may leave, which could negatively impact our ability to productively work with our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require us to incur short and long-term expenditures, issue securities that dilute our stockholders, or disrupt our management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and, if terminated, may result in a need for additional capital to pursue further development or commercialization of the applicable product candidates or our ABC Platform;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any of our patent applications does not issue as a patent in any jurisdiction, we may not be able to compete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the scope of any patent protection we obtain is not sufficiently broad, or if we lose any of our patent protection, our ability to prevent our competitors from commercializing similar or identical technology and product candidates would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able to protect our intellectual property and proprietary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tarcocimab and KSI-501, if we rely on a different product, its development could involve the use of government funds, which can require additional compliance aspects to make certain all rights are transferred to or remain with us. </w:t>
      </w:r>
    </w:p>
    <w:p>
      <w:pPr>
        <w:pStyle w:val="TextBody"/>
        <w:bidi w:val="0"/>
        <w:spacing w:before="240" w:after="283"/>
        <w:jc w:val="left"/>
        <w:rPr>
          <w:rFonts w:ascii="Times New Roman" w:hAnsi="Times New Roman"/>
          <w:sz w:val="20"/>
        </w:rPr>
      </w:pPr>
      <w:r>
        <w:rPr>
          <w:rFonts w:ascii="Times New Roman" w:hAnsi="Times New Roman"/>
          <w:b/>
          <w:i/>
          <w:color w:val="000000"/>
          <w:sz w:val="20"/>
        </w:rPr>
        <w:t>Issued patents may be challenged or invalidated, and relatively recent changes in U.S. patent law have diminished and may further diminish the value of patents in general. We rely on patents to protect our products, and any diminishment in the scope or value of our patents would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compared to intellectual property-reliant companies generally, the patent positions of companies in the development and commercialization of biologics and pharmaceuticals are particularly uncertain.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do not obtain patent term extension and data exclusivity for any product candidates we may develop,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that our employees, consultants, or advisors have wrongfully used or disclosed alleged trade secrets of their current or former employers or claims asserting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 </w:t>
      </w:r>
    </w:p>
    <w:p>
      <w:pPr>
        <w:pStyle w:val="TextBody"/>
        <w:bidi w:val="0"/>
        <w:spacing w:before="240" w:after="283"/>
        <w:jc w:val="left"/>
        <w:rPr>
          <w:rFonts w:ascii="Times New Roman" w:hAnsi="Times New Roman"/>
          <w:sz w:val="20"/>
        </w:rPr>
      </w:pPr>
      <w:r>
        <w:rPr>
          <w:rFonts w:ascii="Times New Roman" w:hAnsi="Times New Roman"/>
          <w:b/>
          <w:i/>
          <w:color w:val="000000"/>
          <w:sz w:val="20"/>
        </w:rPr>
        <w:t>Third-party claims of intellectual property infringement, misappropriation or other violation against us or our collaborators may prevent or delay the development and commercialization of our product candidates, the ABC Platform and other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Times New Roman" w:hAnsi="Times New Roman"/>
          <w:i/>
          <w:color w:val="000000"/>
          <w:sz w:val="20"/>
        </w:rPr>
        <w:t>inter partes</w:t>
      </w:r>
      <w:r>
        <w:rPr>
          <w:rFonts w:ascii="Times New Roman" w:hAnsi="Times New Roman"/>
          <w:color w:val="000000"/>
          <w:sz w:val="20"/>
        </w:rPr>
        <w:t xml:space="preserve"> review and post-grant review have been implemented. As stated above, this reform adds uncertainty to the possibility of challenge to our patents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impede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aware of a number of patents and patent applications that are directed to one or more aspects of tarcocimab and KSI-501. Our intent is to maintain our development efforts under 35 U.S.C. Section 271(e)(1) (which provides a safe harbor from patent infringement claims related to certain drug development activities) through to at least the launch of any tarcocimab and KSI-501 product. We are aware of at least one pending patent application with claims that are directed to some aspect of tarcocimab and KSI-501, and that could, if issued, result in a patent term beyond a potential launch date for tarcocimab or KSI-501. If this were to occur, we may be required to challenge the validity of the claims, obtain a license, modify tarcocimab or KSI-501, or delay launch. We are also aware of at least one issued patent family with claims that may be related to some potential future aspect(s) of KSI-501 and that has a patent term beyond a potential launch date for KSI-501. If this or any other patent family were perceived relevant, we may be required to challenge the validity of the claims, obtain a license, modify KSI-501, or delay launch.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choose to further the pipeline and develop a different product, such a product would be delayed until the expiration of any valid patent that is still in force on such product. Alternatively, our options for addressing any such patents relating to these non- tarcocimab and KSI-501 products would include the following: challenge the validity of the claims, obtain a license, or modify the non- tarcocimab and non-KSI-501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technology,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involved in lawsuits to protect or enforce our patents and other intellectual property rights, which could be expensive, time 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and “KODIAK SCIENCES” in the United States.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our product candidates or utilize similar technology but that are not covered by the claims of the patents that we may license or own;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make the inventions covered by the issued patent or pending patent application that we license or own now or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current or future pending owned or licensed patent applications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or unenforceable, including as a result of legal challenges by our competitors or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or other third parties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harm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covering such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these events occur, they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and commercializing new medicines is a challenging exercise and requires diverse expertise in a variety of scientific, clinical, manufacturing, commercial, financial, people and legal functions. Failure to adequately develop these functions will hurt our ability to compete effectively.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 our U.S. operations at our facilities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 </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need to grow the size and capabilities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had 111 employees.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recruiting, integrating, retaining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our internal development efforts effectively, including the clinical and FDA review process for our current and future product candidates, while complying with our contractual obligations to contractors and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expanding our operational, financial and management controls, reporting systems and procedures;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increasing operational and managerial complexity.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engage in acquisitions, in-licensing or strategic partnerships, this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engage in various acquisitions and strategic partnerships in the future, including licensing or acquiring complementary products, intellectual property rights, technologies or businesses. Any acquisition or strategic partnership may entail numerous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assumption of indebtedness or contingent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our equity securities which would result in dilution to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assimilation of operations, intellectual property, products and product candidates of an acquired company,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diversion of our management’s attention from our existing product candidates and initiatives in pursuing such an acquisition or strategic partnership;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the loss of key personnel, and uncertainties in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and uncertainties associated with the other party to such a transaction, including the prospects of that party and their existing products or product candidates and regulatory approvals;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generate revenue from acquired intellectual property, technology and/or products sufficient to meet our objectives or even to offset the associated transaction and maintenance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we undertake such a transaction, we may incur large one-time expenses and acquire intangible assets that could result in significant future amortization expense.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security measures, or those maintained on our behalf by CROs, service providers or other third parties, are compromised now, or in the future, or the security, confidentiality, integrity or availability of our or others' information technology, software, services, networks, communications or data is compromised, limited or fails, this could result in significant fines or other liability, interrupt our development programs, harm our reputation, or otherwise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and others upon which we rely process personal data and other sensitive information, including proprietary and confidential business data, trade secrets, intellectual property, data collected about trial participants in connection with clinical trials, and sensitive third-party data. We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and other functions. Our ability to monitor these third parties’ information security practices is limited, and these third parties may not have adequate information security measures in place.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Cyberattacks, malicious internet-based activity, and online and offline fraud are prevalent and continue to increase. These threats are becoming increasingly difficult to detect. The information and data processed and stored in our technology systems, and those of our research collaborators, CROs, contractors, consultants, and other third parties on which we depend to operate our business, may be vulnerable to these threats. These threats come from a variety of sources, including traditional computer “hackers,” threat actors, personnel (such as through theft or misuse), sophisticated nation-states, and nation-state-supported actors. During times of war and other major conflicts, we and the third parties upon which we rely may be vulnerable to a heightened risk of attacks, including cyber-attacks that could materially disrupt our systems and operations and supply chain. We and the third parties upon which we rely may be subject to a variety of evolving threats, including but not limited to social-engineering attacks (including through deep fakes and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attacks enhanced or facilitated by artificial intelligence (AI),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certain personnel may remain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previously identified or similar threats could cause a security incident or other interruption. A security incident or other interruption could result in unauthorized, unlawful, or accidental acquisition, modification, destruction, loss, alteration, encryption, disclosure of, access to our sensitive information, or interruptions or stoppages in our business operations (including our clinical trials). Although to our knowledge, we have not experienced a material system failure or security incident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third-party research institution collaborators, CROs, other contractors and consultants for many aspects of our business, including research and development activities and manufacturing of our product candidates, and similar events relating to their computer systems could also have a material adverse effect on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developed systems and processes designed to protect the integrity, confidentiality and security of the sensitive information under our control, we cannot assure you that our security measures or those of the third parties we depend on will be effective in preventing security incidents. There are many different and rapidly evolving cybercrime and hacking techniques, and we may be unable to anticipate attempted security incidents, identify them before our information is exploited, or react in a timely manner. We may be unable to detect vulnerabilities in our information technology systems and software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applicable data protection requirements, including, without limitation, laws, regulations, guidance as well as our internal and external policies and our contractual obligations, may require us to notify relevant stakeholders of security incident, including affected individuals, partners, collaborators, regulators, law enforcement agencies, and others. Such disclosures are costly, and the disclosure or the failure to comply with such requirements could lead to litigation or other liability, fines, harm to our reputation, significant costs, or other materially adverse effects. Any limitations or exclusions of liability in our contracts may not be enforceable or adequate or protect us from liability or damages.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insurance coverage may not be adequate for cybersecurity liabilities, may not continue to be available to us on economically reasonable terms, or at all, and insurers could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For example, in connection to health epidemics, the various quarantines, shelter-in-place and similar government orders, or the perception that such orders, shutdowns or other restrictions on the conduct of business operations could occur, related to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health epidemics could impact our results will depend on future developments, which are highly uncertain and cannot be accurately predicted, including the severity and the actions to contain or treat such outbreaks, epidemics, or pandemics, among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are located at facilities in Palo Alto, California and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implemented a new enterprise resource planning, or ERP, system as well as other systems as part of our on-going technology and process improvements. Our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is subject to economic, political, regulatory and other risks associated with international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subject to risks associated with conducting business internationally. Some of our suppliers and collaborative relationships are located outside the United States. Accordingly, our future results could be harmed by a variety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non-U.S.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and changing regulatory requirements, pricing and reimbursement regimes in non-U.S. countries;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enforcing our contractual and intellectual property rights, especially in those foreign countries that do not respect and protect intellectual property rights to the same extent as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compliance with non-U.S. laws and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non-U.S. regulations and customs, tariffs and trade barriers;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non-U.S. currency exchange rates and currency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 specific country’s or region’s political or economic environment;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trade protection measures, import or export licensing requirements or other restrictive actions by U.S. or non-U.S. governments;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consequences from changes in tax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associated with staffing and managing international operations, including differing labor relations;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liability under the FCPA or comparable foreign 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or natural disasters.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international, geo-political, and macroeconomic events could also have an adverse impact on our business. The United States and certain other countries may impose significant sanctions, trade restrictions, and other retaliatory actions in response to these events. While we cannot predict the broader consequences of these types of events, the conflict and retaliatory and counter-retaliatory actions could materially adversely affect global trade, currency exchange rates, inflation, regional economies, and the global economy, which in turn may increase our costs, disrupt our supply chain, or otherwise adversely affect our business, financial condition, and results of operations. In addition, increasing inflation rates and the responses by central banking authorities to control such inflation have contributed to uncertainty and volatility in U.S. and global markets. Rising inflation rates in the United States have begun to affect businesses across many industries, including ours, by increasing costs of operations such as labor.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risks associated with our planned international operations may materially adversely affect our business, financial condition, and ability to attain profitable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could be materially and adversely affected in the future by the effects of disease outbreaks, epidemics and pandemics, as well as the business or operations of our manufacturers, CROs or other third parties with whom we conduct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could be materially and adversely affected by health epidemics in regions where we have concentrations of clinical trial sites or other business operations and could cause significant disruption in the operations of third-party manufacturers and CROs upon whom we rely.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current and future clinical trials may be materially and adversely affected by health epidemics in the future. Site initiation and patient enrollment may be further delayed due to prioritization of hospital resources toward health epidemics.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during health epidemics, and may adversely impact our clinical trial operations. Kodiak staff and/or our CRO partners may not be able to travel to study sites, impacting further site initiations and in-person monitoring of study data quality. Other Kodiak vendors on whom we depend, such as supply chain and logistics partners and our image reading centers may be disrupted, and our operations could be affected. Our clinical studies enroll patients who have underlying risk factors such as advanced age, hypertension and/or diabetes which could lead to higher than expected study discontinuation rates and/or missed visit rates if these patients are adversely affected by health epidemics. To date, we continue to see low levels of patient missed visits.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the risks and evolving effects of health epidemics impact our business and our clinical development and regulatory efforts will depend on future developments that are highly uncertain and cannot be predicted with confidence, such as the ultimate duration and severity of the pandemic, government actions, such as travel restrictions, quarantines and social distancing requirements, business closures or business disruptions and the effectiveness of actions taken in the United States and in other countries to contain and treat the disease, including the effectiveness and timing of vaccine programs in the United States and worldwide. Health epidemics may also have the effect of heightening many of the other risks described in this “Risk Factors” section.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the Company had $83.8 million of federal and $616.3 million of state net operating loss, or NOLs, that may be available to offset future taxable income. A portion of the federal NOL carryforwards begin to expire in 2035 and the state NOL carryforwards begin to expire in 2035, if not utilized.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NOL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federal tax legislation enacted in 2017, informally titled The Tax Cuts and Jobs Act, or the Tax Act, as modified by the Coronavirus Aid, Relief, and Economic Security Act, or the CARES Act, enacted in March 2020, among other things, includes changes to U.S. federal tax rates and the rules governing NOL carryforwards. Federal NOLs arising in tax years beginning after December 31, 2017 are permitted to be carried forward indefinitely, but carryback of such NOLs is generally permitted to the prior five taxable years only for NOLs arising in taxable years beginning before 2021. In addition, under the Tax Act, as modified by the CARES Act, the deductibility of federal NOLs incurred in taxable years beginning after December 31, 2017 is limited in taxable years beginning after December 31, 2020. For state income tax purposes, there may be periods during which the use of net operating loss carryforwards is suspended or otherwise limited, which could accelerate or permanently increase state taxes owed. The new limitations on use of NOLs may significantly impact our ability to utilize our NOLs to offset taxable income in the future.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More recently, the IRA was enacted which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IRA,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net deferred tax assets, could result in significant one-time charges, and could increase our future U.S. tax expense.</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Business, Financial Condition and Capital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Unfavorable U.S. and global economic conditions could adversely affect our business, financial condition or results of operations</w:t>
      </w:r>
      <w:r>
        <w:rPr>
          <w:rFonts w:ascii="Arial" w:hAnsi="Arial"/>
          <w:b/>
          <w:i/>
          <w:color w:val="000000"/>
          <w:sz w:val="17"/>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U.S. and global economies, the U.S. and global financial markets and adverse geopolitical and macroeconomic developments. U.S. and global market and economic conditions have been, and continue to be, disrupted and volatile due to many factors, including increasing inflation rates and the responses by central banking authorities to control such inflation, geopolitical conflicts, and bank failures,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severe or prolonged global economic downturn could result in a variety of risks to our business. 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Deposit Insurance Corporation only insures amounts up to $250,000 per depositor. Recently, we have seen the abrupt failure of more than one regional bank. We may from time to time have balances in bank accounts that are in excess of insured deposit limits, and could be subject to risks of bank failures. Similar bank failures could significantly impair our access to funding sources in amounts adequate to finance or capitalize our current and projected future business operations and could negatively impact the financial institutions with which we have direct arrangements, or the financial services industry or economy in 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financial markets around the world experienced volatility following the invasion of Ukraine by Russia. Further, a weak or declining economy could strain our suppliers and manufacturers.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operations, as well as current and potential new suppliers and manufacturers, throughout Europe. If economic conditions in Europe and other key markets for our business remain uncertain or deteriorate further, we could experience adverse effects on our business, financial condition or results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incurred significant net losses in each period since our inception and anticipate that we will continue to incur significant and increasing net losses for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net losses in each reporting period since our inception, including net losses of $260.5 million, $333.8 million and $267.0 million for the years ended December 31, 2023, 2022 and 2021, respectively. As of December 31, 2023, we had an accumulated deficit of $1,152.5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quarter-to-quarter and year-to-year, such that a period-to-period comparison of our results of operations may not be a good indication of our future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incur significant and increasingly higher expenses and operating losses for the foreseeable future.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progress our current and any future product candidates through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 with our contract manufacturers to scale up the manufacturing processes for our product candidates or, in the future, establish and operate a manufacturing facility;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our research and discovery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and conduct additional preclinical, clinical or other studies for our current and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or add additional contract manufacturers or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approvals and marketing authorizations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sales, marketing and distribution infrastructure to commercialize any products for which we obtain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the development of our ABC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product candidates, intellectual property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milestone, royalty or other payments due under any current or future collaboration or license agreements;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maintain, expand, protect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hire and retain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any delays or encounter other issues related to our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meet the requirements and demands of being a public company;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 against any product liability claims or other lawsuits related to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Drug development is a highly uncertain undertaking and involves a substantial degree of risk. We have never generated any revenue from product sales, and we may never generate revenue or be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profitability depends significantly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completing research and preclinical and clinical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regulatory approvals and marketing authorizations for product candidates for which we successfully complete clinical development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assessing, acquiring and/or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successfully commercializing product candidates for which we obtain regulatory and marketing approval, either by collaborating with a partner or, if launched independently, by establishing a sales, marketing and distribution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an adequate price for our product candidates, both in the United States and in foreign countries where our products are commercialized;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adequate reimbursement for our product candidates from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of our product candidates as viable treatment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expanding and enforcing our portfolio of intellectual property rights, including patents,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obtain additional financing, we may be unable to complete the development and, if approved,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have required substantial amounts of cash since inception. To date, we have funded our operations primarily through the sale of equity securities. Developing our product candidates is expensive, and we expect to continue our spending as we advance our product candidate development efforts. Even if we are successful in developing our product candidates, obtaining regulatory approvals and launching and commercializing any product candidate will require substantial additional funding.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 as to how long we expect our existing cash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additional capital for the further development and, if approved, commercialization of our product candidates. Additional capital may not be available when we need it, on terms acceptable to us or at all. For example, recent geopolitical conflicts in Europe and the Middle East created extreme volatility in the global capital markets and are expected to have further global economic consequences, including disruptions of the global supply chain. Further, inflation rates, particularly in the United States, have increased recently to levels not seen in decades, and the Federal Reserve has raised, and may again raise, interest rates. These conditions of economic uncertainty and market volatility could limit additional capital available to us, if and when needed, and increase its cost if available. In addition, it is possible that we may not be able to access a portion of our existing cash, cash equivalents and investments due to unforeseen market conditions. For example, on March 10, 2023, the Federal Deposit Insurance Corporation (FDIC), took control and was appointed receiver of Silicon Valley Bank.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We currently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If any of our future investments or allocations of research and development financial resources result in failed product candidates, our financial condition and business prospects may be significantly adversely impacted and we may never become profitable.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exchange rate risk may impact our financial position and results.</w:t>
      </w:r>
    </w:p>
    <w:p>
      <w:pPr>
        <w:pStyle w:val="TextBody"/>
        <w:bidi w:val="0"/>
        <w:spacing w:before="120" w:after="283"/>
        <w:jc w:val="left"/>
        <w:rPr>
          <w:rFonts w:ascii="Times New Roman" w:hAnsi="Times New Roman"/>
          <w:sz w:val="20"/>
        </w:rPr>
      </w:pPr>
      <w:r>
        <w:rPr>
          <w:rFonts w:ascii="Times New Roman" w:hAnsi="Times New Roman"/>
          <w:color w:val="000000"/>
          <w:sz w:val="20"/>
        </w:rPr>
        <w:t>We use foreign currency forward contracts to protect against changes in anticipated foreign currency cash flows resulting from changes in foreign currency exchange rates, primarily associated with non-functional currency denominated expenses. We regularly monitor our foreign currency exchange rate exposures to ensure the overall effectiveness of its foreign currency exposures. While we engage in foreign currency hedging activity to reduce our risk, for accounting purposes, none of its foreign currency forward contracts are designated as hedges</w:t>
      </w:r>
      <w:r>
        <w:rPr>
          <w:rFonts w:ascii="Times New Roman" w:hAnsi="Times New Roman"/>
          <w:b/>
          <w:color w:val="000000"/>
          <w:sz w:val="20"/>
        </w:rPr>
        <w:t>.</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market price of our common stock may be volatile, which could result in substantial losses for investors purchasing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may be volatile. For example, the closing price of our common stock from December 31, 2022 to December 31, 2023 ranged from a low of $1.40 to a high of $9.48 and from January 1, 2024 to February 29, 2024, ranged from a low of $3.01 to a high of $6.14. As a result, shareholders may not be able to sell their common stock at or above the price that they paid for such shares. Some of the factors that may cause the market price of our common stock to fluctuate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existing or new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results of clinical trials for our current product candidates and any future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commencement or termination of collaborations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or discontinuation of any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develop our ABC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preclinical studies, clinical trials or regulatory approvals of product candidates of our competitors, or announcements about new research programs or product candidates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 applications, issued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commencement of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any of our research programs,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develop additional product candidates or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 or expectation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estimates or recommendations by securities analysts, if any, that cover our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including the current inflationary environment, lowered consumer confidence, bank failures, major geopolitical conflicts;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including recently in connection with health epidemics, bank failures, broader macroeconomic conditional and/or geopolitical instability, which has resulted in decreased market prices, notwithstanding the lack of a fundamental change in the underlying business models or prospects of those companies. Broad market and industry factors may seriously affect the market price of our common stock, regardless of our actual operating performance. In this regard, worsening economic conditions, interest rate increases and/or other tapering policies from the government, and other adverse effects or developments relating to health epidemics or general economic environment may negatively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pStyle w:val="TextBody"/>
        <w:bidi w:val="0"/>
        <w:spacing w:before="240" w:after="283"/>
        <w:jc w:val="left"/>
        <w:rPr>
          <w:rFonts w:ascii="Times New Roman" w:hAnsi="Times New Roman"/>
          <w:sz w:val="20"/>
        </w:rPr>
      </w:pPr>
      <w:r>
        <w:rPr>
          <w:rFonts w:ascii="Times New Roman" w:hAnsi="Times New Roman"/>
          <w:b/>
          <w:i/>
          <w:color w:val="000000"/>
          <w:sz w:val="20"/>
        </w:rPr>
        <w:t>Raising additional capital may cause dilution to our existing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seek additional capital through one or a combination of public and private equity offerings, debt financings, strategic partnerships and alliances or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principal stockholders own a significant percentage of our common stock, which could limit your ability to affect the outcome of key transactions, including a change of control.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Delaware law and provisions in our certificate of incorporation and bylaws might discourage, delay, or prevent a change in control of our company or changes in our management and, therefore, depress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vacancies on our board of directors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shares of preferred stock and determine the price and other terms of those shares, including preferences and voting rights, without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our board of directors with the exclusive right to elect a director to fill a vacancy or newly created directorship;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stockholders to only take actions at a duly called annual or special meeting and not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stockholders from calling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stockholders give advance notice to nominate directors or submit proposals for consideration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by a majority vote, to amend the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affirmative vote of at least 66 2/3% or more of the outstanding shares of common stock to amend many of the provisions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provide that the Court of Chancery of the State of Delaware will be the exclusive forum for: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derivative action or proceeding brought on our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of breach of fiduciary duty;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arising under the DGCL, our certificate of incorporation, or our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that is governed by the internal-affairs doctrine.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further provide that the U.S. federal district courts will be the exclusive forum for resolving any complaint asserting a cause of action arising under the Securities Act of 1933, as amended.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Future sales of our common stock in the public market could cause our share price to decline, even if our business is doing well.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 Furthermore, our business, financial position, and results of operations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are subject to reporting and other obligations under the Exchange Act, including the requirements of the Sarbanes-Oxley Act of 2002, or SOX, Section 404, which require annual management assessments of the effectiveness of our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 These reporting and other obligations place significant demands on our management and administrative and operational resources, including accounting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 Any failure to maintain effective internal controls could also have an adverse effect on our business, financial position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8" w:name="item_1b_unresolved_staff_comments"/>
      <w:bookmarkEnd w:id="8"/>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9" w:name="item_1c_cybersecurity"/>
      <w:bookmarkEnd w:id="9"/>
      <w:r>
        <w:rPr>
          <w:rFonts w:ascii="Times New Roman" w:hAnsi="Times New Roman"/>
          <w:b/>
          <w:color w:val="000000"/>
          <w:sz w:val="20"/>
        </w:rPr>
        <w:t>ITEM 1C. CYBERSECURITY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implemented and maintain various information security processes designed to identify, assess and manage material risks from cybersecurity threats to our critical computer networks, third party hosted services, hardware, software, and our high value data, including intellectual property, trade secrets, confidential and sensitive information (collectively, "Information Systems and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Chief Information Officer (“CIO") helps identify, assess and manage the Company's cybersecurity threats and risks. Depending on the environment, we implement and maintain various technical, physical and organizational measures, processes, standards and policies designed to manage, mitigate and remediate material risk from cybersecurity threats to our Information Systems and Data. Our Information Security and Privacy Policy includes standards for incident response, vulnerability management, data protection and logical access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assessment and management of material risks from cybersecurity threats are integrated into our Company's overall risk management process, which, in part, establishes intended uses of our computerized systems and identifies critical and/or material risks. After a system reaches operation, the risk management approach continues following standard processes for change control, system maintenance, logical access control, discrepancy management and periodic review.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independent service providers to assist us from time to time in an effort to identify, assess, and manage material risks from cybersecurity threats.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vendor management process to manage cybersecurity risks associated with our use of independent service providers. Depending on the nature of the services provided, the sensitivity of the Information Systems and Data at issue, and the identity of the provider, our vendor management process may involve varying methods of assessment designed to help identify cybersecurity risks associated with a provider and impose contractual obligations related to cybersecurity on the provider.</w:t>
      </w:r>
    </w:p>
    <w:p>
      <w:pPr>
        <w:pStyle w:val="TextBody"/>
        <w:bidi w:val="0"/>
        <w:spacing w:before="120" w:after="283"/>
        <w:jc w:val="left"/>
        <w:rPr>
          <w:rFonts w:ascii="Times New Roman" w:hAnsi="Times New Roman"/>
          <w:sz w:val="20"/>
        </w:rPr>
      </w:pPr>
      <w:r>
        <w:rPr>
          <w:rFonts w:ascii="Times New Roman" w:hAnsi="Times New Roman"/>
          <w:color w:val="000000"/>
          <w:sz w:val="20"/>
        </w:rPr>
        <w:t>For a description of the risks from cybersecurity threats that may materially affect the Company and how they may do so, see our risk factors under Part 1. Item 1A. Risk Factors in this Annual Report on Form 10-K, including “</w:t>
      </w:r>
      <w:r>
        <w:rPr>
          <w:rFonts w:ascii="Times New Roman" w:hAnsi="Times New Roman"/>
          <w:b/>
          <w:i/>
          <w:color w:val="000000"/>
          <w:sz w:val="20"/>
        </w:rPr>
        <w:t>If our security measures, or those maintained on our behalf by CROs, service providers or other third parties, are compromised now, or in the future, or the security, confidentiality, integrity or availability of our or others’ information technology, software, services, networks, communications or data is compromised, limited or fails, this could result in significant fines or other liability, interrupt our development programs, harm our reputation, or otherwise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Nominating and Corporate Governance Committee of our Board of Directors is responsible for overseeing cybersecurity risk management processes, including oversight and mitigation of risk from cybersecurity threats. The Nominating and Corporate Governance Committee receives reports from the CIO, Chief Financial Officer (“CFO”) or their designee concerning the Company’s material cybersecurity risks and the processes the Company has implemented in an effort to mitigate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cybersecurity risk assessment and management processes are implemented and maintained by the CIO. The CIO and the CFO are responsible for overall cybersecurity risk management strategy and communicating material cybersecurity priorities to the responsible board committee. The CIO has relevant cybersecurity expertise such as: leading the enterprise IT Security program for 7 years and Supply Chain Cybersecurity efforts for 6 years at a large commercial stage biopharmaceutical company. The CIO and CFO undertake efforts to learn about the Company’s cybersecurity threats by reviewing security assessments and other security-related reports.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cybersecurity incident response and vulnerability management follow our Information Security and Privacy Policy framework. This framework is designed to escalate certain cybersecurity incidents to certain management members (including the CIO and CFO) depending upon the circumstances. In addition, depending upon an incident’s particular facts, the CIO, CFO or their designee report to the Nominating and Corporate Governance Committee of the Board of Directors for certain cybersecurity incidents.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0" w:name="item_2_properties"/>
      <w:bookmarkEnd w:id="10"/>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bookmarkStart w:id="11" w:name="highlight_result_1"/>
      <w:bookmarkEnd w:id="11"/>
      <w:r>
        <w:rPr>
          <w:rFonts w:ascii="Times New Roman" w:hAnsi="Times New Roman"/>
          <w:color w:val="000000"/>
          <w:sz w:val="20"/>
        </w:rPr>
        <w:t>Our corporate offices are located in Palo Alto, California, where we lease approximately 155,000 square feet of office, research and development, engineering and laboratory space pursuant to lease agreements that commenced in June 2020. The initial lease term for 1200 Page Mill Road is 6.5 years, with an option to extend the lease term for a period of 6.5 years. The initial lease term for 1250 Page Mill Road is 13 years, with two options to extend the lease term for a period of 5 years each. Our corporate offices in Palo Alto, California house substantially all of our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2020, we entered into a lease agreement for office and laboratory space at Rottenstrasse 5 in Visp, Switzerland. The space is approximately 1,000 square meters. The initial lease term is 5 years, with automatic renewals every 5 years for a maximum lease term of 15 years.</w:t>
      </w:r>
    </w:p>
    <w:p>
      <w:pPr>
        <w:pStyle w:val="TextBody"/>
        <w:bidi w:val="0"/>
        <w:spacing w:before="240" w:after="283"/>
        <w:jc w:val="left"/>
        <w:rPr>
          <w:rFonts w:ascii="Times New Roman" w:hAnsi="Times New Roman"/>
          <w:sz w:val="20"/>
        </w:rPr>
      </w:pPr>
      <w:bookmarkStart w:id="12" w:name="item_3_legal_proceedings"/>
      <w:bookmarkEnd w:id="12"/>
      <w:r>
        <w:rPr>
          <w:rFonts w:ascii="Times New Roman" w:hAnsi="Times New Roman"/>
          <w:b/>
          <w:color w:val="000000"/>
          <w:sz w:val="20"/>
        </w:rPr>
        <w:t>ITEM 3.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pStyle w:val="TextBody"/>
        <w:bidi w:val="0"/>
        <w:spacing w:before="240" w:after="283"/>
        <w:jc w:val="left"/>
        <w:rPr>
          <w:rFonts w:ascii="Times New Roman" w:hAnsi="Times New Roman"/>
          <w:b/>
          <w:color w:val="000000"/>
          <w:sz w:val="20"/>
        </w:rPr>
      </w:pPr>
      <w:bookmarkStart w:id="13" w:name="item_4_mine_safety_disclosures"/>
      <w:bookmarkEnd w:id="13"/>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part_ii"/>
      <w:bookmarkEnd w:id="14"/>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120" w:after="283"/>
        <w:jc w:val="left"/>
        <w:rPr>
          <w:rFonts w:ascii="Times New Roman" w:hAnsi="Times New Roman"/>
          <w:b/>
          <w:color w:val="000000"/>
          <w:sz w:val="20"/>
        </w:rPr>
      </w:pPr>
      <w:bookmarkStart w:id="15" w:name="item_5_market_for_registrants_common_equ"/>
      <w:bookmarkEnd w:id="15"/>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trades on the Nasdaq Global Market under the trading symbol “KOD”.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Holders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29, 2024, there were approximately 23 holders of record of our common stock. The approximate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dividends on our common stock and do not anticipate paying cash dividends in the foreseeable future.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r>
        <w:rPr>
          <w:rFonts w:ascii="Times New Roman" w:hAnsi="Times New Roman"/>
          <w:b/>
          <w:color w:val="000000"/>
          <w:sz w:val="20"/>
        </w:rPr>
        <w:t>Purchases of Equity Securities by the Issuer and Affiliated Purchases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16" w:name="item_6_selected_consolidated_financial_d"/>
      <w:bookmarkEnd w:id="16"/>
      <w:r>
        <w:rPr>
          <w:rFonts w:ascii="Times New Roman" w:hAnsi="Times New Roman"/>
          <w:b/>
          <w:color w:val="000000"/>
          <w:sz w:val="20"/>
        </w:rPr>
        <w:t>ITEM 6. RESERVED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7" w:name="item_7_managements_discussion_analysis_f"/>
      <w:bookmarkEnd w:id="17"/>
      <w:r>
        <w:rPr>
          <w:rFonts w:ascii="Times New Roman" w:hAnsi="Times New Roman"/>
          <w:b/>
          <w:color w:val="000000"/>
          <w:sz w:val="20"/>
        </w:rPr>
        <w:t>ITEM 7.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consolidated financial statements and the related notes included elsewhere in this Annual Report on Form 10-K. This discussion and analysis and other parts of this Annual Report on Form 10-K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“Risk Factors” and elsewhere in this Annual Report on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Kodiak Sciences (“we,” the “Company” or "Kodiak") is a biopharmaceutical company committed to researching, developing, and commercializing transformative therapeutics to treat a broad spectrum of retinal diseases. We are focused on bringing new science to the design and manufacture of next generation retinal medicines to prevent and treat the leading causes of blindness globally. Our ABC Platform uses molecular engineering to merge the fields of protein-based and chemistry-based therapies and has been at the core of Kodiak's discovery engine. We are developing a portfolio of three late-stage clinical programs, two of which are late-stage today and derived from our ABC Platform and one which is platform-independent and which we believe can progress rapidly into pivotal studies.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Kodiak's lead investigational medicine, tarcocimab, is a novel anti-VEGF antibody biopolymer conjugate under development for the treatment of high prevalence retinal vascular diseases including diabetic retinopathy, the leading cause of blindness in working-age patients in the developed world, and wet age-related macular degeneration, the leading cause of blindness in elderly patients in the developed world.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KSI-501 is our second investigational medicine, a first-in-class anti-IL-6, VEGF-trap bispecific antibody biopolymer conjugate designed to inhibit both IL-6 mediated inflammation and VEGF-mediated angiogenesis and vascular permeability. KSI-501 is being developed for the treatment of high prevalence retinal vascular diseases to address the unmet needs of targeting multiple biologies and extended durability.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Kodiak is developing a third investigational medicine, KSI-101, a novel anti-IL-6, VEGF-trap bispecific protein, the unconjugated protein portion of KSI-501. Kodiak intends to develop KSI-101 for the treatment of retinal inflammatory diseases, as currently there are no available intravitreal biologic therapies addressing the spectrum of inflammatory conditions of the retina.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Kodiak has expanded its early research pipeline of duet and triplet inhibitors that embed small molecules and other bioactive molecules in the biopolymer backbone to provide a high drug-antibody ratio (“DAR”). The diverse bioactives are designed to be released over time to achieve sustained inhibition of targeted biological pathways. We believe this unique combination of high DAR and extended therapeutic benefit offers potential for broad and important utility for multifactorial ophthalmic and systemic diseases.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Updates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Tarcocimab Clinical Program Summary and Update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Kodiak’s lead clinical program tarcocimab is an investigational anti-VEGF therapy built on Kodiak’s Antibody Biopolymer Conjugate (“ABC”) Platform and is designed to maintain potent and effective drug levels in ocular tissues for longer than existing available agents. Kodiak’s objective with tarcocimab is to enable earlier treatment and prevention of vision loss for patients with diabetic retinopathy and to develop a new durability agent to improve outcomes for patients with retinal vascular diseases.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tarcocimab has been studied in six pivotal clinical studies: Phase 3 GLOW1 study in non-proliferative diabetic retinopathy (“NPDR”), Phase 3 BEACON study in retinal vein occlusion (“RVO”), Phase 3 DAYLIGHT study in wet age-related macular degeneration (“wet AMD”), Phase 3 GLEAM and GLIMMER studies with identical study design in diabetic macular edema (“DME”), and Phase 2/3 DAZZLE study in wet AMD. Of the six registrational studies, GLOW1, BEACON and DAYLIGHT successfully met the primary endpoint. More information about study design and results from each individual pivotal study are summarized below: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GLOW1 – Phase 3 Study in Patients with Non-Proliferative Diabetic Retinopathy without DME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Phase 3 GLOW1 study was a global, multi-center, randomized pivotal superiority study designed to evaluate the efficacy and safety of tarcocimab in treatment-naïve patients with moderately severe to severe NPDR. Patients were randomized to receive either tarcocimab every six months after initiating doses given at baseline, 8 weeks and 20 weeks into the study, or to receive sham injections. The primary endpoint was at one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6, 2023, Kodiak announced that GLOW1 met its primary endpoint of the proportion of patients with at least a 2-step improvement on the Diabetic Retinopathy Severity Scale (DRSS) score, a grading system measuring the degree of retinopathy. Tarcocimab achieved a 29-fold increased response rate ratio, with 41.1% of evaluable patients on tarcocimab demonstrating at least 2-step improvement versus 1.4% of evaluable patients in the sham group (p less than 0.0001). Visual acuity and retinal anatomy were improved and stable with tarcocimab on its extended-dosing intervals. At one year, GLOW1 also met its key secondary endpoint of greater reductions in the proportion of patients developing sight-threatening complications (such as diabetic macular edema and proliferative diabetic retinopathy), versus sham, demonstrating an 89% decreased risk, achieving 21.0% versus 2.3% (p less than 0.0001). Tarcocimab also showed a 95% risk reduction in the development of DME, versus sham, from 13.7% on sham versus 0.7% on tarcocimab. The rates of serious ocular adverse events and intraocular inflammation in patients treated with tarcocimab and sham were similar.</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BEACON – Phase 3 Study in Patients with Treatment-Naïve Retinal Vein Occlusion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Phase 3 BEACON study was a randomized, double-masked, multicenter, active comparator-controlled study in treatment naïve patients with vision loss and macular edema due to retinal vein occlusion, including both branch ("BRVO") and central ("CRVO") subtypes. In the initial six months of the study, patients received tarcocimab on a fixed every-8-week dosing regimen following 2 monthly loading doses or aflibercept 2mg on a fixed monthly dosing regimen per its label. In the second six months of the study, tarcocimab and aflibercept were tested head-to-head according to a pro re nata (“PRN") protocol in which patients in both groups were treated only when disease reactivated according to matched predefined disease activity criteria.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2022, Kodiak announced that the BEACON study met the primary efficacy endpoint of non-inferior visual acuity change from baseline at week 24 for subjects given tarcocimab every two months after 2 monthly loading doses compared to subjects given monthly aflibercept.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7, 2023, Kodiak announced new one-year results from the BEACON study. Tarcocimab demonstrated matched efficacy with differentiated durability versus aflibercept in the head-to-head comparison. After 4 initiating doses in the first 6 months, 47% of tarcocimab-treated patients required no additional injections in the second 6 months while matching the vision and anatomic outcomes of aflibercept-treated patients. Despite receiving 6 initiating monthly doses, only 37% of aflibercept patients were injection free in the second half of the study. 77% of tarcocimab treated patients received 5 or fewer doses in year one, while 93% of aflibercept treated patients received 6 or more doses. BRVO patients received a median of 4.0 injections on tarcocimab versus 7.0 injections of aflibercept. Despite materially fewer injections in tarcocimab treated patients, vision outcomes favored tarcocimab-treated patients achieving an observed mean of 76.6 letters versus 75.6 letters for aflibercept treated patients. All RVO patients received a median of 5.0 injections on tarcocimab versus 7.0 injections of aflibercept. Despite materially fewer injections in tarcocimab treated patients, vision outcomes favored tarcocimab-treated patients achieving an observed mean of 74.6 letters versus 74.3 letters for aflibercept treated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Safety and tolerability were comparable between tarcocimab and aflibercept. Intraocular inflammation (IOI) rate was comparable between groups (tarcocimab 2.5% vs aflibercept 0.7%). No cases of inflammation associated with vascular occlusion or vasculitis were reported.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DAYLIGHT – Phase 3 Study in Patients with Treatment-Naïve Wet AMD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DAYLIGHT study was a randomized, double-masked, active comparator-controlled study evaluating the efficacy and safety of a high intensity dosing regimen of tarcocimab in 557 treatment-naïve subjects with wet AMD. On July 24, 2023, Kodiak announced that the DAYLIGHT study met the primary endpoint of non-inferior visual acuity gains at year 1 for tarcocimab dosed monthly compared to aflibercept dosed every 8 weeks following 3 monthly loading doses. Intraocular inflammation occurred in 3.3% of patients treated with monthly tarcocimab and 0.4% of patients treated with aflibercept with no vasculitis or occlusion.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GLEAM / GLIMMER – Paired Phase 3 Studies in Patients with Treatment-Naïve Diabetic Macular Edema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GLEAM and GLIMMER studies were identically designed, randomized, double-masked, active comparator-controlled studies evaluating the efficacy, durability and safety of tarcocimab in 460 and 457 treatment-naïve subjects with DME, respectively, run in parallel.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24, 2023, Kodiak announced that although high proportions of patients on meaningfully longer treatment intervals were observed with tarcocimab, with half of patients on every 24-week dosing at the primary endpoint, the GLEAM and GLIMMER studies did not meet their primary efficacy endpoints of showing non-inferior visual acuity gains for tarcocimab dosed every 8 to 24 weeks after 3 monthly loading doses compared to aflibercept given every 8 weeks after 5 monthly loading doses. At the primary efficacy endpoint of the GLEAM study, patients treated with tarcocimab gained an observed average of 6.4 eye chart letters (to 73.1 letters), compared with 10.3 letters for patients treated with aflibercept (to 76.5 letters). In GLIMMER, patients treated with tarcocimab gained an observed average of 7.4 eye chart letters at the primary endpoint (to 72.5 letters) compared with 12.2 letters (to 76.4 letters) for patients treated with aflibercept.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unexpected increase in cataract adverse events was reported over time in the tarcocimab arms of both GLEAM and GLIMMER, with 19% on tarcocimab versus 9% on aflibercept at the primary endpoint based on the pooled safety population. Kodiak’s evaluation suggested that the decline in visual acuity associated with cataracts likely contributed meaningfully to the failure of each study.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Half of tarcocimab treated patients in the GLEAM and GLIMMER studies were on every 24-week dosing at the primary endpoint, two-thirds achieved at least one 6-month dosing interval during the studies, and three-quarters achieved at least one 5-month or longer treatment interval. Intraocular inflammation was rare, occurring in 1.3% and 0.2% of tarcocimab and aflibercept treated patients, respectively. No cases of intraocular inflammation with vasculitis or vascular occlusion were observed.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DAZZLE – Phase 2b/3 Study in Patients with Treatment-Naïve Wet AMD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DAZZLE study was a global, multi-center, randomized pivotal study designed to evaluate the durability, efficacy and safety of tarcocimab in patients with treatment-naïve wet AMD. In February 2022 Kodiak announced that this initial pivotal study did not meet its primary efficacy endpoint of non-inferior visual acuity gains for subjects dosed on extended regimens every 12-, 16- or 20 weeks with tarcocimab compared to subjects given aflibercept every 8 weeks. Following this announcement, Kodiak discontinued the study and concluded remaining trial-associated activities.</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we have three successful Phase 3 studies across three different diseases, an additional successful pivotal study in one of these indications is required for regulatory approval. We believe tarcocimab demonstrated strong and consistent durability of approximately 6 months for the majority of patients and favorable safety across the full pivotal program, and we believe tarcocimab has the potential to become an important medicine for patients and a meaningfully differentiated product in the marketplace. Therefore, we have activated GLOW2, a Phase 3 study in diabetic retinopathy (“DR”). The GLOW2 study has a similar design as GLOW1 with the benefit of an additional, third monthly loading dose (weeks 0, 4 and 8). We discussed the study design with the FDA, and the study is currently recruiting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in light of the importance of wet AMD in today’s anti-VEGF market, we also plan to study tarcocimab as a second investigational arm in the KSI-501 Phase 3 DAYBREAK study to evaluate its durability, strengthen its competitive position in wet AMD and bolster our ex-US regulatory dossier. We are discussing the study design of DAYBREAK with the FDA and plan to initiate the study as soon as regulatory alignment is completed, which we hope is mid-2024.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made adjustments to the tarcocimab product that improve the manufacturability in a prefilled syringe and we believe may also enhance the utility of the product. We believe now is the time to implement these changes given the additional clinical studies we plan to conduct, and the FDA has agreed that these additional clinical studies should be sufficient to bridge the former material to the go-to-market material we would like to commercialize going forward. Both GLOW2 and DAYBREAK will be run using our go-to-market formulation of tarcocimab.</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Antibody Biopolymer Conjugate Drug Substance 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2020, we entered into a manufacturing agreement with Lonza Ltd (“Lonza”) for the clinical and commercial supply of the Company’s antibody biopolymer conjugate drug substance which included a custom-built manufacturing facility. The manufacturing agreement has an initial term of 8 years, and the Company has the right to extend the term up to a total of 16 years. The Company and Lonza each have the ability to terminate this agreement upon the occurrence of certain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2021, the agreement was amended to provide for greater manufacturing flexibility, to define a comprehensive mandate as an antibody biopolymer conjugates manufacturing facility to be used for the Company’s antibody biopolymer conjugates pipeline, at clinical as well as commercial scales, across a broad capacity range under the tight quality controls required for ophthalmology and retinal medicines, and to allow for future process and equipment changes as needed.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agreement, Kodiak and Lonza planned a custom-built facility (“Ursus”) dedicated to the commercial-scale manufacturing of Kodiak’s drug substance. In January 2023, the custom-built manufacturing suite Ursus was commissioned as a cGMP facility. Kodiak worked together with Lonza and regulatory authorities to obtain approval for Ursus, and we released our first commercial scale cGMP batch of tarcocimab in July 2023. In October 2023, Kodiak made a final payment of $26.8 million to Lonza for final activation of Ursus. Separately, tarcocimab drug product based on our go-to-market formulation was released in March 2024 and is ready for use in the GLOW2 and DAYBREAK pivotal studies.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KSI-501 Clinical Program Update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KSI-501 is a first-in-class bispecific molecule designed to inhibit two mechanisms implicated in retinal diseases: vascular endothelial growth factor (“VEGF”) and interleukin-6 (“IL-6”). IL-6 is a pro-inflammatory cytokine and growth factor implicated in the pathophysiology of multiple retinal diseases and, in conditions for which anti-VEGF treatment is used, elevated levels of ocular IL-6 have been associated with poor anti-VEGF treatment response. The bispecific mechanism of action of KSI-501 is designed to provide potent inhibition of (i) VEGF-mediated angiogenesis and vascular permeability through a soluble decoy receptor inhibiting the binding of VEGF-A and PLGF to their cognate receptors and (ii) IL-6 mediated inflammation through an antibody that binds soluble interleukin-6, inhibiting its binding to both soluble and membrane-bound IL-6 receptors. In cell-based assays, KSI-501 inhibited angiogenesis and also normalized inner and outer blood retinal barriers; dual inhibition of VEGF and IL-6 by KSI-501 conferred superior normalization of cell morphology and junctional biology compared to either anti-VEGF or anti-IL-6 monotherapy. We believe KSI-501 has the potential to become a new category of retinal medicines with greater therapeutic efficacy than existing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Kodiak intends to develop KSI-501 as two therapeutic programs in parallel, KSI-501 (formerly KSI-501ABC) and KSI-101 (formerly KSI-501P), to address different unmet needs.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KSI-501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KSI-501 is an anti-IL-6, VEGF-trap bispecific antibody biopolymer conjugate built on the ABC platform and is being developed for high prevalence retinal vascular diseases to address the unmet needs of targeting multiple biologies and extended durability. A Phase 1 trial was conducted to evaluate its safety, tolerability and bioactivity in DME patients. In February 2024, the Phase 1 study results were presented at the Angiogenesis, Exudation, and Degeneration 2024 Virtual Meeting. Kodiak believes the Phase 1 study met its objectives: 1) repeated monthly dosing of KSI-501 was safe and well tolerated; 2) KSI-501 demonstrated bioactivity in both functional (vision) and anatomical (OCT CST) measures.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Kodiak intends to advance KSI-501 into a Phase 3 study DAYBREAK in 2024 to evaluate its efficacy, durability and safety in wet AMD. The DAYBREAK study is intended to be a non-inferiority study evaluating KSI-501 dosed every 4 to 24 weeks, compared to aflibercept dosed per label. The DAYBREAK study will use an enhanced formulation of KSI-501 educated from tarcocimab’s commercial manufacturing scale-up. We are in the process of obtaining regulatory feedback on the study design and intend to initiate the study as soon as regulatory alignment is completed, targeting mid-2024.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KSI-101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KSI-101 is the unconjugated protein portion of KSI-501 and is a novel bispecific protein targeting IL-6 and VEGF. We intend to develop KSI-101 for patients who have retinal fluid and inflammation. Currently there are no available intravitreal biologic therapies addressing the spectrum of inflammatory conditions of the retina. We believe that retinal inflammatory conditions represent a new market segment separate from the established anti-VEGF market. KSI-101 is a clinical prospect with opportunities and risks uncoupled from the ABC Platform, and as such is an important part of our late-phase portfolio. We intend to initiate a dose-finding Phase 1b study in the second quarter of 2024 to evaluate its safety and tolerability and identify two dose levels to progress into pivotal studies. We are currently in the process of obtaining regulatory feedback on the design of the pivotal program, and we hope to initiate dual Phase 2b/3 studies later in 2024.</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KSI-501 and KSI-101 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been progressing the manufacturing of KSI-501 and KSI-101 in preparation for the anticipated clinical studies. Clinical material for both KSI-501 (50 mg/mL strength in our enhanced formulation) and KSI-101 (100 mg/mL strength) were successfully manufactured in the first quarter of 2024.</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Technology Platform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continued progressing our technology development with our “duet” and “triplet” inhibitors that embed small molecules and other bioactive molecules in the biopolymer backbone to provide a high drug-antibody ratio ("DAR"). The diverse bioactives are designed to be released over time to achieve sustained inhibition of targeted biological pathways. The biopolymer embedded with its poly-pharmacy payloads is conjugated to a protein therapeutic to form a “triplet” for tissue and cell targeting or omits the protein therapeutic to form a “duet”. We believe this unique combination of high DAR and extended therapeutic benefit offers potential for broad and important utility for multifactorial ophthalmic and systemic diseases.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Digital Health Platform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developing a visual engagement technology and imager (“VETi”) designed by Kodiak engineers initially to be used by eye care professionals for vision and ophthalmic anatomical examination, diagnosis and monitoring. Our longer-term goal with VETi, built with semiconductor technologies, is to deliver a wearable device for long-term health engagement and monitoring.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 Kodiak VETi platform as a medical engagement and imaging platform has the potential to disrupt ophthalmology clinical trials by enabling new trial endpoints, thereby enabling faster and more cost-effective medicines development in ophthalmic disease, an area that historically requires lengthy and expensive trials. VETi may also aid in market build and shaping for undertreated or underdiagnosed diseases, such as diabetic eye diseases where Kodiak’s product candidates tarcocimab and KSI-501 are being studied and where early treatment and prevention may allow patients to achieve better outcomes.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in June 2009, we have devoted substantially all of our resources to discovering and developing product candidates and manufacturing processes, building our ABC Platform and assembling our core capabilities in drug development for high prevalence retinal diseases. We plan to continue to use third-party contract research organizations, or CROs, to carry out our preclinical and clinical development. We rely on third-party contract manufacturing organizations, or CMOs, to manufacture and supply our preclinical and clinical materials to be used during the development of our product candidates. We continue to invest in commercial manufacturing capacity. We do not have any products approved for sale and have not generated any product revenue since inception.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funded our operations primarily through the sale and issuance of equity securities. In October 2018, we completed our initial public offering, or IPO. In December 2019, we completed a follow-on offering. In November 2020, we completed a second follow-on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operating losses to date and expect that our operating losses will increase significantly as we advance our product candidates, through preclinical and clinical development, seek regulatory approval, prepare for and, if approved, proceed to commercialization; broaden and improve our platform; acquire, discover, validate and develop additional product candidates; obtain, maintain, protect and enforce our intellectual property portfolio; and hire additional personnel. We expect to continue to incur additional costs associated with operating as a public company. Our net loss was $260.5 million, $333.8 million and $267.0 million for the years ended December 31, 2023, 2022 and 2021, respectively. As of December 31, 2023, we had an accumulated deficit of $1,152.5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product revenue will depend on the successful development and eventual commercialization of one or more of our product candidates. Until such time as we can generate significant revenue from sales of our product candidates,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tarcocimab for RVO, wet AMD, or DR or delay our efforts to advance and expand our product pipeline.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we had cash and cash equivalents of $285.5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Substantially all of our research and development expenses consist of expenses incurred in connection with the development of our product candidates and ABC Platform. These expenses include certain payroll and personnel expenses, including stock-based compensation, for our research and product development employees; laboratory supplies and facility costs; consulting costs; contract manufacturing and fees paid to CROs to conduct certain research and development activities on our behalf; and allocated overhead, 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Nonrefundable payments made prior to the receipt of goods or services that will be used or rendered for future research and development activities are deferred and capitalized. The capitalized amounts are recognized as expense as the goods are delivered or the related services are performed.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focusing substantially all of our resources and development efforts on the development of our product candidates.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principally of payroll and personnel expenses, including stock-based compensation; professional fees for legal, consulting, accounting and tax services; compliance costs associated with being a public company; allocated overhead, including rent, equipment, depreciation and utilities; and other general operating expenses not otherwise classified as research and development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primarily of interest income earned on our cash, cash equivalents and marketable securities.</w:t>
      </w:r>
    </w:p>
    <w:p>
      <w:pPr>
        <w:pStyle w:val="TextBody"/>
        <w:bidi w:val="0"/>
        <w:spacing w:before="24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consists primarily of the change in fair value and settlement of derivative contracts, tax expense and the amortized issuance costs from the liability related to the future sale of royalties to Baker Bros. Advisors, LP ("BBA") in 2019.</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results of our operations for the periods indicated (in thousands, except percentages): </w:t>
      </w:r>
    </w:p>
    <w:p>
      <w:pPr>
        <w:pStyle w:val="TextBody"/>
        <w:bidi w:val="0"/>
        <w:jc w:val="left"/>
        <w:rPr/>
      </w:pPr>
      <w:r>
        <w:rPr/>
        <w:t> </w:t>
      </w:r>
    </w:p>
    <w:tbl>
      <w:tblPr>
        <w:tblW w:w="7846" w:type="dxa"/>
        <w:jc w:val="left"/>
        <w:tblInd w:w="0" w:type="dxa"/>
        <w:tblLayout w:type="fixed"/>
        <w:tblCellMar>
          <w:top w:w="28" w:type="dxa"/>
          <w:left w:w="28" w:type="dxa"/>
          <w:bottom w:w="28" w:type="dxa"/>
          <w:right w:w="28" w:type="dxa"/>
        </w:tblCellMar>
      </w:tblPr>
      <w:tblGrid>
        <w:gridCol w:w="2486"/>
        <w:gridCol w:w="146"/>
        <w:gridCol w:w="211"/>
        <w:gridCol w:w="841"/>
        <w:gridCol w:w="166"/>
        <w:gridCol w:w="146"/>
        <w:gridCol w:w="211"/>
        <w:gridCol w:w="841"/>
        <w:gridCol w:w="166"/>
        <w:gridCol w:w="146"/>
        <w:gridCol w:w="211"/>
        <w:gridCol w:w="736"/>
        <w:gridCol w:w="166"/>
        <w:gridCol w:w="146"/>
        <w:gridCol w:w="193"/>
        <w:gridCol w:w="558"/>
        <w:gridCol w:w="476"/>
      </w:tblGrid>
      <w:tr>
        <w:trPr/>
        <w:tc>
          <w:tcPr>
            <w:tcW w:w="2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Year Ended </w:t>
              <w:br/>
              <w:t>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476" w:type="dxa"/>
            <w:tcBorders/>
            <w:shd w:fill="CFF0FC" w:val="clear"/>
            <w:vAlign w:val="center"/>
          </w:tcPr>
          <w:p>
            <w:pPr>
              <w:pStyle w:val="TableContents"/>
              <w:bidi w:val="0"/>
              <w:spacing w:before="0" w:after="283"/>
              <w:ind w:left="0" w:right="0" w:firstLine="100"/>
              <w:jc w:val="right"/>
              <w:rPr/>
            </w:pPr>
            <w:r>
              <w:rPr/>
              <w:t> </w:t>
            </w:r>
          </w:p>
        </w:tc>
      </w:tr>
      <w:tr>
        <w:trPr/>
        <w:tc>
          <w:tcPr>
            <w:tcW w:w="24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(61,293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(277,321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(341,379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4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76" w:type="dxa"/>
            <w:tcBorders/>
            <w:shd w:fill="FFFFFF" w:val="clear"/>
            <w:vAlign w:val="center"/>
          </w:tcPr>
          <w:p>
            <w:pPr>
              <w:pStyle w:val="TableContents"/>
              <w:bidi w:val="0"/>
              <w:spacing w:before="0" w:after="283"/>
              <w:ind w:left="0" w:right="0" w:firstLine="100"/>
              <w:jc w:val="right"/>
              <w:rPr/>
            </w:pPr>
            <w:r>
              <w:rPr/>
              <w:t> </w:t>
            </w:r>
          </w:p>
        </w:tc>
      </w:tr>
      <w:tr>
        <w:trPr/>
        <w:tc>
          <w:tcPr>
            <w:tcW w:w="24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Change is not meaningful</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decreased $61.3 million, or 23%, during the year ended December 31, 2023 as compared to 2022.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periods indicated (in thousands): </w:t>
      </w:r>
    </w:p>
    <w:p>
      <w:pPr>
        <w:pStyle w:val="TextBody"/>
        <w:bidi w:val="0"/>
        <w:jc w:val="left"/>
        <w:rPr/>
      </w:pPr>
      <w:r>
        <w:rPr/>
        <w:t> </w:t>
      </w:r>
    </w:p>
    <w:tbl>
      <w:tblPr>
        <w:tblW w:w="6813" w:type="dxa"/>
        <w:jc w:val="left"/>
        <w:tblInd w:w="0" w:type="dxa"/>
        <w:tblLayout w:type="fixed"/>
        <w:tblCellMar>
          <w:top w:w="28" w:type="dxa"/>
          <w:left w:w="28" w:type="dxa"/>
          <w:bottom w:w="28" w:type="dxa"/>
          <w:right w:w="28" w:type="dxa"/>
        </w:tblCellMar>
      </w:tblPr>
      <w:tblGrid>
        <w:gridCol w:w="2941"/>
        <w:gridCol w:w="146"/>
        <w:gridCol w:w="211"/>
        <w:gridCol w:w="781"/>
        <w:gridCol w:w="146"/>
        <w:gridCol w:w="146"/>
        <w:gridCol w:w="211"/>
        <w:gridCol w:w="781"/>
        <w:gridCol w:w="146"/>
        <w:gridCol w:w="146"/>
        <w:gridCol w:w="211"/>
        <w:gridCol w:w="736"/>
        <w:gridCol w:w="21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Year Ended </w:t>
              <w:br/>
              <w:t>  December 31,</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Tarcocimab program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KSI-501 program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11" w:type="dxa"/>
            <w:tcBorders/>
            <w:shd w:fill="FFFFFF" w:val="cle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ABC Platform and other </w:t>
              <w:br/>
              <w:t>   program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personnel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Facilities and other research and </w:t>
              <w:br/>
              <w:t>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xml:space="preserve">Total research and development </w:t>
              <w:br/>
              <w: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(61,293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Tarcocimab program expenses decreased $42.4 million during the year ended December 31, 2023 as compared to 2022, primarily driven by the wind-down of the pivotal clinical studies in the tarcocimab development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Phase 1 study of KSI-501 began enrolling patients with DME in the beginning of the second quarter of 2023. KSI-501 program expenses increased $0.3 million during the year ended December 31, 2023 as compared to 2022, primarily due to clinical trial progression, partially offset by a decrease in manufacturing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ABC Platform and other program expenses decreased $6.4 million during the year ended December 31, 2023 as compared to 2022, primarily due to timing of manufacturing runs.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Payroll and personnel expenses decreased $13.9 million during the year ended December 31, 2023 as compared to 2022, primarily driven by forfeitures related to 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and other research and development expenses increased $1.2 million during the year ended December 31, 2023 as compared to 2022, due to a variety of activities including the expense related to the lease component of the Ursus manufacturing facility, which commenced in 2023.</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decreased $2.8 million, or 4%, during the year ended December 31, 2023 as compared to 2022, primarily driven by a decrease in professional fees for consulting, legal and accounting expenses.</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increased $9.7 million during the year ended December 31, 2023 as compared to 2022, which was mainly attributable to higher interest rates earned in 2023.</w:t>
      </w:r>
    </w:p>
    <w:p>
      <w:pPr>
        <w:pStyle w:val="TextBody"/>
        <w:bidi w:val="0"/>
        <w:spacing w:before="24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decreased $0.4 million during the year ended December 31, 2023 as compared to 2022, which was mainly attributable to gain from settlement of foreign currency forward contracts in 2022.</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Comparison of the Fiscal Years Ended December 31, 2022 and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comparison of our results of operations for the fiscal years ended December 31, 2022 and 2021, see “Part II, Item 7. Management’s Discussion and Analysis of Financial Condition and Results of Operations” in our Annual Report on Form 10-K for the fiscal year ended December 31, 2022, filed with the SEC on March 28, 2023.</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 Plan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funded our operations primarily through the sale and issuance of common stock, redeemable convertible preferred stock, convertible notes, warrants and the sale of royalties. As of December 31, 2023, we had cash and cash equivalents of $285.5 million. We believe that our current cash and cash equivalents will be sufficient to support our operations into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since our inception. For the years ended December 31, 2023, 2022 and 2021, we had net losses of $260.5 million, $333.8 million, and $267.0 million, of which $88.6 million, $106.0 million, and $61.4 million related to non-cash stock-based compensation expense, respectively. We expect to continue to incur additional losses in future periods. As of December 31, 2023, we had an accumulated deficit of $1,152.5 million. We believe that the cash and cash equivalents will be sufficient to meet our anticipated operating and capital expenditure requirements at least 12 months following the date of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based these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these estimates on assumptions that may prove to be wrong, and we could deplete our capital resources sooner than we expect. The timing and amount of our operating expenditures and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timing, rate of progress and costs of our drug discovery, preclinical development activities, laboratory testing and clinical trials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clinical programs we decide to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and costs of manufacturing development and commercial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timing and outcome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on favorable terms,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systems and our ability to attract, hire and retain qualified personnel, including personnel to support the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being a public company;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associated with commercializing our product candidates, if they receive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rights to our product candidates in certain territories or indications to others that we would prefer to develop and commercialize ourselves.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significant uncertainties caused by any public health crises, the on-going geopolitical conflicts, inflation, rising interest rates, bank failures, ongoing supply chain disruptions and volatile equity capital markets may also negatively impact our operations and capital resources. We and our key clinical and manufacturing partners have been able to continue to advance our operations, and we continue to monitor the impact of the aforementioned events on our ability to continue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of, and seek regulatory approvals for, our product candidates, and begin to commercialize any approved products. One or more of these events may ultimately have a material adverse effect on our liquidity and operating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Adequate additional funding may not be available to us on acceptable terms or at all. Our failure to raise capital as and when needed could have a negative impact on our financial condition and our ability to pursue our business strategies. See the section titled “Risk Factors” for additional risks associated with our substantial capital requirements.</w:t>
      </w:r>
    </w:p>
    <w:p>
      <w:pPr>
        <w:pStyle w:val="TextBody"/>
        <w:bidi w:val="0"/>
        <w:spacing w:before="240" w:after="283"/>
        <w:jc w:val="left"/>
        <w:rPr>
          <w:rFonts w:ascii="Times New Roman" w:hAnsi="Times New Roman"/>
          <w:sz w:val="20"/>
        </w:rPr>
      </w:pPr>
      <w:r>
        <w:rPr>
          <w:rFonts w:ascii="Times New Roman" w:hAnsi="Times New Roman"/>
          <w:b/>
          <w:i/>
          <w:color w:val="000000"/>
          <w:sz w:val="20"/>
        </w:rPr>
        <w:t>Summary Statement of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primary sources and uses of cash for each of the periods presented below (in thousands): </w:t>
      </w:r>
    </w:p>
    <w:p>
      <w:pPr>
        <w:pStyle w:val="TextBody"/>
        <w:bidi w:val="0"/>
        <w:jc w:val="left"/>
        <w:rPr/>
      </w:pPr>
      <w:r>
        <w:rPr/>
        <w:t> </w:t>
      </w:r>
    </w:p>
    <w:tbl>
      <w:tblPr>
        <w:tblW w:w="8339" w:type="dxa"/>
        <w:jc w:val="left"/>
        <w:tblInd w:w="0" w:type="dxa"/>
        <w:tblLayout w:type="fixed"/>
        <w:tblCellMar>
          <w:top w:w="28" w:type="dxa"/>
          <w:left w:w="28" w:type="dxa"/>
          <w:bottom w:w="28" w:type="dxa"/>
          <w:right w:w="28" w:type="dxa"/>
        </w:tblCellMar>
      </w:tblPr>
      <w:tblGrid>
        <w:gridCol w:w="5566"/>
        <w:gridCol w:w="146"/>
        <w:gridCol w:w="211"/>
        <w:gridCol w:w="841"/>
        <w:gridCol w:w="166"/>
        <w:gridCol w:w="146"/>
        <w:gridCol w:w="211"/>
        <w:gridCol w:w="841"/>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Year Ended </w:t>
              <w:br/>
              <w:t>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(154,183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(206,459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(336,513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(541,077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Cash Flows from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decreased to $154.2 million for the year ended December 31, 2023, primarily attributable to a decrease in net loss during the year driven by the maturation of the tarcocimab clinical program and timing of manufacturing activities. Cash used in operating activities was also driven by changes in operating assets and liabilities.</w:t>
      </w:r>
    </w:p>
    <w:p>
      <w:pPr>
        <w:pStyle w:val="TextBody"/>
        <w:bidi w:val="0"/>
        <w:spacing w:before="240" w:after="283"/>
        <w:jc w:val="left"/>
        <w:rPr>
          <w:rFonts w:ascii="Times New Roman" w:hAnsi="Times New Roman"/>
          <w:sz w:val="20"/>
        </w:rPr>
      </w:pPr>
      <w:r>
        <w:rPr>
          <w:rFonts w:ascii="Times New Roman" w:hAnsi="Times New Roman"/>
          <w:i/>
          <w:color w:val="000000"/>
          <w:sz w:val="20"/>
        </w:rPr>
        <w:t>Cash Flows from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was $249.2 million for the year ended December 31, 2023, primarily related to net maturities of marketable securities of $290.7 million, partially offset by capital expenditures of $41.4 million during the year.</w:t>
      </w:r>
    </w:p>
    <w:p>
      <w:pPr>
        <w:pStyle w:val="TextBody"/>
        <w:bidi w:val="0"/>
        <w:spacing w:before="240" w:after="283"/>
        <w:jc w:val="left"/>
        <w:rPr>
          <w:rFonts w:ascii="Times New Roman" w:hAnsi="Times New Roman"/>
          <w:sz w:val="20"/>
        </w:rPr>
      </w:pPr>
      <w:r>
        <w:rPr>
          <w:rFonts w:ascii="Times New Roman" w:hAnsi="Times New Roman"/>
          <w:b/>
          <w:color w:val="000000"/>
          <w:sz w:val="20"/>
        </w:rPr>
        <w:t>Material Cash Requirements and Material Known Contractual Obligations and Commitments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lease payments represent our commitment for future minimum rent made under non-cancelable leases for our corporate offices in Palo Alto, California, office and laboratory space in Visp, Switzerland, and related to our Ursus facility. Total future undiscounted payments for our operating lease obligations as of December 31, 2023 were $105.0 million, of which $14.8 million is due in the next twelve months. </w:t>
      </w:r>
    </w:p>
    <w:p>
      <w:pPr>
        <w:pStyle w:val="TextBody"/>
        <w:bidi w:val="0"/>
        <w:spacing w:before="240" w:after="283"/>
        <w:jc w:val="left"/>
        <w:rPr>
          <w:rFonts w:ascii="Times New Roman" w:hAnsi="Times New Roman"/>
          <w:sz w:val="20"/>
        </w:rPr>
      </w:pPr>
      <w:r>
        <w:rPr>
          <w:rFonts w:ascii="Times New Roman" w:hAnsi="Times New Roman"/>
          <w:i/>
          <w:color w:val="000000"/>
          <w:sz w:val="20"/>
        </w:rPr>
        <w:t>Manufacturing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service and equipment purchase agreements in the normal course of business with various providers, which can contain minimum commitments or other noncancelable obligations.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future contractual obligations related to these manufacturing agreements that may be subject to cancellation fees was $15.4 million, of which $11.0 million is expected to be due in the next twelve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future manufacturing contractual obligations totaling approximately 123.0 million Swiss Francs may be incurred for the potential clinical and commercial supply of tarcocimab and other antibody biopolymer conjugates medicines based on the agreements with Lonza for production at the Ursus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further information on our leases and manufacturing agreements, refer to Note 8 to our consolidated financial statements included in Part II, Item 8 of this Annual Report on Form 10-K.</w:t>
      </w:r>
    </w:p>
    <w:p>
      <w:pPr>
        <w:pStyle w:val="TextBody"/>
        <w:bidi w:val="0"/>
        <w:spacing w:before="240" w:after="283"/>
        <w:jc w:val="left"/>
        <w:rPr>
          <w:rFonts w:ascii="Times New Roman" w:hAnsi="Times New Roman"/>
          <w:sz w:val="20"/>
        </w:rPr>
      </w:pPr>
      <w:r>
        <w:rPr>
          <w:rFonts w:ascii="Times New Roman" w:hAnsi="Times New Roman"/>
          <w:i/>
          <w:color w:val="000000"/>
          <w:sz w:val="20"/>
        </w:rPr>
        <w:t>Clinical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incur potential contingent payments upon our achievement of clinical, regulatory and commercial milestones, as applicable. Due to the uncertainty of the achievement and timing of the events requiring payment under these agreements, the amounts to be paid by us are not fixed or determinable at this time.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Significant Judgments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 </w:t>
      </w:r>
    </w:p>
    <w:p>
      <w:pPr>
        <w:pStyle w:val="TextBody"/>
        <w:bidi w:val="0"/>
        <w:spacing w:before="240" w:after="283"/>
        <w:jc w:val="left"/>
        <w:rPr>
          <w:rFonts w:ascii="Times New Roman" w:hAnsi="Times New Roman"/>
          <w:sz w:val="20"/>
        </w:rPr>
      </w:pPr>
      <w:r>
        <w:rPr>
          <w:rFonts w:ascii="Times New Roman" w:hAnsi="Times New Roman"/>
          <w:b/>
          <w:i/>
          <w:color w:val="000000"/>
          <w:sz w:val="20"/>
        </w:rPr>
        <w:t>Accrued 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accrued research and development costs are estimated based on the level of services performed, including the phase or completion of events, and contracted costs. Accrued clinical trial and related costs are estimated using data such as patient enrollment, clinical site activations or information provided by outside service providers regarding their actual costs incurred. Management determined accrual estimates through reports from and discussions with clinical personnel and outside service providers as to the progress of trials, or the services completed. The estimated costs of research and development provided, but not yet invoiced, are included in accrued liabilities and other current liabilities on the consolidated balance sheet. If the actual timing of the performance of services or the level of effort varies from the original estimates, we will adjust the accrual accordingly. Payments made to third parties under these arrangements in advance of the performance of the related services are recorded as prepaid expenses and other assets until the services are rendered.</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measure and recognize compensation expense for all stock</w:t>
        <w:noBreakHyphen/>
        <w:t>based awards made to employees, directors and non</w:t>
        <w:noBreakHyphen/>
        <w:t>employees, based on estimated fair values of the awards on the grant date and recognized using the straight</w:t>
        <w:noBreakHyphen/>
        <w:t>line method over the requisite service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options is estimated on the grant date using the Black</w:t>
        <w:noBreakHyphen/>
        <w:t>Scholes option valuation model or Monte Carlo simulation model. The calculation of stock</w:t>
        <w:noBreakHyphen/>
        <w:t>based compensation expense requires that we make certain assumptions and judgments about a number of complex and subjective variables used in the valuation model, including the expected term, expected volatility of the underlying common stock and risk</w:t>
        <w:noBreakHyphen/>
        <w:t>free interest rate. Our stock-based awards are subject to either service, performance-based or market-based vesting conditions. We evaluate whether achievement of the performance conditions is probable and record expense over the appropriate service period based on this assessment.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these assumptions can materially affect the fair value and ultimately how much stock-based compensation expense is recognized. These inputs are subjective and generally require significant analysis and judgment to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 12 to our consolidated financial statements for stock-based compensation expense and related assumptions used in determining the fair value of our awards.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review long-lived assets for impairment whenever events or changes in circumstances indicate that the carrying amounts of the assets may not be recoverable. Recoverability is measured by comparison of the carrying amount of the assets to the estimated undiscounted net cash flows which the assets are expected to generate. If such assets are deemed not recoverable, an impairment loss is recognized in the amount by which the carrying amount of the assets exceeds the estimated fair value of the assets. We applied significant judgment in determining we have one asset group and that there is no lower level to group assets for impairment testing. The determination of the asset group primarily considers the interdependencies of our assets, shared cost structure, and the interrelated future cash flow generation. We assessed the recoverability of our asset group in 2023 based on our decision to wind-down the tarcocimab program following the topline results from the Phase 3 GLEAM and GLIMMER studies. We determined that the estimated undiscounted net cash flows which the asset group is forecasted to generate exceeded the carrying amount of the asset group and therefore, no impairment loss was recognized in 2023.</w:t>
      </w:r>
    </w:p>
    <w:p>
      <w:pPr>
        <w:pStyle w:val="TextBody"/>
        <w:bidi w:val="0"/>
        <w:spacing w:before="24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discussed under Note 2 to our consolidated financial statements included in Part II, Item 8 of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8" w:name="item_7a_quantitative_qualitative_disclos"/>
      <w:bookmarkEnd w:id="18"/>
      <w:r>
        <w:rPr>
          <w:rFonts w:ascii="Times New Roman" w:hAnsi="Times New Roman"/>
          <w:b/>
          <w:color w:val="000000"/>
          <w:sz w:val="20"/>
        </w:rPr>
        <w:t>ITEM 7A. QUANTITATIVE AND QUALITATIVE DISCLOSURE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market risk related to changes in interest rates. As of December 31, 2023, we had cash and cash equivalents of $285.5 million, primarily invested in money market funds. As of December 31, 2022, we had cash, cash equivalents, and marketable securities of $478.9 million, primarily invested in money market funds and U.S. treasury securities. Due to the short-term nature of the instruments held as of December 31, 2023, we do not believe that a hypothetical 100 basis point, or one percentage point, change in interest rates from levels at December 31, 2023 would have a material impact on the realized value of our cash equivalents. Declines in interest rates, however, would reduce future interest income and cash flows.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believe that other market risks, like foreign currency exchange rate risk, had a significant impact on our results of operations for any periods presented herein. </w:t>
      </w:r>
    </w:p>
    <w:p>
      <w:pPr>
        <w:pStyle w:val="TextBody"/>
        <w:bidi w:val="0"/>
        <w:spacing w:before="120" w:after="283"/>
        <w:jc w:val="left"/>
        <w:rPr/>
      </w:pPr>
      <w:r>
        <w:rPr/>
        <w:t> </w:t>
      </w:r>
    </w:p>
    <w:p>
      <w:pPr>
        <w:pStyle w:val="TextBody"/>
        <w:bidi w:val="0"/>
        <w:jc w:val="left"/>
        <w:rPr>
          <w:rFonts w:ascii="Times New Roman" w:hAnsi="Times New Roman"/>
          <w:b/>
          <w:color w:val="000000"/>
          <w:sz w:val="20"/>
        </w:rPr>
      </w:pPr>
      <w:bookmarkStart w:id="19" w:name="item_8_financial_statements_supplementar"/>
      <w:bookmarkEnd w:id="19"/>
      <w:r>
        <w:rPr>
          <w:rFonts w:ascii="Times New Roman" w:hAnsi="Times New Roman"/>
          <w:b/>
          <w:color w:val="000000"/>
          <w:sz w:val="20"/>
        </w:rPr>
        <w:t>ITEM 8. FINANCIAL STATEMENTS AND SUPPLEMENTARY DATA</w:t>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INDEX TO CONSOLIDATED FINANCIAL STATEMENTS</w:t>
      </w:r>
      <w:r>
        <w:rPr>
          <w:rFonts w:ascii="Times New Roman" w:hAnsi="Times New Roman"/>
          <w:color w:val="000000"/>
          <w:sz w:val="20"/>
        </w:rPr>
        <w:t xml:space="preserve"> </w:t>
      </w:r>
    </w:p>
    <w:tbl>
      <w:tblPr>
        <w:tblW w:w="6838" w:type="dxa"/>
        <w:jc w:val="left"/>
        <w:tblInd w:w="0" w:type="dxa"/>
        <w:tblLayout w:type="fixed"/>
        <w:tblCellMar>
          <w:top w:w="28" w:type="dxa"/>
          <w:left w:w="28" w:type="dxa"/>
          <w:bottom w:w="28" w:type="dxa"/>
          <w:right w:w="28" w:type="dxa"/>
        </w:tblCellMar>
      </w:tblPr>
      <w:tblGrid>
        <w:gridCol w:w="6331"/>
        <w:gridCol w:w="146"/>
        <w:gridCol w:w="361"/>
      </w:tblGrid>
      <w:tr>
        <w:trPr/>
        <w:tc>
          <w:tcPr>
            <w:tcW w:w="6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331" w:type="dxa"/>
            <w:tcBorders/>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FF"/>
                  <w:sz w:val="20"/>
                  <w:u w:val="single"/>
                </w:rPr>
                <w:t>Report of Independent Registered Public Accounting Firm (PCAOB ID: 238)</w:t>
              </w:r>
            </w:hyperlink>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63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Financial Statements</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pPr>
            <w:r>
              <w:rPr/>
              <w:t> </w:t>
            </w:r>
          </w:p>
        </w:tc>
      </w:tr>
      <w:tr>
        <w:trPr/>
        <w:tc>
          <w:tcPr>
            <w:tcW w:w="6331" w:type="dxa"/>
            <w:tcBorders/>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6331" w:type="dxa"/>
            <w:tcBorders/>
            <w:vAlign w:val="center"/>
          </w:tcPr>
          <w:p>
            <w:pPr>
              <w:pStyle w:val="TableContents"/>
              <w:bidi w:val="0"/>
              <w:spacing w:before="0" w:after="283"/>
              <w:jc w:val="left"/>
              <w:rPr/>
            </w:pPr>
            <w:hyperlink w:anchor="consolidated_statements_operations_compr">
              <w:r>
                <w:rPr>
                  <w:rStyle w:val="InternetLink"/>
                  <w:rFonts w:ascii="Times New Roman" w:hAnsi="Times New Roman"/>
                  <w:color w:val="0000FF"/>
                  <w:sz w:val="20"/>
                  <w:u w:val="single"/>
                </w:rPr>
                <w:t>Consolidated Statements of Operations and Comprehensive Loss</w:t>
              </w:r>
            </w:hyperlink>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6331" w:type="dxa"/>
            <w:tcBorders/>
            <w:vAlign w:val="center"/>
          </w:tcPr>
          <w:p>
            <w:pPr>
              <w:pStyle w:val="TableContents"/>
              <w:bidi w:val="0"/>
              <w:spacing w:before="0" w:after="283"/>
              <w:jc w:val="left"/>
              <w:rPr/>
            </w:pPr>
            <w:hyperlink w:anchor="consolidated_statements_redeemable_conve">
              <w:r>
                <w:rPr>
                  <w:rStyle w:val="InternetLink"/>
                  <w:rFonts w:ascii="Times New Roman" w:hAnsi="Times New Roman"/>
                  <w:color w:val="0000FF"/>
                  <w:sz w:val="20"/>
                  <w:u w:val="single"/>
                </w:rPr>
                <w:t>Consolidated Statements of Stockholders’ Equity</w:t>
              </w:r>
            </w:hyperlink>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6331" w:type="dxa"/>
            <w:tcBorders/>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w:t>
              </w:r>
            </w:hyperlink>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6331" w:type="dxa"/>
            <w:tcBorders/>
            <w:vAlign w:val="center"/>
          </w:tcPr>
          <w:p>
            <w:pPr>
              <w:pStyle w:val="TableContents"/>
              <w:bidi w:val="0"/>
              <w:spacing w:before="0" w:after="283"/>
              <w:jc w:val="left"/>
              <w:rPr/>
            </w:pPr>
            <w:hyperlink w:anchor="notes_to_unaudited_condensed_consolidate">
              <w:r>
                <w:rPr>
                  <w:rStyle w:val="InternetLink"/>
                  <w:rFonts w:ascii="Times New Roman" w:hAnsi="Times New Roman"/>
                  <w:color w:val="0000FF"/>
                  <w:sz w:val="20"/>
                  <w:u w:val="single"/>
                </w:rPr>
                <w:t>Notes to Consolidated Financial Statements</w:t>
              </w:r>
            </w:hyperlink>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report_independent_registered_public_acc"/>
      <w:bookmarkEnd w:id="20"/>
      <w:r>
        <w:rPr>
          <w:rFonts w:ascii="Times New Roman" w:hAnsi="Times New Roman"/>
          <w:b/>
          <w:color w:val="000000"/>
          <w:sz w:val="20"/>
        </w:rPr>
        <w:t>Report of Independent Registered Public Accounting Firm</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To the Board of Directors and Stockholders of Kodiak Sciences Inc.</w:t>
      </w:r>
    </w:p>
    <w:p>
      <w:pPr>
        <w:pStyle w:val="TextBody"/>
        <w:bidi w:val="0"/>
        <w:jc w:val="left"/>
        <w:rPr>
          <w:rFonts w:ascii="Times New Roman" w:hAnsi="Times New Roman"/>
          <w:b/>
          <w:i/>
          <w:color w:val="000000"/>
          <w:sz w:val="20"/>
        </w:rPr>
      </w:pPr>
      <w:r>
        <w:rPr>
          <w:rFonts w:ascii="Times New Roman" w:hAnsi="Times New Roman"/>
          <w:b/>
          <w:i/>
          <w:color w:val="000000"/>
          <w:sz w:val="20"/>
        </w:rPr>
        <w:t>Opinion on the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audited the accompanying consolidated balance sheets of Kodiak Sciences Inc. and its subsidiaries (the “Company”) as of December 31, 2023 and 2022, and the related consolidated statements of operations and comprehensive loss, of stockholders’ equity and of cash flows for each of the three years in the period ended December 31, 2023,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Basis for Opinion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Critical Audit Matters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200" w:after="283"/>
        <w:jc w:val="left"/>
        <w:rPr>
          <w:rFonts w:ascii="Times New Roman" w:hAnsi="Times New Roman"/>
          <w:sz w:val="20"/>
        </w:rPr>
      </w:pPr>
      <w:r>
        <w:rPr>
          <w:rFonts w:ascii="Times New Roman" w:hAnsi="Times New Roman"/>
          <w:i/>
          <w:color w:val="000000"/>
          <w:sz w:val="20"/>
        </w:rPr>
        <w:t>Determination of the Asset Group Used in the Long-Lived Assets Impairment Assessment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described in Note 2 to the consolidated financial statements, the Company reviews long-lived assets for impairment whenever events or changes in circumstances indicate that the carrying amounts of the assets may not be recoverable. Recoverability is measured by comparison of the carrying amount of the assets to the estimated undiscounted net cash flows which the assets are expected to generate. Management applied significant judgment and determined that the Company has one asset group and that there is not a lower level to group assets for impairment testing. The determination of asset group primarily considers the interdependencies of the Company’s assets, shared costs structure, and the interrelated future cash flow generation. Management assessed the recoverability of the Company’s long-lived assets in 2023 based on the Company’s decision to wind-down the tarcocimab program following the topline results from the Phase 3 GLEAM and GLIMMER studies. Management determined that the estimated undiscounted net cash flows which the assets are forecasted to generate exceeded the carrying amount of the assets. Therefore, no impairment loss was recognized in 2023. As of December 31, 2023, the Company’s consolidated long-lived assets balance was $183.7 million.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principal considerations for our determination that performing procedures relating to the determination of the asset group used in the long-lived assets impairment assessment is a critical audit matter are (i) the significant judgment by management when developing the estimated undiscounted net cash flows of the long-lived asset group, specifically the determination of the asset group and primary asset for the asset group and (ii) a high degree of auditor judgment, subjectivity and effort in performing procedures related to management’s determination of the asset group and primary asset for the asset group used in the long-lived</w:t>
      </w:r>
      <w:r>
        <w:rPr>
          <w:rFonts w:ascii="Times New Roman" w:hAnsi="Times New Roman"/>
          <w:strike/>
          <w:color w:val="000000"/>
          <w:sz w:val="20"/>
        </w:rPr>
        <w:t xml:space="preserve"> </w:t>
      </w:r>
      <w:r>
        <w:rPr>
          <w:rFonts w:ascii="Times New Roman" w:hAnsi="Times New Roman"/>
          <w:color w:val="000000"/>
          <w:sz w:val="20"/>
        </w:rPr>
        <w:t xml:space="preserve">assets impairment assessment.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Addressing the matter involved performing procedures and evaluating audit evidence in connection with forming our overall opinion on the consolidated financial statements. These procedures included, among others (i) understanding management’s process for developing the estimated undiscounted net cash flows of the long-lived asset group; (ii) evaluating the appropriateness of management’s determination of the asset group used in the long-lived assets impairment assessment by evaluating the level for which identifiable cash flows are largely independent of the cash flows of other assets and liabilities; and (iii) evaluating the appropriateness of management’s determination of the primary asset for the asset group which included comparing the estimated future cash flows derived from the primary asset compared to other assets within the asset group.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PricewaterhouseCoopers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San Jose, California</w:t>
      </w:r>
    </w:p>
    <w:p>
      <w:pPr>
        <w:pStyle w:val="TextBody"/>
        <w:bidi w:val="0"/>
        <w:jc w:val="left"/>
        <w:rPr>
          <w:rFonts w:ascii="Times New Roman" w:hAnsi="Times New Roman"/>
          <w:color w:val="000000"/>
          <w:sz w:val="20"/>
        </w:rPr>
      </w:pPr>
      <w:r>
        <w:rPr>
          <w:rFonts w:ascii="Times New Roman" w:hAnsi="Times New Roman"/>
          <w:color w:val="000000"/>
          <w:sz w:val="20"/>
        </w:rPr>
        <w:t>March 28,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2016.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21" w:name="consolidated_balance_sheets"/>
      <w:bookmarkEnd w:id="21"/>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8725" w:type="dxa"/>
        <w:jc w:val="left"/>
        <w:tblInd w:w="0" w:type="dxa"/>
        <w:tblLayout w:type="fixed"/>
        <w:tblCellMar>
          <w:top w:w="28" w:type="dxa"/>
          <w:left w:w="28" w:type="dxa"/>
          <w:bottom w:w="28" w:type="dxa"/>
          <w:right w:w="28" w:type="dxa"/>
        </w:tblCellMar>
      </w:tblPr>
      <w:tblGrid>
        <w:gridCol w:w="5376"/>
        <w:gridCol w:w="146"/>
        <w:gridCol w:w="206"/>
        <w:gridCol w:w="934"/>
        <w:gridCol w:w="166"/>
        <w:gridCol w:w="146"/>
        <w:gridCol w:w="218"/>
        <w:gridCol w:w="922"/>
        <w:gridCol w:w="611"/>
      </w:tblGrid>
      <w:tr>
        <w:trPr/>
        <w:tc>
          <w:tcPr>
            <w:tcW w:w="5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3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left"/>
              <w:rPr>
                <w:sz w:val="4"/>
                <w:szCs w:val="4"/>
              </w:rPr>
            </w:pPr>
            <w:r>
              <w:rPr>
                <w:sz w:val="4"/>
                <w:szCs w:val="4"/>
              </w:rPr>
            </w:r>
          </w:p>
        </w:tc>
        <w:tc>
          <w:tcPr>
            <w:tcW w:w="611" w:type="dxa"/>
            <w:tcBorders/>
            <w:shd w:fill="CFF0FC" w:val="clear"/>
            <w:vAlign w:val="center"/>
          </w:tcPr>
          <w:p>
            <w:pPr>
              <w:pStyle w:val="TableContents"/>
              <w:bidi w:val="0"/>
              <w:spacing w:before="0" w:after="283"/>
              <w:jc w:val="right"/>
              <w:rPr/>
            </w:pPr>
            <w:r>
              <w:rPr/>
              <w:t> </w:t>
            </w:r>
          </w:p>
        </w:tc>
      </w:tr>
      <w:tr>
        <w:trPr/>
        <w:tc>
          <w:tcPr>
            <w:tcW w:w="53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3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285,507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190,433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3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288,500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3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289,309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486,005</w:t>
            </w:r>
          </w:p>
        </w:tc>
        <w:tc>
          <w:tcPr>
            <w:tcW w:w="611" w:type="dxa"/>
            <w:tcBorders/>
            <w:shd w:fill="FFFFFF" w:val="clear"/>
            <w:vAlign w:val="center"/>
          </w:tcPr>
          <w:p>
            <w:pPr>
              <w:pStyle w:val="TableContents"/>
              <w:bidi w:val="0"/>
              <w:spacing w:before="0" w:after="283"/>
              <w:jc w:val="left"/>
              <w:rPr/>
            </w:pPr>
            <w:r>
              <w:rPr/>
              <w:t> </w:t>
            </w:r>
          </w:p>
        </w:tc>
      </w:tr>
      <w:tr>
        <w:trPr/>
        <w:tc>
          <w:tcPr>
            <w:tcW w:w="53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6,324</w:t>
            </w:r>
          </w:p>
        </w:tc>
        <w:tc>
          <w:tcPr>
            <w:tcW w:w="611" w:type="dxa"/>
            <w:tcBorders/>
            <w:shd w:fill="CFF0FC" w:val="cle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120,482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56,384</w:t>
            </w:r>
          </w:p>
        </w:tc>
        <w:tc>
          <w:tcPr>
            <w:tcW w:w="611" w:type="dxa"/>
            <w:tcBorders/>
            <w:shd w:fill="FFFFFF" w:val="clear"/>
            <w:vAlign w:val="center"/>
          </w:tcPr>
          <w:p>
            <w:pPr>
              <w:pStyle w:val="TableContents"/>
              <w:bidi w:val="0"/>
              <w:spacing w:before="0" w:after="283"/>
              <w:jc w:val="left"/>
              <w:rPr/>
            </w:pPr>
            <w:r>
              <w:rPr/>
              <w:t> </w:t>
            </w:r>
          </w:p>
        </w:tc>
      </w:tr>
      <w:tr>
        <w:trPr/>
        <w:tc>
          <w:tcPr>
            <w:tcW w:w="53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59,369</w:t>
            </w:r>
          </w:p>
        </w:tc>
        <w:tc>
          <w:tcPr>
            <w:tcW w:w="611" w:type="dxa"/>
            <w:tcBorders/>
            <w:shd w:fill="CFF0FC" w:val="cle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58,546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479,372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666,628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3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3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3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33,440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3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liability</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52,496</w:t>
            </w:r>
          </w:p>
        </w:tc>
        <w:tc>
          <w:tcPr>
            <w:tcW w:w="611" w:type="dxa"/>
            <w:tcBorders/>
            <w:shd w:fill="CFF0FC" w:val="cle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liability, net of current portion</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77,807</w:t>
            </w:r>
          </w:p>
        </w:tc>
        <w:tc>
          <w:tcPr>
            <w:tcW w:w="611" w:type="dxa"/>
            <w:tcBorders/>
            <w:shd w:fill="FFFFFF" w:val="clear"/>
            <w:vAlign w:val="center"/>
          </w:tcPr>
          <w:p>
            <w:pPr>
              <w:pStyle w:val="TableContents"/>
              <w:bidi w:val="0"/>
              <w:spacing w:before="0" w:after="283"/>
              <w:jc w:val="left"/>
              <w:rPr/>
            </w:pPr>
            <w:r>
              <w:rPr/>
              <w:t> </w:t>
            </w:r>
          </w:p>
        </w:tc>
      </w:tr>
      <w:tr>
        <w:trPr/>
        <w:tc>
          <w:tcPr>
            <w:tcW w:w="53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Liability related to sale of future royalties</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99,996</w:t>
            </w:r>
          </w:p>
        </w:tc>
        <w:tc>
          <w:tcPr>
            <w:tcW w:w="611" w:type="dxa"/>
            <w:tcBorders/>
            <w:shd w:fill="CFF0FC" w:val="cle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213,591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230,461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8)</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3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37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Preferred stock, $0.0001</w:t>
            </w:r>
            <w:r>
              <w:rPr>
                <w:rFonts w:ascii="Times New Roman" w:hAnsi="Times New Roman"/>
                <w:color w:val="000000"/>
                <w:sz w:val="20"/>
              </w:rPr>
              <w:t> </w:t>
            </w:r>
            <w:r>
              <w:rPr>
                <w:rFonts w:ascii="Times New Roman" w:hAnsi="Times New Roman"/>
                <w:color w:val="000000"/>
                <w:sz w:val="18"/>
              </w:rPr>
              <w:t>par value, 10,000,000</w:t>
            </w:r>
            <w:r>
              <w:rPr>
                <w:rFonts w:ascii="Times New Roman" w:hAnsi="Times New Roman"/>
                <w:color w:val="000000"/>
                <w:sz w:val="20"/>
              </w:rPr>
              <w:t> </w:t>
            </w:r>
            <w:r>
              <w:rPr>
                <w:rFonts w:ascii="Times New Roman" w:hAnsi="Times New Roman"/>
                <w:color w:val="000000"/>
                <w:sz w:val="18"/>
              </w:rPr>
              <w:t>shares authorized;</w:t>
              <w:br/>
              <w:t>   0</w:t>
            </w:r>
            <w:r>
              <w:rPr>
                <w:rFonts w:ascii="Times New Roman" w:hAnsi="Times New Roman"/>
                <w:color w:val="000000"/>
                <w:sz w:val="20"/>
              </w:rPr>
              <w:t> </w:t>
            </w:r>
            <w:r>
              <w:rPr>
                <w:rFonts w:ascii="Times New Roman" w:hAnsi="Times New Roman"/>
                <w:color w:val="000000"/>
                <w:sz w:val="18"/>
              </w:rPr>
              <w:t xml:space="preserve">shares issued and outstanding at December 31, 2023 and </w:t>
              <w:br/>
              <w:t>   December 31, 2022, respectively</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37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490,000,000</w:t>
            </w:r>
            <w:r>
              <w:rPr>
                <w:rFonts w:ascii="Times New Roman" w:hAnsi="Times New Roman"/>
                <w:color w:val="000000"/>
                <w:sz w:val="20"/>
              </w:rPr>
              <w:t> </w:t>
            </w:r>
            <w:r>
              <w:rPr>
                <w:rFonts w:ascii="Times New Roman" w:hAnsi="Times New Roman"/>
                <w:color w:val="000000"/>
                <w:sz w:val="18"/>
              </w:rPr>
              <w:t xml:space="preserve">shares authorized </w:t>
              <w:br/>
              <w:t>   at December 31, 2023 and December 31, 2022; 52,508,602</w:t>
            </w:r>
            <w:r>
              <w:rPr>
                <w:rFonts w:ascii="Times New Roman" w:hAnsi="Times New Roman"/>
                <w:color w:val="000000"/>
                <w:sz w:val="20"/>
              </w:rPr>
              <w:t> </w:t>
            </w:r>
            <w:r>
              <w:rPr>
                <w:rFonts w:ascii="Times New Roman" w:hAnsi="Times New Roman"/>
                <w:color w:val="000000"/>
                <w:sz w:val="18"/>
              </w:rPr>
              <w:t xml:space="preserve">and </w:t>
              <w:br/>
              <w:t>   52,333,850</w:t>
            </w:r>
            <w:r>
              <w:rPr>
                <w:rFonts w:ascii="Times New Roman" w:hAnsi="Times New Roman"/>
                <w:color w:val="000000"/>
                <w:sz w:val="20"/>
              </w:rPr>
              <w:t> </w:t>
            </w:r>
            <w:r>
              <w:rPr>
                <w:rFonts w:ascii="Times New Roman" w:hAnsi="Times New Roman"/>
                <w:color w:val="000000"/>
                <w:sz w:val="18"/>
              </w:rPr>
              <w:t xml:space="preserve">shares issued and outstanding at December 31, 2023 and </w:t>
              <w:br/>
              <w:t>   December 31, 2022, respectively</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611" w:type="dxa"/>
            <w:tcBorders/>
            <w:shd w:fill="CFF0FC" w:val="cle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1,418,307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1,329,509</w:t>
            </w:r>
          </w:p>
        </w:tc>
        <w:tc>
          <w:tcPr>
            <w:tcW w:w="611" w:type="dxa"/>
            <w:tcBorders/>
            <w:shd w:fill="FFFFFF" w:val="clear"/>
            <w:vAlign w:val="center"/>
          </w:tcPr>
          <w:p>
            <w:pPr>
              <w:pStyle w:val="TableContents"/>
              <w:bidi w:val="0"/>
              <w:spacing w:before="0" w:after="283"/>
              <w:jc w:val="left"/>
              <w:rPr/>
            </w:pPr>
            <w:r>
              <w:rPr/>
              <w:t> </w:t>
            </w:r>
          </w:p>
        </w:tc>
      </w:tr>
      <w:tr>
        <w:trPr/>
        <w:tc>
          <w:tcPr>
            <w:tcW w:w="53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income (loss)</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w:t>
            </w:r>
          </w:p>
        </w:tc>
        <w:tc>
          <w:tcPr>
            <w:tcW w:w="6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(892,040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3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436,167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479,372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666,628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22" w:name="consolidated_statements_operations_compr"/>
      <w:bookmarkEnd w:id="22"/>
      <w:r>
        <w:rPr>
          <w:rFonts w:ascii="Times New Roman" w:hAnsi="Times New Roman"/>
          <w:b/>
          <w:color w:val="000000"/>
          <w:sz w:val="20"/>
        </w:rPr>
        <w:t>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9538" w:type="dxa"/>
        <w:jc w:val="left"/>
        <w:tblInd w:w="0" w:type="dxa"/>
        <w:tblLayout w:type="fixed"/>
        <w:tblCellMar>
          <w:top w:w="28" w:type="dxa"/>
          <w:left w:w="28" w:type="dxa"/>
          <w:bottom w:w="28" w:type="dxa"/>
          <w:right w:w="28" w:type="dxa"/>
        </w:tblCellMar>
      </w:tblPr>
      <w:tblGrid>
        <w:gridCol w:w="4821"/>
        <w:gridCol w:w="146"/>
        <w:gridCol w:w="196"/>
        <w:gridCol w:w="916"/>
        <w:gridCol w:w="166"/>
        <w:gridCol w:w="146"/>
        <w:gridCol w:w="196"/>
        <w:gridCol w:w="916"/>
        <w:gridCol w:w="166"/>
        <w:gridCol w:w="146"/>
        <w:gridCol w:w="196"/>
        <w:gridCol w:w="916"/>
        <w:gridCol w:w="611"/>
      </w:tblGrid>
      <w:tr>
        <w:trPr/>
        <w:tc>
          <w:tcPr>
            <w:tcW w:w="4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8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60" w:type="dxa"/>
            <w:gridSpan w:val="10"/>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Year Ended </w:t>
              <w:br/>
              <w:t>  December 31,</w:t>
            </w:r>
          </w:p>
        </w:tc>
        <w:tc>
          <w:tcPr>
            <w:tcW w:w="611" w:type="dxa"/>
            <w:tcBorders/>
            <w:shd w:fill="FFFFFF" w:val="clear"/>
            <w:vAlign w:val="center"/>
          </w:tcPr>
          <w:p>
            <w:pPr>
              <w:pStyle w:val="TableContents"/>
              <w:bidi w:val="0"/>
              <w:spacing w:before="0" w:after="283"/>
              <w:jc w:val="center"/>
              <w:rPr/>
            </w:pPr>
            <w:r>
              <w:rPr/>
              <w:t> </w:t>
            </w:r>
          </w:p>
        </w:tc>
      </w:tr>
      <w:tr>
        <w:trPr/>
        <w:tc>
          <w:tcPr>
            <w:tcW w:w="48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8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8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206,298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267,591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217,340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8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49,711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267,051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(277,321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(341,379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(267,051</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8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8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8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(260,491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(333,823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(266,990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common share, basic and diluted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Weighted-average shares of common stock outstanding used </w:t>
              <w:br/>
              <w:t>   in computing net loss per common share, basic and diluted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52,414,256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52,249,620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51,788,918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8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 xml:space="preserve">Change in unrealized gains (losses) related to available-for-sale </w:t>
              <w:br/>
              <w:t>   debt securities, net of tax</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8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other comprehensive income (loss)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(335,130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(267,043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23" w:name="consolidated_statements_redeemable_conve"/>
      <w:bookmarkEnd w:id="23"/>
      <w:r>
        <w:rPr>
          <w:rFonts w:ascii="Times New Roman" w:hAnsi="Times New Roman"/>
          <w:b/>
          <w:color w:val="000000"/>
          <w:sz w:val="20"/>
        </w:rPr>
        <w:t>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9431" w:type="dxa"/>
        <w:jc w:val="left"/>
        <w:tblInd w:w="0" w:type="dxa"/>
        <w:tblLayout w:type="fixed"/>
        <w:tblCellMar>
          <w:top w:w="28" w:type="dxa"/>
          <w:left w:w="28" w:type="dxa"/>
          <w:bottom w:w="28" w:type="dxa"/>
          <w:right w:w="28" w:type="dxa"/>
        </w:tblCellMar>
      </w:tblPr>
      <w:tblGrid>
        <w:gridCol w:w="2196"/>
        <w:gridCol w:w="146"/>
        <w:gridCol w:w="146"/>
        <w:gridCol w:w="766"/>
        <w:gridCol w:w="146"/>
        <w:gridCol w:w="146"/>
        <w:gridCol w:w="196"/>
        <w:gridCol w:w="375"/>
        <w:gridCol w:w="146"/>
        <w:gridCol w:w="146"/>
        <w:gridCol w:w="181"/>
        <w:gridCol w:w="691"/>
        <w:gridCol w:w="146"/>
        <w:gridCol w:w="146"/>
        <w:gridCol w:w="279"/>
        <w:gridCol w:w="742"/>
        <w:gridCol w:w="151"/>
        <w:gridCol w:w="146"/>
        <w:gridCol w:w="181"/>
        <w:gridCol w:w="736"/>
        <w:gridCol w:w="151"/>
        <w:gridCol w:w="146"/>
        <w:gridCol w:w="207"/>
        <w:gridCol w:w="723"/>
        <w:gridCol w:w="396"/>
      </w:tblGrid>
      <w:tr>
        <w:trPr/>
        <w:tc>
          <w:tcPr>
            <w:tcW w:w="2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0"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396" w:type="dxa"/>
            <w:tcBorders/>
            <w:shd w:fill="FFFFFF" w:val="clear"/>
            <w:vAlign w:val="center"/>
          </w:tcPr>
          <w:p>
            <w:pPr>
              <w:pStyle w:val="TableContents"/>
              <w:bidi w:val="0"/>
              <w:spacing w:before="0" w:after="283"/>
              <w:jc w:val="center"/>
              <w:rPr/>
            </w:pPr>
            <w:r>
              <w:rPr/>
              <w:t> </w:t>
            </w:r>
          </w:p>
        </w:tc>
      </w:tr>
      <w:tr>
        <w:trPr/>
        <w:tc>
          <w:tcPr>
            <w:tcW w:w="2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at December 31, 2020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51,112,302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1,151,920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(291,227</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860,751</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463,796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7,743</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xml:space="preserve">   vesting of restricted stock </w:t>
              <w:br/>
              <w:t>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93,218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color w:val="000000"/>
              </w:rPr>
            </w:pPr>
            <w:r>
              <w:rPr>
                <w:color w:val="000000"/>
              </w:rPr>
              <w:t>—</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w:t>
              <w:br/>
              <w:t xml:space="preserve">   pursuant to employee stock </w:t>
              <w:br/>
              <w:t>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484</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xml:space="preserve">   exercise of common stock </w:t>
              <w:br/>
              <w:t>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149,983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color w:val="000000"/>
              </w:rPr>
            </w:pPr>
            <w:r>
              <w:rPr>
                <w:color w:val="000000"/>
              </w:rPr>
              <w:t>—</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Stock-based compensation</w:t>
              <w:br/>
              <w:t>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61,385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61,385</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Other 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3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2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(266,990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(266,990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1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51,826,257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1,221,532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(558,217</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663,320</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126,999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1,770</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xml:space="preserve">   vesting of restricted stock </w:t>
              <w:br/>
              <w:t>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color w:val="000000"/>
              </w:rPr>
            </w:pPr>
            <w:r>
              <w:rPr>
                <w:color w:val="000000"/>
              </w:rPr>
              <w:t>—</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w:t>
              <w:br/>
              <w:t xml:space="preserve">   pursuant to employee stock </w:t>
              <w:br/>
              <w:t>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xml:space="preserve">   exercise of common stock </w:t>
              <w:br/>
              <w:t>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249,699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color w:val="000000"/>
              </w:rPr>
            </w:pPr>
            <w:r>
              <w:rPr>
                <w:color w:val="000000"/>
              </w:rPr>
              <w:t>—</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Stock-based compensation</w:t>
              <w:br/>
              <w:t>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106,033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106,033</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Other 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(1,307</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(1,307</w:t>
            </w:r>
          </w:p>
        </w:tc>
        <w:tc>
          <w:tcPr>
            <w:tcW w:w="3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2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(333,823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(333,823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1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52,333,850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1,329,509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(1,307</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(892,040</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436,167</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xml:space="preserve">   vesting of restricted stock </w:t>
              <w:br/>
              <w:t>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116,403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color w:val="000000"/>
              </w:rPr>
            </w:pPr>
            <w:r>
              <w:rPr>
                <w:color w:val="000000"/>
              </w:rPr>
              <w:t>—</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w:t>
              <w:br/>
              <w:t xml:space="preserve">   pursuant to employee stock </w:t>
              <w:br/>
              <w:t>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50,821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Stock-based compensation</w:t>
              <w:br/>
              <w:t>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88,556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88,556</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1,307</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(260,491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(260,491</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19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52,508,602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1,418,307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(1,152,531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265,781</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24" w:name="consolidated_statements_cash_flows"/>
      <w:bookmarkEnd w:id="24"/>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29"/>
        <w:gridCol w:w="196"/>
        <w:gridCol w:w="751"/>
        <w:gridCol w:w="166"/>
        <w:gridCol w:w="146"/>
        <w:gridCol w:w="196"/>
        <w:gridCol w:w="751"/>
        <w:gridCol w:w="166"/>
        <w:gridCol w:w="146"/>
        <w:gridCol w:w="196"/>
        <w:gridCol w:w="751"/>
        <w:gridCol w:w="811"/>
      </w:tblGrid>
      <w:tr>
        <w:trPr/>
        <w:tc>
          <w:tcPr>
            <w:tcW w:w="59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929" w:type="dxa"/>
            <w:tcBorders/>
            <w:shd w:fill="FFFFFF" w:val="clear"/>
            <w:vAlign w:val="center"/>
          </w:tcPr>
          <w:p>
            <w:pPr>
              <w:pStyle w:val="TableContents"/>
              <w:bidi w:val="0"/>
              <w:spacing w:before="0" w:after="283"/>
              <w:jc w:val="left"/>
              <w:rPr/>
            </w:pPr>
            <w:r>
              <w:rPr/>
              <w:t> </w:t>
            </w:r>
          </w:p>
        </w:tc>
        <w:tc>
          <w:tcPr>
            <w:tcW w:w="3465" w:type="dxa"/>
            <w:gridSpan w:val="10"/>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811" w:type="dxa"/>
            <w:tcBorders/>
            <w:shd w:fill="FFFFFF" w:val="clear"/>
            <w:vAlign w:val="center"/>
          </w:tcPr>
          <w:p>
            <w:pPr>
              <w:pStyle w:val="TableContents"/>
              <w:bidi w:val="0"/>
              <w:spacing w:before="0" w:after="283"/>
              <w:jc w:val="center"/>
              <w:rPr/>
            </w:pPr>
            <w:r>
              <w:rPr/>
              <w:t> </w:t>
            </w:r>
          </w:p>
        </w:tc>
      </w:tr>
      <w:tr>
        <w:trPr/>
        <w:tc>
          <w:tcPr>
            <w:tcW w:w="5929" w:type="dxa"/>
            <w:tcBorders/>
            <w:shd w:fill="FFFFFF" w:val="clear"/>
            <w:vAlign w:val="center"/>
          </w:tcPr>
          <w:p>
            <w:pPr>
              <w:pStyle w:val="TableContents"/>
              <w:bidi w:val="0"/>
              <w:spacing w:before="0" w:after="283"/>
              <w:jc w:val="left"/>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92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59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(260,491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(333,823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(266,990</w:t>
            </w:r>
          </w:p>
        </w:tc>
        <w:tc>
          <w:tcPr>
            <w:tcW w:w="8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2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provided by (used in) operating activities:</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592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Depreciation</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92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61,385</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92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Loss on disposal of long-lived assets</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92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amortization (accretion) of premium (discount) on marketable securities</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92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Settlement of derivative contracts</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92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Amortization of operating lease right-of-use asset</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7,708</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92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Amortization of issuance costs</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92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Changes in assets and liabilities:</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400"/>
              <w:jc w:val="right"/>
              <w:rPr/>
            </w:pPr>
            <w:r>
              <w:rPr/>
              <w:t> </w:t>
            </w:r>
          </w:p>
        </w:tc>
      </w:tr>
      <w:tr>
        <w:trPr/>
        <w:tc>
          <w:tcPr>
            <w:tcW w:w="592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29"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Other assets</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592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payable</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(2,094</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29"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Accrued and other current liabilities</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(12,907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13,511</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592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Operating lease liability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929"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provided by (used in) operating activities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(206,459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(182,270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29"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592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property and equipment</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(41,350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(37,021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(17,032</w:t>
            </w:r>
          </w:p>
        </w:tc>
        <w:tc>
          <w:tcPr>
            <w:tcW w:w="8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Deposits on property and equipment</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(10,342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(46,266</w:t>
            </w:r>
          </w:p>
        </w:tc>
        <w:tc>
          <w:tcPr>
            <w:tcW w:w="8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2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marketable securities</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(49,347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(427,766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jc w:val="left"/>
              <w:rPr/>
            </w:pPr>
            <w:r>
              <w:rPr/>
              <w:t> </w:t>
            </w:r>
          </w:p>
        </w:tc>
      </w:tr>
      <w:tr>
        <w:trPr/>
        <w:tc>
          <w:tcPr>
            <w:tcW w:w="59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Maturities of marketable securities</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24,500</w:t>
            </w:r>
          </w:p>
        </w:tc>
        <w:tc>
          <w:tcPr>
            <w:tcW w:w="811" w:type="dxa"/>
            <w:tcBorders/>
            <w:shd w:fill="FFFFFF" w:val="clear"/>
            <w:vAlign w:val="center"/>
          </w:tcPr>
          <w:p>
            <w:pPr>
              <w:pStyle w:val="TableContents"/>
              <w:bidi w:val="0"/>
              <w:spacing w:before="0" w:after="283"/>
              <w:jc w:val="left"/>
              <w:rPr/>
            </w:pPr>
            <w:r>
              <w:rPr/>
              <w:t> </w:t>
            </w:r>
          </w:p>
        </w:tc>
      </w:tr>
      <w:tr>
        <w:trPr/>
        <w:tc>
          <w:tcPr>
            <w:tcW w:w="592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derivative activity</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929"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provided by (used in) investing activities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(336,513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(38,798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2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59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upon options exercise</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7,743</w:t>
            </w:r>
          </w:p>
        </w:tc>
        <w:tc>
          <w:tcPr>
            <w:tcW w:w="811" w:type="dxa"/>
            <w:tcBorders/>
            <w:shd w:fill="FFFFFF" w:val="clear"/>
            <w:vAlign w:val="center"/>
          </w:tcPr>
          <w:p>
            <w:pPr>
              <w:pStyle w:val="TableContents"/>
              <w:bidi w:val="0"/>
              <w:spacing w:before="0" w:after="283"/>
              <w:jc w:val="left"/>
              <w:rPr/>
            </w:pPr>
            <w:r>
              <w:rPr/>
              <w:t> </w:t>
            </w:r>
          </w:p>
        </w:tc>
      </w:tr>
      <w:tr>
        <w:trPr/>
        <w:tc>
          <w:tcPr>
            <w:tcW w:w="592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pursuant to employee stock purchase plan</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w:t>
            </w:r>
          </w:p>
        </w:tc>
        <w:tc>
          <w:tcPr>
            <w:tcW w:w="811" w:type="dxa"/>
            <w:tcBorders/>
            <w:shd w:fill="CFF0FC" w:val="clear"/>
            <w:vAlign w:val="center"/>
          </w:tcPr>
          <w:p>
            <w:pPr>
              <w:pStyle w:val="TableContents"/>
              <w:bidi w:val="0"/>
              <w:spacing w:before="0" w:after="283"/>
              <w:jc w:val="left"/>
              <w:rPr/>
            </w:pPr>
            <w:r>
              <w:rPr/>
              <w:t> </w:t>
            </w:r>
          </w:p>
        </w:tc>
      </w:tr>
      <w:tr>
        <w:trPr/>
        <w:tc>
          <w:tcPr>
            <w:tcW w:w="59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payments of tenant improvement allowance payable</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811" w:type="dxa"/>
            <w:tcBorders/>
            <w:shd w:fill="FFFFFF"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929"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provided by (used in) financing activities</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8,182</w:t>
            </w:r>
          </w:p>
        </w:tc>
        <w:tc>
          <w:tcPr>
            <w:tcW w:w="8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9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cash equivalents and restricted cash</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(541,077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(212,886</w:t>
            </w:r>
          </w:p>
        </w:tc>
        <w:tc>
          <w:tcPr>
            <w:tcW w:w="8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2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196,757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737,834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950,720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291,831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196,757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737,834</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to consolidated balance sheets</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59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285,507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190,433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731,510</w:t>
            </w:r>
          </w:p>
        </w:tc>
        <w:tc>
          <w:tcPr>
            <w:tcW w:w="811" w:type="dxa"/>
            <w:tcBorders/>
            <w:shd w:fill="FFFFFF" w:val="clear"/>
            <w:vAlign w:val="center"/>
          </w:tcPr>
          <w:p>
            <w:pPr>
              <w:pStyle w:val="TableContents"/>
              <w:bidi w:val="0"/>
              <w:spacing w:before="0" w:after="283"/>
              <w:jc w:val="left"/>
              <w:rPr/>
            </w:pPr>
            <w:r>
              <w:rPr/>
              <w:t> </w:t>
            </w:r>
          </w:p>
        </w:tc>
      </w:tr>
      <w:tr>
        <w:trPr/>
        <w:tc>
          <w:tcPr>
            <w:tcW w:w="592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9"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cash, cash equivalents and restricted cash in consolidated balance sheets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291,831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196,757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737,834</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9"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592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cash flow information:</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59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interest</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811" w:type="dxa"/>
            <w:tcBorders/>
            <w:shd w:fill="FFFFFF" w:val="clear"/>
            <w:vAlign w:val="center"/>
          </w:tcPr>
          <w:p>
            <w:pPr>
              <w:pStyle w:val="TableContents"/>
              <w:bidi w:val="0"/>
              <w:spacing w:before="0" w:after="283"/>
              <w:jc w:val="left"/>
              <w:rPr/>
            </w:pPr>
            <w:r>
              <w:rPr/>
              <w:t> </w:t>
            </w:r>
          </w:p>
        </w:tc>
      </w:tr>
      <w:tr>
        <w:trPr/>
        <w:tc>
          <w:tcPr>
            <w:tcW w:w="592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 of non-cash investing and financing information:</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59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 obtained in exchange for operating lease liability</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w:t>
            </w:r>
          </w:p>
        </w:tc>
        <w:tc>
          <w:tcPr>
            <w:tcW w:w="811" w:type="dxa"/>
            <w:tcBorders/>
            <w:shd w:fill="FFFFFF" w:val="clear"/>
            <w:vAlign w:val="center"/>
          </w:tcPr>
          <w:p>
            <w:pPr>
              <w:pStyle w:val="TableContents"/>
              <w:bidi w:val="0"/>
              <w:spacing w:before="0" w:after="283"/>
              <w:jc w:val="left"/>
              <w:rPr/>
            </w:pPr>
            <w:r>
              <w:rPr/>
              <w:t> </w:t>
            </w:r>
          </w:p>
        </w:tc>
      </w:tr>
      <w:tr>
        <w:trPr/>
        <w:tc>
          <w:tcPr>
            <w:tcW w:w="592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property and equipment under accounts payable and accruals</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21,088</w:t>
            </w:r>
          </w:p>
        </w:tc>
        <w:tc>
          <w:tcPr>
            <w:tcW w:w="811" w:type="dxa"/>
            <w:tcBorders/>
            <w:shd w:fill="CFF0FC" w:val="clear"/>
            <w:vAlign w:val="center"/>
          </w:tcPr>
          <w:p>
            <w:pPr>
              <w:pStyle w:val="TableContents"/>
              <w:bidi w:val="0"/>
              <w:spacing w:before="0" w:after="283"/>
              <w:jc w:val="left"/>
              <w:rPr/>
            </w:pPr>
            <w:r>
              <w:rPr/>
              <w:t> </w:t>
            </w:r>
          </w:p>
        </w:tc>
      </w:tr>
      <w:tr>
        <w:trPr/>
        <w:tc>
          <w:tcPr>
            <w:tcW w:w="59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Reclassification of deposits to property and equipment</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2,370</w:t>
            </w:r>
          </w:p>
        </w:tc>
        <w:tc>
          <w:tcPr>
            <w:tcW w:w="811"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left"/>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sz w:val="20"/>
        </w:rPr>
      </w:pPr>
      <w:bookmarkStart w:id="25" w:name="notes_to_unaudited_condensed_consolidate"/>
      <w:bookmarkEnd w:id="25"/>
      <w:r>
        <w:rPr>
          <w:rFonts w:ascii="Times New Roman" w:hAnsi="Times New Roman"/>
          <w:b/>
          <w:color w:val="000000"/>
          <w:sz w:val="20"/>
        </w:rPr>
        <w:t xml:space="preserve">Notes to Consolidated </w:t>
      </w:r>
      <w:bookmarkStart w:id="26" w:name="notes_to_consolidated_financial_statemen"/>
      <w:bookmarkEnd w:id="26"/>
      <w:r>
        <w:rPr>
          <w:rFonts w:ascii="Times New Roman" w:hAnsi="Times New Roman"/>
          <w:b/>
          <w:color w:val="000000"/>
          <w:sz w:val="20"/>
        </w:rPr>
        <w:t>Financial Statements</w:t>
      </w:r>
    </w:p>
    <w:p>
      <w:pPr>
        <w:pStyle w:val="TextBody"/>
        <w:bidi w:val="0"/>
        <w:jc w:val="center"/>
        <w:rPr>
          <w:rFonts w:ascii="Times New Roman" w:hAnsi="Times New Roman"/>
          <w:b/>
          <w:color w:val="000000"/>
          <w:sz w:val="20"/>
        </w:rPr>
      </w:pPr>
      <w:bookmarkStart w:id="27" w:name="in_thouss_except_share_per_share_data"/>
      <w:bookmarkEnd w:id="27"/>
      <w:r>
        <w:rPr>
          <w:rFonts w:ascii="Times New Roman" w:hAnsi="Times New Roman"/>
          <w:b/>
          <w:color w:val="000000"/>
          <w:sz w:val="20"/>
        </w:rPr>
        <w:t>(in thousands, except share and per share data)</w:t>
      </w:r>
    </w:p>
    <w:p>
      <w:pPr>
        <w:pStyle w:val="TextBody"/>
        <w:bidi w:val="0"/>
        <w:spacing w:before="240" w:after="283"/>
        <w:jc w:val="left"/>
        <w:rPr>
          <w:rFonts w:ascii="Times New Roman" w:hAnsi="Times New Roman"/>
          <w:sz w:val="20"/>
        </w:rPr>
      </w:pPr>
      <w:r>
        <w:rPr>
          <w:rFonts w:ascii="Times New Roman" w:hAnsi="Times New Roman"/>
          <w:b/>
          <w:color w:val="000000"/>
          <w:sz w:val="20"/>
        </w:rPr>
        <w:t>1.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Kodiak Sciences Inc. (the “Company”) is a clinical stage biopharmaceutical company committed to researching, developing and commercializing transformative therapeutics to treat high prevalence retinal diseases. The Company devotes substantially all of its resources to the research and development of its product platforms and product candidates including activities to conduct clinical studies of its product candidates, manufacture product candidates and provide general and administrative support for these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Company had cash and cash equivalents of $285.5 million. Although the Company has incurred significant operating losses since inception and expects to continue to incur operating losses and negative operating cash flows for the foreseeable future, the Company believes that the cash and cash equivalents will be sufficient to meet the anticipated operating and capital expenditure requirements for the 12 months following the date of this Annual Report on Form 10-K.</w:t>
      </w:r>
    </w:p>
    <w:p>
      <w:pPr>
        <w:pStyle w:val="TextBody"/>
        <w:bidi w:val="0"/>
        <w:spacing w:before="2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have been prepared in accordance with accounting principles generally accepted in the United States of America (“US GAAP”).</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Reclassification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prior period amounts in the consolidated financial statements have been reclassified to conform to the current period presentation. </w:t>
      </w:r>
    </w:p>
    <w:p>
      <w:pPr>
        <w:pStyle w:val="TextBody"/>
        <w:bidi w:val="0"/>
        <w:spacing w:before="240" w:after="283"/>
        <w:jc w:val="left"/>
        <w:rPr>
          <w:rFonts w:ascii="Times New Roman" w:hAnsi="Times New Roman"/>
          <w:sz w:val="20"/>
        </w:rPr>
      </w:pPr>
      <w:r>
        <w:rPr>
          <w:rFonts w:ascii="Times New Roman" w:hAnsi="Times New Roman"/>
          <w:b/>
          <w:i/>
          <w:color w:val="000000"/>
          <w:sz w:val="20"/>
        </w:rPr>
        <w:t>Principles of Consolidation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financial statements include the Company’s accounts and the accounts of Kodiak Sciences Financing Corporation and Kodiak Sciences China, the Company’s direct wholly owned subsidiaries, incorporated in the United States and Cayman Islands, respectively, and Kodiak Sciences GmbH and Kodiak Sciences Valais GmbH, the Company’s indirect wholly owned subsidiaries, both incorporated in Switzerland. All intercompany accounts and transactions have been eliminated. The functional and reporting currency of the Company and its subsidiaries is the U.S. dollar. The aggregate foreign currency transaction gain (loss) included in determining net loss was $(0.1) million, $0.3 million, and $(0.3) million for the years ended December 31, 2023, 2022 and 2021, respectively.</w:t>
      </w:r>
    </w:p>
    <w:p>
      <w:pPr>
        <w:pStyle w:val="TextBody"/>
        <w:bidi w:val="0"/>
        <w:spacing w:before="240" w:after="283"/>
        <w:jc w:val="left"/>
        <w:rPr>
          <w:rFonts w:ascii="Times New Roman" w:hAnsi="Times New Roman"/>
          <w:sz w:val="20"/>
        </w:rPr>
      </w:pPr>
      <w:r>
        <w:rPr>
          <w:rFonts w:ascii="Times New Roman" w:hAnsi="Times New Roman"/>
          <w:b/>
          <w:i/>
          <w:color w:val="000000"/>
          <w:sz w:val="20"/>
        </w:rPr>
        <w:t>Segments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and manages its business as one reportable and operating segment, which is the business of research and development of drugs for retinal diseases. The chief operating decision maker reviews financial information on an aggregate basis for purposes of allocating resources and evaluating financial performance.</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reported amounts of assets and liabilities, disclosure of contingent assets and liabilities as of the date of the consolidated financial statements and expenses during the reporting period. Such estimates include, but are not limited to, accrued research and development, stock-based compensation, and impairment of long-lived assets. Actual results could differ from those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and business activities continue to face widespread macroeconomic uncertainties, including health epidemics, labor shortages, bank failures, inflation and monetary supply shifts, recession risks and potential disruptions from the geopolitical conflicts. The Company continues to actively monitor the impact of these macroeconomic factors on its financial condition, liquidity, operations, and workforce. The extent of the impact of these factors on the Company’s operational and financial performance, including its ability to execute its business strategies and initiatives in the expected timeframe, will depend on future developments, which are uncertain and cannot be predicted; however, any continued or renewed disruption resulting from these factors could negatively impact the Company’s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future results of operations involve a number of risks and uncertainties common to clinical stage companies in the biotechnology industry. The Company’s product candidates are in development and the Company operates in an environment of rapid change in technology and substantial competition from other pharmaceutical and biotechnology companies.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drug candidates, uncertainty of market acceptance of any of the Company’s product candidates that receive regulatory approval, competition from new technological innovations, substitute products and larger companies, securing and protecting proprietary technology, strategic relationships and dependence on key individuals, contract manufacturer and research organizations, and other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Products developed by the Company require approvals from the U.S. Food and Drug Administration (“FDA”) or other international regulatory agencies prior to commercial sales. There can be no assurance that any of the Company’s product candidates will receive the necessary approvals. If the Company is denied approval, approval is delayed or the Company is unable to maintain approvals, it could have a materially adverse impact on the Company. Even if the Company’s product development efforts are successful, it is uncertain when, if ever, the Company will generate significant revenue from product sales.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expects to incur substantial operating losses for the next several years and will need to obtain additional financing in order to complete clinical trials, launch and commercialize any product candidates for which it receives regulatory approval. There can be no assurance that such financing will be available or will be on terms acceptable by the Company.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a concentration of credit risk consist of cash and cash equivalents as of December 31, 2023. As of December 31, 2022, the Company also had marketable securities. As of December 31, 2023 and 2022, cash, cash equivalents and marketable securities were invested primarily in money market funds and U.S. treasury securities through highly rated financial institutions. Investments are restricted, in accordance with the Company’s investment policy, to a concentration limit per issuer or sector.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all highly liquid investments with stated maturities of three months or less at the date of purchase to be cash equivalents.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invest excess cash balances in marketable securities. The investments in marketable securities are classified as either held-to-maturity or available-for-sale based on facts and circumstances present at the time of purchase. Marketable securities with a remaining maturity date greater than one year are classified as non-current. The Company’s marketable securities can consist of U.S. treasury securities, commercial paper, and corporate bonds. Marketable debt securities that are available for sale, are carried at fair value with the unrealized gains and losses included in other comprehensive income (loss) as a component of stockholders’ equity until realized. Any premium or discount arising at purchase of marketable debt securities is amortized and/or accreted to interest income or expense over the life of the instrument. Realized gains and losses are determined using the specific identification method and are included in other income (expense), net. Refer to the Credit Losses – Available-for-Sale Debt Securities section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and 2022, the Company had $6.3 million of long-term restricted cash deposited with financial institutions. The entire amount is held in separate bank accounts to support letter of credit agreements related to the Company’s U.S. corporate offices.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Derivatives and Hedging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Derivative instruments that do not qualify for hedge accounting are recognized on the consolidated balance sheet at fair value, with changes in the fair value recognized on the consolidated statement of operations and comprehensive loss as a component of other income (expense), net. The cash flows associated with these derivatives are reflected as cash flows from investing activities in the consolidated statement of cash flows.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Accounting Standards Codification (“ASC”) 820, </w:t>
      </w:r>
      <w:r>
        <w:rPr>
          <w:rFonts w:ascii="Times New Roman" w:hAnsi="Times New Roman"/>
          <w:i/>
          <w:color w:val="000000"/>
          <w:sz w:val="20"/>
        </w:rPr>
        <w:t>Fair Value Measurement</w:t>
      </w:r>
      <w:r>
        <w:rPr>
          <w:rFonts w:ascii="Times New Roman" w:hAnsi="Times New Roman"/>
          <w:color w:val="000000"/>
          <w:sz w:val="20"/>
        </w:rPr>
        <w:t>,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an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—Observable inputs, such as quoted prices in active markets for identical assets or liabilities at the measurement date. </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—Unobservable inputs which reflect management’s best estimate of what market participants would use in pricing the asset or liability at the measurement date. Consideration is given to the risk inherent in the valuation technique and inputs to the model.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amounts of the Company’s financial instruments consisting of cash and cash equivalents, prepaid expenses and other current assets, accounts payable and accrued liabilities and other current liabilities, approximate fair value due to their relatively short maturities.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an arrangement is, or contains, a lease at inception and then classifies the lease as operating or financing based on the underlying terms and conditions of the contract. Leases with terms greater than one year are initially recognized on the consolidated balance sheet as right-of-use assets and lease liabilities based on the present value of lease payments over the expected lease term. The interest rate implicit in lease contracts is typically not readily determinable. As such, the Company utilizes the incremental borrowing rate, which is the rate incurred to borrow, on a collateralized basis, an amount equal to the lease payments over a similar term and in a similar economic environment of the applicable country or region. Variable lease payments are excluded from the right of use assets and operating lease liabilities and are recognized in the period in which the obligation for those payments is incurred.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are stated at cost, net of accumulated depreciation. Construction in progress reflects amounts incurred for construction or improvements of property or equipment that have not been placed in service. Construction in progress is transferred to specific property and equipment and depreciated when these assets are ready for their intended use. Depreciation is computed using the straight-line method over the estimated useful lives of the assets, which generally follows:</w:t>
      </w:r>
    </w:p>
    <w:p>
      <w:pPr>
        <w:pStyle w:val="TextBody"/>
        <w:bidi w:val="0"/>
        <w:spacing w:before="120" w:after="283"/>
        <w:jc w:val="left"/>
        <w:rPr/>
      </w:pPr>
      <w:r>
        <w:rPr/>
        <w:t> </w:t>
      </w:r>
    </w:p>
    <w:tbl>
      <w:tblPr>
        <w:tblW w:w="7753" w:type="dxa"/>
        <w:jc w:val="left"/>
        <w:tblInd w:w="0" w:type="dxa"/>
        <w:tblLayout w:type="fixed"/>
        <w:tblCellMar>
          <w:top w:w="28" w:type="dxa"/>
          <w:left w:w="28" w:type="dxa"/>
          <w:bottom w:w="28" w:type="dxa"/>
          <w:right w:w="28" w:type="dxa"/>
        </w:tblCellMar>
      </w:tblPr>
      <w:tblGrid>
        <w:gridCol w:w="2836"/>
        <w:gridCol w:w="146"/>
        <w:gridCol w:w="477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1"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Lives</w:t>
            </w:r>
          </w:p>
        </w:tc>
      </w:tr>
      <w:tr>
        <w:trPr/>
        <w:tc>
          <w:tcPr>
            <w:tcW w:w="2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years</w:t>
            </w:r>
          </w:p>
        </w:tc>
      </w:tr>
      <w:tr>
        <w:trPr/>
        <w:tc>
          <w:tcPr>
            <w:tcW w:w="2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vAlign w:val="center"/>
          </w:tcPr>
          <w:p>
            <w:pPr>
              <w:pStyle w:val="TableContents"/>
              <w:bidi w:val="0"/>
              <w:spacing w:before="0" w:after="283"/>
              <w:jc w:val="left"/>
              <w:rPr/>
            </w:pPr>
            <w:r>
              <w:rPr/>
              <w:t> </w:t>
            </w:r>
          </w:p>
        </w:tc>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to 10 years</w:t>
            </w:r>
          </w:p>
        </w:tc>
      </w:tr>
      <w:tr>
        <w:trPr/>
        <w:tc>
          <w:tcPr>
            <w:tcW w:w="2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 and Hardware</w:t>
            </w:r>
          </w:p>
        </w:tc>
        <w:tc>
          <w:tcPr>
            <w:tcW w:w="146" w:type="dxa"/>
            <w:tcBorders/>
            <w:shd w:fill="CFF0FC" w:val="clear"/>
            <w:vAlign w:val="center"/>
          </w:tcPr>
          <w:p>
            <w:pPr>
              <w:pStyle w:val="TableContents"/>
              <w:bidi w:val="0"/>
              <w:spacing w:before="0" w:after="283"/>
              <w:jc w:val="left"/>
              <w:rPr/>
            </w:pPr>
            <w:r>
              <w:rPr/>
              <w:t> </w:t>
            </w:r>
          </w:p>
        </w:tc>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to 5 years</w:t>
            </w:r>
          </w:p>
        </w:tc>
      </w:tr>
      <w:tr>
        <w:trPr/>
        <w:tc>
          <w:tcPr>
            <w:tcW w:w="2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Lesser of the useful life or the term of the respective lease</w:t>
            </w:r>
          </w:p>
        </w:tc>
      </w:tr>
    </w:tbl>
    <w:p>
      <w:pPr>
        <w:pStyle w:val="TextBody"/>
        <w:bidi w:val="0"/>
        <w:jc w:val="left"/>
        <w:rPr>
          <w:rFonts w:ascii="Times New Roman" w:hAnsi="Times New Roman"/>
          <w:color w:val="000000"/>
          <w:sz w:val="20"/>
        </w:rPr>
      </w:pPr>
      <w:r>
        <w:rPr>
          <w:rFonts w:ascii="Times New Roman" w:hAnsi="Times New Roman"/>
          <w:color w:val="000000"/>
          <w:sz w:val="20"/>
        </w:rPr>
        <w:t>Upon sale or retirement of assets, the costs and related accumulated depreciation are removed from the consolidated balance sheet and the resulting gain or loss is reflected in operations. Maintenance and repairs are charged to operations as incurred.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reviews long-lived assets for impairment whenever events or changes in circumstances indicate that the carrying amounts of the assets may not be recoverable. Recoverability is measured by comparison of the carrying amount of the assets to the estimated undiscounted net cash flows which the assets are expected to generate. If such assets are deemed not recoverable, an impairment loss is recognized in the amount by which the carrying amount of the assets exceeds the estimated fair value of the assets. The Company applied significant judgment in determining it has one asset group and that there is no lower level to group assets for impairment testing. The determination of the asset group primarily considers the interdependencies of its assets, shared cost structure, and the interrelated future cash flow generation. The Company assessed the recoverability of its asset group in 2023 based on the Company’s decision to wind-down the tarcocimab program following the topline results from the Phase 3 GLEAM and GLIMMER studies. The Company determined that the estimated undiscounted net cash flows which the asset group was forecasted to generate exceeded the carrying amount of the asset group. Therefore, no impairment loss was recognized in 2023. There was also no such impairment of long-lived assets in the year ended December 31, 2022. </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research, design and development of products are charged to research and development expense as incurred. Research and development costs include, but are not limited to, payroll and personnel expenses, including stock-based compensation, laboratory supplies, outside services and allocated overhead, including rent, depreciation and utilities. </w:t>
      </w:r>
    </w:p>
    <w:p>
      <w:pPr>
        <w:pStyle w:val="TextBody"/>
        <w:bidi w:val="0"/>
        <w:spacing w:before="240" w:after="283"/>
        <w:jc w:val="left"/>
        <w:rPr>
          <w:rFonts w:ascii="Times New Roman" w:hAnsi="Times New Roman"/>
          <w:sz w:val="20"/>
        </w:rPr>
      </w:pPr>
      <w:r>
        <w:rPr>
          <w:rFonts w:ascii="Times New Roman" w:hAnsi="Times New Roman"/>
          <w:b/>
          <w:i/>
          <w:color w:val="000000"/>
          <w:sz w:val="20"/>
        </w:rPr>
        <w:t>Accrued 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various agreements with various third parties, including clinical investigator sites, contract research organizations (“CROs”) and contract manufacturing organizations (“CMOs”), to provide research and development activities. The Company’s accrued research and development costs are estimated based on the level of services performed, including the phase or completion of events, and contracted costs. Accrued clinical trial and related costs are estimated using data such as patient enrollment, clinical site activations or information provided by outside service providers regarding their actual costs incurred. Management determines accrual estimates through reports from and discussions with clinical personnel and outside service providers as to the progress of trials, or the services completed. The estimated costs of research and development provided, but not yet invoiced, are included in accrued and other current liabilities on the consolidated balance sheet. If the actual timing of the performance of services or the level of effort varies from the original estimates, the Company will adjust the accrual accordingly. Payments made to third parties under these arrangements in advance of the performance of the related services are recorded as prepaid expenses or other assets until the services are rendered.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stock-based compensation in accordance with the provisions of ASC 718, </w:t>
      </w:r>
      <w:r>
        <w:rPr>
          <w:rFonts w:ascii="Times New Roman" w:hAnsi="Times New Roman"/>
          <w:i/>
          <w:color w:val="000000"/>
          <w:sz w:val="20"/>
        </w:rPr>
        <w:t>Compensation-Stock Compensation</w:t>
      </w:r>
      <w:r>
        <w:rPr>
          <w:rFonts w:ascii="Times New Roman" w:hAnsi="Times New Roman"/>
          <w:color w:val="000000"/>
          <w:sz w:val="20"/>
        </w:rPr>
        <w:t xml:space="preserve">. The Company measures stock-based compensation expense for stock options and restricted stock units granted to its employees, directors and non-employees based on the estimated fair value of the awards on the grant date. The fair value of options is calculated using the Black-Scholes valuation model or the Monte Carlo simulation model, which requires the input of subjective assumptions, including (i) the calculation of expected term of the award, (ii) the expected stock price volatility, (iii) the risk-free interest rate, and (iv) expected dividends.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term is determined based on hypothetical exercise data for unexercised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volatility is estimated based on the Company's historical information for its common stock and supplemented by the historical stock price volatility of a representative peer group over a period equivalent to the expected term of the equity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risk-free interest rate is estimated based on the U.S. Treasury securities with maturity dates commensurate with the expected term of the equity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never paid, and does not expect to pay, dividends in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expense is recorded on a straight-line basis over the requisite service period, which is generally the vesting period, for the entire award. The Company accounts for forfeitures as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certain stock options and restricted stock units that vest in conjunction with certain performance conditions. At each reporting date, the Company is required to evaluate whether achievement of the performance conditions is probable. Compensation expense is recorded over the appropriate service period based upon the Company's assessment of accomplishing each performance provision. Refer to Note 12.</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income taxes under the asset and liability method, which requires, among other things, that deferred income taxes be provided for temporary differences between the tax basis of the Company’s assets and liabilities and their financial statement reported amounts. In addition, deferred tax assets are recorded for the future benefit of utilizing net operating losses (“NOLs”) and research and development credit carryforwards and are measured using the enacted tax rates and laws that will be in effect when such items are expected to reverse. A valuation allowance is provided against deferred tax assets unless it is more likely than not that they will be realized.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uncertain tax positions by assessing all material positions taken in any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The Company’s policy is to recognize interest and penalties related to the underpayment of income taxes as a component of income tax expense or benefit. To date, there have been no interest or penalties charged in relation to the unrecognized tax benefits.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is composed of net loss and other comprehensive income (loss). Other comprehensive income (loss) consists primarily of unrealized gains and losses on debt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Liability related to Sale of Future Royalties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December 1, 2019, the Company and its subsidiary Kodiak Sciences GmbH entered into a funding agreement with Baker Bros. Advisors, LP ("BBA"), which holds more than 5% of the Company’s stock, pursuant to which BBA purchased the right to receive a capped 4.5% royalty on future net sales of tarcocimab, the Company’s anti-VEGF antibody biopolymer conjugate therapy, in exchange for $225.0 million. Under the terms of the funding agreement, there is no obligation to repay any funding amount received, other than through the capped royalty payments on future product revenues. The Company recorded the funding amount paid by BBA as a liability on the consolidated balance sheet net of issuance costs, in accordance with ASC 730, </w:t>
      </w:r>
      <w:r>
        <w:rPr>
          <w:rFonts w:ascii="Times New Roman" w:hAnsi="Times New Roman"/>
          <w:i/>
          <w:color w:val="000000"/>
          <w:sz w:val="20"/>
        </w:rPr>
        <w:t>Research and Development</w:t>
      </w:r>
      <w:r>
        <w:rPr>
          <w:rFonts w:ascii="Times New Roman" w:hAnsi="Times New Roman"/>
          <w:color w:val="000000"/>
          <w:sz w:val="20"/>
        </w:rPr>
        <w:t>. Under ASC 730, the significant related party relationship between the Company and BBA creates an implicit obligation to repay the funding amount paid to the Company. Once royalty payments to BBA are determined to be probable and estimable, and if such amounts exceed the liability balance, the Company will impute interest to accrete the liability on a prospective basis based on such estimates. If and when the Company makes royalty payments under the funding agreement, it would reduce the liability balance at such time. In July 2021, the funding agreement was amended, at the Company’s request, that the remaining funding amount of $125.0 million would not be paid. Refer to Note 15.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Credit Losses – Available-for-Sale Debt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available-for-sale debt securities in an unrealized loss position, the Company will periodically assess its portfolio for impairment. The assessment first considers the intent or requirement to sell the security. If either of these criteria are met, the amortized cost basis will be written down to fair value through earnings.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not met, the Company will evaluate whether the decline resulted from credit losses or other factors by considering the extent to which fair value is less than amortized cost, any changes to the rating of the security by a rating agency, and any adverse conditions specifically related to the security, among other factors. If this assessment indicates that a credit loss exists, the present value of cash flows expected to be collected from the security is compared to the amortized cost basis of the security. If the present value of cash flows expected to be collected is less than the amortized cost basis, a credit loss exists and an allowance for credit losses will be recorded, limited by the amount that the fair value is less than the amortized cost basis. Any impairment that has not been recorded through an allowance for credit losses is recognized in other comprehensive income or loss, as applicable.</w:t>
      </w:r>
    </w:p>
    <w:p>
      <w:pPr>
        <w:pStyle w:val="TextBody"/>
        <w:bidi w:val="0"/>
        <w:spacing w:before="240" w:after="283"/>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Since the Company has reported net loss for all periods presented, diluted net loss per share is the same as basic net loss per common share for those periods.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Recent </w:t>
      </w:r>
      <w:r>
        <w:rPr>
          <w:rFonts w:ascii="Times New Roman" w:hAnsi="Times New Roman"/>
          <w:b/>
          <w:i/>
          <w:caps/>
          <w:color w:val="000000"/>
          <w:sz w:val="20"/>
        </w:rPr>
        <w:t>a</w:t>
      </w:r>
      <w:r>
        <w:rPr>
          <w:rFonts w:ascii="Times New Roman" w:hAnsi="Times New Roman"/>
          <w:b/>
          <w:i/>
          <w:color w:val="000000"/>
          <w:sz w:val="20"/>
        </w:rPr>
        <w:t xml:space="preserve">ccounting </w:t>
      </w:r>
      <w:r>
        <w:rPr>
          <w:rFonts w:ascii="Times New Roman" w:hAnsi="Times New Roman"/>
          <w:b/>
          <w:i/>
          <w:caps/>
          <w:color w:val="000000"/>
          <w:sz w:val="20"/>
        </w:rPr>
        <w:t>p</w:t>
      </w:r>
      <w:r>
        <w:rPr>
          <w:rFonts w:ascii="Times New Roman" w:hAnsi="Times New Roman"/>
          <w:b/>
          <w:i/>
          <w:color w:val="000000"/>
          <w:sz w:val="20"/>
        </w:rPr>
        <w:t>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Financial Accounting Standards Board (“FASB”), under its ASC or other standard setting bodies, and adopted by the Company as of the specified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FASB issued ASU 2023-07, Segment Reporting (Topic 280), which requires disclosure of incremental segment information on an annual and interim basis, including enhanced disclosures for companies that have a single reportable segment. The amendment is effective for fiscal years beginning after December 15, 2023 and interim periods beginning after December 15, 2024, and early adoption is permitted. The Company is currently assessing the impact of this amendment on its consolidated financial statements and related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2023-09, Income Taxes (Topic 740), which enhances the disclosures required for income taxes in annual consolidated financial statements. The amendment is effective for fiscal years beginning after December 15, 2024, and early adoption is permitted. The Company is currently assessing the impact of this amendment on its consolidated financial statements and related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3. 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consists of the following (in thousands): </w:t>
      </w:r>
    </w:p>
    <w:p>
      <w:pPr>
        <w:pStyle w:val="TextBody"/>
        <w:bidi w:val="0"/>
        <w:jc w:val="left"/>
        <w:rPr/>
      </w:pPr>
      <w:r>
        <w:rPr/>
        <w:t> </w:t>
      </w:r>
    </w:p>
    <w:tbl>
      <w:tblPr>
        <w:tblW w:w="6070" w:type="dxa"/>
        <w:jc w:val="left"/>
        <w:tblInd w:w="0" w:type="dxa"/>
        <w:tblLayout w:type="fixed"/>
        <w:tblCellMar>
          <w:top w:w="28" w:type="dxa"/>
          <w:left w:w="28" w:type="dxa"/>
          <w:bottom w:w="28" w:type="dxa"/>
          <w:right w:w="28" w:type="dxa"/>
        </w:tblCellMar>
      </w:tblPr>
      <w:tblGrid>
        <w:gridCol w:w="2836"/>
        <w:gridCol w:w="146"/>
        <w:gridCol w:w="277"/>
        <w:gridCol w:w="1028"/>
        <w:gridCol w:w="166"/>
        <w:gridCol w:w="146"/>
        <w:gridCol w:w="299"/>
        <w:gridCol w:w="961"/>
        <w:gridCol w:w="21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December 31, </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211" w:type="dxa"/>
            <w:tcBorders/>
            <w:shd w:fill="CFF0FC" w:val="clear"/>
            <w:vAlign w:val="center"/>
          </w:tcPr>
          <w:p>
            <w:pPr>
              <w:pStyle w:val="TableContents"/>
              <w:bidi w:val="0"/>
              <w:spacing w:before="0" w:after="283"/>
              <w:jc w:val="left"/>
              <w:rPr/>
            </w:pPr>
            <w:r>
              <w:rPr/>
              <w:t> </w:t>
            </w:r>
          </w:p>
        </w:tc>
      </w:tr>
      <w:tr>
        <w:trPr/>
        <w:tc>
          <w:tcPr>
            <w:tcW w:w="2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12,763</w:t>
            </w:r>
          </w:p>
        </w:tc>
        <w:tc>
          <w:tcPr>
            <w:tcW w:w="211" w:type="dxa"/>
            <w:tcBorders/>
            <w:shd w:fill="FFFFFF" w:val="clear"/>
            <w:vAlign w:val="center"/>
          </w:tcPr>
          <w:p>
            <w:pPr>
              <w:pStyle w:val="TableContents"/>
              <w:bidi w:val="0"/>
              <w:spacing w:before="0" w:after="283"/>
              <w:jc w:val="left"/>
              <w:rPr/>
            </w:pPr>
            <w:r>
              <w:rPr/>
              <w:t> </w:t>
            </w:r>
          </w:p>
        </w:tc>
      </w:tr>
      <w:tr>
        <w:trPr/>
        <w:tc>
          <w:tcPr>
            <w:tcW w:w="2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 and Hardware</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211" w:type="dxa"/>
            <w:tcBorders/>
            <w:shd w:fill="CFF0FC" w:val="clear"/>
            <w:vAlign w:val="center"/>
          </w:tcPr>
          <w:p>
            <w:pPr>
              <w:pStyle w:val="TableContents"/>
              <w:bidi w:val="0"/>
              <w:spacing w:before="0" w:after="283"/>
              <w:jc w:val="left"/>
              <w:rPr/>
            </w:pPr>
            <w:r>
              <w:rPr/>
              <w:t> </w:t>
            </w:r>
          </w:p>
        </w:tc>
      </w:tr>
      <w:tr>
        <w:trPr/>
        <w:tc>
          <w:tcPr>
            <w:tcW w:w="2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43,483</w:t>
            </w:r>
          </w:p>
        </w:tc>
        <w:tc>
          <w:tcPr>
            <w:tcW w:w="211" w:type="dxa"/>
            <w:tcBorders/>
            <w:shd w:fill="FFFFFF" w:val="clear"/>
            <w:vAlign w:val="center"/>
          </w:tcPr>
          <w:p>
            <w:pPr>
              <w:pStyle w:val="TableContents"/>
              <w:bidi w:val="0"/>
              <w:spacing w:before="0" w:after="283"/>
              <w:jc w:val="left"/>
              <w:rPr/>
            </w:pPr>
            <w:r>
              <w:rPr/>
              <w:t> </w:t>
            </w:r>
          </w:p>
        </w:tc>
      </w:tr>
      <w:tr>
        <w:trPr/>
        <w:tc>
          <w:tcPr>
            <w:tcW w:w="2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63,108</w:t>
            </w:r>
          </w:p>
        </w:tc>
        <w:tc>
          <w:tcPr>
            <w:tcW w:w="211" w:type="dxa"/>
            <w:tcBorders/>
            <w:shd w:fill="FFFFFF" w:val="clear"/>
            <w:vAlign w:val="center"/>
          </w:tcPr>
          <w:p>
            <w:pPr>
              <w:pStyle w:val="TableContents"/>
              <w:bidi w:val="0"/>
              <w:spacing w:before="0" w:after="283"/>
              <w:jc w:val="left"/>
              <w:rPr/>
            </w:pPr>
            <w:r>
              <w:rPr/>
              <w:t> </w:t>
            </w:r>
          </w:p>
        </w:tc>
      </w:tr>
      <w:tr>
        <w:trPr/>
        <w:tc>
          <w:tcPr>
            <w:tcW w:w="2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56,384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property and equipment are maintained in the United States and Switzerland with net book values of $40.2 million and $80.3 million, respectively, as of December 31, 2023 compared to $45.3 million and $11.1 million, respectively, as of December 31, 2022. Depreciation expense was $18.3 million, $3.8 million and $1.0 million for the years ended December 31, 2023, 2022 and 2021, respectively.</w:t>
      </w:r>
    </w:p>
    <w:p>
      <w:pPr>
        <w:pStyle w:val="TextBody"/>
        <w:bidi w:val="0"/>
        <w:spacing w:before="240" w:after="283"/>
        <w:jc w:val="left"/>
        <w:rPr>
          <w:rFonts w:ascii="Times New Roman" w:hAnsi="Times New Roman"/>
          <w:sz w:val="20"/>
        </w:rPr>
      </w:pPr>
      <w:r>
        <w:rPr>
          <w:rFonts w:ascii="Times New Roman" w:hAnsi="Times New Roman"/>
          <w:b/>
          <w:color w:val="000000"/>
          <w:sz w:val="20"/>
        </w:rPr>
        <w:t>4. Accrued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and other current liabilities consist of the following (in thousands): </w:t>
      </w:r>
    </w:p>
    <w:p>
      <w:pPr>
        <w:pStyle w:val="TextBody"/>
        <w:bidi w:val="0"/>
        <w:jc w:val="left"/>
        <w:rPr/>
      </w:pPr>
      <w:r>
        <w:rPr/>
        <w:t> </w:t>
      </w:r>
    </w:p>
    <w:tbl>
      <w:tblPr>
        <w:tblW w:w="7980" w:type="dxa"/>
        <w:jc w:val="left"/>
        <w:tblInd w:w="0" w:type="dxa"/>
        <w:tblLayout w:type="fixed"/>
        <w:tblCellMar>
          <w:top w:w="28" w:type="dxa"/>
          <w:left w:w="28" w:type="dxa"/>
          <w:bottom w:w="28" w:type="dxa"/>
          <w:right w:w="28" w:type="dxa"/>
        </w:tblCellMar>
      </w:tblPr>
      <w:tblGrid>
        <w:gridCol w:w="4831"/>
        <w:gridCol w:w="146"/>
        <w:gridCol w:w="299"/>
        <w:gridCol w:w="961"/>
        <w:gridCol w:w="146"/>
        <w:gridCol w:w="146"/>
        <w:gridCol w:w="299"/>
        <w:gridCol w:w="961"/>
        <w:gridCol w:w="19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manufacturing and research &amp; development costs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5,978</w:t>
            </w:r>
          </w:p>
        </w:tc>
        <w:tc>
          <w:tcPr>
            <w:tcW w:w="19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salaries and benefits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6,033</w:t>
            </w:r>
          </w:p>
        </w:tc>
        <w:tc>
          <w:tcPr>
            <w:tcW w:w="191" w:type="dxa"/>
            <w:tcBorders/>
            <w:shd w:fill="FFFFFF" w:val="clear"/>
            <w:vAlign w:val="center"/>
          </w:tcPr>
          <w:p>
            <w:pPr>
              <w:pStyle w:val="TableContents"/>
              <w:bidi w:val="0"/>
              <w:spacing w:before="0" w:after="283"/>
              <w:jc w:val="left"/>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and related costs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18,334</w:t>
            </w:r>
          </w:p>
        </w:tc>
        <w:tc>
          <w:tcPr>
            <w:tcW w:w="19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fees and professional fees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91" w:type="dxa"/>
            <w:tcBorders/>
            <w:shd w:fill="FFFFFF" w:val="clear"/>
            <w:vAlign w:val="center"/>
          </w:tcPr>
          <w:p>
            <w:pPr>
              <w:pStyle w:val="TableContents"/>
              <w:bidi w:val="0"/>
              <w:spacing w:before="0" w:after="283"/>
              <w:jc w:val="left"/>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property and equipment</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19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liabilities</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5.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the Company’s fair value hierarchy for assets measured at fair value on a recurring basis (in thousands):</w:t>
      </w:r>
    </w:p>
    <w:p>
      <w:pPr>
        <w:pStyle w:val="TextBody"/>
        <w:bidi w:val="0"/>
        <w:jc w:val="left"/>
        <w:rPr/>
      </w:pPr>
      <w:r>
        <w:rPr/>
        <w:t> </w:t>
      </w:r>
    </w:p>
    <w:tbl>
      <w:tblPr>
        <w:tblW w:w="7075" w:type="dxa"/>
        <w:jc w:val="left"/>
        <w:tblInd w:w="0" w:type="dxa"/>
        <w:tblLayout w:type="fixed"/>
        <w:tblCellMar>
          <w:top w:w="28" w:type="dxa"/>
          <w:left w:w="28" w:type="dxa"/>
          <w:bottom w:w="28" w:type="dxa"/>
          <w:right w:w="28" w:type="dxa"/>
        </w:tblCellMar>
      </w:tblPr>
      <w:tblGrid>
        <w:gridCol w:w="2051"/>
        <w:gridCol w:w="146"/>
        <w:gridCol w:w="211"/>
        <w:gridCol w:w="781"/>
        <w:gridCol w:w="146"/>
        <w:gridCol w:w="146"/>
        <w:gridCol w:w="211"/>
        <w:gridCol w:w="781"/>
        <w:gridCol w:w="146"/>
        <w:gridCol w:w="146"/>
        <w:gridCol w:w="277"/>
        <w:gridCol w:w="458"/>
        <w:gridCol w:w="146"/>
        <w:gridCol w:w="146"/>
        <w:gridCol w:w="211"/>
        <w:gridCol w:w="781"/>
        <w:gridCol w:w="291"/>
      </w:tblGrid>
      <w:tr>
        <w:trPr/>
        <w:tc>
          <w:tcPr>
            <w:tcW w:w="2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at 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0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274,466</w:t>
            </w:r>
          </w:p>
        </w:tc>
        <w:tc>
          <w:tcPr>
            <w:tcW w:w="291" w:type="dxa"/>
            <w:tcBorders/>
            <w:shd w:fill="FFFFFF" w:val="clear"/>
            <w:vAlign w:val="center"/>
          </w:tcPr>
          <w:p>
            <w:pPr>
              <w:pStyle w:val="TableContents"/>
              <w:bidi w:val="0"/>
              <w:spacing w:before="0" w:after="283"/>
              <w:jc w:val="left"/>
              <w:rPr/>
            </w:pPr>
            <w:r>
              <w:rPr/>
              <w:t> </w:t>
            </w:r>
          </w:p>
        </w:tc>
      </w:tr>
      <w:tr>
        <w:trPr/>
        <w:tc>
          <w:tcPr>
            <w:tcW w:w="2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0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0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274,466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274,466</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2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at 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0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173,617</w:t>
            </w:r>
          </w:p>
        </w:tc>
        <w:tc>
          <w:tcPr>
            <w:tcW w:w="291" w:type="dxa"/>
            <w:tcBorders/>
            <w:shd w:fill="FFFFFF" w:val="clear"/>
            <w:vAlign w:val="center"/>
          </w:tcPr>
          <w:p>
            <w:pPr>
              <w:pStyle w:val="TableContents"/>
              <w:bidi w:val="0"/>
              <w:spacing w:before="0" w:after="283"/>
              <w:jc w:val="left"/>
              <w:rPr/>
            </w:pPr>
            <w:r>
              <w:rPr/>
              <w:t> </w:t>
            </w:r>
          </w:p>
        </w:tc>
      </w:tr>
      <w:tr>
        <w:trPr/>
        <w:tc>
          <w:tcPr>
            <w:tcW w:w="2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0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288,500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0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173,617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288,500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462,117</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2023 and 2022, the fair value of the liability related to sale of future royalties is based on the Company's current estimates of future royalties expected to be paid to BBA, which are considered Level 3 inputs. Refer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Note 15. There were no transfers of assets or liabilities between the fair value measurement levels during the years ended December 31, 2023 and 2022.</w:t>
      </w:r>
    </w:p>
    <w:p>
      <w:pPr>
        <w:pStyle w:val="TextBody"/>
        <w:bidi w:val="0"/>
        <w:spacing w:before="240" w:after="283"/>
        <w:jc w:val="left"/>
        <w:rPr>
          <w:rFonts w:ascii="Times New Roman" w:hAnsi="Times New Roman"/>
          <w:sz w:val="20"/>
        </w:rPr>
      </w:pPr>
      <w:r>
        <w:rPr>
          <w:rFonts w:ascii="Times New Roman" w:hAnsi="Times New Roman"/>
          <w:b/>
          <w:color w:val="000000"/>
          <w:sz w:val="20"/>
        </w:rPr>
        <w:t>6. Marketable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Marketable securities are classified as available-for-sale. The Company obtains fair value measurement data from third party pricing services and understands the valuation methods and data sources to validate this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Company's marketable securities by major security type (in thousands):</w:t>
      </w:r>
    </w:p>
    <w:p>
      <w:pPr>
        <w:pStyle w:val="TextBody"/>
        <w:bidi w:val="0"/>
        <w:jc w:val="left"/>
        <w:rPr/>
      </w:pPr>
      <w:r>
        <w:rPr/>
        <w:t> </w:t>
      </w:r>
    </w:p>
    <w:tbl>
      <w:tblPr>
        <w:tblW w:w="7509" w:type="dxa"/>
        <w:jc w:val="left"/>
        <w:tblInd w:w="0" w:type="dxa"/>
        <w:tblLayout w:type="fixed"/>
        <w:tblCellMar>
          <w:top w:w="28" w:type="dxa"/>
          <w:left w:w="28" w:type="dxa"/>
          <w:bottom w:w="28" w:type="dxa"/>
          <w:right w:w="28" w:type="dxa"/>
        </w:tblCellMar>
      </w:tblPr>
      <w:tblGrid>
        <w:gridCol w:w="2206"/>
        <w:gridCol w:w="146"/>
        <w:gridCol w:w="213"/>
        <w:gridCol w:w="793"/>
        <w:gridCol w:w="146"/>
        <w:gridCol w:w="146"/>
        <w:gridCol w:w="392"/>
        <w:gridCol w:w="644"/>
        <w:gridCol w:w="146"/>
        <w:gridCol w:w="146"/>
        <w:gridCol w:w="259"/>
        <w:gridCol w:w="777"/>
        <w:gridCol w:w="166"/>
        <w:gridCol w:w="146"/>
        <w:gridCol w:w="211"/>
        <w:gridCol w:w="78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2022</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w:t>
              <w:br/>
              <w:t>Gains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w:t>
              <w:br/>
              <w:t>Losses</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br/>
              <w:t>Value</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288,500</w:t>
            </w:r>
          </w:p>
        </w:tc>
        <w:tc>
          <w:tcPr>
            <w:tcW w:w="191" w:type="dxa"/>
            <w:tcBorders/>
            <w:shd w:fill="FFFFFF" w:val="cle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289,807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288,500</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there were no marketable securities. All marketable securities held as of December 31, 2022 had effective maturities of less than one year. The unrealized losses for marketable securities related to changes in interest rates. There were no reclassifications out of accumulated other comprehensive income (loss), impairment charges or recoveries and no allowance for credit losses recorded during the twelve months ended December 31, 2023 and 2022.</w:t>
      </w:r>
    </w:p>
    <w:p>
      <w:pPr>
        <w:pStyle w:val="TextBody"/>
        <w:bidi w:val="0"/>
        <w:spacing w:before="240" w:after="283"/>
        <w:jc w:val="left"/>
        <w:rPr>
          <w:rFonts w:ascii="Times New Roman" w:hAnsi="Times New Roman"/>
          <w:sz w:val="20"/>
        </w:rPr>
      </w:pPr>
      <w:r>
        <w:rPr>
          <w:rFonts w:ascii="Times New Roman" w:hAnsi="Times New Roman"/>
          <w:b/>
          <w:color w:val="000000"/>
          <w:sz w:val="20"/>
        </w:rPr>
        <w:t>7. Derivatives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uses certain derivative instruments, that are not designated as hedges for accounting purposes, which include foreign currency forward contracts. As of December 31, 2023 and 2022, the Company did not have any outstanding derivative instruments.</w:t>
      </w:r>
    </w:p>
    <w:p>
      <w:pPr>
        <w:pStyle w:val="TextBody"/>
        <w:bidi w:val="0"/>
        <w:spacing w:before="240" w:after="283"/>
        <w:jc w:val="left"/>
        <w:rPr>
          <w:rFonts w:ascii="Times New Roman" w:hAnsi="Times New Roman"/>
          <w:sz w:val="20"/>
        </w:rPr>
      </w:pPr>
      <w:r>
        <w:rPr>
          <w:rFonts w:ascii="Times New Roman" w:hAnsi="Times New Roman"/>
          <w:b/>
          <w:color w:val="000000"/>
          <w:sz w:val="20"/>
        </w:rPr>
        <w:t>8.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Palo Alto, California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2020, the Company entered into lease agreements for two buildings at 1200 and 1250 Page Mill Road in Palo Alto, California, which are now the Company’s U.S. corporate offices. The facilities are approximately 82,662 square feet and 72,812 square feet, respectively and include office and laboratory space. For 1200 Page Mill Road, the monthly rent during the initial 6.5-year term will be approximately $0.6 million, with annual year-over-year increases of 3% plus certain operating expenses and taxes and total rent abatement of approximately $7.2 million. The Company has an option to extend the lease term for a period of 6.5 years. For 1250 Page Mill Road, the monthly rent during the initial 13-year term will be approximately $0.5 million, with annual year-over-year increases of 3% plus certain operating expenses and taxes and total rent abatement of approximately $6.3 million. The Company has two options to extend the lease term for a period of 5 years each. The Company determined that the renewal options were not reasonably certain at lease inception for the two buildings. The Company executed a $10.9 million cash-collateralized letter of credit, which was subsequently reduced to $6.2 million as a result of meeting certain reduction requirements specified therein in 2020. The cash collateralizing the letter of credit is classified as restricted cash on the Company’s consolidated balance sheet. The Landlord will provide a tenant improvement allowance of approximately $1.2 million for 1200 Page Mill Road and $10.6 million for 1250 Page Mill Road. As of December 31, 2023, the Company utilized $10.6 million of the tenant improvement allowance for 1250 Page Mill Road. Under ASC 842, the Company classified these leases as operating leases and recorded right-of-use assets and lease liabilities on the lease commencement date.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Switzerland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2020, the Company entered into a lease agreement for office and laboratory space at Rottenstrasse 5 in Visp, Switzerland. The space is approximately 1,000 square meters. The initial lease term is 5 years, with automatic renewals every 5 years for a maximum lease term of 15 years. The monthly rent during the initial 5-year term will be approximately 32.0 thousand Swiss Francs plus certain operating expenses and taxes. Under ASC 842, the Company classified this lease as an operating lease and recorded a right-of-use asset and lease liability on the lease commencement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Ursus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2020, the Company and its wholly owned subsidiary Kodiak Sciences GmbH entered into a manufacturing agreement with Lonza Ltd (“Lonza”) for the clinical and commercial supply of the Company’s antibody biopolymer conjugate drug substance which included a custom-built manufacturing facility. The manufacturing agreement has an initial term of 8 years, and the Company has the right to extend the term up to a total of 16 years. The Company and Lonza each have the ability to terminate this agreement upon the occurrence of certain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2021, the agreement was amended to provide for greater manufacturing flexibility, to define a comprehensive mandate as an antibody biopolymer conjugates manufacturing facility to be used for the Company’s antibody biopolymer conjugates pipeline, at clinical as well as commercial scales, across a broad capacity range under the tight quality controls required for ophthalmology and retinal medicines, and to allow for future process and equipment changes as needed.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concluded that this agreement contained an embedded lease as the custom-built manufacturing suite would be dedicated for the Company’s use. On January 31, 2023, the custom-built manufacturing suite was commissioned as a cGMP facility. The consideration was allocated to lease and non-lease components as this agreement contained a significant service component (manufacturing services). Under ASC 842, the Company classified the lease portion as an operating lease and recorded a right-of-use asset and lease liability on the lease commencement date. The Company determined that the renewal options were not reasonably certain at lease inception.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Fixed assets of $81.7 million, in leasehold improvements and machinery and equipment, were placed in service and capitalized as of January 31, 2023. In October 2023, payment was made for the remaining $26.8 million of these fixed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maturities of the operating lease liabilities, including the Ursus Facility lease, as of December 31, 2023 were as follows (in thousands): </w:t>
      </w:r>
    </w:p>
    <w:p>
      <w:pPr>
        <w:pStyle w:val="TextBody"/>
        <w:bidi w:val="0"/>
        <w:jc w:val="left"/>
        <w:rPr/>
      </w:pPr>
      <w:r>
        <w:rPr/>
        <w:t> </w:t>
      </w:r>
    </w:p>
    <w:tbl>
      <w:tblPr>
        <w:tblW w:w="5068" w:type="dxa"/>
        <w:jc w:val="left"/>
        <w:tblInd w:w="0" w:type="dxa"/>
        <w:tblLayout w:type="fixed"/>
        <w:tblCellMar>
          <w:top w:w="28" w:type="dxa"/>
          <w:left w:w="28" w:type="dxa"/>
          <w:bottom w:w="28" w:type="dxa"/>
          <w:right w:w="28" w:type="dxa"/>
        </w:tblCellMar>
      </w:tblPr>
      <w:tblGrid>
        <w:gridCol w:w="2986"/>
        <w:gridCol w:w="146"/>
        <w:gridCol w:w="367"/>
        <w:gridCol w:w="1358"/>
        <w:gridCol w:w="21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 of </w:t>
              <w:b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14,788</w:t>
            </w:r>
          </w:p>
        </w:tc>
        <w:tc>
          <w:tcPr>
            <w:tcW w:w="21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16,318</w:t>
            </w:r>
          </w:p>
        </w:tc>
        <w:tc>
          <w:tcPr>
            <w:tcW w:w="21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3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16,567</w:t>
            </w:r>
          </w:p>
        </w:tc>
        <w:tc>
          <w:tcPr>
            <w:tcW w:w="21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9,838</w:t>
            </w:r>
          </w:p>
        </w:tc>
        <w:tc>
          <w:tcPr>
            <w:tcW w:w="21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3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8,636</w:t>
            </w:r>
          </w:p>
        </w:tc>
        <w:tc>
          <w:tcPr>
            <w:tcW w:w="21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3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104,954</w:t>
            </w:r>
          </w:p>
        </w:tc>
        <w:tc>
          <w:tcPr>
            <w:tcW w:w="21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3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81,632</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minimum lease payments above do not include any related common area maintenance charges or real estate taxes. The operating lease expenses for the years ended December 31, 2023, 2022 and 2021 were $13.2 million, $12.8 million and $12.8 million, respectively. Variable lease expenses, including common area maintenance charges and real estate taxes, for the years ended December 31, 2023, 2022 and 2021 were $3.6 million, $3.1 million and $1.7 million, respectively. The weighted-average remaining lease terms and weighted-average discount rates were as follows:</w:t>
      </w:r>
    </w:p>
    <w:p>
      <w:pPr>
        <w:pStyle w:val="TextBody"/>
        <w:bidi w:val="0"/>
        <w:jc w:val="left"/>
        <w:rPr/>
      </w:pPr>
      <w:r>
        <w:rPr/>
        <w:t> </w:t>
      </w:r>
    </w:p>
    <w:tbl>
      <w:tblPr>
        <w:tblW w:w="7525" w:type="dxa"/>
        <w:jc w:val="left"/>
        <w:tblInd w:w="0" w:type="dxa"/>
        <w:tblLayout w:type="fixed"/>
        <w:tblCellMar>
          <w:top w:w="28" w:type="dxa"/>
          <w:left w:w="28" w:type="dxa"/>
          <w:bottom w:w="28" w:type="dxa"/>
          <w:right w:w="28" w:type="dxa"/>
        </w:tblCellMar>
      </w:tblPr>
      <w:tblGrid>
        <w:gridCol w:w="4126"/>
        <w:gridCol w:w="146"/>
        <w:gridCol w:w="362"/>
        <w:gridCol w:w="898"/>
        <w:gridCol w:w="271"/>
        <w:gridCol w:w="146"/>
        <w:gridCol w:w="362"/>
        <w:gridCol w:w="898"/>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36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16"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Manufacturing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service and equipment purchase agreements in the normal course of business with various providers, pursuant to which such providers agreed to perform activities in connection with the manufacturing process of certain materials. These agreements, and any related amendments, state that planned activities and purchases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future contractual obligations related to these manufacturing agreements that may be subject to cancellation fees, was $15.4 million. This amount represents our minimal contractual obligations, excluding the commitments under the Ursus Facility arrangement. Purchases under these manufacturing agreements for the years ended December 31, 2023, 2022 and 2021 were $59.7 million, $47.4 million and $31.8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future manufacturing contractual obligations totaling approximately 123.0 million Swiss Francs may be incurred for the potential clinical and commercial supply of tarcocimab and other antibody biopolymer conjugates medicines based on the agreements with Lonza for production at the Ursus Facility.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Funding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enters into agreements with third-parties for services to be provided to the Company.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services to be provided to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pStyle w:val="TextBody"/>
        <w:bidi w:val="0"/>
        <w:spacing w:before="240" w:after="283"/>
        <w:jc w:val="left"/>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become involved in legal proceedings arising from the ordinary course of its business. Management is currently not aware of any matters that could have a material adverse effect on the Company’s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 </w:t>
      </w:r>
    </w:p>
    <w:p>
      <w:pPr>
        <w:pStyle w:val="TextBody"/>
        <w:bidi w:val="0"/>
        <w:spacing w:before="240" w:after="283"/>
        <w:jc w:val="left"/>
        <w:rPr>
          <w:rFonts w:ascii="Times New Roman" w:hAnsi="Times New Roman"/>
          <w:sz w:val="20"/>
        </w:rPr>
      </w:pPr>
      <w:r>
        <w:rPr>
          <w:rFonts w:ascii="Times New Roman" w:hAnsi="Times New Roman"/>
          <w:b/>
          <w:i/>
          <w:color w:val="000000"/>
          <w:sz w:val="20"/>
        </w:rPr>
        <w:t>Indemnification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components of loss before income taxes were as follows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54"/>
        <w:gridCol w:w="146"/>
        <w:gridCol w:w="513"/>
        <w:gridCol w:w="2048"/>
        <w:gridCol w:w="166"/>
        <w:gridCol w:w="146"/>
        <w:gridCol w:w="431"/>
        <w:gridCol w:w="1722"/>
        <w:gridCol w:w="166"/>
        <w:gridCol w:w="146"/>
        <w:gridCol w:w="431"/>
        <w:gridCol w:w="1722"/>
        <w:gridCol w:w="214"/>
      </w:tblGrid>
      <w:tr>
        <w:trPr/>
        <w:tc>
          <w:tcPr>
            <w:tcW w:w="23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35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b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br/>
              <w:t>2021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(143,256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(163,240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(46,590</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loss before income taxes</w:t>
            </w:r>
          </w:p>
        </w:tc>
        <w:tc>
          <w:tcPr>
            <w:tcW w:w="146" w:type="dxa"/>
            <w:tcBorders/>
            <w:shd w:fill="CFF0FC" w:val="clear"/>
            <w:vAlign w:val="center"/>
          </w:tcPr>
          <w:p>
            <w:pPr>
              <w:pStyle w:val="TableContents"/>
              <w:bidi w:val="0"/>
              <w:spacing w:before="0" w:after="283"/>
              <w:jc w:val="left"/>
              <w:rPr/>
            </w:pPr>
            <w:r>
              <w:rPr/>
              <w:t> </w:t>
            </w:r>
          </w:p>
        </w:tc>
        <w:tc>
          <w:tcPr>
            <w:tcW w:w="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(266,916</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provision (benefit) for income taxes consists of the following (in thousands):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44"/>
        <w:gridCol w:w="146"/>
        <w:gridCol w:w="890"/>
        <w:gridCol w:w="1460"/>
        <w:gridCol w:w="146"/>
        <w:gridCol w:w="146"/>
        <w:gridCol w:w="755"/>
        <w:gridCol w:w="1239"/>
        <w:gridCol w:w="146"/>
        <w:gridCol w:w="146"/>
        <w:gridCol w:w="755"/>
        <w:gridCol w:w="1239"/>
        <w:gridCol w:w="393"/>
      </w:tblGrid>
      <w:tr>
        <w:trPr/>
        <w:tc>
          <w:tcPr>
            <w:tcW w:w="2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7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br/>
              <w:t>2021</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2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9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94"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2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vAlign w:val="center"/>
          </w:tcPr>
          <w:p>
            <w:pPr>
              <w:pStyle w:val="TableContents"/>
              <w:bidi w:val="0"/>
              <w:spacing w:before="0" w:after="283"/>
              <w:jc w:val="right"/>
              <w:rPr>
                <w:color w:val="000000"/>
              </w:rPr>
            </w:pPr>
            <w:r>
              <w:rPr>
                <w:color w:val="000000"/>
              </w:rPr>
              <w:t>—</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27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left"/>
              <w:rPr/>
            </w:pPr>
            <w:r>
              <w:rPr/>
              <w:t> </w:t>
            </w:r>
          </w:p>
        </w:tc>
        <w:tc>
          <w:tcPr>
            <w:tcW w:w="146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left"/>
              <w:rPr/>
            </w:pPr>
            <w:r>
              <w:rPr/>
              <w:t> </w:t>
            </w:r>
          </w:p>
        </w:tc>
        <w:tc>
          <w:tcPr>
            <w:tcW w:w="123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left"/>
              <w:rPr/>
            </w:pPr>
            <w:r>
              <w:rPr/>
              <w:t> </w:t>
            </w:r>
          </w:p>
        </w:tc>
        <w:tc>
          <w:tcPr>
            <w:tcW w:w="1239" w:type="dxa"/>
            <w:tcBorders/>
            <w:shd w:fill="CFF0FC" w:val="clear"/>
            <w:vAlign w:val="center"/>
          </w:tcPr>
          <w:p>
            <w:pPr>
              <w:pStyle w:val="TableContents"/>
              <w:bidi w:val="0"/>
              <w:spacing w:before="0" w:after="283"/>
              <w:jc w:val="right"/>
              <w:rPr>
                <w:color w:val="000000"/>
              </w:rPr>
            </w:pPr>
            <w:r>
              <w:rPr>
                <w:color w:val="000000"/>
              </w:rPr>
              <w:t>—</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2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left"/>
              <w:rPr/>
            </w:pPr>
            <w:r>
              <w:rPr/>
              <w:t> </w:t>
            </w:r>
          </w:p>
        </w:tc>
        <w:tc>
          <w:tcPr>
            <w:tcW w:w="14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left"/>
              <w:rPr/>
            </w:pPr>
            <w:r>
              <w:rPr/>
              <w:t> </w:t>
            </w:r>
          </w:p>
        </w:tc>
        <w:tc>
          <w:tcPr>
            <w:tcW w:w="12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55" w:type="dxa"/>
            <w:tcBorders/>
            <w:shd w:fill="CFF0FC" w:val="clear"/>
            <w:vAlign w:val="center"/>
          </w:tcPr>
          <w:p>
            <w:pPr>
              <w:pStyle w:val="TableContents"/>
              <w:bidi w:val="0"/>
              <w:spacing w:before="0" w:after="283"/>
              <w:jc w:val="left"/>
              <w:rPr/>
            </w:pPr>
            <w:r>
              <w:rPr/>
              <w:t> </w:t>
            </w:r>
          </w:p>
        </w:tc>
        <w:tc>
          <w:tcPr>
            <w:tcW w:w="12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93" w:type="dxa"/>
            <w:tcBorders/>
            <w:shd w:fill="CFF0FC" w:val="clear"/>
            <w:vAlign w:val="center"/>
          </w:tcPr>
          <w:p>
            <w:pPr>
              <w:pStyle w:val="TableContents"/>
              <w:bidi w:val="0"/>
              <w:spacing w:before="0" w:after="283"/>
              <w:jc w:val="left"/>
              <w:rPr/>
            </w:pPr>
            <w:r>
              <w:rPr/>
              <w:t> </w:t>
            </w:r>
          </w:p>
        </w:tc>
      </w:tr>
      <w:tr>
        <w:trPr/>
        <w:tc>
          <w:tcPr>
            <w:tcW w:w="27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4" w:type="dxa"/>
            <w:gridSpan w:val="2"/>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r>
      <w:tr>
        <w:trPr/>
        <w:tc>
          <w:tcPr>
            <w:tcW w:w="2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vAlign w:val="center"/>
          </w:tcPr>
          <w:p>
            <w:pPr>
              <w:pStyle w:val="TableContents"/>
              <w:bidi w:val="0"/>
              <w:spacing w:before="0" w:after="283"/>
              <w:jc w:val="left"/>
              <w:rPr/>
            </w:pPr>
            <w:r>
              <w:rPr/>
              <w:t> </w:t>
            </w:r>
          </w:p>
        </w:tc>
        <w:tc>
          <w:tcPr>
            <w:tcW w:w="23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9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94"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27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left"/>
              <w:rPr/>
            </w:pPr>
            <w:r>
              <w:rPr/>
              <w:t> </w:t>
            </w:r>
          </w:p>
        </w:tc>
        <w:tc>
          <w:tcPr>
            <w:tcW w:w="146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left"/>
              <w:rPr/>
            </w:pPr>
            <w:r>
              <w:rPr/>
              <w:t> </w:t>
            </w:r>
          </w:p>
        </w:tc>
        <w:tc>
          <w:tcPr>
            <w:tcW w:w="123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left"/>
              <w:rPr/>
            </w:pPr>
            <w:r>
              <w:rPr/>
              <w:t> </w:t>
            </w:r>
          </w:p>
        </w:tc>
        <w:tc>
          <w:tcPr>
            <w:tcW w:w="1239" w:type="dxa"/>
            <w:tcBorders/>
            <w:shd w:fill="CFF0FC" w:val="clear"/>
            <w:vAlign w:val="center"/>
          </w:tcPr>
          <w:p>
            <w:pPr>
              <w:pStyle w:val="TableContents"/>
              <w:bidi w:val="0"/>
              <w:spacing w:before="0" w:after="283"/>
              <w:jc w:val="right"/>
              <w:rPr>
                <w:color w:val="000000"/>
              </w:rPr>
            </w:pPr>
            <w:r>
              <w:rPr>
                <w:color w:val="000000"/>
              </w:rPr>
              <w:t>—</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2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color w:val="000000"/>
              </w:rPr>
            </w:pPr>
            <w:r>
              <w:rPr>
                <w:color w:val="000000"/>
              </w:rPr>
              <w:t>—</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27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deferred</w:t>
            </w:r>
          </w:p>
        </w:tc>
        <w:tc>
          <w:tcPr>
            <w:tcW w:w="146" w:type="dxa"/>
            <w:tcBorders/>
            <w:shd w:fill="FFFFFF" w:val="cle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vAlign w:val="center"/>
          </w:tcPr>
          <w:p>
            <w:pPr>
              <w:pStyle w:val="TableContents"/>
              <w:bidi w:val="0"/>
              <w:spacing w:before="0" w:after="283"/>
              <w:jc w:val="left"/>
              <w:rPr/>
            </w:pPr>
            <w:r>
              <w:rPr/>
              <w:t> </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tax effects of temporary differences that give rise to significant components of the net deferred tax assets are as follows (in thousands): </w:t>
      </w:r>
    </w:p>
    <w:p>
      <w:pPr>
        <w:pStyle w:val="TextBody"/>
        <w:bidi w:val="0"/>
        <w:jc w:val="left"/>
        <w:rPr/>
      </w:pPr>
      <w:r>
        <w:rPr/>
        <w:t> </w:t>
      </w:r>
    </w:p>
    <w:tbl>
      <w:tblPr>
        <w:tblW w:w="7596" w:type="dxa"/>
        <w:jc w:val="left"/>
        <w:tblInd w:w="0" w:type="dxa"/>
        <w:tblLayout w:type="fixed"/>
        <w:tblCellMar>
          <w:top w:w="28" w:type="dxa"/>
          <w:left w:w="28" w:type="dxa"/>
          <w:bottom w:w="28" w:type="dxa"/>
          <w:right w:w="28" w:type="dxa"/>
        </w:tblCellMar>
      </w:tblPr>
      <w:tblGrid>
        <w:gridCol w:w="3396"/>
        <w:gridCol w:w="146"/>
        <w:gridCol w:w="346"/>
        <w:gridCol w:w="1379"/>
        <w:gridCol w:w="166"/>
        <w:gridCol w:w="146"/>
        <w:gridCol w:w="252"/>
        <w:gridCol w:w="1008"/>
        <w:gridCol w:w="166"/>
        <w:gridCol w:w="591"/>
      </w:tblGrid>
      <w:tr>
        <w:trPr/>
        <w:tc>
          <w:tcPr>
            <w:tcW w:w="3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3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3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117,232</w:t>
            </w:r>
          </w:p>
        </w:tc>
        <w:tc>
          <w:tcPr>
            <w:tcW w:w="166"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3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166,259</w:t>
            </w:r>
          </w:p>
        </w:tc>
        <w:tc>
          <w:tcPr>
            <w:tcW w:w="166"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3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25,110</w:t>
            </w:r>
          </w:p>
        </w:tc>
        <w:tc>
          <w:tcPr>
            <w:tcW w:w="166"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3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23,576</w:t>
            </w:r>
          </w:p>
        </w:tc>
        <w:tc>
          <w:tcPr>
            <w:tcW w:w="166"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3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Accruals</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166"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3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25,548</w:t>
            </w:r>
          </w:p>
        </w:tc>
        <w:tc>
          <w:tcPr>
            <w:tcW w:w="166"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3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Sec. 174 Capitalized R&amp;D</w:t>
            </w:r>
          </w:p>
        </w:tc>
        <w:tc>
          <w:tcPr>
            <w:tcW w:w="146" w:type="dxa"/>
            <w:tcBorders/>
            <w:shd w:fill="FFFFFF" w:val="cle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3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367,201</w:t>
            </w:r>
          </w:p>
        </w:tc>
        <w:tc>
          <w:tcPr>
            <w:tcW w:w="166"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33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3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19,412</w:t>
            </w:r>
          </w:p>
        </w:tc>
        <w:tc>
          <w:tcPr>
            <w:tcW w:w="166"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3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3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3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3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CFF0FC" w:val="cle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33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net deferred tax assets</w:t>
            </w:r>
          </w:p>
        </w:tc>
        <w:tc>
          <w:tcPr>
            <w:tcW w:w="146" w:type="dxa"/>
            <w:tcBorders/>
            <w:shd w:fill="FFFFFF" w:val="cle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recorded a full valuation allowance against its net deferred tax assets due to the uncertainty as to whether such assets will be realized. The net change in the total valuation allowance for the years ended December 31, 2023 and 2022, was an increase of approximately $25.7 million and $72.0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Tax Cuts and Jobs Act eliminated the option to deduct research and development expenditures currently and requires taxpayers to capitalize and amortize them pursuant to Internal Revenue Code Section 174 beginning in 2022. The capitalized expenses are amortized over a 5-year period for domestic expenses and a 15-year period for foreign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NOLs and tax credit carry-forwards are subject to review and possible adjustment by the Internal Revenue Service (“IRS”) and may become subject to an annual limitation in the event of certain cumulative changes in the ownership interest of significant shareholders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the Company’s value immediately prior to the ownership change. The Company periodically completes a Section 382 analysis. Subsequent ownership changes since the most recent study may further affect the limitation in future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Company had $83.8 million of federal and $616.3 million of state net operating loss available to offset future taxable income. A portion of the federal net operating loss carryforwards begin to expire in 2035 and the state net operating loss carryforwards begin to expire in 2035, if not utilized. $65.6 million of the federal net operating loss are not subject to expiration.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Company also had federal and state research and development credit carryforwards of approximately $28.9 million and $9.0 million, respectively. The federal research and development credit carryforwards expire beginning 2035. The California tax credit can be carried forward indefinitely.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California Senate Bill 113 (SB 113), was signed into law by Governor Newsom on February 9, 2022. The legislation contains important California tax law changes, including reinstatement of business tax credits and net NOL deductions limited by AB 85 mentioned above. Given the Company’s taxable loss position, this legislation did not impact the tax provision for the years ended December 31, 2023 or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reconciliation of the Company’s effective tax rate to the statutory U.S. federal rate is as follows: </w:t>
      </w:r>
    </w:p>
    <w:p>
      <w:pPr>
        <w:pStyle w:val="TextBody"/>
        <w:bidi w:val="0"/>
        <w:jc w:val="left"/>
        <w:rPr/>
      </w:pPr>
      <w:r>
        <w:rPr/>
        <w:t> </w:t>
      </w:r>
    </w:p>
    <w:tbl>
      <w:tblPr>
        <w:tblW w:w="8317" w:type="dxa"/>
        <w:jc w:val="left"/>
        <w:tblInd w:w="0" w:type="dxa"/>
        <w:tblLayout w:type="fixed"/>
        <w:tblCellMar>
          <w:top w:w="28" w:type="dxa"/>
          <w:left w:w="28" w:type="dxa"/>
          <w:bottom w:w="28" w:type="dxa"/>
          <w:right w:w="28" w:type="dxa"/>
        </w:tblCellMar>
      </w:tblPr>
      <w:tblGrid>
        <w:gridCol w:w="2776"/>
        <w:gridCol w:w="146"/>
        <w:gridCol w:w="373"/>
        <w:gridCol w:w="1352"/>
        <w:gridCol w:w="271"/>
        <w:gridCol w:w="146"/>
        <w:gridCol w:w="272"/>
        <w:gridCol w:w="988"/>
        <w:gridCol w:w="271"/>
        <w:gridCol w:w="146"/>
        <w:gridCol w:w="272"/>
        <w:gridCol w:w="988"/>
        <w:gridCol w:w="316"/>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statutory income tax rate</w:t>
            </w:r>
          </w:p>
        </w:tc>
        <w:tc>
          <w:tcPr>
            <w:tcW w:w="146" w:type="dxa"/>
            <w:tcBorders/>
            <w:shd w:fill="CFF0FC" w:val="clear"/>
            <w:vAlign w:val="center"/>
          </w:tcPr>
          <w:p>
            <w:pPr>
              <w:pStyle w:val="TableContents"/>
              <w:bidi w:val="0"/>
              <w:spacing w:before="0" w:after="283"/>
              <w:jc w:val="left"/>
              <w:rPr/>
            </w:pPr>
            <w:r>
              <w:rPr/>
              <w:t> </w:t>
            </w:r>
          </w:p>
        </w:tc>
        <w:tc>
          <w:tcPr>
            <w:tcW w:w="373" w:type="dxa"/>
            <w:tcBorders/>
            <w:shd w:fill="CFF0FC" w:val="clear"/>
            <w:vAlign w:val="center"/>
          </w:tcPr>
          <w:p>
            <w:pPr>
              <w:pStyle w:val="TableContents"/>
              <w:bidi w:val="0"/>
              <w:spacing w:before="0" w:after="283"/>
              <w:jc w:val="left"/>
              <w:rPr/>
            </w:pPr>
            <w:r>
              <w:rPr/>
              <w:t> </w:t>
            </w:r>
          </w:p>
        </w:tc>
        <w:tc>
          <w:tcPr>
            <w:tcW w:w="13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taxes</w:t>
            </w:r>
          </w:p>
        </w:tc>
        <w:tc>
          <w:tcPr>
            <w:tcW w:w="146"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16" w:type="dxa"/>
            <w:tcBorders/>
            <w:shd w:fill="FFFFFF" w:val="clear"/>
            <w:vAlign w:val="center"/>
          </w:tcPr>
          <w:p>
            <w:pPr>
              <w:pStyle w:val="TableContents"/>
              <w:bidi w:val="0"/>
              <w:spacing w:before="0" w:after="283"/>
              <w:jc w:val="left"/>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rate differential</w:t>
            </w:r>
          </w:p>
        </w:tc>
        <w:tc>
          <w:tcPr>
            <w:tcW w:w="146" w:type="dxa"/>
            <w:tcBorders/>
            <w:shd w:fill="CFF0FC" w:val="clear"/>
            <w:vAlign w:val="center"/>
          </w:tcPr>
          <w:p>
            <w:pPr>
              <w:pStyle w:val="TableContents"/>
              <w:bidi w:val="0"/>
              <w:spacing w:before="0" w:after="283"/>
              <w:jc w:val="left"/>
              <w:rPr/>
            </w:pPr>
            <w:r>
              <w:rPr/>
              <w:t> </w:t>
            </w:r>
          </w:p>
        </w:tc>
        <w:tc>
          <w:tcPr>
            <w:tcW w:w="373" w:type="dxa"/>
            <w:tcBorders/>
            <w:shd w:fill="CFF0FC" w:val="clear"/>
            <w:vAlign w:val="center"/>
          </w:tcPr>
          <w:p>
            <w:pPr>
              <w:pStyle w:val="TableContents"/>
              <w:bidi w:val="0"/>
              <w:spacing w:before="0" w:after="283"/>
              <w:jc w:val="left"/>
              <w:rPr/>
            </w:pPr>
            <w:r>
              <w:rPr/>
              <w:t> </w:t>
            </w:r>
          </w:p>
        </w:tc>
        <w:tc>
          <w:tcPr>
            <w:tcW w:w="13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373" w:type="dxa"/>
            <w:tcBorders/>
            <w:shd w:fill="CFF0FC" w:val="clear"/>
            <w:vAlign w:val="center"/>
          </w:tcPr>
          <w:p>
            <w:pPr>
              <w:pStyle w:val="TableContents"/>
              <w:bidi w:val="0"/>
              <w:spacing w:before="0" w:after="283"/>
              <w:jc w:val="left"/>
              <w:rPr/>
            </w:pPr>
            <w:r>
              <w:rPr/>
              <w:t> </w:t>
            </w:r>
          </w:p>
        </w:tc>
        <w:tc>
          <w:tcPr>
            <w:tcW w:w="13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tax credit</w:t>
            </w:r>
          </w:p>
        </w:tc>
        <w:tc>
          <w:tcPr>
            <w:tcW w:w="146"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FFFFFF" w:val="clear"/>
            <w:vAlign w:val="center"/>
          </w:tcPr>
          <w:p>
            <w:pPr>
              <w:pStyle w:val="TableContents"/>
              <w:bidi w:val="0"/>
              <w:spacing w:before="0" w:after="283"/>
              <w:jc w:val="left"/>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73" w:type="dxa"/>
            <w:tcBorders/>
            <w:shd w:fill="CFF0FC" w:val="clear"/>
            <w:vAlign w:val="center"/>
          </w:tcPr>
          <w:p>
            <w:pPr>
              <w:pStyle w:val="TableContents"/>
              <w:bidi w:val="0"/>
              <w:spacing w:before="0" w:after="283"/>
              <w:jc w:val="left"/>
              <w:rPr/>
            </w:pPr>
            <w:r>
              <w:rPr/>
              <w:t> </w:t>
            </w:r>
          </w:p>
        </w:tc>
        <w:tc>
          <w:tcPr>
            <w:tcW w:w="13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color w:val="000000"/>
              </w:rPr>
            </w:pPr>
            <w:r>
              <w:rPr>
                <w:color w:val="000000"/>
              </w:rPr>
              <w:t>—</w:t>
            </w:r>
          </w:p>
        </w:tc>
        <w:tc>
          <w:tcPr>
            <w:tcW w:w="316"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 of future royalties</w:t>
            </w:r>
          </w:p>
        </w:tc>
        <w:tc>
          <w:tcPr>
            <w:tcW w:w="146"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16" w:type="dxa"/>
            <w:tcBorders/>
            <w:shd w:fill="FFFFFF" w:val="clear"/>
            <w:vAlign w:val="center"/>
          </w:tcPr>
          <w:p>
            <w:pPr>
              <w:pStyle w:val="TableContents"/>
              <w:bidi w:val="0"/>
              <w:spacing w:before="0" w:after="283"/>
              <w:jc w:val="left"/>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162(m)</w:t>
            </w:r>
          </w:p>
        </w:tc>
        <w:tc>
          <w:tcPr>
            <w:tcW w:w="146" w:type="dxa"/>
            <w:tcBorders/>
            <w:shd w:fill="CFF0FC" w:val="clear"/>
            <w:vAlign w:val="center"/>
          </w:tcPr>
          <w:p>
            <w:pPr>
              <w:pStyle w:val="TableContents"/>
              <w:bidi w:val="0"/>
              <w:spacing w:before="0" w:after="283"/>
              <w:jc w:val="left"/>
              <w:rPr/>
            </w:pPr>
            <w:r>
              <w:rPr/>
              <w:t> </w:t>
            </w:r>
          </w:p>
        </w:tc>
        <w:tc>
          <w:tcPr>
            <w:tcW w:w="373" w:type="dxa"/>
            <w:tcBorders/>
            <w:shd w:fill="CFF0FC" w:val="clear"/>
            <w:vAlign w:val="center"/>
          </w:tcPr>
          <w:p>
            <w:pPr>
              <w:pStyle w:val="TableContents"/>
              <w:bidi w:val="0"/>
              <w:spacing w:before="0" w:after="283"/>
              <w:jc w:val="left"/>
              <w:rPr/>
            </w:pPr>
            <w:r>
              <w:rPr/>
              <w:t> </w:t>
            </w:r>
          </w:p>
        </w:tc>
        <w:tc>
          <w:tcPr>
            <w:tcW w:w="1352"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valuation</w:t>
            </w:r>
          </w:p>
        </w:tc>
        <w:tc>
          <w:tcPr>
            <w:tcW w:w="146" w:type="dxa"/>
            <w:tcBorders/>
            <w:shd w:fill="FFFFFF" w:val="cle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As of December 31, 2023, 2022 and 2021, none of the unrecognized tax benefits would affect income tax expense with consideration of the valuation allowance. The Company does not anticipate the uncertain tax positions will materially change in the next 12 months. The Company’s policy is to recognize interest and penalties related to the underpayment of income taxes as a component of income tax expense or benefit. To date, there have been no interest or penalties charged in relation to the unrecognized tax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beginning and ending unrecognized tax benefits amounts are as follows (in thousands): </w:t>
      </w:r>
    </w:p>
    <w:p>
      <w:pPr>
        <w:pStyle w:val="TextBody"/>
        <w:bidi w:val="0"/>
        <w:jc w:val="left"/>
        <w:rPr/>
      </w:pPr>
      <w:r>
        <w:rPr/>
        <w:t> </w:t>
      </w:r>
    </w:p>
    <w:tbl>
      <w:tblPr>
        <w:tblW w:w="9477" w:type="dxa"/>
        <w:jc w:val="left"/>
        <w:tblInd w:w="0" w:type="dxa"/>
        <w:tblLayout w:type="fixed"/>
        <w:tblCellMar>
          <w:top w:w="28" w:type="dxa"/>
          <w:left w:w="28" w:type="dxa"/>
          <w:bottom w:w="28" w:type="dxa"/>
          <w:right w:w="28" w:type="dxa"/>
        </w:tblCellMar>
      </w:tblPr>
      <w:tblGrid>
        <w:gridCol w:w="4111"/>
        <w:gridCol w:w="146"/>
        <w:gridCol w:w="465"/>
        <w:gridCol w:w="1260"/>
        <w:gridCol w:w="146"/>
        <w:gridCol w:w="146"/>
        <w:gridCol w:w="339"/>
        <w:gridCol w:w="921"/>
        <w:gridCol w:w="146"/>
        <w:gridCol w:w="146"/>
        <w:gridCol w:w="339"/>
        <w:gridCol w:w="921"/>
        <w:gridCol w:w="3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 at beginning of period</w:t>
            </w:r>
          </w:p>
        </w:tc>
        <w:tc>
          <w:tcPr>
            <w:tcW w:w="146" w:type="dxa"/>
            <w:tcBorders/>
            <w:shd w:fill="CFF0FC" w:val="clear"/>
            <w:vAlign w:val="center"/>
          </w:tcPr>
          <w:p>
            <w:pPr>
              <w:pStyle w:val="TableContents"/>
              <w:bidi w:val="0"/>
              <w:spacing w:before="0" w:after="283"/>
              <w:jc w:val="left"/>
              <w:rPr/>
            </w:pPr>
            <w:r>
              <w:rPr/>
              <w:t> </w:t>
            </w:r>
          </w:p>
        </w:tc>
        <w:tc>
          <w:tcPr>
            <w:tcW w:w="4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1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Increases related to current year tax positions</w:t>
            </w:r>
          </w:p>
        </w:tc>
        <w:tc>
          <w:tcPr>
            <w:tcW w:w="146" w:type="dxa"/>
            <w:tcBorders/>
            <w:shd w:fill="FFFFFF" w:val="cle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 at end of period</w:t>
            </w:r>
          </w:p>
        </w:tc>
        <w:tc>
          <w:tcPr>
            <w:tcW w:w="146" w:type="dxa"/>
            <w:tcBorders/>
            <w:shd w:fill="CFF0FC" w:val="cle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files income tax returns in the United States and Switzerland. The Swiss Federal Tax Administration is currently conducting examinations of the Company's tax returns for the years 2018 through 2022. All US tax returns remain open for examination by the federal and state authorities for three and four years, respectively, from the date of utilization of any net operating loss or credits.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10.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and 2022, the Company’s amended and restated certificate of incorporation authorized the Company to issue up to 10,000,000 shares of preferred stock at the par value of $0.0001 per share. As of December 31, 2023, there are no shares of the Company’s preferred stock issued or outstanding.</w:t>
      </w:r>
    </w:p>
    <w:p>
      <w:pPr>
        <w:pStyle w:val="TextBody"/>
        <w:bidi w:val="0"/>
        <w:spacing w:before="240" w:after="283"/>
        <w:jc w:val="left"/>
        <w:rPr>
          <w:rFonts w:ascii="Times New Roman" w:hAnsi="Times New Roman"/>
          <w:sz w:val="20"/>
        </w:rPr>
      </w:pPr>
      <w:r>
        <w:rPr>
          <w:rFonts w:ascii="Times New Roman" w:hAnsi="Times New Roman"/>
          <w:b/>
          <w:color w:val="000000"/>
          <w:sz w:val="20"/>
        </w:rPr>
        <w:t>11.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and 2022, the Company’s amended and restated certificate of incorporation authorized the Company to issue 490,000,000 shares of common stock at the par value of $0.0001 per share. Each share of common stock is entitled to one vote. The board of directors may declare and pay dividends to holders of common stock. The Company has never declared or paid any dividends on common stock.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had reserved common stock for future issuances as follows: </w:t>
      </w:r>
    </w:p>
    <w:p>
      <w:pPr>
        <w:pStyle w:val="TextBody"/>
        <w:bidi w:val="0"/>
        <w:jc w:val="left"/>
        <w:rPr/>
      </w:pPr>
      <w:r>
        <w:rPr/>
        <w:t> </w:t>
      </w:r>
    </w:p>
    <w:tbl>
      <w:tblPr>
        <w:tblW w:w="9675" w:type="dxa"/>
        <w:jc w:val="left"/>
        <w:tblInd w:w="0" w:type="dxa"/>
        <w:tblLayout w:type="fixed"/>
        <w:tblCellMar>
          <w:top w:w="28" w:type="dxa"/>
          <w:left w:w="28" w:type="dxa"/>
          <w:bottom w:w="28" w:type="dxa"/>
          <w:right w:w="28" w:type="dxa"/>
        </w:tblCellMar>
      </w:tblPr>
      <w:tblGrid>
        <w:gridCol w:w="6061"/>
        <w:gridCol w:w="146"/>
        <w:gridCol w:w="213"/>
        <w:gridCol w:w="1512"/>
        <w:gridCol w:w="146"/>
        <w:gridCol w:w="146"/>
        <w:gridCol w:w="155"/>
        <w:gridCol w:w="1105"/>
        <w:gridCol w:w="191"/>
      </w:tblGrid>
      <w:tr>
        <w:trPr/>
        <w:tc>
          <w:tcPr>
            <w:tcW w:w="6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options outstanding and release of restricted shares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5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17,766,283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1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16,822,629</w:t>
            </w:r>
          </w:p>
        </w:tc>
        <w:tc>
          <w:tcPr>
            <w:tcW w:w="191" w:type="dxa"/>
            <w:tcBorders/>
            <w:shd w:fill="CFF0FC" w:val="clear"/>
            <w:vAlign w:val="center"/>
          </w:tcPr>
          <w:p>
            <w:pPr>
              <w:pStyle w:val="TableContents"/>
              <w:bidi w:val="0"/>
              <w:spacing w:before="0" w:after="283"/>
              <w:jc w:val="left"/>
              <w:rPr/>
            </w:pPr>
            <w:r>
              <w:rPr/>
              <w:t> </w:t>
            </w:r>
          </w:p>
        </w:tc>
      </w:tr>
      <w:tr>
        <w:trPr/>
        <w:tc>
          <w:tcPr>
            <w:tcW w:w="60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2018 Equity Incentive Plan</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2,460,375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1,934,606</w:t>
            </w:r>
          </w:p>
        </w:tc>
        <w:tc>
          <w:tcPr>
            <w:tcW w:w="191" w:type="dxa"/>
            <w:tcBorders/>
            <w:shd w:fill="FFFFFF" w:val="clear"/>
            <w:vAlign w:val="center"/>
          </w:tcPr>
          <w:p>
            <w:pPr>
              <w:pStyle w:val="TableContents"/>
              <w:bidi w:val="0"/>
              <w:spacing w:before="0" w:after="283"/>
              <w:jc w:val="left"/>
              <w:rPr/>
            </w:pPr>
            <w:r>
              <w:rPr/>
              <w:t> </w:t>
            </w:r>
          </w:p>
        </w:tc>
      </w:tr>
      <w:tr>
        <w:trPr/>
        <w:tc>
          <w:tcPr>
            <w:tcW w:w="60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2018 Employee Share Purchase Plan</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425,179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20,601,016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19,182,414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12. 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2018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2018, the Company adopted the 2018 Equity Incentive Plan (“2018 Plan”), which became effective on the business day prior to the effectiveness of the registration statement relating to the IPO. The 2018 Plan initially reserved 4,300,000 shares of common stock for the issuance of incentive stock options ("ISOs"), nonstatutory stock options ("NSOs"), restricted stock, restricted stock units (“RSUs”), stock appreciation rights, performance units and performance shares to employees, directors and consultants of the Company. The number of shares available for issuance increases annually on the first day of each fiscal year equal to the least of (1) 4,300,000 shares, and (2) 4% of outstanding shares of common stock as of the last day of the immediately preceding year, and (3) such other amount as determined by the board of directors. The exercise price of options must be equal to at least the fair market value of the common stock on the grant date. For ISOs, the term may not exceed ten years, except in respect to any participant with more than 10% of voting power of all classes of stock, then the term may not exceed five years and the exercise price must be equal to at least 110% of the fair market value of the common stock on the grant date. Options and RSUs granted generally vest over four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available for issuance increased by 2,093,354 shares in 2023 and there were 2,460,375 shares available for grant under the 2018 Plan as of December 31,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Long-Term Performance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Long-Term Performance Incentive Plan (“2021 LTPIP”) was designed to be a long-term, pay-for-performance, incentive plan that would further align the interests of management and other eligible employees with the creation of substantial long-term value for the Company's stockholders. During 2021, eligible employees were provided a one-time opportunity to "opt-in" and forgo a portion of their annual equity incentive awards in exchange for a one-time grant of performance-based stock options from the 2021 LTPIP and 2018 Plan, collectively referred to as the "LTPIP Program". There were no options granted under the LTPIP Program for the year ended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underlying the options granted under the LTPIP Program may be earned based on the achievement of the performance-based requirement based on stock price goals and/or certain operational milestones based on approval by the U.S. Food and Drug Administration of a Biologics License Application in respect of a first, second, and third major indication and based on sales. The performance-based requirement and operational milestones were not achieved as of December 31,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the exchange of the original award of annual equity incentive awards with the modified award of options granted under the LTPIP Program represented a change in the original terms and conditions. The modification resulted in additional compensation cost equal to the incremental value between the original and modified awards to be recognized. For the annual equity incentive awards, the Company continues to record the unrecognized compensation expense over the original vesting period. For the options granted under the LTPIP Program, the stock-based compensation expense recognized during the years ended December 31, 2023, 2022 and 2021 was $53.7 million, $65.1 million and $15.7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there was $165.4 million of unrecognized stock-based compensation expense related to the 6,207,334 options granted under the LTPIP Program, but not yet earned or vested, to be recognized over a weighted-average period of 3.04 years. </w:t>
      </w:r>
    </w:p>
    <w:p>
      <w:pPr>
        <w:pStyle w:val="TextBody"/>
        <w:bidi w:val="0"/>
        <w:spacing w:before="24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option activity, including stock options and performance-based stock options under the 2021 LTPIP, 2018 Plan and 2015 Plan is summarized as follows:</w:t>
      </w:r>
    </w:p>
    <w:p>
      <w:pPr>
        <w:pStyle w:val="TextBody"/>
        <w:bidi w:val="0"/>
        <w:jc w:val="left"/>
        <w:rPr/>
      </w:pPr>
      <w:r>
        <w:rPr/>
        <w:t> </w:t>
      </w:r>
    </w:p>
    <w:tbl>
      <w:tblPr>
        <w:tblW w:w="9738" w:type="dxa"/>
        <w:jc w:val="left"/>
        <w:tblInd w:w="0" w:type="dxa"/>
        <w:tblLayout w:type="fixed"/>
        <w:tblCellMar>
          <w:top w:w="28" w:type="dxa"/>
          <w:left w:w="28" w:type="dxa"/>
          <w:bottom w:w="28" w:type="dxa"/>
          <w:right w:w="28" w:type="dxa"/>
        </w:tblCellMar>
      </w:tblPr>
      <w:tblGrid>
        <w:gridCol w:w="4006"/>
        <w:gridCol w:w="146"/>
        <w:gridCol w:w="146"/>
        <w:gridCol w:w="1036"/>
        <w:gridCol w:w="166"/>
        <w:gridCol w:w="146"/>
        <w:gridCol w:w="247"/>
        <w:gridCol w:w="669"/>
        <w:gridCol w:w="146"/>
        <w:gridCol w:w="146"/>
        <w:gridCol w:w="268"/>
        <w:gridCol w:w="858"/>
        <w:gridCol w:w="146"/>
        <w:gridCol w:w="146"/>
        <w:gridCol w:w="343"/>
        <w:gridCol w:w="932"/>
        <w:gridCol w:w="1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br/>
              <w:t>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 xml:space="preserve">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16,542,107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w:t>
            </w:r>
          </w:p>
        </w:tc>
        <w:tc>
          <w:tcPr>
            <w:tcW w:w="19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4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canceled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17,601,466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19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exercisable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9,671,905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9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17,601,466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weighted-average grant date fair value of the time-vested stock options granted for 2023, 2022 and 2021 was $4.51, $6.31 and $51.55 per share, respectively. The total intrinsic value of stock options exercised during 2023 was not significant. The total intrinsic value of stock options exercised during 2022 and 2021 was $6.1 million and $40.2 million, respectively. The intrinsic value represents the amount by which the market price of the underlying stock exceeds the exercise price of an option.</w:t>
      </w:r>
    </w:p>
    <w:p>
      <w:pPr>
        <w:pStyle w:val="TextBody"/>
        <w:bidi w:val="0"/>
        <w:spacing w:before="240" w:after="283"/>
        <w:jc w:val="left"/>
        <w:rPr>
          <w:rFonts w:ascii="Times New Roman" w:hAnsi="Times New Roman"/>
          <w:sz w:val="20"/>
        </w:rPr>
      </w:pPr>
      <w:r>
        <w:rPr>
          <w:rFonts w:ascii="Times New Roman" w:hAnsi="Times New Roman"/>
          <w:b/>
          <w:i/>
          <w:color w:val="000000"/>
          <w:sz w:val="20"/>
        </w:rPr>
        <w:t>Employee 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estimated the fair value of employee stock options using the Black-Scholes valuation model. The fair value of time-vested employee stock options was estimated using the following weighted-average assumptions:</w:t>
      </w:r>
    </w:p>
    <w:p>
      <w:pPr>
        <w:pStyle w:val="TextBody"/>
        <w:bidi w:val="0"/>
        <w:jc w:val="left"/>
        <w:rPr/>
      </w:pPr>
      <w:r>
        <w:rPr/>
        <w:t> </w:t>
      </w:r>
    </w:p>
    <w:tbl>
      <w:tblPr>
        <w:tblW w:w="4978" w:type="dxa"/>
        <w:jc w:val="left"/>
        <w:tblInd w:w="0" w:type="dxa"/>
        <w:tblLayout w:type="fixed"/>
        <w:tblCellMar>
          <w:top w:w="28" w:type="dxa"/>
          <w:left w:w="28" w:type="dxa"/>
          <w:bottom w:w="28" w:type="dxa"/>
          <w:right w:w="28" w:type="dxa"/>
        </w:tblCellMar>
      </w:tblPr>
      <w:tblGrid>
        <w:gridCol w:w="1846"/>
        <w:gridCol w:w="146"/>
        <w:gridCol w:w="146"/>
        <w:gridCol w:w="466"/>
        <w:gridCol w:w="271"/>
        <w:gridCol w:w="146"/>
        <w:gridCol w:w="146"/>
        <w:gridCol w:w="466"/>
        <w:gridCol w:w="271"/>
        <w:gridCol w:w="146"/>
        <w:gridCol w:w="146"/>
        <w:gridCol w:w="466"/>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Year Ended </w:t>
              <w:br/>
              <w:t>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31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granted 3,282,500 options to employees in 2023. The total fair value of employee options vested during the years ended December 31, 2023, 2022 and 2021 was $25.6 million, $28.9 million and $26.9 million, respectively. Stock-based compensation expense recognized during the years ended December 31, 2023, 2022 and 2021 for options granted to employees, including the options granted under the LTPIP Program, was $80.8 million, $93.8 million and $44.1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share activity, including restricted stock awards, restricted stock units, and performance-based restricted stock units, under the 2018 Plan is summarized as follows: </w:t>
      </w:r>
    </w:p>
    <w:p>
      <w:pPr>
        <w:pStyle w:val="TextBody"/>
        <w:bidi w:val="0"/>
        <w:jc w:val="left"/>
        <w:rPr/>
      </w:pPr>
      <w:r>
        <w:rPr/>
        <w:t> </w:t>
      </w:r>
    </w:p>
    <w:tbl>
      <w:tblPr>
        <w:tblW w:w="5405" w:type="dxa"/>
        <w:jc w:val="left"/>
        <w:tblInd w:w="0" w:type="dxa"/>
        <w:tblLayout w:type="fixed"/>
        <w:tblCellMar>
          <w:top w:w="28" w:type="dxa"/>
          <w:left w:w="28" w:type="dxa"/>
          <w:bottom w:w="28" w:type="dxa"/>
          <w:right w:w="28" w:type="dxa"/>
        </w:tblCellMar>
      </w:tblPr>
      <w:tblGrid>
        <w:gridCol w:w="2701"/>
        <w:gridCol w:w="146"/>
        <w:gridCol w:w="148"/>
        <w:gridCol w:w="857"/>
        <w:gridCol w:w="166"/>
        <w:gridCol w:w="146"/>
        <w:gridCol w:w="283"/>
        <w:gridCol w:w="767"/>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Restricted</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2022</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w:t>
            </w:r>
          </w:p>
        </w:tc>
        <w:tc>
          <w:tcPr>
            <w:tcW w:w="1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61.98</w:t>
            </w:r>
          </w:p>
        </w:tc>
        <w:tc>
          <w:tcPr>
            <w:tcW w:w="1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2023</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Employee Restricted Stock Units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granted 28,750 RSUs to employees in 2023. The total fair value of RSUs vested during the year ended December 31, 2023, 2022, and 2021 was $4.8 million, $4.9 million and $3.2 million, respectively. Stock-based compensation expense recognized during the years ended December 31, 2023, 2022 and 2021 for RSUs was $4.5 million, $4.6 million, and $4.4 million, respectively.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Non-Employee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granted 22,500 stock options and 1,500 RSUs to non-employees during the year ended December 31, 2023. The fair value of non-employee stock options was estimated using the following weighted-average assumptions: </w:t>
      </w:r>
    </w:p>
    <w:p>
      <w:pPr>
        <w:pStyle w:val="TextBody"/>
        <w:bidi w:val="0"/>
        <w:jc w:val="left"/>
        <w:rPr/>
      </w:pPr>
      <w:r>
        <w:rPr/>
        <w:t> </w:t>
      </w:r>
    </w:p>
    <w:tbl>
      <w:tblPr>
        <w:tblW w:w="7067" w:type="dxa"/>
        <w:jc w:val="left"/>
        <w:tblInd w:w="0" w:type="dxa"/>
        <w:tblLayout w:type="fixed"/>
        <w:tblCellMar>
          <w:top w:w="28" w:type="dxa"/>
          <w:left w:w="28" w:type="dxa"/>
          <w:bottom w:w="28" w:type="dxa"/>
          <w:right w:w="28" w:type="dxa"/>
        </w:tblCellMar>
      </w:tblPr>
      <w:tblGrid>
        <w:gridCol w:w="1846"/>
        <w:gridCol w:w="146"/>
        <w:gridCol w:w="321"/>
        <w:gridCol w:w="1029"/>
        <w:gridCol w:w="271"/>
        <w:gridCol w:w="146"/>
        <w:gridCol w:w="399"/>
        <w:gridCol w:w="951"/>
        <w:gridCol w:w="146"/>
        <w:gridCol w:w="146"/>
        <w:gridCol w:w="321"/>
        <w:gridCol w:w="1029"/>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Year Ended </w:t>
              <w:br/>
              <w:t>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Year Ended </w:t>
              <w:br/>
              <w:t>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Year Ended </w:t>
              <w:br/>
              <w:t>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31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granted no stock options or RSUs to non-employees during the year ended December 31, 2022. Stock-based compensation expense recognized during the years ended December 31, 2023, 2022 and 2021 for equity awards granted to non-employees was $0.9 million, $1.2 million and $1.2 million,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Performance-Based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2019, the Company granted 170,150 performance-based stock options and 128,900 performance-based RSUs (collectively "2019 PSA"). These equity awards would vest 25% upon the achievement of specific clinical development milestones. The remaining awards would then vest in three equal annual installments after that date. The performance criteria for 2019 PSA was achieved in June 2021. 37,925 of the performance-based stock options and 25,907 of the performance-based restricted stock vested during 2023. The total fair value of the performance-based stock options and RSUs vested during the years ended December 31, 2023, 2022 and 2021 was $3.7 million, $3.9 million and $4.2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estimated the fair value of the 2019 PSA using the Black-Scholes valuation model and significant assumptions included an expected volatility of 72%, a risk-free rate of 1.67%, expected dividend yield of 0%, and expected term of 6.31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2021, the Company granted 190,831 performance-based stock options ("2021 Feb PSO"). These stock options will vest 25% upon the achievement of specific clinical development milestones. The remaining awards would then vest in 36 successive equal monthly installments after the performance criteria is achieved. The performance criteria for 2021 Feb PSOs was achieved in February 2022. 40,509 of the performance-based stock options vested during 2023. The total fair value of the performance-based stock options vested during the year ended December 31, 2023 and 2022 was $3.1 million and $6.2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estimated the fair value of the 2021 Feb PSO using the Black-Scholes valuation model. Significant assumptions utilized in estimating the fair value of 2021 Feb PSO include an expected volatility of 66%, a risk-free rate of 0.66%, expected dividend yield of 0%, and expected term of 5.94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2021, the Company granted 478,750 performance-based stock options ("2021 Aug PSO"). These stock options will vest upon the achievement of specific clinical development milestones with the percentage of shares earned being dependent on the relative total stockholder return over the performance period. As of December 31, 2023, the requisite performance criteria for the 2021 Aug PSO was not achieved and the shares were cancelled and returned to the plan. No stock-based compensation expense was recognized related to these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Performance-based awards are recorded as expense beginning when vesting events are determined to be probable. Stock-based compensation expense recognized during the years ended December 31, 2023, 2022 and 2021 for the performance-based equity awards was $2.2 million, $6.3 million and $11.4 million,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2018 Employee Share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2018, the Company adopted the 2018 Employee Share Purchase Plan (“ESPP”), which became effective on the business day prior to the effectiveness of the registration statement relating to the IPO. A total of 460,000 shares of common stock were initially reserved for issuance under the ESPP. The initial offering period of the ESPP was authorized by the Company’s board of directors and commenced on January 4, 2021. Each offering period is twelve months long, with two purchase periods. ESPP participants will purchase shares of common stock at a price per share equal to 85% of the lesser of (1) the fair market value per share of the common stock on the enrollment date or (2) the fair market value of the common stock on the exercise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issued 50,821 shares under the ESPP during the year ended December 31, 2023. Stock-based compensation expense recognized during the year ended December 31, 2023, 2022 and 2021 for the ESPP was $0.2 million, $0.2 million and $0.3 million,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is classified in the consolidated statements of operations and comprehensive loss as follows (in thousands): </w:t>
      </w:r>
    </w:p>
    <w:p>
      <w:pPr>
        <w:pStyle w:val="TextBody"/>
        <w:bidi w:val="0"/>
        <w:jc w:val="left"/>
        <w:rPr/>
      </w:pPr>
      <w:r>
        <w:rPr/>
        <w:t> </w:t>
      </w:r>
    </w:p>
    <w:tbl>
      <w:tblPr>
        <w:tblW w:w="6433" w:type="dxa"/>
        <w:jc w:val="left"/>
        <w:tblInd w:w="0" w:type="dxa"/>
        <w:tblLayout w:type="fixed"/>
        <w:tblCellMar>
          <w:top w:w="28" w:type="dxa"/>
          <w:left w:w="28" w:type="dxa"/>
          <w:bottom w:w="28" w:type="dxa"/>
          <w:right w:w="28" w:type="dxa"/>
        </w:tblCellMar>
      </w:tblPr>
      <w:tblGrid>
        <w:gridCol w:w="2746"/>
        <w:gridCol w:w="146"/>
        <w:gridCol w:w="211"/>
        <w:gridCol w:w="676"/>
        <w:gridCol w:w="146"/>
        <w:gridCol w:w="146"/>
        <w:gridCol w:w="211"/>
        <w:gridCol w:w="781"/>
        <w:gridCol w:w="146"/>
        <w:gridCol w:w="146"/>
        <w:gridCol w:w="211"/>
        <w:gridCol w:w="676"/>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Year Ended </w:t>
              <w:br/>
              <w:t>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33,237</w:t>
            </w:r>
          </w:p>
        </w:tc>
        <w:tc>
          <w:tcPr>
            <w:tcW w:w="191" w:type="dxa"/>
            <w:tcBorders/>
            <w:shd w:fill="CFF0FC" w:val="cle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2023, the Company had $200.9 million of unrecognized compensation expense related to unvested share-based awards including options granted under the LTPIP Program and ESPP, which is expected to be recognized over a weighted-average period of 2.87 years.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Shares Subject to Repurchase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right of repurchase with respect to unvested shares issued upon early exercise of options at an amount equal to the lower of (1) the exercise price of each restricted share being repurchased and (2) the fair market value of such restricted share at the time the Company’s right of repurchase is exercised. The Company’s right to repurchase these shares lapses as those shares vest over the requisite service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purchased by employees pursuant to the early exercise of stock options are not deemed, for accounting purposes, to be issued until those shares vest according to their respective vesting schedules. Cash received for early exercised stock options is recorded as accrued liabilities and other current liabilities on the consolidated balance sheet and is reclassified to common stock and additional paid-in capital as such shares vest. At December 31, 2023, there were no early exercised stock options subject to the Company’s right of repurchase.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 Net Loss per Common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computation of basic and diluted net loss per share attributable to common stockholders which excludes shares which are legally outstanding, but subject to repurchase by the Company (in thousands, except share and per share data): </w:t>
      </w:r>
    </w:p>
    <w:p>
      <w:pPr>
        <w:pStyle w:val="TextBody"/>
        <w:bidi w:val="0"/>
        <w:jc w:val="left"/>
        <w:rPr/>
      </w:pPr>
      <w:r>
        <w:rPr/>
        <w:t> </w:t>
      </w:r>
    </w:p>
    <w:tbl>
      <w:tblPr>
        <w:tblW w:w="9508" w:type="dxa"/>
        <w:jc w:val="left"/>
        <w:tblInd w:w="0" w:type="dxa"/>
        <w:tblLayout w:type="fixed"/>
        <w:tblCellMar>
          <w:top w:w="28" w:type="dxa"/>
          <w:left w:w="28" w:type="dxa"/>
          <w:bottom w:w="28" w:type="dxa"/>
          <w:right w:w="28" w:type="dxa"/>
        </w:tblCellMar>
      </w:tblPr>
      <w:tblGrid>
        <w:gridCol w:w="4606"/>
        <w:gridCol w:w="146"/>
        <w:gridCol w:w="211"/>
        <w:gridCol w:w="1036"/>
        <w:gridCol w:w="166"/>
        <w:gridCol w:w="146"/>
        <w:gridCol w:w="211"/>
        <w:gridCol w:w="1036"/>
        <w:gridCol w:w="166"/>
        <w:gridCol w:w="146"/>
        <w:gridCol w:w="211"/>
        <w:gridCol w:w="1036"/>
        <w:gridCol w:w="3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Year Ended </w:t>
              <w:br/>
              <w:t>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6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6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shares outstanding used in</w:t>
              <w:br/>
              <w:t>   computing net loss per share attributable to</w:t>
              <w:br/>
              <w:t>   common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52,414,256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52,249,620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51,788,918</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w:t>
              <w:br/>
              <w:t>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common share equivalents were excluded from the computation of diluted net loss per common share for the periods presented because their inclusion would have been antidilutive: </w:t>
      </w:r>
    </w:p>
    <w:p>
      <w:pPr>
        <w:pStyle w:val="TextBody"/>
        <w:bidi w:val="0"/>
        <w:jc w:val="left"/>
        <w:rPr/>
      </w:pPr>
      <w:r>
        <w:rPr/>
        <w:t> </w:t>
      </w:r>
    </w:p>
    <w:tbl>
      <w:tblPr>
        <w:tblW w:w="6733" w:type="dxa"/>
        <w:jc w:val="left"/>
        <w:tblInd w:w="0" w:type="dxa"/>
        <w:tblLayout w:type="fixed"/>
        <w:tblCellMar>
          <w:top w:w="28" w:type="dxa"/>
          <w:left w:w="28" w:type="dxa"/>
          <w:bottom w:w="28" w:type="dxa"/>
          <w:right w:w="28" w:type="dxa"/>
        </w:tblCellMar>
      </w:tblPr>
      <w:tblGrid>
        <w:gridCol w:w="2266"/>
        <w:gridCol w:w="146"/>
        <w:gridCol w:w="146"/>
        <w:gridCol w:w="1036"/>
        <w:gridCol w:w="146"/>
        <w:gridCol w:w="146"/>
        <w:gridCol w:w="146"/>
        <w:gridCol w:w="1036"/>
        <w:gridCol w:w="146"/>
        <w:gridCol w:w="146"/>
        <w:gridCol w:w="146"/>
        <w:gridCol w:w="1036"/>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17,601,466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16,542,107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14,523,917</w:t>
            </w:r>
          </w:p>
        </w:tc>
        <w:tc>
          <w:tcPr>
            <w:tcW w:w="1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shares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363,930</w:t>
            </w:r>
          </w:p>
        </w:tc>
        <w:tc>
          <w:tcPr>
            <w:tcW w:w="19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17,766,283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16,822,629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14,887,847</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14. 401(k)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2011, the Company adopted a 401(k) retirement and savings plan covering all employees. The 401(k) plan allows employees to make pre- and post-tax contributions up to the maximum allowable amount set by the Internal Revenue Service. The 401(k) plan was amended to include an employer matching provision in 2019. The Company will make matching contributions of 100% of employee contributions up to a maximum of $10,250. For the years ended December 31, 2023, 2022 and 2021, the expense related to the matching contributions was $0.9 million, $0.9 million and $0.7 million,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15. Liability related to Sale of Future Royalties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 2019, the Company and its subsidiary Kodiak Sciences GmbH entered into a funding agreement with BBA, which holds more than 5% of the Company’s capital stock, pursuant to which BBA purchased the right to receive a capped 4.5% royalty on future net sales of tarcocimab, the Company’s anti-VEGF antibody biopolymer conjugate therapy, in exchange for $225.0 million. The royalty terminates upon the date that BBA has received an aggregate amount equal to 4.5 times the funding amount paid to the Company, unless earlier terminated or repurchased by the Company. Under the terms of the funding agreement, there is no obligation to repay any funding amount received, other than through the capped royalty payments on future product revenues. The Company has the option, exercisable at any point during the term of the funding agreement, to repurchase 100% of the royalties due to BBA for a purchase price equal to 4.5 times the funding amount paid to the Company as of such time, less amounts paid by the Company to BBA.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closing of the funding agreement was subject to certain conditions and occurred in February 2020. The Company received $100.0 million of the funding on February 4, 2020. The remaining $125.0 million, subject to delivery of notice by the Company, was payable upon enrollment of 50% of the patients in the RVO clinical program. In July 2021, the funding agreement was amended, at the Company’s request, that the remaining funding amount of $125.0 million would not be paid.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the initial $100.0 million payment as a liability on the consolidated balance sheet net of issuance costs. Once royalty payments to BBA are determined to be probable and estimable, and if such amounts exceed the liability balance, the Company will impute interest to accrete the liability on a prospective basis based on such estimates. If and when the Company makes royalty payments under the funding agreement, it would reduce the liability balance at such time. As of December 31, 2023, royalty payments are not probable and estimable.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years ended December 31, 2023, 2022, and 2021, no interest expense was recognized for the liability related to the sale of future royalties.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8" w:name="item_9_changes_in_disagreements_with_acc"/>
      <w:bookmarkEnd w:id="28"/>
      <w:r>
        <w:rPr>
          <w:rFonts w:ascii="Times New Roman" w:hAnsi="Times New Roman"/>
          <w:b/>
          <w:color w:val="000000"/>
          <w:sz w:val="20"/>
        </w:rPr>
        <w:t>ITEM 9. CHANGES IN AND DISAGREEMENTS WITH</w:t>
      </w:r>
      <w:r>
        <w:rPr>
          <w:rFonts w:ascii="Times New Roman" w:hAnsi="Times New Roman"/>
          <w:color w:val="000000"/>
          <w:sz w:val="20"/>
        </w:rPr>
        <w:t xml:space="preserve"> </w:t>
      </w:r>
      <w:r>
        <w:rPr>
          <w:rFonts w:ascii="Times New Roman" w:hAnsi="Times New Roman"/>
          <w:b/>
          <w:color w:val="000000"/>
          <w:sz w:val="20"/>
        </w:rPr>
        <w:t>ACCOUNTANTS ON ACCOUNTING AND FINANCIAL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29" w:name="item_9a_controls_procedures"/>
      <w:bookmarkEnd w:id="29"/>
      <w:r>
        <w:rPr>
          <w:rFonts w:ascii="Times New Roman" w:hAnsi="Times New Roman"/>
          <w:b/>
          <w:color w:val="000000"/>
          <w:sz w:val="20"/>
        </w:rPr>
        <w:t>ITEM 9A. CONTROLS AND PROCEDURES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Management’s Evaluation of our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management, with the participation of our principal executive officer and principal financial officer, evaluated the effectiveness of the Company’s disclosure controls and procedures as of December 31, 2023. Based upon such evaluation, our principal executive officer and principal financial officer concluded that the design and operation of our disclosure controls and procedures were effective at a reasonable assurance level as of December 31, 2023.</w:t>
      </w:r>
    </w:p>
    <w:p>
      <w:pPr>
        <w:pStyle w:val="TextBody"/>
        <w:bidi w:val="0"/>
        <w:spacing w:before="240" w:after="283"/>
        <w:jc w:val="left"/>
        <w:rPr>
          <w:rFonts w:ascii="Times New Roman" w:hAnsi="Times New Roman"/>
          <w:i/>
          <w:color w:val="000000"/>
          <w:sz w:val="20"/>
        </w:rPr>
      </w:pPr>
      <w:bookmarkStart w:id="30" w:name="s163797307"/>
      <w:bookmarkEnd w:id="30"/>
      <w:r>
        <w:rPr>
          <w:rFonts w:ascii="Times New Roman" w:hAnsi="Times New Roman"/>
          <w:i/>
          <w:color w:val="000000"/>
          <w:sz w:val="20"/>
        </w:rPr>
        <w:t>Management’s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 13a-15(f) and 15d-15(f) under the Exchange Act). Under the supervision of and with the participation of our principal executive officer and principal financial officer, our management assessed the effectiveness of our internal control over financial reporting as of December 31, 2023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non-accelerated filer under the Exchange Act and not required to comply with the auditor attestation requirements of Section 404(b) of the Sarbanes-Oxley Act of 2002. Therefore, this Annual Report does not include an attestation report of our registered public accounting firm regarding the effectiveness of internal control over financial reporting as of December 31, 2023.</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Limitations on the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inherent limitations, internal control over financial reporting may not prevent or detect misstatements and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no change in our internal control over financial reporting during the quarter ended December 31, 2023, that has materially affected, or is reasonably likely to materially affect, our internal control over financial reporting.</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31" w:name="item_9b_or_information"/>
      <w:bookmarkEnd w:id="31"/>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32" w:name="item_9c_discl_foreign_juris"/>
      <w:bookmarkEnd w:id="32"/>
      <w:r>
        <w:rPr>
          <w:rFonts w:ascii="Times New Roman" w:hAnsi="Times New Roman"/>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120" w:after="283"/>
        <w:jc w:val="left"/>
        <w:rPr>
          <w:rFonts w:ascii="Times New Roman" w:hAnsi="Times New Roman"/>
          <w:b/>
          <w:color w:val="000000"/>
          <w:sz w:val="20"/>
        </w:rPr>
      </w:pPr>
      <w:bookmarkStart w:id="33" w:name="item_10_directors_executive_ficers_corpo"/>
      <w:bookmarkEnd w:id="33"/>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will be contained in our definitive proxy statement to be filed with the SEC in connection with the Annual Meeting of Stockholders within 120 days after December 31, 2023, or the Proxy Statement, under the caption “Executive Officers” and “Board of Directors and Corporate Governance”, and is incorporated in this Annual Report on Form 10-K by reference.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is posted on the Corporate Governance portion of our website at ir.kodiak.com/corporate-governance/governance-overview. We intend to satisfy the disclosure requirements under Item 5.05 of the SEC Form 8-K regarding an amendment to, or waiver from, a provision of our Code of Conduct by posting such information on our website at the website address and location specified above.</w:t>
      </w:r>
    </w:p>
    <w:p>
      <w:pPr>
        <w:pStyle w:val="TextBody"/>
        <w:bidi w:val="0"/>
        <w:spacing w:before="240" w:after="283"/>
        <w:jc w:val="left"/>
        <w:rPr>
          <w:rFonts w:ascii="Times New Roman" w:hAnsi="Times New Roman"/>
          <w:b/>
          <w:color w:val="000000"/>
          <w:sz w:val="20"/>
        </w:rPr>
      </w:pPr>
      <w:bookmarkStart w:id="34" w:name="item_11_executive_compensation"/>
      <w:bookmarkEnd w:id="34"/>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contained in the Proxy Statement under the caption “Executive Compensation” and is incorporated in this Annual Report on Form 10-K by reference.</w:t>
      </w:r>
    </w:p>
    <w:p>
      <w:pPr>
        <w:pStyle w:val="TextBody"/>
        <w:bidi w:val="0"/>
        <w:spacing w:before="240" w:after="283"/>
        <w:jc w:val="left"/>
        <w:rPr>
          <w:rFonts w:ascii="Times New Roman" w:hAnsi="Times New Roman"/>
          <w:b/>
          <w:color w:val="000000"/>
          <w:sz w:val="20"/>
        </w:rPr>
      </w:pPr>
      <w:bookmarkStart w:id="35" w:name="item_12_security_ownership_certain_benef"/>
      <w:bookmarkEnd w:id="35"/>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contained in the Proxy Statement under the caption “Security Ownership of Certain Beneficial Owners and Management” and is incorporated in this Annual Report on Form 10-K by reference.</w:t>
      </w:r>
    </w:p>
    <w:p>
      <w:pPr>
        <w:pStyle w:val="TextBody"/>
        <w:bidi w:val="0"/>
        <w:spacing w:before="240" w:after="283"/>
        <w:jc w:val="left"/>
        <w:rPr>
          <w:rFonts w:ascii="Times New Roman" w:hAnsi="Times New Roman"/>
          <w:b/>
          <w:color w:val="000000"/>
          <w:sz w:val="20"/>
        </w:rPr>
      </w:pPr>
      <w:bookmarkStart w:id="36" w:name="item_13_certain_relationships_related_pa"/>
      <w:bookmarkEnd w:id="36"/>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contained in the Proxy Statement under the caption “Related Person Transactions” and is incorporated in this Annual Report on Form 10-K by reference.</w:t>
      </w:r>
    </w:p>
    <w:p>
      <w:pPr>
        <w:pStyle w:val="TextBody"/>
        <w:bidi w:val="0"/>
        <w:spacing w:before="240" w:after="283"/>
        <w:jc w:val="left"/>
        <w:rPr>
          <w:rFonts w:ascii="Times New Roman" w:hAnsi="Times New Roman"/>
          <w:b/>
          <w:color w:val="000000"/>
          <w:sz w:val="20"/>
        </w:rPr>
      </w:pPr>
      <w:bookmarkStart w:id="37" w:name="item_14_principal_accounting_fees_servic"/>
      <w:bookmarkEnd w:id="37"/>
      <w:r>
        <w:rPr>
          <w:rFonts w:ascii="Times New Roman" w:hAnsi="Times New Roman"/>
          <w:b/>
          <w:color w:val="000000"/>
          <w:sz w:val="20"/>
        </w:rPr>
        <w:t>ITEM 14. PRINCIPAL ACCOUNTANT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contained in the Proxy Statement under the caption “Ratification of Appointment of Independent Registered Public Accounting Firm” and is incorporated in this Annual Report on Form 10-K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8" w:name="part_iv"/>
      <w:bookmarkEnd w:id="38"/>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120" w:after="283"/>
        <w:jc w:val="left"/>
        <w:rPr>
          <w:rFonts w:ascii="Times New Roman" w:hAnsi="Times New Roman"/>
          <w:b/>
          <w:color w:val="000000"/>
          <w:sz w:val="20"/>
        </w:rPr>
      </w:pPr>
      <w:bookmarkStart w:id="39" w:name="item_15_exhibits_financial_statement_sch"/>
      <w:bookmarkEnd w:id="39"/>
      <w:r>
        <w:rPr>
          <w:rFonts w:ascii="Times New Roman" w:hAnsi="Times New Roman"/>
          <w:b/>
          <w:color w:val="000000"/>
          <w:sz w:val="20"/>
        </w:rPr>
        <w:t>ITEM 15. EXHIBITS AND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The following documents are filed as part of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financial statements are filed as part of this Annual Report on Form 10-K under Item 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schedules to the consolidated financial statements are omitted as the required information is either inapplicable or presented in the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EXHIBITS</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bookmarkStart w:id="40" w:name="s168825042"/>
      <w:bookmarkEnd w:id="40"/>
      <w:r>
        <w:rPr/>
        <w:t> </w:t>
      </w:r>
    </w:p>
    <w:tbl>
      <w:tblPr>
        <w:tblW w:w="10205" w:type="dxa"/>
        <w:jc w:val="left"/>
        <w:tblInd w:w="0" w:type="dxa"/>
        <w:tblLayout w:type="fixed"/>
        <w:tblCellMar>
          <w:top w:w="28" w:type="dxa"/>
          <w:left w:w="28" w:type="dxa"/>
          <w:bottom w:w="28" w:type="dxa"/>
          <w:right w:w="28" w:type="dxa"/>
        </w:tblCellMar>
      </w:tblPr>
      <w:tblGrid>
        <w:gridCol w:w="706"/>
        <w:gridCol w:w="146"/>
        <w:gridCol w:w="5351"/>
        <w:gridCol w:w="236"/>
        <w:gridCol w:w="586"/>
        <w:gridCol w:w="236"/>
        <w:gridCol w:w="970"/>
        <w:gridCol w:w="236"/>
        <w:gridCol w:w="631"/>
        <w:gridCol w:w="236"/>
        <w:gridCol w:w="87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5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vAlign w:val="center"/>
          </w:tcPr>
          <w:p>
            <w:pPr>
              <w:pStyle w:val="TableContents"/>
              <w:bidi w:val="0"/>
              <w:spacing w:before="0" w:after="283"/>
              <w:jc w:val="center"/>
              <w:rPr/>
            </w:pPr>
            <w:r>
              <w:rPr/>
              <w:t> </w:t>
            </w:r>
          </w:p>
        </w:tc>
        <w:tc>
          <w:tcPr>
            <w:tcW w:w="376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2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2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2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2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Kodiak Sciences Inc</w:t>
              </w:r>
            </w:hyperlink>
            <w:hyperlink r:id="rId3">
              <w:r>
                <w:rPr>
                  <w:rStyle w:val="InternetLink"/>
                  <w:rFonts w:ascii="Times New Roman" w:hAnsi="Times New Roman"/>
                  <w:color w:val="0563C1"/>
                  <w:sz w:val="20"/>
                  <w:u w:val="single"/>
                </w:rPr>
                <w:t>.</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10-Q</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001-38682</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3.1</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11/16/2018</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Kodiak Sciences Inc.</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10-Q</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001-38682</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3.2</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11/16/2018</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Common Stock Certificate</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S-1/A</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4.1</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9/24/2018</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Investors’ Rights Agreement, dated September 8, 2015, as amended, by and among the registrant and the investors and founders named therein</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 xml:space="preserve">S-1/A </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4.2</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9/24/2018</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Class B Share Warrant</w:t>
              </w:r>
            </w:hyperlink>
            <w:r>
              <w:rPr>
                <w:rFonts w:ascii="Times New Roman" w:hAnsi="Times New Roman"/>
                <w:color w:val="0000FF"/>
                <w:sz w:val="20"/>
              </w:rPr>
              <w:t xml:space="preserve"> </w:t>
            </w:r>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 xml:space="preserve">S-1/A </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4.5</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9/7/2018</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Description of Securities</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10-K</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001-38682</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4.6</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3/16/2020</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Registration Rights Agreement, dated March 1, 2021, by and among the registrant and the investors named therein</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10-K</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001-38682</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4.7</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3/1/2021</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Director and Officer Indemnification Agreement</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S-1/A</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10.1</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9/24/2018</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2009 Options and Profits Interest Plan</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S-1</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10.2</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9/7/2018</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2015 Share Incentive Plan</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S-1</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10.3</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9/7/2018</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Notice of Stock Option Grant and Stock Option Agreement under the 2009 Option and Profits Interest Plan</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S-1</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10.4</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9/7/2018</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of Notice of Stock Option Grant and Stock Option Agreement under the 2015 Share Incentive Plan</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S-1</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10.5</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9/7/2018</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2018 Equity Incentive Plan</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S-1/A</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10.6</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9/24/2018</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of Notice of Stock Option Grant and Stock Option Agreement under the 2018 Equity Incentive Plan</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S-1/A</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10.7</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9/24/2018</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Notice of Restricted Stock Unit Grant and Terms and Conditions of Restricted Stock Unit Grant under the 2018 Equity Incentive Plan</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S-1/A</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10.8</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9/24/2018</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2018 Employee Stock Purchase Plan</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58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S-1/A</w:t>
            </w:r>
          </w:p>
        </w:tc>
        <w:tc>
          <w:tcPr>
            <w:tcW w:w="236" w:type="dxa"/>
            <w:tcBorders/>
            <w:shd w:fill="FFFFFF" w:val="clear"/>
            <w:vAlign w:val="center"/>
          </w:tcPr>
          <w:p>
            <w:pPr>
              <w:pStyle w:val="TableContents"/>
              <w:bidi w:val="0"/>
              <w:spacing w:before="0" w:after="283"/>
              <w:ind w:left="0" w:right="0" w:firstLine="90"/>
              <w:jc w:val="left"/>
              <w:rPr/>
            </w:pPr>
            <w:r>
              <w:rPr/>
              <w:t> </w:t>
            </w:r>
          </w:p>
        </w:tc>
        <w:tc>
          <w:tcPr>
            <w:tcW w:w="970"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vAlign w:val="center"/>
          </w:tcPr>
          <w:p>
            <w:pPr>
              <w:pStyle w:val="TableContents"/>
              <w:bidi w:val="0"/>
              <w:spacing w:before="0" w:after="283"/>
              <w:ind w:left="0" w:right="0" w:firstLine="90"/>
              <w:jc w:val="left"/>
              <w:rPr/>
            </w:pPr>
            <w:r>
              <w:rPr/>
              <w:t> </w:t>
            </w:r>
          </w:p>
        </w:tc>
        <w:tc>
          <w:tcPr>
            <w:tcW w:w="63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10.9</w:t>
            </w:r>
          </w:p>
        </w:tc>
        <w:tc>
          <w:tcPr>
            <w:tcW w:w="236" w:type="dxa"/>
            <w:tcBorders/>
            <w:shd w:fill="FFFFFF" w:val="clear"/>
            <w:vAlign w:val="center"/>
          </w:tcPr>
          <w:p>
            <w:pPr>
              <w:pStyle w:val="TableContents"/>
              <w:bidi w:val="0"/>
              <w:spacing w:before="0" w:after="283"/>
              <w:ind w:left="0" w:right="0" w:firstLine="90"/>
              <w:jc w:val="left"/>
              <w:rPr/>
            </w:pPr>
            <w:r>
              <w:rPr/>
              <w:t> </w:t>
            </w:r>
          </w:p>
        </w:tc>
        <w:tc>
          <w:tcPr>
            <w:tcW w:w="871"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9/24/2018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0"/>
        <w:gridCol w:w="176"/>
        <w:gridCol w:w="5264"/>
        <w:gridCol w:w="236"/>
        <w:gridCol w:w="616"/>
        <w:gridCol w:w="236"/>
        <w:gridCol w:w="922"/>
        <w:gridCol w:w="236"/>
        <w:gridCol w:w="721"/>
        <w:gridCol w:w="236"/>
        <w:gridCol w:w="802"/>
      </w:tblGrid>
      <w:tr>
        <w:trPr/>
        <w:tc>
          <w:tcPr>
            <w:tcW w:w="7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26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vAlign w:val="center"/>
          </w:tcPr>
          <w:p>
            <w:pPr>
              <w:pStyle w:val="TableContents"/>
              <w:bidi w:val="0"/>
              <w:spacing w:before="0" w:after="283"/>
              <w:ind w:left="0" w:right="0" w:firstLine="90"/>
              <w:jc w:val="center"/>
              <w:rPr/>
            </w:pPr>
            <w:r>
              <w:rPr/>
              <w:t> </w:t>
            </w:r>
          </w:p>
        </w:tc>
        <w:tc>
          <w:tcPr>
            <w:tcW w:w="3769"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ind w:left="90" w:right="0" w:firstLine="90"/>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90" w:right="0" w:firstLine="90"/>
              <w:jc w:val="center"/>
              <w:rPr>
                <w:rFonts w:ascii="Times New Roman" w:hAnsi="Times New Roman"/>
                <w:b/>
                <w:color w:val="000000"/>
                <w:sz w:val="16"/>
              </w:rPr>
            </w:pPr>
            <w:r>
              <w:rPr>
                <w:rFonts w:ascii="Times New Roman" w:hAnsi="Times New Roman"/>
                <w:b/>
                <w:color w:val="000000"/>
                <w:sz w:val="16"/>
              </w:rPr>
              <w:t>Form</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90" w:right="0" w:firstLine="90"/>
              <w:jc w:val="center"/>
              <w:rPr>
                <w:rFonts w:ascii="Times New Roman" w:hAnsi="Times New Roman"/>
                <w:b/>
                <w:color w:val="000000"/>
                <w:sz w:val="16"/>
              </w:rPr>
            </w:pPr>
            <w:r>
              <w:rPr>
                <w:rFonts w:ascii="Times New Roman" w:hAnsi="Times New Roman"/>
                <w:b/>
                <w:color w:val="000000"/>
                <w:sz w:val="16"/>
              </w:rPr>
              <w:t>File No.</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rFonts w:ascii="Times New Roman" w:hAnsi="Times New Roman"/>
                <w:b/>
                <w:color w:val="000000"/>
                <w:sz w:val="16"/>
              </w:rPr>
            </w:pPr>
            <w:r>
              <w:rPr>
                <w:rFonts w:ascii="Times New Roman" w:hAnsi="Times New Roman"/>
                <w:b/>
                <w:color w:val="000000"/>
                <w:sz w:val="16"/>
              </w:rPr>
              <w:t>Exhibit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90" w:right="0" w:firstLine="90"/>
              <w:jc w:val="center"/>
              <w:rPr>
                <w:rFonts w:ascii="Times New Roman" w:hAnsi="Times New Roman"/>
                <w:b/>
                <w:color w:val="000000"/>
                <w:sz w:val="16"/>
              </w:rPr>
            </w:pPr>
            <w:r>
              <w:rPr>
                <w:rFonts w:ascii="Times New Roman" w:hAnsi="Times New Roman"/>
                <w:b/>
                <w:color w:val="000000"/>
                <w:sz w:val="16"/>
              </w:rPr>
              <w:t>Filing Date</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Subscription Agreement under the 2018 Employee Stock Purchase Plan</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S-1/A</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10.10</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9/24/2018</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Executive Employment Agreement, effective as of September 6, 2018, between the Registrant and Victor Perlroth</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S-1/A</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10.11</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9/24/2018</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Amended Executive Employment Agreement, effective as of September 6, 2018, between the Registrant and John Borgeson</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S-1/A</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10.12</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9/24/2018</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Amended Executive Employment Agreement, effective as of September 6, 2018, between the Registrant and Hong Liang</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S-1/A</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10.14</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9/24/2018</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Executive Incentive Compensation Plan</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S-1/A</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333-227237</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10.15</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9/24/2018</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Outside Director Compensation Policy</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10-K</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001-38682</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10.16</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3/1/2022</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Funding Agreement, dated as of December 1, 2019, between Kodiak Sciences Inc., Kodiak Sciences GmbH and Baker Bros. Advisors, LP</w:t>
              </w:r>
            </w:hyperlink>
            <w:r>
              <w:rPr>
                <w:rFonts w:ascii="Times New Roman" w:hAnsi="Times New Roman"/>
                <w:color w:val="0000FF"/>
                <w:sz w:val="20"/>
              </w:rPr>
              <w:t xml:space="preserve"> </w:t>
            </w:r>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8-K</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001-38682</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10.1</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12/2/2019</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Lease Agreement for 1200 Page Mill Road, Building 3, by and between the Registrant and 1050 Page Mill Road Property, LLC, dated June 19, 2020</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10-Q</w:t>
            </w:r>
          </w:p>
        </w:tc>
        <w:tc>
          <w:tcPr>
            <w:tcW w:w="236" w:type="dxa"/>
            <w:tcBorders/>
            <w:shd w:fill="FFFFFF" w:val="clear"/>
            <w:vAlign w:val="center"/>
          </w:tcPr>
          <w:p>
            <w:pPr>
              <w:pStyle w:val="TableContents"/>
              <w:bidi w:val="0"/>
              <w:spacing w:before="0" w:after="283"/>
              <w:ind w:left="0" w:right="0" w:firstLine="86"/>
              <w:jc w:val="left"/>
              <w:rPr/>
            </w:pPr>
            <w:r>
              <w:rPr/>
              <w:t> </w:t>
            </w:r>
          </w:p>
        </w:tc>
        <w:tc>
          <w:tcPr>
            <w:tcW w:w="922" w:type="dxa"/>
            <w:tcBorders/>
            <w:shd w:fill="FFFFFF" w:val="clear"/>
            <w:vAlign w:val="center"/>
          </w:tcPr>
          <w:p>
            <w:pPr>
              <w:pStyle w:val="TableContents"/>
              <w:bidi w:val="0"/>
              <w:spacing w:before="0" w:after="283"/>
              <w:ind w:left="0" w:right="0" w:firstLine="86"/>
              <w:jc w:val="left"/>
              <w:rPr>
                <w:rFonts w:ascii="Times New Roman" w:hAnsi="Times New Roman"/>
                <w:color w:val="000000"/>
                <w:sz w:val="20"/>
              </w:rPr>
            </w:pPr>
            <w:r>
              <w:rPr>
                <w:rFonts w:ascii="Times New Roman" w:hAnsi="Times New Roman"/>
                <w:color w:val="000000"/>
                <w:sz w:val="20"/>
              </w:rPr>
              <w:t>001-38682</w:t>
            </w:r>
          </w:p>
        </w:tc>
        <w:tc>
          <w:tcPr>
            <w:tcW w:w="236" w:type="dxa"/>
            <w:tcBorders/>
            <w:shd w:fill="FFFFFF" w:val="clear"/>
            <w:vAlign w:val="center"/>
          </w:tcPr>
          <w:p>
            <w:pPr>
              <w:pStyle w:val="TableContents"/>
              <w:bidi w:val="0"/>
              <w:spacing w:before="0" w:after="283"/>
              <w:ind w:left="0" w:right="0" w:firstLine="86"/>
              <w:jc w:val="left"/>
              <w:rPr/>
            </w:pPr>
            <w:r>
              <w:rPr/>
              <w:t> </w:t>
            </w:r>
          </w:p>
        </w:tc>
        <w:tc>
          <w:tcPr>
            <w:tcW w:w="721" w:type="dxa"/>
            <w:tcBorders/>
            <w:shd w:fill="FFFFFF" w:val="clear"/>
            <w:vAlign w:val="center"/>
          </w:tcPr>
          <w:p>
            <w:pPr>
              <w:pStyle w:val="TableContents"/>
              <w:bidi w:val="0"/>
              <w:spacing w:before="0" w:after="283"/>
              <w:ind w:left="0" w:right="0" w:firstLine="86"/>
              <w:jc w:val="left"/>
              <w:rPr>
                <w:rFonts w:ascii="Times New Roman" w:hAnsi="Times New Roman"/>
                <w:color w:val="000000"/>
                <w:sz w:val="20"/>
              </w:rPr>
            </w:pPr>
            <w:r>
              <w:rPr>
                <w:rFonts w:ascii="Times New Roman" w:hAnsi="Times New Roman"/>
                <w:color w:val="000000"/>
                <w:sz w:val="20"/>
              </w:rPr>
              <w:t>10.1</w:t>
            </w:r>
          </w:p>
        </w:tc>
        <w:tc>
          <w:tcPr>
            <w:tcW w:w="236" w:type="dxa"/>
            <w:tcBorders/>
            <w:shd w:fill="FFFFFF" w:val="clear"/>
            <w:vAlign w:val="center"/>
          </w:tcPr>
          <w:p>
            <w:pPr>
              <w:pStyle w:val="TableContents"/>
              <w:bidi w:val="0"/>
              <w:spacing w:before="0" w:after="283"/>
              <w:ind w:left="0" w:right="0" w:firstLine="86"/>
              <w:jc w:val="left"/>
              <w:rPr/>
            </w:pPr>
            <w:r>
              <w:rPr/>
              <w:t> </w:t>
            </w:r>
          </w:p>
        </w:tc>
        <w:tc>
          <w:tcPr>
            <w:tcW w:w="802" w:type="dxa"/>
            <w:tcBorders/>
            <w:shd w:fill="FFFFFF" w:val="clear"/>
            <w:vAlign w:val="center"/>
          </w:tcPr>
          <w:p>
            <w:pPr>
              <w:pStyle w:val="TableContents"/>
              <w:bidi w:val="0"/>
              <w:spacing w:before="0" w:after="283"/>
              <w:ind w:left="86" w:right="0" w:firstLine="86"/>
              <w:jc w:val="left"/>
              <w:rPr>
                <w:rFonts w:ascii="Times New Roman" w:hAnsi="Times New Roman"/>
                <w:color w:val="000000"/>
                <w:sz w:val="20"/>
              </w:rPr>
            </w:pPr>
            <w:r>
              <w:rPr>
                <w:rFonts w:ascii="Times New Roman" w:hAnsi="Times New Roman"/>
                <w:color w:val="000000"/>
                <w:sz w:val="20"/>
              </w:rPr>
              <w:t>8/10/2020</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30" w:right="0" w:firstLine="30"/>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86"/>
              <w:jc w:val="left"/>
              <w:rPr/>
            </w:pPr>
            <w:r>
              <w:rPr/>
              <w:t> </w:t>
            </w:r>
          </w:p>
        </w:tc>
        <w:tc>
          <w:tcPr>
            <w:tcW w:w="922" w:type="dxa"/>
            <w:tcBorders/>
            <w:shd w:fill="FFFFFF" w:val="clear"/>
            <w:vAlign w:val="center"/>
          </w:tcPr>
          <w:p>
            <w:pPr>
              <w:pStyle w:val="TableContents"/>
              <w:bidi w:val="0"/>
              <w:spacing w:before="0" w:after="283"/>
              <w:ind w:left="0" w:right="0" w:firstLine="86"/>
              <w:jc w:val="left"/>
              <w:rPr/>
            </w:pPr>
            <w:r>
              <w:rPr/>
              <w:t> </w:t>
            </w:r>
          </w:p>
        </w:tc>
        <w:tc>
          <w:tcPr>
            <w:tcW w:w="236" w:type="dxa"/>
            <w:tcBorders/>
            <w:shd w:fill="FFFFFF" w:val="clear"/>
            <w:vAlign w:val="center"/>
          </w:tcPr>
          <w:p>
            <w:pPr>
              <w:pStyle w:val="TableContents"/>
              <w:bidi w:val="0"/>
              <w:spacing w:before="0" w:after="283"/>
              <w:ind w:left="0" w:right="0" w:firstLine="86"/>
              <w:jc w:val="left"/>
              <w:rPr/>
            </w:pPr>
            <w:r>
              <w:rPr/>
              <w:t> </w:t>
            </w:r>
          </w:p>
        </w:tc>
        <w:tc>
          <w:tcPr>
            <w:tcW w:w="721" w:type="dxa"/>
            <w:tcBorders/>
            <w:shd w:fill="FFFFFF" w:val="clear"/>
            <w:vAlign w:val="center"/>
          </w:tcPr>
          <w:p>
            <w:pPr>
              <w:pStyle w:val="TableContents"/>
              <w:bidi w:val="0"/>
              <w:spacing w:before="0" w:after="283"/>
              <w:ind w:left="0" w:right="0" w:firstLine="86"/>
              <w:jc w:val="left"/>
              <w:rPr/>
            </w:pPr>
            <w:r>
              <w:rPr/>
              <w:t> </w:t>
            </w:r>
          </w:p>
        </w:tc>
        <w:tc>
          <w:tcPr>
            <w:tcW w:w="236" w:type="dxa"/>
            <w:tcBorders/>
            <w:shd w:fill="FFFFFF" w:val="clear"/>
            <w:vAlign w:val="center"/>
          </w:tcPr>
          <w:p>
            <w:pPr>
              <w:pStyle w:val="TableContents"/>
              <w:bidi w:val="0"/>
              <w:spacing w:before="0" w:after="283"/>
              <w:ind w:left="0" w:right="0" w:firstLine="86"/>
              <w:jc w:val="left"/>
              <w:rPr/>
            </w:pPr>
            <w:r>
              <w:rPr/>
              <w:t> </w:t>
            </w:r>
          </w:p>
        </w:tc>
        <w:tc>
          <w:tcPr>
            <w:tcW w:w="802" w:type="dxa"/>
            <w:tcBorders/>
            <w:shd w:fill="FFFFFF" w:val="clear"/>
            <w:vAlign w:val="center"/>
          </w:tcPr>
          <w:p>
            <w:pPr>
              <w:pStyle w:val="TableContents"/>
              <w:bidi w:val="0"/>
              <w:spacing w:before="0" w:after="283"/>
              <w:ind w:left="86" w:right="0" w:firstLine="86"/>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Lease Agreement for 1250 Page Mill Road, Building 4, by and between the Registrant and 1050 Page Mill Road Property, LLC, dated June 19, 2020</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10-Q</w:t>
            </w:r>
          </w:p>
        </w:tc>
        <w:tc>
          <w:tcPr>
            <w:tcW w:w="236" w:type="dxa"/>
            <w:tcBorders/>
            <w:shd w:fill="FFFFFF" w:val="clear"/>
            <w:vAlign w:val="center"/>
          </w:tcPr>
          <w:p>
            <w:pPr>
              <w:pStyle w:val="TableContents"/>
              <w:bidi w:val="0"/>
              <w:spacing w:before="0" w:after="283"/>
              <w:ind w:left="0" w:right="0" w:firstLine="86"/>
              <w:jc w:val="left"/>
              <w:rPr/>
            </w:pPr>
            <w:r>
              <w:rPr/>
              <w:t> </w:t>
            </w:r>
          </w:p>
        </w:tc>
        <w:tc>
          <w:tcPr>
            <w:tcW w:w="922" w:type="dxa"/>
            <w:tcBorders/>
            <w:shd w:fill="FFFFFF" w:val="clear"/>
            <w:vAlign w:val="center"/>
          </w:tcPr>
          <w:p>
            <w:pPr>
              <w:pStyle w:val="TableContents"/>
              <w:bidi w:val="0"/>
              <w:spacing w:before="0" w:after="283"/>
              <w:ind w:left="0" w:right="0" w:firstLine="86"/>
              <w:jc w:val="left"/>
              <w:rPr>
                <w:rFonts w:ascii="Times New Roman" w:hAnsi="Times New Roman"/>
                <w:color w:val="000000"/>
                <w:sz w:val="20"/>
              </w:rPr>
            </w:pPr>
            <w:r>
              <w:rPr>
                <w:rFonts w:ascii="Times New Roman" w:hAnsi="Times New Roman"/>
                <w:color w:val="000000"/>
                <w:sz w:val="20"/>
              </w:rPr>
              <w:t>001-38682</w:t>
            </w:r>
          </w:p>
        </w:tc>
        <w:tc>
          <w:tcPr>
            <w:tcW w:w="236" w:type="dxa"/>
            <w:tcBorders/>
            <w:shd w:fill="FFFFFF" w:val="clear"/>
            <w:vAlign w:val="center"/>
          </w:tcPr>
          <w:p>
            <w:pPr>
              <w:pStyle w:val="TableContents"/>
              <w:bidi w:val="0"/>
              <w:spacing w:before="0" w:after="283"/>
              <w:ind w:left="0" w:right="0" w:firstLine="86"/>
              <w:jc w:val="left"/>
              <w:rPr/>
            </w:pPr>
            <w:r>
              <w:rPr/>
              <w:t> </w:t>
            </w:r>
          </w:p>
        </w:tc>
        <w:tc>
          <w:tcPr>
            <w:tcW w:w="721" w:type="dxa"/>
            <w:tcBorders/>
            <w:shd w:fill="FFFFFF" w:val="clear"/>
            <w:vAlign w:val="center"/>
          </w:tcPr>
          <w:p>
            <w:pPr>
              <w:pStyle w:val="TableContents"/>
              <w:bidi w:val="0"/>
              <w:spacing w:before="0" w:after="283"/>
              <w:ind w:left="0" w:right="0" w:firstLine="86"/>
              <w:jc w:val="left"/>
              <w:rPr>
                <w:rFonts w:ascii="Times New Roman" w:hAnsi="Times New Roman"/>
                <w:color w:val="000000"/>
                <w:sz w:val="20"/>
              </w:rPr>
            </w:pPr>
            <w:r>
              <w:rPr>
                <w:rFonts w:ascii="Times New Roman" w:hAnsi="Times New Roman"/>
                <w:color w:val="000000"/>
                <w:sz w:val="20"/>
              </w:rPr>
              <w:t>10.2</w:t>
            </w:r>
          </w:p>
        </w:tc>
        <w:tc>
          <w:tcPr>
            <w:tcW w:w="236" w:type="dxa"/>
            <w:tcBorders/>
            <w:shd w:fill="FFFFFF" w:val="clear"/>
            <w:vAlign w:val="center"/>
          </w:tcPr>
          <w:p>
            <w:pPr>
              <w:pStyle w:val="TableContents"/>
              <w:bidi w:val="0"/>
              <w:spacing w:before="0" w:after="283"/>
              <w:ind w:left="0" w:right="0" w:firstLine="86"/>
              <w:jc w:val="left"/>
              <w:rPr/>
            </w:pPr>
            <w:r>
              <w:rPr/>
              <w:t> </w:t>
            </w:r>
          </w:p>
        </w:tc>
        <w:tc>
          <w:tcPr>
            <w:tcW w:w="802" w:type="dxa"/>
            <w:tcBorders/>
            <w:shd w:fill="FFFFFF" w:val="clear"/>
            <w:vAlign w:val="center"/>
          </w:tcPr>
          <w:p>
            <w:pPr>
              <w:pStyle w:val="TableContents"/>
              <w:bidi w:val="0"/>
              <w:spacing w:before="0" w:after="283"/>
              <w:ind w:left="86" w:right="0" w:firstLine="86"/>
              <w:jc w:val="left"/>
              <w:rPr>
                <w:rFonts w:ascii="Times New Roman" w:hAnsi="Times New Roman"/>
                <w:color w:val="000000"/>
                <w:sz w:val="20"/>
              </w:rPr>
            </w:pPr>
            <w:r>
              <w:rPr>
                <w:rFonts w:ascii="Times New Roman" w:hAnsi="Times New Roman"/>
                <w:color w:val="000000"/>
                <w:sz w:val="20"/>
              </w:rPr>
              <w:t>8/10/2020</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Underwriting Agreement, dated as of November 17, 2020, by and among Kodiak Sciences Inc., J.P. Morgan Securities LLC, Morgan Stanley &amp; Co. LLC, Jefferies LLC and Evercore Group L.L.C.</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8-K</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001-38682</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1.1</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11/18/2020</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Letter Agreement, dated July 22, 2021</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8-K</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001-38682</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10.1</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7/23/2021</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2021 Long-Term Performance Incentive Plan</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10-Q</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001-38682</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10.1</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11/9/2021</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23.1*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23_1.htm">
              <w:r>
                <w:rPr>
                  <w:rStyle w:val="InternetLink"/>
                  <w:rFonts w:ascii="Times New Roman" w:hAnsi="Times New Roman"/>
                  <w:color w:val="0000FF"/>
                  <w:sz w:val="20"/>
                  <w:u w:val="single"/>
                </w:rPr>
                <w:t>Consent of Independent Registered Public Accounting Firm</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24.1*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ower_attorney">
              <w:r>
                <w:rPr>
                  <w:rStyle w:val="InternetLink"/>
                  <w:rFonts w:ascii="Times New Roman" w:hAnsi="Times New Roman"/>
                  <w:color w:val="0000FF"/>
                  <w:sz w:val="20"/>
                  <w:u w:val="single"/>
                </w:rPr>
                <w:t>Power of Attorney (included in signature page)</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616"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922"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802" w:type="dxa"/>
            <w:tcBorders/>
            <w:shd w:fill="FFFFFF" w:val="clear"/>
            <w:vAlign w:val="center"/>
          </w:tcPr>
          <w:p>
            <w:pPr>
              <w:pStyle w:val="TableContents"/>
              <w:bidi w:val="0"/>
              <w:spacing w:before="0" w:after="283"/>
              <w:ind w:left="90" w:right="0" w:firstLine="90"/>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5"/>
        <w:gridCol w:w="146"/>
        <w:gridCol w:w="5736"/>
        <w:gridCol w:w="236"/>
        <w:gridCol w:w="601"/>
        <w:gridCol w:w="236"/>
        <w:gridCol w:w="545"/>
        <w:gridCol w:w="236"/>
        <w:gridCol w:w="721"/>
        <w:gridCol w:w="236"/>
        <w:gridCol w:w="767"/>
      </w:tblGrid>
      <w:tr>
        <w:trPr/>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vAlign w:val="center"/>
          </w:tcPr>
          <w:p>
            <w:pPr>
              <w:pStyle w:val="TableContents"/>
              <w:bidi w:val="0"/>
              <w:spacing w:before="0" w:after="283"/>
              <w:ind w:left="0" w:right="0" w:firstLine="90"/>
              <w:jc w:val="center"/>
              <w:rPr/>
            </w:pPr>
            <w:r>
              <w:rPr/>
              <w:t> </w:t>
            </w:r>
          </w:p>
        </w:tc>
        <w:tc>
          <w:tcPr>
            <w:tcW w:w="334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ind w:left="90" w:right="0" w:firstLine="90"/>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90" w:right="0" w:firstLine="90"/>
              <w:jc w:val="center"/>
              <w:rPr>
                <w:rFonts w:ascii="Times New Roman" w:hAnsi="Times New Roman"/>
                <w:b/>
                <w:color w:val="000000"/>
                <w:sz w:val="16"/>
              </w:rPr>
            </w:pPr>
            <w:r>
              <w:rPr>
                <w:rFonts w:ascii="Times New Roman" w:hAnsi="Times New Roman"/>
                <w:b/>
                <w:color w:val="000000"/>
                <w:sz w:val="16"/>
              </w:rPr>
              <w:t>Form</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rFonts w:ascii="Times New Roman" w:hAnsi="Times New Roman"/>
                <w:b/>
                <w:color w:val="000000"/>
                <w:sz w:val="16"/>
              </w:rPr>
            </w:pPr>
            <w:r>
              <w:rPr>
                <w:rFonts w:ascii="Times New Roman" w:hAnsi="Times New Roman"/>
                <w:b/>
                <w:color w:val="000000"/>
                <w:sz w:val="16"/>
              </w:rPr>
              <w:t>File No.</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rFonts w:ascii="Times New Roman" w:hAnsi="Times New Roman"/>
                <w:b/>
                <w:color w:val="000000"/>
                <w:sz w:val="16"/>
              </w:rPr>
            </w:pPr>
            <w:r>
              <w:rPr>
                <w:rFonts w:ascii="Times New Roman" w:hAnsi="Times New Roman"/>
                <w:b/>
                <w:color w:val="000000"/>
                <w:sz w:val="16"/>
              </w:rPr>
              <w:t>Exhibit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90"/>
              <w:jc w:val="center"/>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90" w:right="0" w:firstLine="90"/>
              <w:jc w:val="center"/>
              <w:rPr>
                <w:rFonts w:ascii="Times New Roman" w:hAnsi="Times New Roman"/>
                <w:b/>
                <w:color w:val="000000"/>
                <w:sz w:val="16"/>
              </w:rPr>
            </w:pPr>
            <w:r>
              <w:rPr>
                <w:rFonts w:ascii="Times New Roman" w:hAnsi="Times New Roman"/>
                <w:b/>
                <w:color w:val="000000"/>
                <w:sz w:val="16"/>
              </w:rPr>
              <w:t>Filing Date</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01"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45"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67" w:type="dxa"/>
            <w:tcBorders/>
            <w:shd w:fill="FFFFFF" w:val="clear"/>
            <w:vAlign w:val="center"/>
          </w:tcPr>
          <w:p>
            <w:pPr>
              <w:pStyle w:val="TableContents"/>
              <w:bidi w:val="0"/>
              <w:spacing w:before="0" w:after="283"/>
              <w:ind w:left="90" w:right="0" w:firstLine="90"/>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1_2.htm">
              <w:r>
                <w:rPr>
                  <w:rStyle w:val="InternetLink"/>
                  <w:rFonts w:ascii="Times New Roman" w:hAnsi="Times New Roman"/>
                  <w:color w:val="0000FF"/>
                  <w:sz w:val="20"/>
                  <w:u w:val="single"/>
                </w:rPr>
                <w:t>Certification of Principal Financial and Accounting Officer Pursuant to Rules 13a-14(a) and 15d-14(a) under the Securities Exchange Act of 1934, as Adopted Pursuant to Section 302 of the Sarbanes-Oxley Act of 2002.</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601"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45"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67" w:type="dxa"/>
            <w:tcBorders/>
            <w:shd w:fill="FFFFFF" w:val="clear"/>
            <w:vAlign w:val="center"/>
          </w:tcPr>
          <w:p>
            <w:pPr>
              <w:pStyle w:val="TableContents"/>
              <w:bidi w:val="0"/>
              <w:spacing w:before="0" w:after="283"/>
              <w:ind w:left="90" w:right="0" w:firstLine="90"/>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01"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45"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67" w:type="dxa"/>
            <w:tcBorders/>
            <w:shd w:fill="FFFFFF" w:val="clear"/>
            <w:vAlign w:val="center"/>
          </w:tcPr>
          <w:p>
            <w:pPr>
              <w:pStyle w:val="TableContents"/>
              <w:bidi w:val="0"/>
              <w:spacing w:before="0" w:after="283"/>
              <w:ind w:left="90" w:right="0" w:firstLine="90"/>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601"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45"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67" w:type="dxa"/>
            <w:tcBorders/>
            <w:shd w:fill="FFFFFF" w:val="clear"/>
            <w:vAlign w:val="center"/>
          </w:tcPr>
          <w:p>
            <w:pPr>
              <w:pStyle w:val="TableContents"/>
              <w:bidi w:val="0"/>
              <w:spacing w:before="0" w:after="283"/>
              <w:ind w:left="90" w:right="0" w:firstLine="90"/>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01"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45"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67" w:type="dxa"/>
            <w:tcBorders/>
            <w:shd w:fill="FFFFFF" w:val="clear"/>
            <w:vAlign w:val="center"/>
          </w:tcPr>
          <w:p>
            <w:pPr>
              <w:pStyle w:val="TableContents"/>
              <w:bidi w:val="0"/>
              <w:spacing w:before="0" w:after="283"/>
              <w:ind w:left="90" w:right="0" w:firstLine="90"/>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2_2.htm">
              <w:r>
                <w:rPr>
                  <w:rStyle w:val="InternetLink"/>
                  <w:rFonts w:ascii="Times New Roman" w:hAnsi="Times New Roman"/>
                  <w:color w:val="0000FF"/>
                  <w:sz w:val="20"/>
                  <w:u w:val="single"/>
                </w:rPr>
                <w:t>Certification of Principal Financial and Accounting Officer Pursuant to 18 U.S.C. Section 1350, as Adopted Pursuant to Section 906 of the Sarbanes-Oxley Act of 2002.</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601"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45"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67" w:type="dxa"/>
            <w:tcBorders/>
            <w:shd w:fill="FFFFFF" w:val="clear"/>
            <w:vAlign w:val="center"/>
          </w:tcPr>
          <w:p>
            <w:pPr>
              <w:pStyle w:val="TableContents"/>
              <w:bidi w:val="0"/>
              <w:spacing w:before="0" w:after="283"/>
              <w:ind w:left="90" w:right="0" w:firstLine="90"/>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01"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45"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67" w:type="dxa"/>
            <w:tcBorders/>
            <w:shd w:fill="FFFFFF" w:val="clear"/>
            <w:vAlign w:val="center"/>
          </w:tcPr>
          <w:p>
            <w:pPr>
              <w:pStyle w:val="TableContents"/>
              <w:bidi w:val="0"/>
              <w:spacing w:before="0" w:after="283"/>
              <w:ind w:left="90" w:right="0" w:firstLine="90"/>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97_1.htm">
              <w:r>
                <w:rPr>
                  <w:rStyle w:val="InternetLink"/>
                  <w:rFonts w:ascii="Times New Roman" w:hAnsi="Times New Roman"/>
                  <w:color w:val="0000FF"/>
                  <w:sz w:val="20"/>
                  <w:u w:val="single"/>
                </w:rPr>
                <w:t>Incentive Compensation Recoupment Policy</w:t>
              </w:r>
            </w:hyperlink>
          </w:p>
        </w:tc>
        <w:tc>
          <w:tcPr>
            <w:tcW w:w="236" w:type="dxa"/>
            <w:tcBorders/>
            <w:shd w:fill="FFFFFF" w:val="clear"/>
            <w:vAlign w:val="center"/>
          </w:tcPr>
          <w:p>
            <w:pPr>
              <w:pStyle w:val="TableContents"/>
              <w:bidi w:val="0"/>
              <w:spacing w:before="0" w:after="283"/>
              <w:ind w:left="0" w:right="0" w:firstLine="90"/>
              <w:jc w:val="left"/>
              <w:rPr/>
            </w:pPr>
            <w:r>
              <w:rPr/>
              <w:t> </w:t>
            </w:r>
          </w:p>
        </w:tc>
        <w:tc>
          <w:tcPr>
            <w:tcW w:w="601"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45"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67" w:type="dxa"/>
            <w:tcBorders/>
            <w:shd w:fill="FFFFFF" w:val="clear"/>
            <w:vAlign w:val="center"/>
          </w:tcPr>
          <w:p>
            <w:pPr>
              <w:pStyle w:val="TableContents"/>
              <w:bidi w:val="0"/>
              <w:spacing w:before="0" w:after="283"/>
              <w:ind w:left="90" w:right="0" w:firstLine="90"/>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01"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45"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67" w:type="dxa"/>
            <w:tcBorders/>
            <w:shd w:fill="FFFFFF" w:val="clear"/>
            <w:vAlign w:val="center"/>
          </w:tcPr>
          <w:p>
            <w:pPr>
              <w:pStyle w:val="TableContents"/>
              <w:bidi w:val="0"/>
              <w:spacing w:before="0" w:after="283"/>
              <w:ind w:left="90" w:right="0" w:firstLine="90"/>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236" w:type="dxa"/>
            <w:tcBorders/>
            <w:shd w:fill="FFFFFF" w:val="clear"/>
            <w:vAlign w:val="center"/>
          </w:tcPr>
          <w:p>
            <w:pPr>
              <w:pStyle w:val="TableContents"/>
              <w:bidi w:val="0"/>
              <w:spacing w:before="0" w:after="283"/>
              <w:ind w:left="0" w:right="0" w:firstLine="90"/>
              <w:jc w:val="left"/>
              <w:rPr/>
            </w:pPr>
            <w:r>
              <w:rPr/>
              <w:t> </w:t>
            </w:r>
          </w:p>
        </w:tc>
        <w:tc>
          <w:tcPr>
            <w:tcW w:w="601"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45"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67" w:type="dxa"/>
            <w:tcBorders/>
            <w:shd w:fill="FFFFFF" w:val="clear"/>
            <w:vAlign w:val="center"/>
          </w:tcPr>
          <w:p>
            <w:pPr>
              <w:pStyle w:val="TableContents"/>
              <w:bidi w:val="0"/>
              <w:spacing w:before="0" w:after="283"/>
              <w:ind w:left="90" w:right="0" w:firstLine="90"/>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01"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45"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67" w:type="dxa"/>
            <w:tcBorders/>
            <w:shd w:fill="FFFFFF" w:val="clear"/>
            <w:vAlign w:val="center"/>
          </w:tcPr>
          <w:p>
            <w:pPr>
              <w:pStyle w:val="TableContents"/>
              <w:bidi w:val="0"/>
              <w:spacing w:before="0" w:after="283"/>
              <w:ind w:left="90" w:right="0" w:firstLine="90"/>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Linkbases Document</w:t>
            </w:r>
          </w:p>
        </w:tc>
        <w:tc>
          <w:tcPr>
            <w:tcW w:w="236" w:type="dxa"/>
            <w:tcBorders/>
            <w:shd w:fill="FFFFFF" w:val="clear"/>
            <w:vAlign w:val="center"/>
          </w:tcPr>
          <w:p>
            <w:pPr>
              <w:pStyle w:val="TableContents"/>
              <w:bidi w:val="0"/>
              <w:spacing w:before="0" w:after="283"/>
              <w:ind w:left="0" w:right="0" w:firstLine="90"/>
              <w:jc w:val="left"/>
              <w:rPr/>
            </w:pPr>
            <w:r>
              <w:rPr/>
              <w:t> </w:t>
            </w:r>
          </w:p>
        </w:tc>
        <w:tc>
          <w:tcPr>
            <w:tcW w:w="601"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45"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67" w:type="dxa"/>
            <w:tcBorders/>
            <w:shd w:fill="FFFFFF" w:val="clear"/>
            <w:vAlign w:val="center"/>
          </w:tcPr>
          <w:p>
            <w:pPr>
              <w:pStyle w:val="TableContents"/>
              <w:bidi w:val="0"/>
              <w:spacing w:before="0" w:after="283"/>
              <w:ind w:left="90" w:right="0" w:firstLine="90"/>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601"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45"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67" w:type="dxa"/>
            <w:tcBorders/>
            <w:shd w:fill="FFFFFF" w:val="clear"/>
            <w:vAlign w:val="center"/>
          </w:tcPr>
          <w:p>
            <w:pPr>
              <w:pStyle w:val="TableContents"/>
              <w:bidi w:val="0"/>
              <w:spacing w:before="0" w:after="283"/>
              <w:ind w:left="90" w:right="0" w:firstLine="90"/>
              <w:jc w:val="left"/>
              <w:rPr/>
            </w:pPr>
            <w:r>
              <w:rPr/>
              <w:t> </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236" w:type="dxa"/>
            <w:tcBorders/>
            <w:shd w:fill="FFFFFF" w:val="clear"/>
            <w:vAlign w:val="center"/>
          </w:tcPr>
          <w:p>
            <w:pPr>
              <w:pStyle w:val="TableContents"/>
              <w:bidi w:val="0"/>
              <w:spacing w:before="0" w:after="283"/>
              <w:ind w:left="0" w:right="0" w:firstLine="90"/>
              <w:jc w:val="left"/>
              <w:rPr/>
            </w:pPr>
            <w:r>
              <w:rPr/>
              <w:t> </w:t>
            </w:r>
          </w:p>
        </w:tc>
        <w:tc>
          <w:tcPr>
            <w:tcW w:w="601" w:type="dxa"/>
            <w:tcBorders/>
            <w:shd w:fill="FFFFFF" w:val="clear"/>
            <w:vAlign w:val="center"/>
          </w:tcPr>
          <w:p>
            <w:pPr>
              <w:pStyle w:val="TableContents"/>
              <w:bidi w:val="0"/>
              <w:spacing w:before="0" w:after="283"/>
              <w:ind w:left="9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545"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21" w:type="dxa"/>
            <w:tcBorders/>
            <w:shd w:fill="FFFFFF" w:val="clear"/>
            <w:vAlign w:val="center"/>
          </w:tcPr>
          <w:p>
            <w:pPr>
              <w:pStyle w:val="TableContents"/>
              <w:bidi w:val="0"/>
              <w:spacing w:before="0" w:after="283"/>
              <w:ind w:left="0" w:right="0" w:firstLine="90"/>
              <w:jc w:val="left"/>
              <w:rPr/>
            </w:pPr>
            <w:r>
              <w:rPr/>
              <w:t> </w:t>
            </w:r>
          </w:p>
        </w:tc>
        <w:tc>
          <w:tcPr>
            <w:tcW w:w="236" w:type="dxa"/>
            <w:tcBorders/>
            <w:shd w:fill="FFFFFF" w:val="clear"/>
            <w:vAlign w:val="center"/>
          </w:tcPr>
          <w:p>
            <w:pPr>
              <w:pStyle w:val="TableContents"/>
              <w:bidi w:val="0"/>
              <w:spacing w:before="0" w:after="283"/>
              <w:ind w:left="0" w:right="0" w:firstLine="90"/>
              <w:jc w:val="left"/>
              <w:rPr/>
            </w:pPr>
            <w:r>
              <w:rPr/>
              <w:t> </w:t>
            </w:r>
          </w:p>
        </w:tc>
        <w:tc>
          <w:tcPr>
            <w:tcW w:w="767" w:type="dxa"/>
            <w:tcBorders/>
            <w:shd w:fill="FFFFFF" w:val="clear"/>
            <w:vAlign w:val="center"/>
          </w:tcPr>
          <w:p>
            <w:pPr>
              <w:pStyle w:val="TableContents"/>
              <w:bidi w:val="0"/>
              <w:spacing w:before="0" w:after="283"/>
              <w:ind w:left="90" w:right="0" w:firstLine="90"/>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240" w:after="283"/>
        <w:jc w:val="left"/>
        <w:rPr>
          <w:rFonts w:ascii="Times New Roman" w:hAnsi="Times New Roman"/>
          <w:b/>
          <w:color w:val="000000"/>
          <w:sz w:val="20"/>
        </w:rPr>
      </w:pPr>
      <w:bookmarkStart w:id="41" w:name="item_16_form_10k_summary"/>
      <w:bookmarkEnd w:id="41"/>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2" w:name="signatures"/>
      <w:bookmarkEnd w:id="42"/>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Annual Report on Form 10-K to be signed on its behalf by the undersigned thereunto duly authorized.</w:t>
      </w:r>
    </w:p>
    <w:p>
      <w:pPr>
        <w:pStyle w:val="TextBody"/>
        <w:bidi w:val="0"/>
        <w:jc w:val="left"/>
        <w:rPr/>
      </w:pPr>
      <w:r>
        <w:rPr/>
        <w:t> </w:t>
      </w:r>
    </w:p>
    <w:tbl>
      <w:tblPr>
        <w:tblW w:w="5812" w:type="dxa"/>
        <w:jc w:val="left"/>
        <w:tblInd w:w="0" w:type="dxa"/>
        <w:tblLayout w:type="fixed"/>
        <w:tblCellMar>
          <w:top w:w="28" w:type="dxa"/>
          <w:left w:w="28" w:type="dxa"/>
          <w:bottom w:w="28" w:type="dxa"/>
          <w:right w:w="28" w:type="dxa"/>
        </w:tblCellMar>
      </w:tblPr>
      <w:tblGrid>
        <w:gridCol w:w="1891"/>
        <w:gridCol w:w="109"/>
        <w:gridCol w:w="406"/>
        <w:gridCol w:w="340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KODIAK SCIENCES INC.</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Date: March 28, 2024</w:t>
            </w:r>
          </w:p>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Victor Perlroth</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Victor Perlroth, M.D.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Chairman and Chief Executive Officer</w:t>
            </w:r>
          </w:p>
          <w:p>
            <w:pPr>
              <w:pStyle w:val="TableContents"/>
              <w:bidi w:val="0"/>
              <w:spacing w:before="0" w:after="283"/>
              <w:jc w:val="center"/>
              <w:rPr/>
            </w:pPr>
            <w:r>
              <w:rPr/>
              <w:t> </w:t>
            </w:r>
          </w:p>
        </w:tc>
      </w:tr>
    </w:tbl>
    <w:p>
      <w:pPr>
        <w:pStyle w:val="TextBody"/>
        <w:bidi w:val="0"/>
        <w:jc w:val="left"/>
        <w:rPr/>
      </w:pPr>
      <w:bookmarkStart w:id="43" w:name="power_attorney"/>
      <w:bookmarkEnd w:id="43"/>
      <w:r>
        <w:rPr/>
        <w:t> </w:t>
      </w:r>
    </w:p>
    <w:p>
      <w:pPr>
        <w:pStyle w:val="TextBody"/>
        <w:bidi w:val="0"/>
        <w:jc w:val="center"/>
        <w:rPr>
          <w:rFonts w:ascii="Times New Roman" w:hAnsi="Times New Roman"/>
          <w:b/>
          <w:color w:val="000000"/>
          <w:sz w:val="20"/>
        </w:rPr>
      </w:pPr>
      <w:bookmarkStart w:id="44" w:name="power_of_atty"/>
      <w:bookmarkEnd w:id="44"/>
      <w:r>
        <w:rPr>
          <w:rFonts w:ascii="Times New Roman" w:hAnsi="Times New Roman"/>
          <w:b/>
          <w:color w:val="000000"/>
          <w:sz w:val="20"/>
        </w:rPr>
        <w:t>POWER OF ATTORNEY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Victor Perlroth and John Borgeson, jointly and severally,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that all said attorneys-in-fact and agents, or his or their substitute or substitutes, may lawfully do or cause to be done by virtue 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Annual Report on Form 10-K has been signed below by the following persons on behalf of the Registrant and in the capacities and on the dates indicated:</w:t>
      </w:r>
    </w:p>
    <w:p>
      <w:pPr>
        <w:pStyle w:val="TextBody"/>
        <w:bidi w:val="0"/>
        <w:jc w:val="left"/>
        <w:rPr/>
      </w:pPr>
      <w:r>
        <w:rPr/>
        <w:t> </w:t>
      </w:r>
    </w:p>
    <w:tbl>
      <w:tblPr>
        <w:tblW w:w="7600" w:type="dxa"/>
        <w:jc w:val="left"/>
        <w:tblInd w:w="0" w:type="dxa"/>
        <w:tblLayout w:type="fixed"/>
        <w:tblCellMar>
          <w:top w:w="28" w:type="dxa"/>
          <w:left w:w="28" w:type="dxa"/>
          <w:bottom w:w="28" w:type="dxa"/>
          <w:right w:w="28" w:type="dxa"/>
        </w:tblCellMar>
      </w:tblPr>
      <w:tblGrid>
        <w:gridCol w:w="2041"/>
        <w:gridCol w:w="146"/>
        <w:gridCol w:w="3826"/>
        <w:gridCol w:w="146"/>
        <w:gridCol w:w="144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0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Victor Perlroth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vMerge w:val="restart"/>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Chairman and Chief Executive Officer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vAlign w:val="center"/>
          </w:tcPr>
          <w:p>
            <w:pPr>
              <w:pStyle w:val="TableContents"/>
              <w:bidi w:val="0"/>
              <w:spacing w:before="0" w:after="283"/>
              <w:jc w:val="center"/>
              <w:rPr/>
            </w:pPr>
            <w:r>
              <w:rPr/>
              <w:t> </w:t>
            </w:r>
          </w:p>
        </w:tc>
        <w:tc>
          <w:tcPr>
            <w:tcW w:w="1441" w:type="dxa"/>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28, 2024</w:t>
            </w:r>
          </w:p>
        </w:tc>
      </w:tr>
      <w:tr>
        <w:trPr/>
        <w:tc>
          <w:tcPr>
            <w:tcW w:w="20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Victor Perlroth, M.D.</w:t>
            </w:r>
          </w:p>
        </w:tc>
        <w:tc>
          <w:tcPr>
            <w:tcW w:w="146" w:type="dxa"/>
            <w:tcBorders/>
            <w:vAlign w:val="center"/>
          </w:tcPr>
          <w:p>
            <w:pPr>
              <w:pStyle w:val="TableContents"/>
              <w:bidi w:val="0"/>
              <w:spacing w:before="0" w:after="283"/>
              <w:jc w:val="left"/>
              <w:rPr/>
            </w:pPr>
            <w:r>
              <w:rPr/>
              <w:t> </w:t>
            </w:r>
          </w:p>
        </w:tc>
        <w:tc>
          <w:tcPr>
            <w:tcW w:w="382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441" w:type="dxa"/>
            <w:vMerge w:val="continue"/>
            <w:tcBorders/>
            <w:vAlign w:val="center"/>
          </w:tcPr>
          <w:p>
            <w:pPr>
              <w:pStyle w:val="Normal"/>
              <w:bidi w:val="0"/>
              <w:jc w:val="left"/>
              <w:rPr/>
            </w:pPr>
            <w:r>
              <w:rPr/>
            </w:r>
          </w:p>
        </w:tc>
      </w:tr>
      <w:tr>
        <w:trPr/>
        <w:tc>
          <w:tcPr>
            <w:tcW w:w="2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Borgeson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vMerge w:val="restart"/>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c>
          <w:tcPr>
            <w:tcW w:w="146" w:type="dxa"/>
            <w:tcBorders/>
            <w:vAlign w:val="center"/>
          </w:tcPr>
          <w:p>
            <w:pPr>
              <w:pStyle w:val="TableContents"/>
              <w:bidi w:val="0"/>
              <w:spacing w:before="0" w:after="283"/>
              <w:jc w:val="center"/>
              <w:rPr/>
            </w:pPr>
            <w:r>
              <w:rPr/>
              <w:t> </w:t>
            </w:r>
          </w:p>
        </w:tc>
        <w:tc>
          <w:tcPr>
            <w:tcW w:w="1441" w:type="dxa"/>
            <w:vMerge w:val="restart"/>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March 28, 2024</w:t>
            </w:r>
          </w:p>
          <w:p>
            <w:pPr>
              <w:pStyle w:val="TableContents"/>
              <w:bidi w:val="0"/>
              <w:spacing w:before="0" w:after="283"/>
              <w:jc w:val="center"/>
              <w:rPr/>
            </w:pPr>
            <w:r>
              <w:rPr/>
              <w:t> </w:t>
            </w:r>
          </w:p>
        </w:tc>
      </w:tr>
      <w:tr>
        <w:trPr/>
        <w:tc>
          <w:tcPr>
            <w:tcW w:w="20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Borgeson</w:t>
            </w:r>
          </w:p>
        </w:tc>
        <w:tc>
          <w:tcPr>
            <w:tcW w:w="146" w:type="dxa"/>
            <w:tcBorders/>
            <w:vAlign w:val="center"/>
          </w:tcPr>
          <w:p>
            <w:pPr>
              <w:pStyle w:val="TableContents"/>
              <w:bidi w:val="0"/>
              <w:spacing w:before="0" w:after="283"/>
              <w:jc w:val="left"/>
              <w:rPr/>
            </w:pPr>
            <w:r>
              <w:rPr/>
              <w:t> </w:t>
            </w:r>
          </w:p>
        </w:tc>
        <w:tc>
          <w:tcPr>
            <w:tcW w:w="382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441" w:type="dxa"/>
            <w:vMerge w:val="continue"/>
            <w:tcBorders/>
            <w:vAlign w:val="center"/>
          </w:tcPr>
          <w:p>
            <w:pPr>
              <w:pStyle w:val="Normal"/>
              <w:bidi w:val="0"/>
              <w:jc w:val="left"/>
              <w:rPr/>
            </w:pPr>
            <w:r>
              <w:rPr/>
            </w:r>
          </w:p>
        </w:tc>
      </w:tr>
      <w:tr>
        <w:trPr/>
        <w:tc>
          <w:tcPr>
            <w:tcW w:w="2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Felix J. Baker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441" w:type="dxa"/>
            <w:vMerge w:val="restart"/>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March 28, 2024</w:t>
            </w:r>
          </w:p>
          <w:p>
            <w:pPr>
              <w:pStyle w:val="TableContents"/>
              <w:bidi w:val="0"/>
              <w:spacing w:before="0" w:after="283"/>
              <w:jc w:val="center"/>
              <w:rPr/>
            </w:pPr>
            <w:r>
              <w:rPr/>
              <w:t> </w:t>
            </w:r>
          </w:p>
        </w:tc>
      </w:tr>
      <w:tr>
        <w:trPr/>
        <w:tc>
          <w:tcPr>
            <w:tcW w:w="20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Felix J. Baker, Ph.D.</w:t>
            </w:r>
          </w:p>
        </w:tc>
        <w:tc>
          <w:tcPr>
            <w:tcW w:w="146" w:type="dxa"/>
            <w:tcBorders/>
            <w:vAlign w:val="center"/>
          </w:tcPr>
          <w:p>
            <w:pPr>
              <w:pStyle w:val="TableContents"/>
              <w:bidi w:val="0"/>
              <w:spacing w:before="0" w:after="283"/>
              <w:jc w:val="left"/>
              <w:rPr/>
            </w:pPr>
            <w:r>
              <w:rPr/>
              <w:t> </w:t>
            </w:r>
          </w:p>
        </w:tc>
        <w:tc>
          <w:tcPr>
            <w:tcW w:w="382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441" w:type="dxa"/>
            <w:vMerge w:val="continue"/>
            <w:tcBorders/>
            <w:vAlign w:val="center"/>
          </w:tcPr>
          <w:p>
            <w:pPr>
              <w:pStyle w:val="Normal"/>
              <w:bidi w:val="0"/>
              <w:jc w:val="left"/>
              <w:rPr/>
            </w:pPr>
            <w:r>
              <w:rPr/>
            </w:r>
          </w:p>
        </w:tc>
      </w:tr>
      <w:tr>
        <w:trPr/>
        <w:tc>
          <w:tcPr>
            <w:tcW w:w="2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Charles Bancroft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441" w:type="dxa"/>
            <w:vMerge w:val="restart"/>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March 28, 2024</w:t>
            </w:r>
          </w:p>
          <w:p>
            <w:pPr>
              <w:pStyle w:val="TableContents"/>
              <w:bidi w:val="0"/>
              <w:spacing w:before="0" w:after="283"/>
              <w:jc w:val="center"/>
              <w:rPr/>
            </w:pPr>
            <w:r>
              <w:rPr/>
              <w:t> </w:t>
            </w:r>
          </w:p>
        </w:tc>
      </w:tr>
      <w:tr>
        <w:trPr/>
        <w:tc>
          <w:tcPr>
            <w:tcW w:w="20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Bancroft</w:t>
            </w:r>
          </w:p>
        </w:tc>
        <w:tc>
          <w:tcPr>
            <w:tcW w:w="146" w:type="dxa"/>
            <w:tcBorders/>
            <w:vAlign w:val="center"/>
          </w:tcPr>
          <w:p>
            <w:pPr>
              <w:pStyle w:val="TableContents"/>
              <w:bidi w:val="0"/>
              <w:spacing w:before="0" w:after="283"/>
              <w:jc w:val="left"/>
              <w:rPr/>
            </w:pPr>
            <w:r>
              <w:rPr/>
              <w:t> </w:t>
            </w:r>
          </w:p>
        </w:tc>
        <w:tc>
          <w:tcPr>
            <w:tcW w:w="382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441" w:type="dxa"/>
            <w:vMerge w:val="continue"/>
            <w:tcBorders/>
            <w:vAlign w:val="center"/>
          </w:tcPr>
          <w:p>
            <w:pPr>
              <w:pStyle w:val="Normal"/>
              <w:bidi w:val="0"/>
              <w:jc w:val="left"/>
              <w:rPr/>
            </w:pPr>
            <w:r>
              <w:rPr/>
            </w:r>
          </w:p>
        </w:tc>
      </w:tr>
      <w:tr>
        <w:trPr/>
        <w:tc>
          <w:tcPr>
            <w:tcW w:w="2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Bassil I. Dahiyat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441" w:type="dxa"/>
            <w:vMerge w:val="restart"/>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March 28, 2024</w:t>
            </w:r>
          </w:p>
          <w:p>
            <w:pPr>
              <w:pStyle w:val="TableContents"/>
              <w:bidi w:val="0"/>
              <w:spacing w:before="0" w:after="283"/>
              <w:jc w:val="center"/>
              <w:rPr/>
            </w:pPr>
            <w:r>
              <w:rPr/>
              <w:t> </w:t>
            </w:r>
          </w:p>
        </w:tc>
      </w:tr>
      <w:tr>
        <w:trPr/>
        <w:tc>
          <w:tcPr>
            <w:tcW w:w="20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Bassil I. Dahiyat, Ph.D.</w:t>
            </w:r>
          </w:p>
        </w:tc>
        <w:tc>
          <w:tcPr>
            <w:tcW w:w="146" w:type="dxa"/>
            <w:tcBorders/>
            <w:vAlign w:val="center"/>
          </w:tcPr>
          <w:p>
            <w:pPr>
              <w:pStyle w:val="TableContents"/>
              <w:bidi w:val="0"/>
              <w:spacing w:before="0" w:after="283"/>
              <w:jc w:val="left"/>
              <w:rPr/>
            </w:pPr>
            <w:r>
              <w:rPr/>
              <w:t> </w:t>
            </w:r>
          </w:p>
        </w:tc>
        <w:tc>
          <w:tcPr>
            <w:tcW w:w="382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441" w:type="dxa"/>
            <w:vMerge w:val="continue"/>
            <w:tcBorders/>
            <w:vAlign w:val="center"/>
          </w:tcPr>
          <w:p>
            <w:pPr>
              <w:pStyle w:val="Normal"/>
              <w:bidi w:val="0"/>
              <w:jc w:val="left"/>
              <w:rPr/>
            </w:pPr>
            <w:r>
              <w:rPr/>
            </w:r>
          </w:p>
        </w:tc>
      </w:tr>
      <w:tr>
        <w:trPr/>
        <w:tc>
          <w:tcPr>
            <w:tcW w:w="2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S. Levy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441" w:type="dxa"/>
            <w:vMerge w:val="restart"/>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March 28, 2024</w:t>
            </w:r>
          </w:p>
          <w:p>
            <w:pPr>
              <w:pStyle w:val="TableContents"/>
              <w:bidi w:val="0"/>
              <w:spacing w:before="0" w:after="283"/>
              <w:jc w:val="center"/>
              <w:rPr/>
            </w:pPr>
            <w:r>
              <w:rPr/>
              <w:t> </w:t>
            </w:r>
          </w:p>
        </w:tc>
      </w:tr>
      <w:tr>
        <w:trPr/>
        <w:tc>
          <w:tcPr>
            <w:tcW w:w="20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S. Levy, M.D.</w:t>
            </w:r>
          </w:p>
        </w:tc>
        <w:tc>
          <w:tcPr>
            <w:tcW w:w="146" w:type="dxa"/>
            <w:tcBorders/>
            <w:vAlign w:val="center"/>
          </w:tcPr>
          <w:p>
            <w:pPr>
              <w:pStyle w:val="TableContents"/>
              <w:bidi w:val="0"/>
              <w:spacing w:before="0" w:after="283"/>
              <w:jc w:val="left"/>
              <w:rPr/>
            </w:pPr>
            <w:r>
              <w:rPr/>
              <w:t> </w:t>
            </w:r>
          </w:p>
        </w:tc>
        <w:tc>
          <w:tcPr>
            <w:tcW w:w="382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441" w:type="dxa"/>
            <w:vMerge w:val="continue"/>
            <w:tcBorders/>
            <w:vAlign w:val="center"/>
          </w:tcPr>
          <w:p>
            <w:pPr>
              <w:pStyle w:val="Normal"/>
              <w:bidi w:val="0"/>
              <w:jc w:val="left"/>
              <w:rPr/>
            </w:pPr>
            <w:r>
              <w:rPr/>
            </w:r>
          </w:p>
        </w:tc>
      </w:tr>
      <w:tr>
        <w:trPr/>
        <w:tc>
          <w:tcPr>
            <w:tcW w:w="2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A. Profusek</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441" w:type="dxa"/>
            <w:vMerge w:val="restart"/>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March 28, 2024</w:t>
            </w:r>
          </w:p>
          <w:p>
            <w:pPr>
              <w:pStyle w:val="TableContents"/>
              <w:bidi w:val="0"/>
              <w:spacing w:before="0" w:after="283"/>
              <w:jc w:val="center"/>
              <w:rPr/>
            </w:pPr>
            <w:r>
              <w:rPr/>
              <w:t> </w:t>
            </w:r>
          </w:p>
        </w:tc>
      </w:tr>
      <w:tr>
        <w:trPr/>
        <w:tc>
          <w:tcPr>
            <w:tcW w:w="20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A. Profusek, J.D.</w:t>
            </w:r>
          </w:p>
        </w:tc>
        <w:tc>
          <w:tcPr>
            <w:tcW w:w="146" w:type="dxa"/>
            <w:tcBorders/>
            <w:vAlign w:val="center"/>
          </w:tcPr>
          <w:p>
            <w:pPr>
              <w:pStyle w:val="TableContents"/>
              <w:bidi w:val="0"/>
              <w:spacing w:before="0" w:after="283"/>
              <w:jc w:val="left"/>
              <w:rPr/>
            </w:pPr>
            <w:r>
              <w:rPr/>
              <w:t> </w:t>
            </w:r>
          </w:p>
        </w:tc>
        <w:tc>
          <w:tcPr>
            <w:tcW w:w="382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441" w:type="dxa"/>
            <w:vMerge w:val="continue"/>
            <w:tcBorders/>
            <w:vAlign w:val="center"/>
          </w:tcPr>
          <w:p>
            <w:pPr>
              <w:pStyle w:val="Normal"/>
              <w:bidi w:val="0"/>
              <w:jc w:val="left"/>
              <w:rPr/>
            </w:pPr>
            <w:r>
              <w:rPr/>
            </w:r>
          </w:p>
        </w:tc>
      </w:tr>
      <w:tr>
        <w:trPr/>
        <w:tc>
          <w:tcPr>
            <w:tcW w:w="2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Taiyin Yang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441" w:type="dxa"/>
            <w:vMerge w:val="restart"/>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March 28, 2024</w:t>
            </w:r>
          </w:p>
          <w:p>
            <w:pPr>
              <w:pStyle w:val="TableContents"/>
              <w:bidi w:val="0"/>
              <w:spacing w:before="0" w:after="283"/>
              <w:jc w:val="center"/>
              <w:rPr/>
            </w:pPr>
            <w:r>
              <w:rPr/>
              <w:t> </w:t>
            </w:r>
          </w:p>
        </w:tc>
      </w:tr>
      <w:tr>
        <w:trPr/>
        <w:tc>
          <w:tcPr>
            <w:tcW w:w="20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Taiyin Yang, Ph.D.</w:t>
            </w:r>
          </w:p>
        </w:tc>
        <w:tc>
          <w:tcPr>
            <w:tcW w:w="146" w:type="dxa"/>
            <w:tcBorders/>
            <w:vAlign w:val="center"/>
          </w:tcPr>
          <w:p>
            <w:pPr>
              <w:pStyle w:val="TableContents"/>
              <w:bidi w:val="0"/>
              <w:spacing w:before="0" w:after="283"/>
              <w:jc w:val="left"/>
              <w:rPr/>
            </w:pPr>
            <w:r>
              <w:rPr/>
              <w:t> </w:t>
            </w:r>
          </w:p>
        </w:tc>
        <w:tc>
          <w:tcPr>
            <w:tcW w:w="382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441" w:type="dxa"/>
            <w:vMerge w:val="continue"/>
            <w:tcBorders/>
            <w:vAlign w:val="center"/>
          </w:tcPr>
          <w:p>
            <w:pPr>
              <w:pStyle w:val="Normal"/>
              <w:bidi w:val="0"/>
              <w:jc w:val="left"/>
              <w:rPr/>
            </w:pPr>
            <w:r>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bookmarkStart w:id="45" w:name="kod-ex23_1.htm"/>
      <w:bookmarkStart w:id="46" w:name="kskodex23_1"/>
      <w:bookmarkEnd w:id="45"/>
      <w:bookmarkEnd w:id="4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23.1</w:t>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240" w:after="283"/>
        <w:jc w:val="left"/>
        <w:rPr>
          <w:rFonts w:ascii="Times New Roman" w:hAnsi="Times New Roman"/>
          <w:sz w:val="20"/>
        </w:rPr>
      </w:pPr>
      <w:r>
        <w:rPr>
          <w:rFonts w:ascii="Times New Roman" w:hAnsi="Times New Roman"/>
          <w:color w:val="000000"/>
          <w:sz w:val="20"/>
        </w:rPr>
        <w:t>We hereby consent to the incorporation by reference in the Registration Statements on Form S-3 (Nos. 333-271043 and 333-271946) and Form S</w:t>
        <w:noBreakHyphen/>
        <w:t>8 (Nos. 333-227755, 333-231503, 333-253751, 333-261670, 333-264829 and 333-270907) of Kodiak Sciences Inc. of our report dated March 28, 2024 relating to the financial statements, which appears in this Form 10-</w:t>
      </w:r>
      <w:r>
        <w:rPr>
          <w:rFonts w:ascii="Georgia;serif" w:hAnsi="Georgia;serif"/>
          <w:color w:val="000000"/>
          <w:sz w:val="20"/>
        </w:rPr>
        <w:t>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 PricewaterhouseCoopers LLP </w:t>
        <w:br/>
        <w:t>San Jose, California</w:t>
        <w:br/>
        <w:t>March 28,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7" w:name="kod-ex31_1.htm"/>
      <w:bookmarkStart w:id="48" w:name="kskodex31_1"/>
      <w:bookmarkEnd w:id="47"/>
      <w:bookmarkEnd w:id="4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Victor Perlroth, M.D.,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Kodiak 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812" w:type="dxa"/>
        <w:jc w:val="left"/>
        <w:tblInd w:w="0" w:type="dxa"/>
        <w:tblLayout w:type="fixed"/>
        <w:tblCellMar>
          <w:top w:w="28" w:type="dxa"/>
          <w:left w:w="28" w:type="dxa"/>
          <w:bottom w:w="28" w:type="dxa"/>
          <w:right w:w="28" w:type="dxa"/>
        </w:tblCellMar>
      </w:tblPr>
      <w:tblGrid>
        <w:gridCol w:w="1891"/>
        <w:gridCol w:w="109"/>
        <w:gridCol w:w="406"/>
        <w:gridCol w:w="340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Victor Perlroth</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Victor Perlroth, M.D.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Chairman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9" w:name="kod-ex31_2.htm"/>
      <w:bookmarkStart w:id="50" w:name="kskodex31_2"/>
      <w:bookmarkEnd w:id="49"/>
      <w:bookmarkEnd w:id="5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John Borgeson,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Kodiak 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337" w:type="dxa"/>
        <w:jc w:val="left"/>
        <w:tblInd w:w="0" w:type="dxa"/>
        <w:tblLayout w:type="fixed"/>
        <w:tblCellMar>
          <w:top w:w="28" w:type="dxa"/>
          <w:left w:w="28" w:type="dxa"/>
          <w:bottom w:w="28" w:type="dxa"/>
          <w:right w:w="28" w:type="dxa"/>
        </w:tblCellMar>
      </w:tblPr>
      <w:tblGrid>
        <w:gridCol w:w="1891"/>
        <w:gridCol w:w="109"/>
        <w:gridCol w:w="406"/>
        <w:gridCol w:w="393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Borgeson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Borgeson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1" w:name="kod-ex32_1.htm"/>
      <w:bookmarkStart w:id="52" w:name="kskodex32_1"/>
      <w:bookmarkEnd w:id="51"/>
      <w:bookmarkEnd w:id="5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Kodiak Sciences Inc. (the “Company”) on Form 10-K for the fiscal year ended December 31, 2023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812" w:type="dxa"/>
        <w:jc w:val="left"/>
        <w:tblInd w:w="0" w:type="dxa"/>
        <w:tblLayout w:type="fixed"/>
        <w:tblCellMar>
          <w:top w:w="28" w:type="dxa"/>
          <w:left w:w="28" w:type="dxa"/>
          <w:bottom w:w="28" w:type="dxa"/>
          <w:right w:w="28" w:type="dxa"/>
        </w:tblCellMar>
      </w:tblPr>
      <w:tblGrid>
        <w:gridCol w:w="1891"/>
        <w:gridCol w:w="109"/>
        <w:gridCol w:w="406"/>
        <w:gridCol w:w="340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Victor Perlroth</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Victor Perlroth, M.D.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Chairman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3" w:name="kod-ex32_2.htm"/>
      <w:bookmarkStart w:id="54" w:name="kskodex32_2"/>
      <w:bookmarkEnd w:id="53"/>
      <w:bookmarkEnd w:id="5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Kodiak Sciences Inc. (the “Company”) on Form 10-K for the fiscal year ended December 31, 2023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337" w:type="dxa"/>
        <w:jc w:val="left"/>
        <w:tblInd w:w="0" w:type="dxa"/>
        <w:tblLayout w:type="fixed"/>
        <w:tblCellMar>
          <w:top w:w="28" w:type="dxa"/>
          <w:left w:w="28" w:type="dxa"/>
          <w:bottom w:w="28" w:type="dxa"/>
          <w:right w:w="28" w:type="dxa"/>
        </w:tblCellMar>
      </w:tblPr>
      <w:tblGrid>
        <w:gridCol w:w="1891"/>
        <w:gridCol w:w="109"/>
        <w:gridCol w:w="406"/>
        <w:gridCol w:w="393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Borgeson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Borgeson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55" w:name="kod-ex97_1.htm"/>
      <w:bookmarkStart w:id="56" w:name="kskodex97_1"/>
      <w:bookmarkEnd w:id="55"/>
      <w:bookmarkEnd w:id="5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97.1</w:t>
      </w:r>
    </w:p>
    <w:p>
      <w:pPr>
        <w:pStyle w:val="TextBody"/>
        <w:bidi w:val="0"/>
        <w:spacing w:before="0" w:after="220"/>
        <w:jc w:val="center"/>
        <w:rPr>
          <w:rFonts w:ascii="Times New Roman" w:hAnsi="Times New Roman"/>
          <w:b/>
          <w:smallCaps/>
          <w:color w:val="000000"/>
          <w:sz w:val="22"/>
        </w:rPr>
      </w:pPr>
      <w:r>
        <w:rPr>
          <w:rFonts w:ascii="Times New Roman" w:hAnsi="Times New Roman"/>
          <w:b/>
          <w:smallCaps/>
          <w:color w:val="000000"/>
          <w:sz w:val="22"/>
        </w:rPr>
        <w:t>Kodiak Sciences Inc.</w:t>
      </w:r>
    </w:p>
    <w:p>
      <w:pPr>
        <w:pStyle w:val="TextBody"/>
        <w:bidi w:val="0"/>
        <w:spacing w:before="0" w:after="220"/>
        <w:jc w:val="center"/>
        <w:rPr>
          <w:rFonts w:ascii="Times New Roman" w:hAnsi="Times New Roman"/>
          <w:b/>
          <w:smallCaps/>
          <w:color w:val="000000"/>
          <w:sz w:val="22"/>
        </w:rPr>
      </w:pPr>
      <w:r>
        <w:rPr>
          <w:rFonts w:ascii="Times New Roman" w:hAnsi="Times New Roman"/>
          <w:b/>
          <w:smallCaps/>
          <w:color w:val="000000"/>
          <w:sz w:val="22"/>
        </w:rPr>
        <w:t>Incentive Compensation Recoupment Policy</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1.</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Introduction</w:t>
      </w:r>
    </w:p>
    <w:p>
      <w:pPr>
        <w:pStyle w:val="TextBody"/>
        <w:bidi w:val="0"/>
        <w:spacing w:before="0" w:after="220"/>
        <w:jc w:val="both"/>
        <w:rPr>
          <w:rFonts w:ascii="Times New Roman" w:hAnsi="Times New Roman"/>
          <w:sz w:val="20"/>
        </w:rPr>
      </w:pPr>
      <w:r>
        <w:rPr>
          <w:rFonts w:ascii="Times New Roman" w:hAnsi="Times New Roman"/>
          <w:color w:val="000000"/>
          <w:sz w:val="22"/>
        </w:rPr>
        <w:t>The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of Kodiak Sciences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has determined that it is in the best interests of the Company and its stockholders to adopt this Incentive Compensation Recoupment Policy (this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pStyle w:val="TextBody"/>
        <w:bidi w:val="0"/>
        <w:spacing w:before="0" w:after="220"/>
        <w:jc w:val="both"/>
        <w:rPr>
          <w:rFonts w:ascii="Times New Roman" w:hAnsi="Times New Roman"/>
          <w:sz w:val="20"/>
        </w:rPr>
      </w:pPr>
      <w:r>
        <w:rPr>
          <w:rFonts w:ascii="Times New Roman" w:hAnsi="Times New Roman"/>
          <w:color w:val="000000"/>
          <w:sz w:val="22"/>
        </w:rPr>
        <w:t>This Policy is designed to comply with, and shall be interpreted to be consistent with, Section 10D of the Exchange Act, Rule 10D-1 promulgated thereunder (“</w:t>
      </w:r>
      <w:r>
        <w:rPr>
          <w:rFonts w:ascii="Times New Roman" w:hAnsi="Times New Roman"/>
          <w:b/>
          <w:i/>
          <w:color w:val="000000"/>
          <w:sz w:val="22"/>
        </w:rPr>
        <w:t>Rule 10D-1</w:t>
      </w:r>
      <w:r>
        <w:rPr>
          <w:rFonts w:ascii="Times New Roman" w:hAnsi="Times New Roman"/>
          <w:color w:val="000000"/>
          <w:sz w:val="20"/>
        </w:rPr>
        <w:t>”</w:t>
      </w:r>
      <w:r>
        <w:rPr>
          <w:rFonts w:ascii="Times New Roman" w:hAnsi="Times New Roman"/>
          <w:color w:val="000000"/>
          <w:sz w:val="22"/>
        </w:rPr>
        <w:t>) and Nasdaq Listing Rule 5608 (the “</w:t>
      </w:r>
      <w:r>
        <w:rPr>
          <w:rFonts w:ascii="Times New Roman" w:hAnsi="Times New Roman"/>
          <w:b/>
          <w:i/>
          <w:color w:val="000000"/>
          <w:sz w:val="22"/>
        </w:rPr>
        <w:t>Listing Standards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2.</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Effective Date</w:t>
      </w:r>
    </w:p>
    <w:p>
      <w:pPr>
        <w:pStyle w:val="TextBody"/>
        <w:bidi w:val="0"/>
        <w:spacing w:before="0" w:after="220"/>
        <w:jc w:val="both"/>
        <w:rPr>
          <w:rFonts w:ascii="Times New Roman" w:hAnsi="Times New Roman"/>
          <w:sz w:val="20"/>
        </w:rPr>
      </w:pPr>
      <w:r>
        <w:rPr>
          <w:rFonts w:ascii="Times New Roman" w:hAnsi="Times New Roman"/>
          <w:color w:val="000000"/>
          <w:sz w:val="22"/>
        </w:rPr>
        <w:t>This Policy shall apply to all Incentive Compensation that is received by a Covered Officer on or after October 2, 2023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 Incentive Compensation is deemed “</w:t>
      </w:r>
      <w:r>
        <w:rPr>
          <w:rFonts w:ascii="Times New Roman" w:hAnsi="Times New Roman"/>
          <w:b/>
          <w:i/>
          <w:color w:val="000000"/>
          <w:sz w:val="22"/>
        </w:rPr>
        <w:t>received</w:t>
      </w:r>
      <w:r>
        <w:rPr>
          <w:rFonts w:ascii="Times New Roman" w:hAnsi="Times New Roman"/>
          <w:color w:val="000000"/>
          <w:sz w:val="20"/>
        </w:rPr>
        <w:t xml:space="preserve">” </w:t>
      </w:r>
      <w:r>
        <w:rPr>
          <w:rFonts w:ascii="Times New Roman" w:hAnsi="Times New Roman"/>
          <w:color w:val="000000"/>
          <w:sz w:val="22"/>
        </w:rPr>
        <w:t>in the Company’s fiscal period in which the Financial Reporting Measure specified in the Incentive Compensation award is attained, even if the payment or grant of such Incentive Compensation occurs after the end of that period.</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3.</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Definitions</w:t>
      </w:r>
    </w:p>
    <w:p>
      <w:pPr>
        <w:pStyle w:val="TextBody"/>
        <w:bidi w:val="0"/>
        <w:spacing w:before="0" w:after="220"/>
        <w:jc w:val="both"/>
        <w:rPr/>
      </w:pPr>
      <w:r>
        <w:rPr>
          <w:color w:val="000000"/>
        </w:rPr>
        <w:t>“</w:t>
      </w:r>
      <w:r>
        <w:rPr>
          <w:rFonts w:ascii="Times New Roman" w:hAnsi="Times New Roman"/>
          <w:b/>
          <w:i/>
          <w:color w:val="000000"/>
          <w:sz w:val="22"/>
        </w:rPr>
        <w:t>Accounting Restatement</w:t>
      </w:r>
      <w:r>
        <w:rPr>
          <w:rFonts w:ascii="Times New Roman" w:hAnsi="Times New Roman"/>
          <w:color w:val="000000"/>
          <w:sz w:val="20"/>
        </w:rPr>
        <w:t xml:space="preserve">” </w:t>
      </w:r>
      <w:r>
        <w:rPr>
          <w:rFonts w:ascii="Times New Roman" w:hAnsi="Times New Roman"/>
          <w:color w:val="000000"/>
          <w:sz w:val="22"/>
        </w:rPr>
        <w:t>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220"/>
        <w:jc w:val="both"/>
        <w:rPr/>
      </w:pPr>
      <w:r>
        <w:rPr>
          <w:color w:val="000000"/>
        </w:rPr>
        <w:t>“</w:t>
      </w:r>
      <w:r>
        <w:rPr>
          <w:rFonts w:ascii="Times New Roman" w:hAnsi="Times New Roman"/>
          <w:b/>
          <w:i/>
          <w:color w:val="000000"/>
          <w:sz w:val="22"/>
        </w:rPr>
        <w:t>Accounting Restatement Date</w:t>
      </w:r>
      <w:r>
        <w:rPr>
          <w:rFonts w:ascii="Times New Roman" w:hAnsi="Times New Roman"/>
          <w:color w:val="000000"/>
          <w:sz w:val="20"/>
        </w:rPr>
        <w:t xml:space="preserve">” </w:t>
      </w:r>
      <w:r>
        <w:rPr>
          <w:rFonts w:ascii="Times New Roman" w:hAnsi="Times New Roman"/>
          <w:color w:val="000000"/>
          <w:sz w:val="22"/>
        </w:rPr>
        <w:t>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pStyle w:val="TextBody"/>
        <w:bidi w:val="0"/>
        <w:spacing w:before="0" w:after="220"/>
        <w:jc w:val="both"/>
        <w:rPr/>
      </w:pPr>
      <w:r>
        <w:rPr>
          <w:color w:val="000000"/>
        </w:rPr>
        <w:t>“</w:t>
      </w:r>
      <w:r>
        <w:rPr>
          <w:rFonts w:ascii="Times New Roman" w:hAnsi="Times New Roman"/>
          <w:b/>
          <w:i/>
          <w:color w:val="000000"/>
          <w:sz w:val="22"/>
        </w:rPr>
        <w:t>Administrator</w:t>
      </w:r>
      <w:r>
        <w:rPr>
          <w:rFonts w:ascii="Times New Roman" w:hAnsi="Times New Roman"/>
          <w:color w:val="000000"/>
          <w:sz w:val="20"/>
        </w:rPr>
        <w:t xml:space="preserve">” </w:t>
      </w:r>
      <w:r>
        <w:rPr>
          <w:rFonts w:ascii="Times New Roman" w:hAnsi="Times New Roman"/>
          <w:color w:val="000000"/>
          <w:sz w:val="22"/>
        </w:rPr>
        <w:t>means the Compensation Committee or, in the absence of such committee, the Board.</w:t>
      </w:r>
    </w:p>
    <w:p>
      <w:pPr>
        <w:pStyle w:val="TextBody"/>
        <w:bidi w:val="0"/>
        <w:spacing w:before="0" w:after="220"/>
        <w:jc w:val="both"/>
        <w:rPr/>
      </w:pPr>
      <w:r>
        <w:rPr>
          <w:color w:val="000000"/>
        </w:rPr>
        <w:t>“</w:t>
      </w:r>
      <w:r>
        <w:rPr>
          <w:rFonts w:ascii="Times New Roman" w:hAnsi="Times New Roman"/>
          <w:b/>
          <w:i/>
          <w:color w:val="000000"/>
          <w:sz w:val="22"/>
        </w:rPr>
        <w:t>Code</w:t>
      </w:r>
      <w:r>
        <w:rPr>
          <w:rFonts w:ascii="Times New Roman" w:hAnsi="Times New Roman"/>
          <w:color w:val="000000"/>
          <w:sz w:val="20"/>
        </w:rPr>
        <w:t xml:space="preserve">” </w:t>
      </w:r>
      <w:r>
        <w:rPr>
          <w:rFonts w:ascii="Times New Roman" w:hAnsi="Times New Roman"/>
          <w:color w:val="000000"/>
          <w:sz w:val="22"/>
        </w:rPr>
        <w:t>means the U.S. Internal Revenue Code of 1986, as amended, and the regulations promulgated thereunder.</w:t>
      </w:r>
    </w:p>
    <w:p>
      <w:pPr>
        <w:pStyle w:val="TextBody"/>
        <w:bidi w:val="0"/>
        <w:spacing w:before="0" w:after="220"/>
        <w:jc w:val="both"/>
        <w:rPr/>
      </w:pPr>
      <w:r>
        <w:rPr>
          <w:color w:val="000000"/>
        </w:rPr>
        <w:t>“</w:t>
      </w:r>
      <w:r>
        <w:rPr>
          <w:rFonts w:ascii="Times New Roman" w:hAnsi="Times New Roman"/>
          <w:b/>
          <w:i/>
          <w:color w:val="000000"/>
          <w:sz w:val="22"/>
        </w:rPr>
        <w:t>Compensation Committee</w:t>
      </w:r>
      <w:r>
        <w:rPr>
          <w:rFonts w:ascii="Times New Roman" w:hAnsi="Times New Roman"/>
          <w:color w:val="000000"/>
          <w:sz w:val="20"/>
        </w:rPr>
        <w:t xml:space="preserve">” </w:t>
      </w:r>
      <w:r>
        <w:rPr>
          <w:rFonts w:ascii="Times New Roman" w:hAnsi="Times New Roman"/>
          <w:color w:val="000000"/>
          <w:sz w:val="22"/>
        </w:rPr>
        <w:t>means the Compensation Committee of the Board.</w:t>
      </w:r>
    </w:p>
    <w:p>
      <w:pPr>
        <w:pStyle w:val="TextBody"/>
        <w:bidi w:val="0"/>
        <w:spacing w:before="0" w:after="220"/>
        <w:jc w:val="both"/>
        <w:rPr/>
      </w:pPr>
      <w:r>
        <w:rPr>
          <w:color w:val="000000"/>
        </w:rPr>
        <w:t>“</w:t>
      </w:r>
      <w:r>
        <w:rPr>
          <w:rFonts w:ascii="Times New Roman" w:hAnsi="Times New Roman"/>
          <w:b/>
          <w:i/>
          <w:color w:val="000000"/>
          <w:sz w:val="22"/>
        </w:rPr>
        <w:t>Covered Officer</w:t>
      </w:r>
      <w:r>
        <w:rPr>
          <w:rFonts w:ascii="Times New Roman" w:hAnsi="Times New Roman"/>
          <w:color w:val="000000"/>
          <w:sz w:val="20"/>
        </w:rPr>
        <w:t xml:space="preserve">” </w:t>
      </w:r>
      <w:r>
        <w:rPr>
          <w:rFonts w:ascii="Times New Roman" w:hAnsi="Times New Roman"/>
          <w:color w:val="000000"/>
          <w:sz w:val="22"/>
        </w:rPr>
        <w:t>means each current and former Executive Officer.</w:t>
      </w:r>
    </w:p>
    <w:p>
      <w:pPr>
        <w:pStyle w:val="TextBody"/>
        <w:bidi w:val="0"/>
        <w:spacing w:before="0" w:after="220"/>
        <w:jc w:val="both"/>
        <w:rPr/>
      </w:pPr>
      <w:r>
        <w:rPr>
          <w:color w:val="000000"/>
        </w:rPr>
        <w:t>“</w:t>
      </w:r>
      <w:r>
        <w:rPr>
          <w:rFonts w:ascii="Times New Roman" w:hAnsi="Times New Roman"/>
          <w:b/>
          <w:i/>
          <w:color w:val="000000"/>
          <w:sz w:val="22"/>
        </w:rPr>
        <w:t>Exchange</w:t>
      </w:r>
      <w:r>
        <w:rPr>
          <w:rFonts w:ascii="Times New Roman" w:hAnsi="Times New Roman"/>
          <w:color w:val="000000"/>
          <w:sz w:val="20"/>
        </w:rPr>
        <w:t xml:space="preserve">” </w:t>
      </w:r>
      <w:r>
        <w:rPr>
          <w:rFonts w:ascii="Times New Roman" w:hAnsi="Times New Roman"/>
          <w:color w:val="000000"/>
          <w:sz w:val="22"/>
        </w:rPr>
        <w:t>means the Nasdaq Stock Market.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i/>
          <w:color w:val="000000"/>
          <w:sz w:val="22"/>
        </w:rPr>
        <w:t>Exchange Act</w:t>
      </w:r>
      <w:r>
        <w:rPr>
          <w:rFonts w:ascii="Times New Roman" w:hAnsi="Times New Roman"/>
          <w:color w:val="000000"/>
          <w:sz w:val="20"/>
        </w:rPr>
        <w:t xml:space="preserve">” </w:t>
      </w:r>
      <w:r>
        <w:rPr>
          <w:rFonts w:ascii="Times New Roman" w:hAnsi="Times New Roman"/>
          <w:color w:val="000000"/>
          <w:sz w:val="22"/>
        </w:rPr>
        <w:t>means the U.S. Securities Exchange Act of 1934, as amended.</w:t>
      </w:r>
    </w:p>
    <w:p>
      <w:pPr>
        <w:pStyle w:val="TextBody"/>
        <w:bidi w:val="0"/>
        <w:spacing w:before="0" w:after="220"/>
        <w:jc w:val="both"/>
        <w:rPr/>
      </w:pPr>
      <w:r>
        <w:rPr>
          <w:color w:val="000000"/>
        </w:rPr>
        <w:t>“</w:t>
      </w:r>
      <w:r>
        <w:rPr>
          <w:rFonts w:ascii="Times New Roman" w:hAnsi="Times New Roman"/>
          <w:b/>
          <w:i/>
          <w:color w:val="000000"/>
          <w:sz w:val="22"/>
        </w:rPr>
        <w:t>Executive Officer</w:t>
      </w:r>
      <w:r>
        <w:rPr>
          <w:rFonts w:ascii="Times New Roman" w:hAnsi="Times New Roman"/>
          <w:color w:val="000000"/>
          <w:sz w:val="20"/>
        </w:rPr>
        <w:t xml:space="preserve">” </w:t>
      </w:r>
      <w:r>
        <w:rPr>
          <w:rFonts w:ascii="Times New Roman" w:hAnsi="Times New Roman"/>
          <w:color w:val="000000"/>
          <w:sz w:val="22"/>
        </w:rPr>
        <w:t>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pStyle w:val="TextBody"/>
        <w:bidi w:val="0"/>
        <w:spacing w:before="0" w:after="220"/>
        <w:jc w:val="both"/>
        <w:rPr/>
      </w:pPr>
      <w:r>
        <w:rPr>
          <w:color w:val="000000"/>
        </w:rPr>
        <w:t>“</w:t>
      </w:r>
      <w:r>
        <w:rPr>
          <w:rFonts w:ascii="Times New Roman" w:hAnsi="Times New Roman"/>
          <w:b/>
          <w:i/>
          <w:color w:val="000000"/>
          <w:sz w:val="22"/>
        </w:rPr>
        <w:t>Financial Reporting Measures</w:t>
      </w:r>
      <w:r>
        <w:rPr>
          <w:rFonts w:ascii="Times New Roman" w:hAnsi="Times New Roman"/>
          <w:color w:val="000000"/>
          <w:sz w:val="20"/>
        </w:rPr>
        <w:t xml:space="preserve">” </w:t>
      </w:r>
      <w:r>
        <w:rPr>
          <w:rFonts w:ascii="Times New Roman" w:hAnsi="Times New Roman"/>
          <w:color w:val="000000"/>
          <w:sz w:val="22"/>
        </w:rPr>
        <w:t>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hAnsi="Times New Roman"/>
          <w:b/>
          <w:i/>
          <w:color w:val="000000"/>
          <w:sz w:val="22"/>
        </w:rPr>
        <w:t>TSR</w:t>
      </w:r>
      <w:r>
        <w:rPr>
          <w:rFonts w:ascii="Times New Roman" w:hAnsi="Times New Roman"/>
          <w:color w:val="000000"/>
          <w:sz w:val="20"/>
        </w:rPr>
        <w:t>”</w:t>
      </w:r>
      <w:r>
        <w:rPr>
          <w:rFonts w:ascii="Times New Roman" w:hAnsi="Times New Roman"/>
          <w:color w:val="000000"/>
          <w:sz w:val="22"/>
        </w:rPr>
        <w:t>). A measure need not be presented in the Company’s financial statements or included in a filing with the SEC in order to be a Financial Reporting Measure.</w:t>
      </w:r>
    </w:p>
    <w:p>
      <w:pPr>
        <w:pStyle w:val="TextBody"/>
        <w:bidi w:val="0"/>
        <w:spacing w:before="0" w:after="220"/>
        <w:jc w:val="both"/>
        <w:rPr/>
      </w:pPr>
      <w:r>
        <w:rPr>
          <w:color w:val="000000"/>
        </w:rPr>
        <w:t>“</w:t>
      </w:r>
      <w:r>
        <w:rPr>
          <w:rFonts w:ascii="Times New Roman" w:hAnsi="Times New Roman"/>
          <w:b/>
          <w:i/>
          <w:color w:val="000000"/>
          <w:sz w:val="22"/>
        </w:rPr>
        <w:t>Incentive Compensation</w:t>
      </w:r>
      <w:r>
        <w:rPr>
          <w:rFonts w:ascii="Times New Roman" w:hAnsi="Times New Roman"/>
          <w:color w:val="000000"/>
          <w:sz w:val="20"/>
        </w:rPr>
        <w:t xml:space="preserve">” </w:t>
      </w:r>
      <w:r>
        <w:rPr>
          <w:rFonts w:ascii="Times New Roman" w:hAnsi="Times New Roman"/>
          <w:color w:val="000000"/>
          <w:sz w:val="22"/>
        </w:rPr>
        <w:t>means any compensation that is granted, earned or vested based wholly or in part upon the attainment of a Financial Reporting Measure.</w:t>
      </w:r>
      <w:r>
        <w:rPr>
          <w:rFonts w:ascii="Times New Roman" w:hAnsi="Times New Roman"/>
          <w:color w:val="000000"/>
          <w:sz w:val="20"/>
        </w:rPr>
        <w:t xml:space="preserve"> </w:t>
      </w:r>
    </w:p>
    <w:p>
      <w:pPr>
        <w:pStyle w:val="TextBody"/>
        <w:bidi w:val="0"/>
        <w:spacing w:before="0" w:after="220"/>
        <w:jc w:val="both"/>
        <w:rPr/>
      </w:pPr>
      <w:r>
        <w:rPr>
          <w:color w:val="000000"/>
        </w:rPr>
        <w:t>“</w:t>
      </w:r>
      <w:r>
        <w:rPr>
          <w:rFonts w:ascii="Times New Roman" w:hAnsi="Times New Roman"/>
          <w:b/>
          <w:i/>
          <w:color w:val="000000"/>
          <w:sz w:val="22"/>
        </w:rPr>
        <w:t>Lookback Period</w:t>
      </w:r>
      <w:r>
        <w:rPr>
          <w:rFonts w:ascii="Times New Roman" w:hAnsi="Times New Roman"/>
          <w:color w:val="000000"/>
          <w:sz w:val="20"/>
        </w:rPr>
        <w:t xml:space="preserve">” </w:t>
      </w:r>
      <w:r>
        <w:rPr>
          <w:rFonts w:ascii="Times New Roman" w:hAnsi="Times New Roman"/>
          <w:color w:val="000000"/>
          <w:sz w:val="22"/>
        </w:rPr>
        <w:t>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r>
        <w:rPr>
          <w:rFonts w:ascii="Times New Roman" w:hAnsi="Times New Roman"/>
          <w:color w:val="000000"/>
          <w:sz w:val="20"/>
        </w:rPr>
        <w:t xml:space="preserve"> </w:t>
      </w:r>
    </w:p>
    <w:p>
      <w:pPr>
        <w:pStyle w:val="TextBody"/>
        <w:bidi w:val="0"/>
        <w:spacing w:before="0" w:after="220"/>
        <w:jc w:val="both"/>
        <w:rPr/>
      </w:pPr>
      <w:r>
        <w:rPr>
          <w:color w:val="000000"/>
        </w:rPr>
        <w:t>“</w:t>
      </w:r>
      <w:r>
        <w:rPr>
          <w:rFonts w:ascii="Times New Roman" w:hAnsi="Times New Roman"/>
          <w:b/>
          <w:i/>
          <w:color w:val="000000"/>
          <w:sz w:val="22"/>
        </w:rPr>
        <w:t>Recoverable Incentive Compensation</w:t>
      </w:r>
      <w:r>
        <w:rPr>
          <w:rFonts w:ascii="Times New Roman" w:hAnsi="Times New Roman"/>
          <w:color w:val="000000"/>
          <w:sz w:val="20"/>
        </w:rPr>
        <w:t xml:space="preserve">” </w:t>
      </w:r>
      <w:r>
        <w:rPr>
          <w:rFonts w:ascii="Times New Roman" w:hAnsi="Times New Roman"/>
          <w:color w:val="000000"/>
          <w:sz w:val="22"/>
        </w:rPr>
        <w:t>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hAnsi="Times New Roman"/>
          <w:i/>
          <w:color w:val="000000"/>
          <w:sz w:val="22"/>
        </w:rPr>
        <w:t>i.e.</w:t>
      </w:r>
      <w:r>
        <w:rPr>
          <w:rFonts w:ascii="Times New Roman" w:hAnsi="Times New Roman"/>
          <w:color w:val="000000"/>
          <w:sz w:val="22"/>
        </w:rPr>
        <w:t>, on a gross basis without regarding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pStyle w:val="TextBody"/>
        <w:bidi w:val="0"/>
        <w:spacing w:before="0" w:after="220"/>
        <w:jc w:val="both"/>
        <w:rPr/>
      </w:pPr>
      <w:r>
        <w:rPr>
          <w:color w:val="000000"/>
        </w:rPr>
        <w:t>“</w:t>
      </w:r>
      <w:r>
        <w:rPr>
          <w:rFonts w:ascii="Times New Roman" w:hAnsi="Times New Roman"/>
          <w:b/>
          <w:i/>
          <w:color w:val="000000"/>
          <w:sz w:val="22"/>
        </w:rPr>
        <w:t>SEC</w:t>
      </w:r>
      <w:r>
        <w:rPr>
          <w:rFonts w:ascii="Times New Roman" w:hAnsi="Times New Roman"/>
          <w:color w:val="000000"/>
          <w:sz w:val="20"/>
        </w:rPr>
        <w:t xml:space="preserve">” </w:t>
      </w:r>
      <w:r>
        <w:rPr>
          <w:rFonts w:ascii="Times New Roman" w:hAnsi="Times New Roman"/>
          <w:color w:val="000000"/>
          <w:sz w:val="22"/>
        </w:rPr>
        <w:t>means the U.S. Securities and Exchange Commission.</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4.</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Recoupment</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20"/>
        <w:jc w:val="both"/>
        <w:rPr/>
      </w:pPr>
      <w:r>
        <w:rPr>
          <w:rFonts w:ascii="Times New Roman" w:hAnsi="Times New Roman"/>
          <w:b/>
          <w:color w:val="000000"/>
          <w:sz w:val="22"/>
        </w:rPr>
        <w:t xml:space="preserve">Applicability of Policy. </w:t>
      </w:r>
      <w:r>
        <w:rPr>
          <w:rFonts w:ascii="Times New Roman" w:hAnsi="Times New Roman"/>
          <w:color w:val="000000"/>
          <w:sz w:val="22"/>
        </w:rPr>
        <w:t xml:space="preserve">This Policy applies to Incentive Compensation received by a 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20"/>
        <w:jc w:val="both"/>
        <w:rPr/>
      </w:pPr>
      <w:r>
        <w:rPr>
          <w:rFonts w:ascii="Times New Roman" w:hAnsi="Times New Roman"/>
          <w:b/>
          <w:color w:val="000000"/>
          <w:sz w:val="22"/>
        </w:rPr>
        <w:t xml:space="preserve">Recoupment Generally. </w:t>
      </w:r>
      <w:r>
        <w:rPr>
          <w:rFonts w:ascii="Times New Roman" w:hAnsi="Times New Roman"/>
          <w:color w:val="000000"/>
          <w:sz w:val="22"/>
        </w:rPr>
        <w:t xml:space="preserve">Pursuant to the provisions of this Policy, if there is an Accounting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 </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20"/>
        <w:jc w:val="both"/>
        <w:rPr/>
      </w:pPr>
      <w:r>
        <w:rPr>
          <w:rFonts w:ascii="Times New Roman" w:hAnsi="Times New Roman"/>
          <w:b/>
          <w:color w:val="000000"/>
          <w:sz w:val="22"/>
        </w:rPr>
        <w:t>Impracticability of Recovery.</w:t>
      </w:r>
      <w:r>
        <w:rPr>
          <w:color w:val="000000"/>
        </w:rPr>
        <w:t xml:space="preserve"> </w:t>
      </w:r>
      <w:r>
        <w:rPr>
          <w:rFonts w:ascii="Times New Roman" w:hAnsi="Times New Roman"/>
          <w:color w:val="000000"/>
          <w:sz w:val="22"/>
        </w:rPr>
        <w:t>Recoupment may be determined to be impracticable if, and only if:</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20"/>
        <w:jc w:val="both"/>
        <w:rPr/>
      </w:pPr>
      <w:r>
        <w:rPr>
          <w:rFonts w:ascii="Times New Roman" w:hAnsi="Times New Roman"/>
          <w:b/>
          <w:color w:val="000000"/>
          <w:sz w:val="22"/>
        </w:rPr>
        <w:t>Sources of Recoupment.</w:t>
      </w:r>
      <w:r>
        <w:rPr>
          <w:color w:val="000000"/>
        </w:rPr>
        <w:t xml:space="preserve"> </w:t>
      </w:r>
      <w:r>
        <w:rPr>
          <w:rFonts w:ascii="Times New Roman" w:hAnsi="Times New Roman"/>
          <w:color w:val="000000"/>
          <w:sz w:val="22"/>
        </w:rPr>
        <w:t xml:space="preserve">To the extent permitted by applicable law, the Administrator shall, in its sole discretion, determine the timing and method for recouping Recoverable Incentive Compensation hereunder, provided that such recoupment is undertaken reasonably promptly. The Administrator may, in its discretion, seek recoupment from a Covered Officer from any source of compensation, whether the applicable compensation was approved, awarded, granted, payable or paid to the Covered Officer prior to, on or after the Effective Date.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hAnsi="Times New Roman"/>
          <w:i/>
          <w:color w:val="000000"/>
          <w:sz w:val="22"/>
        </w:rPr>
        <w:t>e.g.</w:t>
      </w:r>
      <w:r>
        <w:rPr>
          <w:rFonts w:ascii="Times New Roman" w:hAnsi="Times New Roman"/>
          <w:color w:val="000000"/>
          <w:sz w:val="22"/>
        </w:rPr>
        <w:t>, base salary, bonuses or commissions and compensation previously deferred by the Covered Officer. The Administrator need not utilize the same method of recovery for all Covered Officers or with respect to all types of Recoverable Incentive Compensation.</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20"/>
        <w:jc w:val="both"/>
        <w:rPr/>
      </w:pPr>
      <w:r>
        <w:rPr>
          <w:rFonts w:ascii="Times New Roman" w:hAnsi="Times New Roman"/>
          <w:b/>
          <w:color w:val="000000"/>
          <w:sz w:val="22"/>
        </w:rPr>
        <w:t>No Indemnification of Covered Officers.</w:t>
      </w:r>
      <w:r>
        <w:rPr>
          <w:color w:val="000000"/>
        </w:rPr>
        <w:t xml:space="preserve"> </w:t>
      </w:r>
      <w:r>
        <w:rPr>
          <w:rFonts w:ascii="Times New Roman" w:hAnsi="Times New Roman"/>
          <w:color w:val="000000"/>
          <w:sz w:val="22"/>
        </w:rPr>
        <w:t>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(f)</w:t>
      </w:r>
    </w:p>
    <w:p>
      <w:pPr>
        <w:pStyle w:val="TextBody"/>
        <w:bidi w:val="0"/>
        <w:spacing w:before="0" w:after="220"/>
        <w:jc w:val="both"/>
        <w:rPr/>
      </w:pPr>
      <w:r>
        <w:rPr>
          <w:rFonts w:ascii="Times New Roman" w:hAnsi="Times New Roman"/>
          <w:b/>
          <w:color w:val="000000"/>
          <w:sz w:val="22"/>
        </w:rPr>
        <w:t>Indemnification of Administrator.</w:t>
      </w:r>
      <w:r>
        <w:rPr>
          <w:color w:val="000000"/>
        </w:rPr>
        <w:t xml:space="preserve"> </w:t>
      </w:r>
      <w:r>
        <w:rPr>
          <w:rFonts w:ascii="Times New Roman" w:hAnsi="Times New Roman"/>
          <w:color w:val="000000"/>
          <w:sz w:val="22"/>
        </w:rPr>
        <w:t>Any members of the Administrator, and any other members of the Board who assist in the 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5.</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Administration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6.</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Severability</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7.</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No Impairment of Other Remedies</w:t>
      </w:r>
    </w:p>
    <w:p>
      <w:pPr>
        <w:pStyle w:val="TextBody"/>
        <w:bidi w:val="0"/>
        <w:spacing w:before="0" w:after="220"/>
        <w:jc w:val="both"/>
        <w:rPr>
          <w:rFonts w:ascii="Times New Roman" w:hAnsi="Times New Roman"/>
          <w:sz w:val="20"/>
        </w:rPr>
      </w:pPr>
      <w:r>
        <w:rPr>
          <w:rFonts w:ascii="Times New Roman" w:hAnsi="Times New Roman"/>
          <w:color w:val="000000"/>
          <w:sz w:val="22"/>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 w:hAnsi="Times New Roman"/>
          <w:b/>
          <w:i/>
          <w:color w:val="000000"/>
          <w:sz w:val="22"/>
        </w:rPr>
        <w:t>SOX 304</w:t>
      </w:r>
      <w:r>
        <w:rPr>
          <w:rFonts w:ascii="Times New Roman" w:hAnsi="Times New Roman"/>
          <w:color w:val="000000"/>
          <w:sz w:val="20"/>
        </w:rPr>
        <w:t>”</w:t>
      </w:r>
      <w:r>
        <w:rPr>
          <w:rFonts w:ascii="Times New Roman" w:hAnsi="Times New Roman"/>
          <w:color w:val="000000"/>
          <w:sz w:val="22"/>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8.</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Amendment; Termination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9.</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Successors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This Policy shall be binding and enforceable against all Covered Officers and, to the extent required by Rule 10D-1 and/or the applicable Listing Standards, their beneficiaries, heirs, executors, administrators or other legal representatives.</w:t>
      </w:r>
    </w:p>
    <w:p>
      <w:pPr>
        <w:pStyle w:val="TextBody"/>
        <w:bidi w:val="0"/>
        <w:spacing w:before="0" w:after="22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sz w:val="20"/>
        </w:rPr>
      </w:pPr>
      <w:r>
        <w:rPr>
          <w:rFonts w:ascii="Times New Roman" w:hAnsi="Times New Roman"/>
          <w:b/>
          <w:color w:val="000000"/>
          <w:sz w:val="22"/>
        </w:rPr>
        <w:t xml:space="preserve">10. </w:t>
      </w:r>
      <w:r>
        <w:rPr>
          <w:rFonts w:ascii="Times New Roman" w:hAnsi="Times New Roman"/>
          <w:b/>
          <w:smallCaps/>
          <w:color w:val="000000"/>
          <w:sz w:val="22"/>
        </w:rPr>
        <w:t>Required Filings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Company shall make any disclosures and filings with respect to this Policy that are required by law, including as required by the SEC.</w:t>
      </w:r>
    </w:p>
    <w:p>
      <w:pPr>
        <w:pStyle w:val="TextBody"/>
        <w:bidi w:val="0"/>
        <w:spacing w:before="0" w:after="220"/>
        <w:jc w:val="center"/>
        <w:rPr>
          <w:rFonts w:ascii="Times New Roman" w:hAnsi="Times New Roman"/>
          <w:color w:val="000000"/>
          <w:sz w:val="22"/>
        </w:rPr>
      </w:pPr>
      <w:r>
        <w:rPr>
          <w:rFonts w:ascii="Times New Roman" w:hAnsi="Times New Roman"/>
          <w:color w:val="000000"/>
          <w:sz w:val="22"/>
        </w:rPr>
        <w:t>* * * *</w:t>
      </w:r>
    </w:p>
    <w:p>
      <w:pPr>
        <w:pStyle w:val="TextBody"/>
        <w:bidi w:val="0"/>
        <w:spacing w:before="0" w:after="22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468748/000156459018029743/kod-ex31_303.htm" TargetMode="External"/><Relationship Id="rId3" Type="http://schemas.openxmlformats.org/officeDocument/2006/relationships/hyperlink" Target="https://www.sec.gov/Archives/edgar/data/0001468748/000156459018029743/kod-ex31_303.htm" TargetMode="External"/><Relationship Id="rId4" Type="http://schemas.openxmlformats.org/officeDocument/2006/relationships/hyperlink" Target="https://www.sec.gov/Archives/edgar/data/0001468748/000156459018029743/kod-ex32_302.htm" TargetMode="External"/><Relationship Id="rId5" Type="http://schemas.openxmlformats.org/officeDocument/2006/relationships/hyperlink" Target="https://www.sec.gov/Archives/edgar/data/0001468748/000119312518280419/d516071dex41.htm" TargetMode="External"/><Relationship Id="rId6" Type="http://schemas.openxmlformats.org/officeDocument/2006/relationships/hyperlink" Target="https://www.sec.gov/Archives/edgar/data/0001468748/000119312518280419/d516071dex42.htm" TargetMode="External"/><Relationship Id="rId7" Type="http://schemas.openxmlformats.org/officeDocument/2006/relationships/hyperlink" Target="https://www.sec.gov/Archives/edgar/data/0001468748/000119312518269221/d516071dex45.htm" TargetMode="External"/><Relationship Id="rId8" Type="http://schemas.openxmlformats.org/officeDocument/2006/relationships/hyperlink" Target="https://www.sec.gov/Archives/edgar/data/1468748/000156459020011186/kod-ex46_599.htm" TargetMode="External"/><Relationship Id="rId9" Type="http://schemas.openxmlformats.org/officeDocument/2006/relationships/hyperlink" Target="https://www.sec.gov/Archives/edgar/data/1468748/000156459021009946/kod-ex47_8.htm" TargetMode="External"/><Relationship Id="rId10" Type="http://schemas.openxmlformats.org/officeDocument/2006/relationships/hyperlink" Target="https://www.sec.gov/Archives/edgar/data/0001468748/000119312518280419/d516071dex101.htm" TargetMode="External"/><Relationship Id="rId11" Type="http://schemas.openxmlformats.org/officeDocument/2006/relationships/hyperlink" Target="https://www.sec.gov/Archives/edgar/data/0001468748/000119312518269221/d516071dex102.htm" TargetMode="External"/><Relationship Id="rId12" Type="http://schemas.openxmlformats.org/officeDocument/2006/relationships/hyperlink" Target="https://www.sec.gov/Archives/edgar/data/0001468748/000119312518269221/d516071dex103.htm" TargetMode="External"/><Relationship Id="rId13" Type="http://schemas.openxmlformats.org/officeDocument/2006/relationships/hyperlink" Target="https://www.sec.gov/Archives/edgar/data/0001468748/000119312518269221/d516071dex104.htm" TargetMode="External"/><Relationship Id="rId14" Type="http://schemas.openxmlformats.org/officeDocument/2006/relationships/hyperlink" Target="https://www.sec.gov/Archives/edgar/data/0001468748/000119312518269221/d516071dex105.htm" TargetMode="External"/><Relationship Id="rId15" Type="http://schemas.openxmlformats.org/officeDocument/2006/relationships/hyperlink" Target="https://www.sec.gov/Archives/edgar/data/0001468748/000119312518280419/d516071dex106.htm" TargetMode="External"/><Relationship Id="rId16" Type="http://schemas.openxmlformats.org/officeDocument/2006/relationships/hyperlink" Target="https://www.sec.gov/Archives/edgar/data/0001468748/000119312518280419/d516071dex107.htm" TargetMode="External"/><Relationship Id="rId17" Type="http://schemas.openxmlformats.org/officeDocument/2006/relationships/hyperlink" Target="https://www.sec.gov/Archives/edgar/data/0001468748/000119312518280419/d516071dex108.htm" TargetMode="External"/><Relationship Id="rId18" Type="http://schemas.openxmlformats.org/officeDocument/2006/relationships/hyperlink" Target="https://www.sec.gov/Archives/edgar/data/0001468748/000119312518280419/d516071dex109.htm" TargetMode="External"/><Relationship Id="rId19" Type="http://schemas.openxmlformats.org/officeDocument/2006/relationships/hyperlink" Target="https://www.sec.gov/Archives/edgar/data/0001468748/000119312518280419/d516071dex1010.htm" TargetMode="External"/><Relationship Id="rId20" Type="http://schemas.openxmlformats.org/officeDocument/2006/relationships/hyperlink" Target="https://www.sec.gov/Archives/edgar/data/0001468748/000119312518280419/d516071dex1011.htm" TargetMode="External"/><Relationship Id="rId21" Type="http://schemas.openxmlformats.org/officeDocument/2006/relationships/hyperlink" Target="https://www.sec.gov/Archives/edgar/data/0001468748/000119312518280419/d516071dex1012.htm" TargetMode="External"/><Relationship Id="rId22" Type="http://schemas.openxmlformats.org/officeDocument/2006/relationships/hyperlink" Target="https://www.sec.gov/Archives/edgar/data/0001468748/000119312518280419/d516071dex1014.htm" TargetMode="External"/><Relationship Id="rId23" Type="http://schemas.openxmlformats.org/officeDocument/2006/relationships/hyperlink" Target="https://www.sec.gov/Archives/edgar/data/0001468748/000119312518280419/d516071dex1015.htm" TargetMode="External"/><Relationship Id="rId24" Type="http://schemas.openxmlformats.org/officeDocument/2006/relationships/hyperlink" Target="https://www.sec.gov/Archives/edgar/data/1468748/000095017022002555/kod-ex10_16.htm" TargetMode="External"/><Relationship Id="rId25" Type="http://schemas.openxmlformats.org/officeDocument/2006/relationships/hyperlink" Target="https://www.sec.gov/Archives/edgar/data/0001468748/000119312519303683/d814017dex101.htm" TargetMode="External"/><Relationship Id="rId26" Type="http://schemas.openxmlformats.org/officeDocument/2006/relationships/hyperlink" Target="https://www.sec.gov/Archives/edgar/data/1468748/000156459020038897/kod-ex101_1339.htm" TargetMode="External"/><Relationship Id="rId27" Type="http://schemas.openxmlformats.org/officeDocument/2006/relationships/hyperlink" Target="https://www.sec.gov/Archives/edgar/data/1468748/000156459020038897/kod-ex102_1338.htm" TargetMode="External"/><Relationship Id="rId28" Type="http://schemas.openxmlformats.org/officeDocument/2006/relationships/hyperlink" Target="https://www.sec.gov/Archives/edgar/data/0001468748/000119312520296971/d61630dex11.htm" TargetMode="External"/><Relationship Id="rId29" Type="http://schemas.openxmlformats.org/officeDocument/2006/relationships/hyperlink" Target="https://www.sec.gov/Archives/edgar/data/0001468748/000095017021000510/kod-20210721ex10_1.htm" TargetMode="External"/><Relationship Id="rId30" Type="http://schemas.openxmlformats.org/officeDocument/2006/relationships/hyperlink" Target="https://www.sec.gov/Archives/edgar/data/1468748/000095017021003800/kod-ex10_1.htm"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79404</Words>
  <Characters>448725</Characters>
  <CharactersWithSpaces>528969</CharactersWithSpaces>
  <Paragraphs>6927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