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22026_090730.xml.htm"/>
      <w:bookmarkStart w:id="1" w:name="ksform407022026_0907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Levy Richard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PAGE MILL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Kodiak Sciences Inc.</w:t>
              </w:r>
            </w:hyperlink>
            <w:r>
              <w:rPr/>
              <w:t xml:space="preserve"> [ </w:t>
            </w:r>
            <w:r>
              <w:rPr>
                <w:rFonts w:ascii="Times;serif" w:hAnsi="Times;serif"/>
                <w:color w:val="0000FF"/>
                <w:sz w:val="24"/>
                <w:shd w:fill="FFFFFF" w:val="clear"/>
              </w:rPr>
              <w:t>KOD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hundred percent (100%) of the shares subject to the option shall vest upon the earlier of June 30, 2027 or one (1) day prior to the Issuer's next annual meeting occurring after the grant date, in each case, provided the Reporting Person continues to serve as a member of the Issuer's board of directors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Peinsipp, Attorney-in-Fact for Richard Levy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4983" TargetMode="External"/><Relationship Id="rId5" Type="http://schemas.openxmlformats.org/officeDocument/2006/relationships/hyperlink" Target="http://www.sec.gov/cgi-bin/browse-edgar?action=getcompany&amp;CIK=00014687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3369</Characters>
  <CharactersWithSpaces>3938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