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110909.xml.htm"/>
      <w:bookmarkStart w:id="1" w:name="ksform409292026_1109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PERLROTH VICTOR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PAGE MILL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Kodiak Sciences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5.38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2,995,538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365,840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2.49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3,361,378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314,684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3.95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3,676,062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365,840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365,840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314,684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07/03/2035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314,684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are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One-forty-eighth (1/48th) of the shares vest one month after July 1, 2024; the balance of the shares vest in a series of forty-seven (47) successive equal monthly installments thereafter, subject to the Reporting Person's Continuous Service (as defined in the 2018 Equity Incentive Plan) as of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One-forty-eighth (1/48th) of the shares vest one month after July 1, 2025; the balance of the shares vest in a series of forty-seven (47) successive equal monthly installments thereafter, subject to the Reporting Person's Continuous Service (as defined in the 2018 Equity Incentive Plan) as of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Peinsipp, Attorney-in-Fact for Victor Perlroth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181" TargetMode="External"/><Relationship Id="rId5" Type="http://schemas.openxmlformats.org/officeDocument/2006/relationships/hyperlink" Target="http://www.sec.gov/cgi-bin/browse-edgar?action=getcompany&amp;CIK=00014687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744</Words>
  <Characters>3988</Characters>
  <CharactersWithSpaces>4611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