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80728.xml.htm"/>
      <w:bookmarkStart w:id="1" w:name="ksform407172026_0807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PERLROTH VICTOR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PAGE MILL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Kodiak Sciences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One-forty-eighth (1/48th) of the shares vest one month after July 1, 2026; the balance of the shares vest in a series of forty-seven (47) successive equal monthly installments thereafter, subject to the Reporting Person's Continuous Service (as defined in the 2018 Equity Incentive Plan) as of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Peinsipp, Attorney-in-Fact for Victor Perlroth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181" TargetMode="External"/><Relationship Id="rId5" Type="http://schemas.openxmlformats.org/officeDocument/2006/relationships/hyperlink" Target="http://www.sec.gov/cgi-bin/browse-edgar?action=getcompany&amp;CIK=00014687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3371</Characters>
  <CharactersWithSpaces>3931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