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210820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226695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89535</wp:posOffset>
            </wp:positionV>
            <wp:extent cx="1022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93345</wp:posOffset>
            </wp:positionV>
            <wp:extent cx="1022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8" w:lineRule="exact"/>
        <w:rPr>
          <w:sz w:val="24"/>
          <w:szCs w:val="24"/>
          <w:color w:val="auto"/>
        </w:rPr>
      </w:pPr>
    </w:p>
    <w:p>
      <w:pPr>
        <w:ind w:left="540" w:hanging="538"/>
        <w:spacing w:after="0"/>
        <w:tabs>
          <w:tab w:leader="none" w:pos="5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44" w:lineRule="exact"/>
        <w:rPr>
          <w:rFonts w:ascii="MS PGothic" w:cs="MS PGothic" w:eastAsia="MS PGothic" w:hAnsi="MS PGothic"/>
          <w:sz w:val="15"/>
          <w:szCs w:val="15"/>
          <w:color w:val="auto"/>
        </w:rPr>
      </w:pPr>
    </w:p>
    <w:p>
      <w:pPr>
        <w:ind w:left="4340"/>
        <w:spacing w:after="0"/>
        <w:rPr>
          <w:rFonts w:ascii="MS PGothic" w:cs="MS PGothic" w:eastAsia="MS PGothic" w:hAnsi="MS PGothic"/>
          <w:sz w:val="15"/>
          <w:szCs w:val="15"/>
          <w:color w:val="auto"/>
        </w:rPr>
      </w:pPr>
      <w:r>
        <w:rPr>
          <w:rFonts w:ascii="Times New Roman" w:cs="Times New Roman" w:eastAsia="Times New Roman" w:hAnsi="Times New Roman"/>
          <w:sz w:val="14"/>
          <w:szCs w:val="14"/>
          <w:b w:val="1"/>
          <w:bCs w:val="1"/>
          <w:color w:val="auto"/>
        </w:rPr>
        <w:t>For the fiscal year ended December 31, 2020</w:t>
      </w:r>
    </w:p>
    <w:p>
      <w:pPr>
        <w:spacing w:after="0" w:line="18"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Times New Roman" w:cs="Times New Roman" w:eastAsia="Times New Roman" w:hAnsi="Times New Roman"/>
          <w:sz w:val="14"/>
          <w:szCs w:val="14"/>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-332105</wp:posOffset>
            </wp:positionV>
            <wp:extent cx="73660" cy="74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6" w:lineRule="exact"/>
        <w:rPr>
          <w:sz w:val="24"/>
          <w:szCs w:val="24"/>
          <w:color w:val="auto"/>
        </w:rPr>
      </w:pPr>
    </w:p>
    <w:p>
      <w:pPr>
        <w:ind w:left="540" w:hanging="538"/>
        <w:spacing w:after="0"/>
        <w:tabs>
          <w:tab w:leader="none" w:pos="54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3660" cy="74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2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74930</wp:posOffset>
            </wp:positionV>
            <wp:extent cx="1022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KODIAK SCIENCES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72390</wp:posOffset>
            </wp:positionV>
            <wp:extent cx="1022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p>
      <w:pPr>
        <w:spacing w:after="0" w:line="25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27-0476525</w:t>
      </w:r>
    </w:p>
    <w:p>
      <w:pPr>
        <w:spacing w:after="0" w:line="45" w:lineRule="exact"/>
        <w:rPr>
          <w:sz w:val="24"/>
          <w:szCs w:val="24"/>
          <w:color w:val="auto"/>
        </w:rPr>
      </w:pPr>
    </w:p>
    <w:p>
      <w:pPr>
        <w:sectPr>
          <w:pgSz w:w="11900" w:h="16838" w:orient="portrait"/>
          <w:cols w:equalWidth="0" w:num="2">
            <w:col w:w="7400" w:space="720"/>
            <w:col w:w="3120"/>
          </w:cols>
          <w:pgMar w:left="320" w:top="457"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30" w:lineRule="exact"/>
        <w:rPr>
          <w:sz w:val="24"/>
          <w:szCs w:val="24"/>
          <w:color w:val="auto"/>
        </w:rPr>
      </w:pPr>
    </w:p>
    <w:p>
      <w:pPr>
        <w:sectPr>
          <w:pgSz w:w="11900" w:h="16838" w:orient="portrait"/>
          <w:cols w:equalWidth="0" w:num="2">
            <w:col w:w="7260" w:space="720"/>
            <w:col w:w="3260"/>
          </w:cols>
          <w:pgMar w:left="320" w:top="457" w:right="33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1200 Page Mill Road</w:t>
      </w:r>
    </w:p>
    <w:p>
      <w:pPr>
        <w:spacing w:after="0" w:line="4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Palo Alto, CA</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94304</w:t>
      </w:r>
    </w:p>
    <w:p>
      <w:pPr>
        <w:spacing w:after="0" w:line="45" w:lineRule="exact"/>
        <w:rPr>
          <w:sz w:val="24"/>
          <w:szCs w:val="24"/>
          <w:color w:val="auto"/>
        </w:rPr>
      </w:pPr>
    </w:p>
    <w:p>
      <w:pPr>
        <w:sectPr>
          <w:pgSz w:w="11900" w:h="16838" w:orient="portrait"/>
          <w:cols w:equalWidth="0" w:num="2">
            <w:col w:w="7560" w:space="720"/>
            <w:col w:w="2960"/>
          </w:cols>
          <w:pgMar w:left="320" w:top="457"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4" w:lineRule="exact"/>
        <w:rPr>
          <w:sz w:val="24"/>
          <w:szCs w:val="24"/>
          <w:color w:val="auto"/>
        </w:rPr>
      </w:pPr>
    </w:p>
    <w:p>
      <w:pPr>
        <w:sectPr>
          <w:pgSz w:w="11900" w:h="16838" w:orient="portrait"/>
          <w:cols w:equalWidth="0" w:num="2">
            <w:col w:w="7460" w:space="720"/>
            <w:col w:w="3060"/>
          </w:cols>
          <w:pgMar w:left="320" w:top="457" w:right="339" w:bottom="1440" w:gutter="0" w:footer="0" w:header="0"/>
          <w:type w:val="continuous"/>
        </w:sectPr>
      </w:pPr>
    </w:p>
    <w:p>
      <w:pPr>
        <w:ind w:left="36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(650) 281-0850</w:t>
      </w:r>
    </w:p>
    <w:p>
      <w:pPr>
        <w:spacing w:after="0" w:line="10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p>
      <w:pPr>
        <w:ind w:left="1740"/>
        <w:spacing w:after="0"/>
        <w:tabs>
          <w:tab w:leader="none" w:pos="50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2"/>
          <w:szCs w:val="12"/>
          <w:b w:val="1"/>
          <w:bCs w:val="1"/>
          <w:color w:val="auto"/>
        </w:rPr>
        <w:t>Trading Symbol(s)</w:t>
      </w:r>
    </w:p>
    <w:p>
      <w:pPr>
        <w:ind w:left="1320"/>
        <w:spacing w:after="0"/>
        <w:tabs>
          <w:tab w:leader="none" w:pos="5460" w:val="left"/>
        </w:tabs>
        <w:rPr>
          <w:sz w:val="20"/>
          <w:szCs w:val="20"/>
          <w:color w:val="auto"/>
        </w:rPr>
      </w:pPr>
      <w:r>
        <w:rPr>
          <w:rFonts w:ascii="Times New Roman" w:cs="Times New Roman" w:eastAsia="Times New Roman" w:hAnsi="Times New Roman"/>
          <w:sz w:val="14"/>
          <w:szCs w:val="14"/>
          <w:color w:val="auto"/>
        </w:rPr>
        <w:t>Common stock, par value $0.0001</w:t>
      </w:r>
      <w:r>
        <w:rPr>
          <w:sz w:val="20"/>
          <w:szCs w:val="20"/>
          <w:color w:val="auto"/>
        </w:rPr>
        <w:tab/>
      </w:r>
      <w:r>
        <w:rPr>
          <w:rFonts w:ascii="Times New Roman" w:cs="Times New Roman" w:eastAsia="Times New Roman" w:hAnsi="Times New Roman"/>
          <w:sz w:val="12"/>
          <w:szCs w:val="12"/>
          <w:color w:val="auto"/>
        </w:rPr>
        <w:t>KOD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1" w:lineRule="exact"/>
        <w:rPr>
          <w:sz w:val="24"/>
          <w:szCs w:val="24"/>
          <w:color w:val="auto"/>
        </w:rPr>
      </w:pPr>
    </w:p>
    <w:p>
      <w:pPr>
        <w:sectPr>
          <w:pgSz w:w="11900" w:h="16838" w:orient="portrait"/>
          <w:cols w:equalWidth="0" w:num="2">
            <w:col w:w="7580" w:space="160"/>
            <w:col w:w="3500"/>
          </w:cols>
          <w:pgMar w:left="320" w:top="45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83185</wp:posOffset>
            </wp:positionV>
            <wp:extent cx="1022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19" w:lineRule="exact"/>
        <w:rPr>
          <w:sz w:val="24"/>
          <w:szCs w:val="24"/>
          <w:color w:val="auto"/>
        </w:rPr>
      </w:pPr>
    </w:p>
    <w:p>
      <w:pPr>
        <w:ind w:left="400" w:right="3580"/>
        <w:spacing w:after="0" w:line="21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80" w:firstLine="401"/>
        <w:spacing w:after="0" w:line="17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00" w:firstLine="401"/>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401"/>
        <w:spacing w:after="0" w:line="23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8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ind w:right="200" w:firstLine="401"/>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401"/>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140" w:firstLine="401"/>
        <w:spacing w:after="0" w:line="226"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a share of the registrant’s common stock on June 30, 2020 as reported by the Nasdaq Global Market on such date, was approximately $1.6 billion.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As of February 19, 2021, the registrant had 51,162,424 shares of common stock, $0.0001 par value per share, outstanding.</w:t>
      </w:r>
    </w:p>
    <w:p>
      <w:pPr>
        <w:spacing w:after="0" w:line="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1" w:lineRule="exact"/>
        <w:rPr>
          <w:sz w:val="24"/>
          <w:szCs w:val="24"/>
          <w:color w:val="auto"/>
        </w:rPr>
      </w:pPr>
    </w:p>
    <w:p>
      <w:pPr>
        <w:ind w:right="40" w:firstLine="401"/>
        <w:spacing w:after="0" w:line="235"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2021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139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88900</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71399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 for the Fiscal Year Ended December 31, 2020</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36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6"/>
        </w:trPr>
        <w:tc>
          <w:tcPr>
            <w:tcW w:w="960" w:type="dxa"/>
            <w:vAlign w:val="bottom"/>
            <w:vMerge w:val="continue"/>
          </w:tcPr>
          <w:p>
            <w:pPr>
              <w:spacing w:after="0"/>
              <w:rPr>
                <w:sz w:val="17"/>
                <w:szCs w:val="17"/>
                <w:color w:val="auto"/>
              </w:rPr>
            </w:pPr>
          </w:p>
        </w:tc>
        <w:tc>
          <w:tcPr>
            <w:tcW w:w="9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Business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72">
              <w:r>
                <w:rPr>
                  <w:rFonts w:ascii="Times New Roman" w:cs="Times New Roman" w:eastAsia="Times New Roman" w:hAnsi="Times New Roman"/>
                  <w:sz w:val="17"/>
                  <w:szCs w:val="17"/>
                  <w:u w:val="single" w:color="auto"/>
                  <w:color w:val="0000EE"/>
                </w:rPr>
                <w:t>Risk Factors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2">
              <w:r>
                <w:rPr>
                  <w:rFonts w:ascii="Times New Roman" w:cs="Times New Roman" w:eastAsia="Times New Roman" w:hAnsi="Times New Roman"/>
                  <w:sz w:val="17"/>
                  <w:szCs w:val="17"/>
                  <w:u w:val="single" w:color="auto"/>
                  <w:color w:val="0000EE"/>
                </w:rPr>
                <w:t>Unresolved Staff Comments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2">
              <w:r>
                <w:rPr>
                  <w:rFonts w:ascii="Times New Roman" w:cs="Times New Roman" w:eastAsia="Times New Roman" w:hAnsi="Times New Roman"/>
                  <w:sz w:val="17"/>
                  <w:szCs w:val="17"/>
                  <w:u w:val="single" w:color="auto"/>
                  <w:color w:val="0000EE"/>
                </w:rPr>
                <w:t>Properties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2">
              <w:r>
                <w:rPr>
                  <w:rFonts w:ascii="Times New Roman" w:cs="Times New Roman" w:eastAsia="Times New Roman" w:hAnsi="Times New Roman"/>
                  <w:sz w:val="17"/>
                  <w:szCs w:val="17"/>
                  <w:u w:val="single" w:color="auto"/>
                  <w:color w:val="0000EE"/>
                </w:rPr>
                <w:t>Legal Proceedings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2">
              <w:r>
                <w:rPr>
                  <w:rFonts w:ascii="Times New Roman" w:cs="Times New Roman" w:eastAsia="Times New Roman" w:hAnsi="Times New Roman"/>
                  <w:sz w:val="17"/>
                  <w:szCs w:val="17"/>
                  <w:u w:val="single" w:color="auto"/>
                  <w:color w:val="0000EE"/>
                </w:rPr>
                <w:t>Mine Safety Disclosures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3">
              <w:r>
                <w:rPr>
                  <w:rFonts w:ascii="Times New Roman" w:cs="Times New Roman" w:eastAsia="Times New Roman" w:hAnsi="Times New Roman"/>
                  <w:sz w:val="17"/>
                  <w:szCs w:val="17"/>
                  <w:u w:val="single" w:color="auto"/>
                  <w:color w:val="0000EE"/>
                </w:rPr>
                <w:t>Market for Registrant’s Common Equity, Related Stockholders Matters and Issuer Purchases of Equity Securities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4">
              <w:r>
                <w:rPr>
                  <w:rFonts w:ascii="Times New Roman" w:cs="Times New Roman" w:eastAsia="Times New Roman" w:hAnsi="Times New Roman"/>
                  <w:sz w:val="17"/>
                  <w:szCs w:val="17"/>
                  <w:u w:val="single" w:color="auto"/>
                  <w:color w:val="0000EE"/>
                </w:rPr>
                <w:t>Selected Consolidated Financial Data</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15">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23">
              <w:r>
                <w:rPr>
                  <w:rFonts w:ascii="Times New Roman" w:cs="Times New Roman" w:eastAsia="Times New Roman" w:hAnsi="Times New Roman"/>
                  <w:sz w:val="17"/>
                  <w:szCs w:val="17"/>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24">
              <w:r>
                <w:rPr>
                  <w:rFonts w:ascii="Times New Roman" w:cs="Times New Roman" w:eastAsia="Times New Roman" w:hAnsi="Times New Roman"/>
                  <w:sz w:val="17"/>
                  <w:szCs w:val="17"/>
                  <w:u w:val="single" w:color="auto"/>
                  <w:color w:val="0000EE"/>
                </w:rPr>
                <w:t>Financial Statements and Supplementary Data</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0">
              <w:r>
                <w:rPr>
                  <w:rFonts w:ascii="Times New Roman" w:cs="Times New Roman" w:eastAsia="Times New Roman" w:hAnsi="Times New Roman"/>
                  <w:sz w:val="17"/>
                  <w:szCs w:val="17"/>
                  <w:u w:val="single" w:color="auto"/>
                  <w:color w:val="0000EE"/>
                </w:rPr>
                <w:t>Changes in and Disagreements with Accountants on Accounting and Financial Disclosures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0">
              <w:r>
                <w:rPr>
                  <w:rFonts w:ascii="Times New Roman" w:cs="Times New Roman" w:eastAsia="Times New Roman" w:hAnsi="Times New Roman"/>
                  <w:sz w:val="17"/>
                  <w:szCs w:val="17"/>
                  <w:u w:val="single" w:color="auto"/>
                  <w:color w:val="0000EE"/>
                </w:rPr>
                <w:t>Controls and Procedures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0">
              <w:r>
                <w:rPr>
                  <w:rFonts w:ascii="Times New Roman" w:cs="Times New Roman" w:eastAsia="Times New Roman" w:hAnsi="Times New Roman"/>
                  <w:sz w:val="17"/>
                  <w:szCs w:val="17"/>
                  <w:u w:val="single" w:color="auto"/>
                  <w:color w:val="0000EE"/>
                </w:rPr>
                <w:t>Other Information</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9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1">
              <w:r>
                <w:rPr>
                  <w:rFonts w:ascii="Times New Roman" w:cs="Times New Roman" w:eastAsia="Times New Roman" w:hAnsi="Times New Roman"/>
                  <w:sz w:val="17"/>
                  <w:szCs w:val="17"/>
                  <w:u w:val="single" w:color="auto"/>
                  <w:color w:val="0000EE"/>
                </w:rPr>
                <w:t>Directors, Executive Officers and Corporate Governance</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1">
              <w:r>
                <w:rPr>
                  <w:rFonts w:ascii="Times New Roman" w:cs="Times New Roman" w:eastAsia="Times New Roman" w:hAnsi="Times New Roman"/>
                  <w:sz w:val="17"/>
                  <w:szCs w:val="17"/>
                  <w:u w:val="single" w:color="auto"/>
                  <w:color w:val="0000EE"/>
                </w:rPr>
                <w:t>Executive Compensation</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1">
              <w:r>
                <w:rPr>
                  <w:rFonts w:ascii="Times New Roman" w:cs="Times New Roman" w:eastAsia="Times New Roman" w:hAnsi="Times New Roman"/>
                  <w:sz w:val="17"/>
                  <w:szCs w:val="17"/>
                  <w:u w:val="single" w:color="auto"/>
                  <w:color w:val="0000EE"/>
                </w:rPr>
                <w:t>Security Ownership of Certain Beneficial Owners and Management and Related Stockholders Matters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1">
              <w:r>
                <w:rPr>
                  <w:rFonts w:ascii="Times New Roman" w:cs="Times New Roman" w:eastAsia="Times New Roman" w:hAnsi="Times New Roman"/>
                  <w:sz w:val="17"/>
                  <w:szCs w:val="17"/>
                  <w:u w:val="single" w:color="auto"/>
                  <w:color w:val="0000EE"/>
                </w:rPr>
                <w:t>Certain Relationships and Related Party Transactions, and Director Independence</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1">
              <w:r>
                <w:rPr>
                  <w:rFonts w:ascii="Times New Roman" w:cs="Times New Roman" w:eastAsia="Times New Roman" w:hAnsi="Times New Roman"/>
                  <w:sz w:val="17"/>
                  <w:szCs w:val="17"/>
                  <w:u w:val="single" w:color="auto"/>
                  <w:color w:val="0000EE"/>
                </w:rPr>
                <w:t>Principal Accounting Fees and Services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9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15.</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2">
              <w:r>
                <w:rPr>
                  <w:rFonts w:ascii="Times New Roman" w:cs="Times New Roman" w:eastAsia="Times New Roman" w:hAnsi="Times New Roman"/>
                  <w:sz w:val="17"/>
                  <w:szCs w:val="17"/>
                  <w:u w:val="single" w:color="auto"/>
                  <w:color w:val="0000EE"/>
                </w:rPr>
                <w:t>Exhibits, Financial Statement Schedules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Item 16.</w:t>
            </w: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5">
              <w:r>
                <w:rPr>
                  <w:rFonts w:ascii="Times New Roman" w:cs="Times New Roman" w:eastAsia="Times New Roman" w:hAnsi="Times New Roman"/>
                  <w:sz w:val="17"/>
                  <w:szCs w:val="17"/>
                  <w:u w:val="single" w:color="auto"/>
                  <w:color w:val="0000EE"/>
                </w:rPr>
                <w:t>Form 10-K Summary</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9360" w:type="dxa"/>
            <w:vAlign w:val="bottom"/>
          </w:tcPr>
          <w:p>
            <w:pPr>
              <w:ind w:left="240"/>
              <w:spacing w:after="0"/>
              <w:rPr>
                <w:rFonts w:ascii="Times New Roman" w:cs="Times New Roman" w:eastAsia="Times New Roman" w:hAnsi="Times New Roman"/>
                <w:sz w:val="17"/>
                <w:szCs w:val="17"/>
                <w:u w:val="single" w:color="auto"/>
                <w:color w:val="0000EE"/>
              </w:rPr>
            </w:pPr>
            <w:hyperlink w:anchor="page156">
              <w:r>
                <w:rPr>
                  <w:rFonts w:ascii="Times New Roman" w:cs="Times New Roman" w:eastAsia="Times New Roman" w:hAnsi="Times New Roman"/>
                  <w:sz w:val="17"/>
                  <w:szCs w:val="17"/>
                  <w:u w:val="single" w:color="auto"/>
                  <w:color w:val="0000EE"/>
                </w:rPr>
                <w:t>Signatures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5" w:lineRule="exact"/>
        <w:rPr>
          <w:sz w:val="20"/>
          <w:szCs w:val="20"/>
          <w:color w:val="auto"/>
        </w:rPr>
      </w:pPr>
    </w:p>
    <w:p>
      <w:pPr>
        <w:ind w:right="60" w:firstLine="546"/>
        <w:spacing w:after="0" w:line="257"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73" w:lineRule="exact"/>
        <w:rPr>
          <w:sz w:val="20"/>
          <w:szCs w:val="20"/>
          <w:color w:val="auto"/>
        </w:rPr>
      </w:pPr>
    </w:p>
    <w:p>
      <w:pPr>
        <w:ind w:firstLine="546"/>
        <w:spacing w:after="0" w:line="259" w:lineRule="auto"/>
        <w:rPr>
          <w:sz w:val="20"/>
          <w:szCs w:val="20"/>
          <w:color w:val="auto"/>
        </w:rPr>
      </w:pPr>
      <w:r>
        <w:rPr>
          <w:rFonts w:ascii="Times New Roman" w:cs="Times New Roman" w:eastAsia="Times New Roman" w:hAnsi="Times New Roman"/>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report. Forward-looking statements include, but are not limited to, statements about:</w:t>
      </w:r>
    </w:p>
    <w:p>
      <w:pPr>
        <w:spacing w:after="0" w:line="70" w:lineRule="exact"/>
        <w:rPr>
          <w:sz w:val="20"/>
          <w:szCs w:val="20"/>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cost and timing of our development activities, preclinical studies, clinical trials and regulatory filings;</w:t>
      </w:r>
    </w:p>
    <w:p>
      <w:pPr>
        <w:spacing w:after="0" w:line="111" w:lineRule="exact"/>
        <w:rPr>
          <w:rFonts w:ascii="Times New Roman" w:cs="Times New Roman" w:eastAsia="Times New Roman" w:hAnsi="Times New Roman"/>
          <w:sz w:val="17"/>
          <w:szCs w:val="17"/>
          <w:color w:val="auto"/>
        </w:rPr>
      </w:pPr>
    </w:p>
    <w:p>
      <w:pPr>
        <w:ind w:left="660" w:right="260" w:hanging="121"/>
        <w:spacing w:after="0" w:line="28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translation of our preclinical results and data and early clinical trial results in particular relating to safety, efficacy and durability into future clinical trials in humans;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durability, efficacy and safety of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“2022 Vision” of a Biologics License Application of KSI-301 in 2022;</w:t>
      </w:r>
    </w:p>
    <w:p>
      <w:pPr>
        <w:spacing w:after="0" w:line="111" w:lineRule="exact"/>
        <w:rPr>
          <w:rFonts w:ascii="Times New Roman" w:cs="Times New Roman" w:eastAsia="Times New Roman" w:hAnsi="Times New Roman"/>
          <w:sz w:val="17"/>
          <w:szCs w:val="17"/>
          <w:color w:val="auto"/>
        </w:rPr>
      </w:pPr>
    </w:p>
    <w:p>
      <w:pPr>
        <w:ind w:left="660" w:right="340" w:hanging="121"/>
        <w:spacing w:after="0" w:line="267"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size and design of clinical trials that regulatory authorities may require to obtain marketing approval, including the order and number of clinical studies required to support a Biologics License Application, or BLA, in wet age-related macular degeneration, or wet AMD, diabetic macular edema, or DME, retinal vein occlusion, or RVO, and diabetic retinopathy, or DR;</w:t>
      </w:r>
    </w:p>
    <w:p>
      <w:pPr>
        <w:spacing w:after="0" w:line="63" w:lineRule="exact"/>
        <w:rPr>
          <w:rFonts w:ascii="Times New Roman" w:cs="Times New Roman" w:eastAsia="Times New Roman" w:hAnsi="Times New Roman"/>
          <w:sz w:val="17"/>
          <w:szCs w:val="17"/>
          <w:color w:val="auto"/>
        </w:rPr>
      </w:pPr>
    </w:p>
    <w:p>
      <w:pPr>
        <w:ind w:left="660" w:right="240" w:hanging="121"/>
        <w:spacing w:after="0" w:line="28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filings and approvals, including the potential to achieve FDA approval of KSI-301 in wet AMD, DME, RVO and DR;</w:t>
      </w:r>
    </w:p>
    <w:p>
      <w:pPr>
        <w:spacing w:after="0" w:line="50" w:lineRule="exact"/>
        <w:rPr>
          <w:rFonts w:ascii="Times New Roman" w:cs="Times New Roman" w:eastAsia="Times New Roman" w:hAnsi="Times New Roman"/>
          <w:sz w:val="17"/>
          <w:szCs w:val="17"/>
          <w:color w:val="auto"/>
        </w:rPr>
      </w:pPr>
    </w:p>
    <w:p>
      <w:pPr>
        <w:ind w:left="660" w:right="240" w:hanging="121"/>
        <w:spacing w:after="0" w:line="28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our product candidates, and any related restrictions, limitations and/or warnings in the label of any approved product candidate;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operations, including funding necessary to develop, manufacture and commercialize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of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competing products or platform technologies that are or may become available;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ability to establish sales, marketing and distribution infrastructure to commercialize any product candidates for which we obtain approval;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as to the concentration of retinal specialists in the United States and its impact on our sales and marketing plans;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enter into manufacturing-related commitments, and the timing thereof;</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agreements with third parties in connection with the commercialization of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potential of the markets for our product candidates, if approved for commercial use, and our ability to serve those markets;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regulations and regulatory developments in the United States and foreign countries;</w:t>
      </w:r>
    </w:p>
    <w:p>
      <w:pPr>
        <w:spacing w:after="0" w:line="111" w:lineRule="exact"/>
        <w:rPr>
          <w:rFonts w:ascii="Times New Roman" w:cs="Times New Roman" w:eastAsia="Times New Roman" w:hAnsi="Times New Roman"/>
          <w:sz w:val="17"/>
          <w:szCs w:val="17"/>
          <w:color w:val="auto"/>
        </w:rPr>
      </w:pPr>
    </w:p>
    <w:p>
      <w:pPr>
        <w:ind w:left="660" w:right="940" w:hanging="121"/>
        <w:spacing w:after="0" w:line="28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potential benefits of strategic collaboration agreements and our ability to attract collaborators with development, regulatory and commercialization expertise;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product candidates and technology;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claims relating to our intellectual property and third-party intellectual property;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contract with third-party suppliers and manufacturers and their ability to perform adequately;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and reimbursement of our product candidates, if approved;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 w:name="page4"/>
    <w:bookmarkEnd w:id="3"/>
    <w:p>
      <w:pPr>
        <w:ind w:left="660" w:right="160" w:hanging="121"/>
        <w:spacing w:after="0" w:line="28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the impact of the novel coronavirus, or COVID-19, pandemic on our business and operations, the business and operations of our collaborators, and on the global economy;</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aspirational goals and objectives related to our human capital resources and workforce objectives;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managerial, scientific and medical personnel;</w:t>
      </w:r>
    </w:p>
    <w:p>
      <w:pPr>
        <w:spacing w:after="0" w:line="111" w:lineRule="exact"/>
        <w:rPr>
          <w:rFonts w:ascii="Times New Roman" w:cs="Times New Roman" w:eastAsia="Times New Roman" w:hAnsi="Times New Roman"/>
          <w:sz w:val="17"/>
          <w:szCs w:val="17"/>
          <w:color w:val="auto"/>
        </w:rPr>
      </w:pPr>
    </w:p>
    <w:p>
      <w:pPr>
        <w:ind w:left="660" w:right="420" w:hanging="121"/>
        <w:spacing w:after="0" w:line="28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regarding the sufficiency of our cash resources, expenses, future revenue, capital requirements and needs for additional financing; and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11" w:lineRule="exact"/>
        <w:rPr>
          <w:sz w:val="20"/>
          <w:szCs w:val="20"/>
          <w:color w:val="auto"/>
        </w:rPr>
      </w:pPr>
    </w:p>
    <w:p>
      <w:pPr>
        <w:ind w:right="40" w:firstLine="546"/>
        <w:spacing w:after="0" w:line="256" w:lineRule="auto"/>
        <w:rPr>
          <w:sz w:val="20"/>
          <w:szCs w:val="20"/>
          <w:color w:val="auto"/>
        </w:rPr>
      </w:pPr>
      <w:r>
        <w:rPr>
          <w:rFonts w:ascii="Times New Roman" w:cs="Times New Roman" w:eastAsia="Times New Roman" w:hAnsi="Times New Roman"/>
          <w:sz w:val="17"/>
          <w:szCs w:val="17"/>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spacing w:after="0" w:line="74" w:lineRule="exact"/>
        <w:rPr>
          <w:sz w:val="20"/>
          <w:szCs w:val="20"/>
          <w:color w:val="auto"/>
        </w:rPr>
      </w:pPr>
    </w:p>
    <w:p>
      <w:pPr>
        <w:ind w:right="280" w:firstLine="546"/>
        <w:spacing w:after="0" w:line="259"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66" w:lineRule="exact"/>
        <w:rPr>
          <w:sz w:val="20"/>
          <w:szCs w:val="20"/>
          <w:color w:val="auto"/>
        </w:rPr>
      </w:pPr>
    </w:p>
    <w:p>
      <w:pPr>
        <w:ind w:right="20" w:firstLine="546"/>
        <w:spacing w:after="0" w:line="288" w:lineRule="auto"/>
        <w:rPr>
          <w:sz w:val="20"/>
          <w:szCs w:val="20"/>
          <w:color w:val="auto"/>
        </w:rPr>
      </w:pPr>
      <w:r>
        <w:rPr>
          <w:rFonts w:ascii="Times New Roman" w:cs="Times New Roman" w:eastAsia="Times New Roman" w:hAnsi="Times New Roman"/>
          <w:sz w:val="17"/>
          <w:szCs w:val="17"/>
          <w:i w:val="1"/>
          <w:iCs w:val="1"/>
          <w:color w:val="auto"/>
        </w:rPr>
        <w:t>All brand names or trademarks appearing in this report are the property of their respective holders. Unless the context requires otherwise, references in this report to “Kodiak” the “Company,” “we,” “us,” and “our” refer to Kodiak Sciences Inc.</w:t>
      </w:r>
    </w:p>
    <w:p>
      <w:pPr>
        <w:spacing w:after="0" w:line="4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15" w:lineRule="exact"/>
        <w:rPr>
          <w:sz w:val="20"/>
          <w:szCs w:val="20"/>
          <w:color w:val="auto"/>
        </w:rPr>
      </w:pPr>
    </w:p>
    <w:p>
      <w:pPr>
        <w:jc w:val="both"/>
        <w:ind w:right="220" w:firstLine="552"/>
        <w:spacing w:after="0" w:line="213" w:lineRule="exact"/>
        <w:rPr>
          <w:sz w:val="20"/>
          <w:szCs w:val="20"/>
          <w:color w:val="auto"/>
        </w:rPr>
      </w:pPr>
      <w:r>
        <w:rPr>
          <w:rFonts w:ascii="Times New Roman" w:cs="Times New Roman" w:eastAsia="Times New Roman" w:hAnsi="Times New Roman"/>
          <w:sz w:val="17"/>
          <w:szCs w:val="17"/>
          <w:color w:val="auto"/>
        </w:rPr>
        <w:t>Investing in our securities involves a high degree of risk. Below is a summary of material factors that make an investment in our securities speculative or risky. Importantly, this summary does not address all of the risks that we face. The below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70" w:lineRule="exact"/>
        <w:rPr>
          <w:sz w:val="20"/>
          <w:szCs w:val="20"/>
          <w:color w:val="auto"/>
        </w:rPr>
      </w:pPr>
    </w:p>
    <w:p>
      <w:pPr>
        <w:ind w:left="660" w:right="380" w:hanging="121"/>
        <w:spacing w:after="0" w:line="283"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152" w:lineRule="exact"/>
        <w:rPr>
          <w:rFonts w:ascii="Times New Roman" w:cs="Times New Roman" w:eastAsia="Times New Roman" w:hAnsi="Times New Roman"/>
          <w:sz w:val="17"/>
          <w:szCs w:val="17"/>
          <w:color w:val="auto"/>
        </w:rPr>
      </w:pPr>
    </w:p>
    <w:p>
      <w:pPr>
        <w:ind w:left="660" w:right="20" w:hanging="121"/>
        <w:spacing w:after="0" w:line="283"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in each period since our inception and anticipate that we will continue to incur significant and increasing net losses for the foreseeable future.</w:t>
      </w:r>
    </w:p>
    <w:p>
      <w:pPr>
        <w:spacing w:after="0" w:line="152" w:lineRule="exact"/>
        <w:rPr>
          <w:rFonts w:ascii="Times New Roman" w:cs="Times New Roman" w:eastAsia="Times New Roman" w:hAnsi="Times New Roman"/>
          <w:sz w:val="17"/>
          <w:szCs w:val="17"/>
          <w:color w:val="auto"/>
        </w:rPr>
      </w:pPr>
    </w:p>
    <w:p>
      <w:pPr>
        <w:ind w:left="660" w:right="200" w:hanging="121"/>
        <w:spacing w:after="0" w:line="283"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development is a highly uncertain undertaking and involves a substantial degree of risk. We have never generated any revenue from product sales, and we may never generate revenue or be profitable.</w:t>
      </w:r>
    </w:p>
    <w:p>
      <w:pPr>
        <w:spacing w:after="0" w:line="152"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prospects are heavily dependent on our KSI-301 product candidate, which is currently in clinical development for multiple indications.</w:t>
      </w:r>
    </w:p>
    <w:p>
      <w:pPr>
        <w:spacing w:after="0" w:line="213"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of KSI-301 in clinical development may require us to discontinue development of other product candidates based on our ABC Platform.</w:t>
      </w:r>
    </w:p>
    <w:p>
      <w:pPr>
        <w:spacing w:after="0" w:line="213" w:lineRule="exact"/>
        <w:rPr>
          <w:rFonts w:ascii="Times New Roman" w:cs="Times New Roman" w:eastAsia="Times New Roman" w:hAnsi="Times New Roman"/>
          <w:sz w:val="17"/>
          <w:szCs w:val="17"/>
          <w:color w:val="auto"/>
        </w:rPr>
      </w:pPr>
    </w:p>
    <w:p>
      <w:pPr>
        <w:ind w:left="660" w:hanging="121"/>
        <w:spacing w:after="0" w:line="283"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152"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substantial delays in our clinical trials, or may not be able to conduct or complete our clinical trials on the timelines we expect, if at all.</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 w:name="page5"/>
    <w:bookmarkEnd w:id="4"/>
    <w:p>
      <w:pPr>
        <w:ind w:left="121" w:right="50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enrolling patients in our clinical trials, and our clinical development activities could thereby be delayed or otherwise adversely affected.</w:t>
      </w:r>
    </w:p>
    <w:p>
      <w:pPr>
        <w:spacing w:after="0" w:line="152" w:lineRule="exact"/>
        <w:rPr>
          <w:rFonts w:ascii="Times New Roman" w:cs="Times New Roman" w:eastAsia="Times New Roman" w:hAnsi="Times New Roman"/>
          <w:sz w:val="17"/>
          <w:szCs w:val="17"/>
          <w:color w:val="auto"/>
        </w:rPr>
      </w:pPr>
    </w:p>
    <w:p>
      <w:pPr>
        <w:ind w:left="121" w:right="26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152" w:lineRule="exact"/>
        <w:rPr>
          <w:rFonts w:ascii="Times New Roman" w:cs="Times New Roman" w:eastAsia="Times New Roman" w:hAnsi="Times New Roman"/>
          <w:sz w:val="17"/>
          <w:szCs w:val="17"/>
          <w:color w:val="auto"/>
        </w:rPr>
      </w:pPr>
    </w:p>
    <w:p>
      <w:pPr>
        <w:jc w:val="both"/>
        <w:ind w:left="121" w:right="80" w:hanging="121"/>
        <w:spacing w:after="0" w:line="261"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71"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our product candidates is highly complex and requires substantial lead time to produce.</w:t>
      </w:r>
    </w:p>
    <w:p>
      <w:pPr>
        <w:spacing w:after="0" w:line="213" w:lineRule="exact"/>
        <w:rPr>
          <w:rFonts w:ascii="Times New Roman" w:cs="Times New Roman" w:eastAsia="Times New Roman" w:hAnsi="Times New Roman"/>
          <w:sz w:val="17"/>
          <w:szCs w:val="17"/>
          <w:color w:val="auto"/>
        </w:rPr>
      </w:pPr>
    </w:p>
    <w:p>
      <w:pPr>
        <w:ind w:left="121" w:hanging="121"/>
        <w:spacing w:after="0" w:line="267"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165" w:lineRule="exact"/>
        <w:rPr>
          <w:rFonts w:ascii="Times New Roman" w:cs="Times New Roman" w:eastAsia="Times New Roman" w:hAnsi="Times New Roman"/>
          <w:sz w:val="17"/>
          <w:szCs w:val="17"/>
          <w:color w:val="auto"/>
        </w:rPr>
      </w:pPr>
    </w:p>
    <w:p>
      <w:pPr>
        <w:ind w:left="121" w:right="20" w:hanging="121"/>
        <w:spacing w:after="0" w:line="267"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165" w:lineRule="exact"/>
        <w:rPr>
          <w:rFonts w:ascii="Times New Roman" w:cs="Times New Roman" w:eastAsia="Times New Roman" w:hAnsi="Times New Roman"/>
          <w:sz w:val="17"/>
          <w:szCs w:val="17"/>
          <w:color w:val="auto"/>
        </w:rPr>
      </w:pPr>
    </w:p>
    <w:p>
      <w:pPr>
        <w:ind w:left="121" w:right="40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plan to conduct clinical trials for our product candidates outside the United States, and the FDA, EMA, NMPA and applicable foreign regulatory authorities may not accept data from such trials.</w:t>
      </w:r>
    </w:p>
    <w:p>
      <w:pPr>
        <w:spacing w:after="0" w:line="152" w:lineRule="exact"/>
        <w:rPr>
          <w:rFonts w:ascii="Times New Roman" w:cs="Times New Roman" w:eastAsia="Times New Roman" w:hAnsi="Times New Roman"/>
          <w:sz w:val="17"/>
          <w:szCs w:val="17"/>
          <w:color w:val="auto"/>
        </w:rPr>
      </w:pPr>
    </w:p>
    <w:p>
      <w:pPr>
        <w:jc w:val="both"/>
        <w:ind w:left="121" w:right="40" w:hanging="121"/>
        <w:spacing w:after="0" w:line="267"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165" w:lineRule="exact"/>
        <w:rPr>
          <w:rFonts w:ascii="Times New Roman" w:cs="Times New Roman" w:eastAsia="Times New Roman" w:hAnsi="Times New Roman"/>
          <w:sz w:val="17"/>
          <w:szCs w:val="17"/>
          <w:color w:val="auto"/>
        </w:rPr>
      </w:pPr>
    </w:p>
    <w:p>
      <w:pPr>
        <w:ind w:left="121"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2" w:lineRule="exact"/>
        <w:rPr>
          <w:rFonts w:ascii="Times New Roman" w:cs="Times New Roman" w:eastAsia="Times New Roman" w:hAnsi="Times New Roman"/>
          <w:sz w:val="17"/>
          <w:szCs w:val="17"/>
          <w:color w:val="auto"/>
        </w:rPr>
      </w:pPr>
    </w:p>
    <w:p>
      <w:pPr>
        <w:ind w:left="121" w:right="28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52" w:lineRule="exact"/>
        <w:rPr>
          <w:rFonts w:ascii="Times New Roman" w:cs="Times New Roman" w:eastAsia="Times New Roman" w:hAnsi="Times New Roman"/>
          <w:sz w:val="17"/>
          <w:szCs w:val="17"/>
          <w:color w:val="auto"/>
        </w:rPr>
      </w:pPr>
    </w:p>
    <w:p>
      <w:pPr>
        <w:ind w:left="121" w:right="80" w:hanging="121"/>
        <w:spacing w:after="0" w:line="267"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165" w:lineRule="exact"/>
        <w:rPr>
          <w:rFonts w:ascii="Times New Roman" w:cs="Times New Roman" w:eastAsia="Times New Roman" w:hAnsi="Times New Roman"/>
          <w:sz w:val="17"/>
          <w:szCs w:val="17"/>
          <w:color w:val="auto"/>
        </w:rPr>
      </w:pPr>
    </w:p>
    <w:p>
      <w:pPr>
        <w:ind w:left="121" w:right="18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152" w:lineRule="exact"/>
        <w:rPr>
          <w:rFonts w:ascii="Times New Roman" w:cs="Times New Roman" w:eastAsia="Times New Roman" w:hAnsi="Times New Roman"/>
          <w:sz w:val="17"/>
          <w:szCs w:val="17"/>
          <w:color w:val="auto"/>
        </w:rPr>
      </w:pPr>
    </w:p>
    <w:p>
      <w:pPr>
        <w:ind w:left="121" w:right="40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152" w:lineRule="exact"/>
        <w:rPr>
          <w:rFonts w:ascii="Times New Roman" w:cs="Times New Roman" w:eastAsia="Times New Roman" w:hAnsi="Times New Roman"/>
          <w:sz w:val="17"/>
          <w:szCs w:val="17"/>
          <w:color w:val="auto"/>
        </w:rPr>
      </w:pPr>
    </w:p>
    <w:p>
      <w:pPr>
        <w:ind w:left="121" w:right="18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involved in lawsuits to protect or enforce our patents and other intellectual property rights, which could be expensive, time consuming and unsuccessful.</w:t>
      </w:r>
    </w:p>
    <w:p>
      <w:pPr>
        <w:spacing w:after="0" w:line="152" w:lineRule="exact"/>
        <w:rPr>
          <w:rFonts w:ascii="Times New Roman" w:cs="Times New Roman" w:eastAsia="Times New Roman" w:hAnsi="Times New Roman"/>
          <w:sz w:val="17"/>
          <w:szCs w:val="17"/>
          <w:color w:val="auto"/>
        </w:rPr>
      </w:pPr>
    </w:p>
    <w:p>
      <w:pPr>
        <w:ind w:left="121" w:right="40" w:hanging="121"/>
        <w:spacing w:after="0" w:line="283"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152" w:lineRule="exact"/>
        <w:rPr>
          <w:rFonts w:ascii="Times New Roman" w:cs="Times New Roman" w:eastAsia="Times New Roman" w:hAnsi="Times New Roman"/>
          <w:sz w:val="17"/>
          <w:szCs w:val="17"/>
          <w:color w:val="auto"/>
        </w:rPr>
      </w:pPr>
    </w:p>
    <w:p>
      <w:pPr>
        <w:ind w:left="121" w:right="200" w:hanging="121"/>
        <w:spacing w:after="0" w:line="261" w:lineRule="auto"/>
        <w:tabs>
          <w:tab w:leader="none" w:pos="12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81280</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641"/>
          </w:cols>
          <w:pgMar w:left="859" w:top="123" w:right="39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5" w:lineRule="exact"/>
        <w:rPr>
          <w:sz w:val="20"/>
          <w:szCs w:val="20"/>
          <w:color w:val="auto"/>
        </w:rPr>
      </w:pPr>
    </w:p>
    <w:p>
      <w:pPr>
        <w:ind w:right="40" w:firstLine="546"/>
        <w:spacing w:after="0" w:line="267" w:lineRule="auto"/>
        <w:rPr>
          <w:sz w:val="20"/>
          <w:szCs w:val="20"/>
          <w:color w:val="auto"/>
        </w:rPr>
      </w:pPr>
      <w:r>
        <w:rPr>
          <w:rFonts w:ascii="Times New Roman" w:cs="Times New Roman" w:eastAsia="Times New Roman" w:hAnsi="Times New Roman"/>
          <w:sz w:val="17"/>
          <w:szCs w:val="17"/>
          <w:color w:val="auto"/>
        </w:rPr>
        <w:t>At Kodiak, we are bringing new science to the design and development of next generation retinal medicines. Our ABC Platform™ uses molecular engineering to merge the fields of antibody-based and chemistry-based therapies and is at the core of Kodiak's discovery engine. Our goal is to prevent and treat the major causes of blindness by developing and commercializing next-generation therapeutics for chronic, high-prevalence retinal diseases.</w:t>
      </w:r>
    </w:p>
    <w:p>
      <w:pPr>
        <w:spacing w:after="0" w:line="63" w:lineRule="exact"/>
        <w:rPr>
          <w:sz w:val="20"/>
          <w:szCs w:val="20"/>
          <w:color w:val="auto"/>
        </w:rPr>
      </w:pPr>
    </w:p>
    <w:p>
      <w:pPr>
        <w:ind w:right="220" w:firstLine="546"/>
        <w:spacing w:after="0" w:line="259" w:lineRule="auto"/>
        <w:rPr>
          <w:sz w:val="20"/>
          <w:szCs w:val="20"/>
          <w:color w:val="auto"/>
        </w:rPr>
      </w:pPr>
      <w:r>
        <w:rPr>
          <w:rFonts w:ascii="Times New Roman" w:cs="Times New Roman" w:eastAsia="Times New Roman" w:hAnsi="Times New Roman"/>
          <w:sz w:val="17"/>
          <w:szCs w:val="17"/>
          <w:color w:val="auto"/>
        </w:rPr>
        <w:t>Throughout 2020 and into 2021, we have generated compelling clinical data with our most advanced product candidate, KSI-301, a novel anti-VEGF antibody biopolymer conjugate, which is designed to maintain potent and effective drug levels in ocular tissues for longer periods than the currently-marketed biologic medicines used to treat retinal diseases. We believe that KSI-301, if approved, has the potential to be an important therapy to treat patients with wet age-related macular degeneration, or wet AMD, diabetic macular edema, or DME, macular edema due to retinal vein occlusion, or RVO, and diabetic retinopathy, or DR, as well as other vision-threatening diseases that are less prevalent but also may be responsive to anti-VEGF therapy.</w:t>
      </w:r>
    </w:p>
    <w:p>
      <w:pPr>
        <w:spacing w:after="0" w:line="70" w:lineRule="exact"/>
        <w:rPr>
          <w:sz w:val="20"/>
          <w:szCs w:val="20"/>
          <w:color w:val="auto"/>
        </w:rPr>
      </w:pPr>
    </w:p>
    <w:p>
      <w:pPr>
        <w:ind w:right="20" w:firstLine="546"/>
        <w:spacing w:after="0" w:line="257" w:lineRule="auto"/>
        <w:rPr>
          <w:sz w:val="20"/>
          <w:szCs w:val="20"/>
          <w:color w:val="auto"/>
        </w:rPr>
      </w:pPr>
      <w:r>
        <w:rPr>
          <w:rFonts w:ascii="Times New Roman" w:cs="Times New Roman" w:eastAsia="Times New Roman" w:hAnsi="Times New Roman"/>
          <w:sz w:val="17"/>
          <w:szCs w:val="17"/>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In October 2020, we announced that we entered a supplemental research agreement with AbCellera to generate additional therapeutic antibody candidates for novel disease targets in ophthalmology in support of our evolving research pipeline. We intend to progress these and other product candidates to address high-prevalence ophthalmic diseases.</w:t>
      </w:r>
    </w:p>
    <w:p>
      <w:pPr>
        <w:spacing w:after="0" w:line="73" w:lineRule="exact"/>
        <w:rPr>
          <w:sz w:val="20"/>
          <w:szCs w:val="20"/>
          <w:color w:val="auto"/>
        </w:rPr>
      </w:pPr>
    </w:p>
    <w:p>
      <w:pPr>
        <w:ind w:right="300" w:firstLine="546"/>
        <w:spacing w:after="0" w:line="283" w:lineRule="auto"/>
        <w:rPr>
          <w:sz w:val="20"/>
          <w:szCs w:val="20"/>
          <w:color w:val="auto"/>
        </w:rPr>
      </w:pPr>
      <w:r>
        <w:rPr>
          <w:rFonts w:ascii="Times New Roman" w:cs="Times New Roman" w:eastAsia="Times New Roman" w:hAnsi="Times New Roman"/>
          <w:sz w:val="17"/>
          <w:szCs w:val="17"/>
          <w:color w:val="auto"/>
        </w:rPr>
        <w:t>Our overall objective is to develop our product candidates, seek FDA and worldwide health authority marketing authorization approvals, and ultimately commercialize our product candidates.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Where Kodiak Stands Today</w:t>
      </w:r>
    </w:p>
    <w:p>
      <w:pPr>
        <w:spacing w:after="0" w:line="113" w:lineRule="exact"/>
        <w:rPr>
          <w:sz w:val="20"/>
          <w:szCs w:val="20"/>
          <w:color w:val="auto"/>
        </w:rPr>
      </w:pPr>
    </w:p>
    <w:p>
      <w:pPr>
        <w:jc w:val="both"/>
        <w:ind w:right="80" w:firstLine="54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Growing KSI-301 Clinical Experience: </w:t>
      </w:r>
      <w:r>
        <w:rPr>
          <w:rFonts w:ascii="Times New Roman" w:cs="Times New Roman" w:eastAsia="Times New Roman" w:hAnsi="Times New Roman"/>
          <w:sz w:val="17"/>
          <w:szCs w:val="17"/>
          <w:color w:val="auto"/>
        </w:rPr>
        <w:t>We remain very pleased with the current clinical profile of KSI-301. Approximately 2,000 KSI-301 injections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been administered to approximately 500 patients representing approximately 350 patient-years of exposure. When and if we submit our planned single BLA in wet AMD, DME and RVO, we expect to have durability, efficacy and safety data on KSI-301 treatment in over 1,000 patients across our concurrent pivotal studies.</w:t>
      </w:r>
    </w:p>
    <w:p>
      <w:pPr>
        <w:spacing w:after="0" w:line="62" w:lineRule="exact"/>
        <w:rPr>
          <w:sz w:val="20"/>
          <w:szCs w:val="20"/>
          <w:color w:val="auto"/>
        </w:rPr>
      </w:pPr>
    </w:p>
    <w:p>
      <w:pPr>
        <w:ind w:right="40" w:firstLine="546"/>
        <w:spacing w:after="0" w:line="259" w:lineRule="auto"/>
        <w:rPr>
          <w:sz w:val="20"/>
          <w:szCs w:val="20"/>
          <w:color w:val="auto"/>
        </w:rPr>
      </w:pPr>
      <w:r>
        <w:rPr>
          <w:rFonts w:ascii="Times New Roman" w:cs="Times New Roman" w:eastAsia="Times New Roman" w:hAnsi="Times New Roman"/>
          <w:sz w:val="17"/>
          <w:szCs w:val="17"/>
          <w:color w:val="auto"/>
        </w:rPr>
        <w:t>In our ongoing Phase 1b clinical study, we have administered multiple doses of KSI-301 over 52-weeks or more to treatment-naïve patients with wet AMD, DME or RVO, and we continue to observe promising durability, efficacy and safety data in each of the retinal diseases under study. Some patients have been given KSI-301 injections and followed for as long as two years in the Phase 1b study. KSI-301’s clinical durability continues to be supported with maturing data that demonstrate two in every three patients with wet AMD, DME, or RVO achieving six months or longer treatment-free intervals at Year 1. Additionally, KSI-301 continues to demonstrate an efficacy and safety profile that is tracking with standard of care anti-VEGF agents.</w:t>
      </w:r>
    </w:p>
    <w:p>
      <w:pPr>
        <w:spacing w:after="0" w:line="66" w:lineRule="exact"/>
        <w:rPr>
          <w:sz w:val="20"/>
          <w:szCs w:val="20"/>
          <w:color w:val="auto"/>
        </w:rPr>
      </w:pPr>
    </w:p>
    <w:p>
      <w:pPr>
        <w:ind w:firstLine="546"/>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Thoughtfully Designed Pivotal Clinical Trials: </w:t>
      </w:r>
      <w:r>
        <w:rPr>
          <w:rFonts w:ascii="Times New Roman" w:cs="Times New Roman" w:eastAsia="Times New Roman" w:hAnsi="Times New Roman"/>
          <w:sz w:val="17"/>
          <w:szCs w:val="17"/>
          <w:color w:val="auto"/>
        </w:rPr>
        <w:t>Our ongoing registrational study program, designed based on an End of Phase 2 meeting we held in 2019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FDA, is assessing KSI-301 in four pivotal studies: two Phase 3 studies in DME (the GLEAM and GLIMMER studies), one Phase 2b/3 study in wet AMD (the DAZZLE study) and one Phase 3 study in RVO (the BEACON study). Each study protocol design has been optimized based on Phase 1b data and experience and will include similar treatment-naïve patient populations as in the Phase 1b, as well as tighter dosing interval ranging, tighter disease control criteria, decreased subjectivity for retreatments, high dose level of 2 mg, and each study has high statistical power for non-inferiority (&gt;90%). The DAZZLE study completed recruitment in late 2020 and top-line results are expected in early 2022. Recruitment is underway for the GLEAM, GLIMMER and BEACON trials. We plan to expand the KSI-301 clinical study program in 2021 with one Phase 3 study (GLOW) in NPDR without DME, and potentially one or more additional clinical studies that could be beneficial for product labeling and/or reimbursement and market access purposes.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 w:name="page7"/>
    <w:bookmarkEnd w:id="6"/>
    <w:p>
      <w:pPr>
        <w:ind w:right="40" w:firstLine="542"/>
        <w:spacing w:after="0" w:line="260" w:lineRule="auto"/>
        <w:rPr>
          <w:sz w:val="20"/>
          <w:szCs w:val="20"/>
          <w:color w:val="auto"/>
        </w:rPr>
      </w:pPr>
      <w:r>
        <w:rPr>
          <w:rFonts w:ascii="Times New Roman" w:cs="Times New Roman" w:eastAsia="Times New Roman" w:hAnsi="Times New Roman"/>
          <w:sz w:val="17"/>
          <w:szCs w:val="17"/>
          <w:i w:val="1"/>
          <w:iCs w:val="1"/>
          <w:color w:val="auto"/>
        </w:rPr>
        <w:t>Investing with Conviction Commensurate with the Opportunity</w:t>
      </w:r>
      <w:r>
        <w:rPr>
          <w:rFonts w:ascii="Times New Roman" w:cs="Times New Roman" w:eastAsia="Times New Roman" w:hAnsi="Times New Roman"/>
          <w:sz w:val="17"/>
          <w:szCs w:val="17"/>
          <w:color w:val="auto"/>
        </w:rPr>
        <w:t>: Kodiak remains focused on thoughtful execution of our KSI-301 pivotal program,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requisite manufacturing efforts, the regulatory strategy and the pre-commercial readiness. As to manufacturing, in line with our “2022 Vision” which sees us submitting our initial BLA in 2022 and potentially commercializing KSI-301 in 2023, it is our intent to be able to supply millions of doses in Year 1 from our Lonza-Kodiak Ibex Dedicate facility designed from inception with Flex Up capabilities and capacity for double digit millions of doses per year to supply a growing market demand.</w:t>
      </w:r>
    </w:p>
    <w:p>
      <w:pPr>
        <w:spacing w:after="0" w:line="65" w:lineRule="exact"/>
        <w:rPr>
          <w:sz w:val="20"/>
          <w:szCs w:val="20"/>
          <w:color w:val="auto"/>
        </w:rPr>
      </w:pPr>
    </w:p>
    <w:p>
      <w:pPr>
        <w:ind w:right="20" w:firstLine="542"/>
        <w:spacing w:after="0" w:line="263" w:lineRule="auto"/>
        <w:rPr>
          <w:sz w:val="20"/>
          <w:szCs w:val="20"/>
          <w:color w:val="auto"/>
        </w:rPr>
      </w:pPr>
      <w:r>
        <w:rPr>
          <w:rFonts w:ascii="Times New Roman" w:cs="Times New Roman" w:eastAsia="Times New Roman" w:hAnsi="Times New Roman"/>
          <w:sz w:val="17"/>
          <w:szCs w:val="17"/>
          <w:i w:val="1"/>
          <w:iCs w:val="1"/>
          <w:color w:val="auto"/>
        </w:rPr>
        <w:t>Poised Commercial Opportunity</w:t>
      </w:r>
      <w:r>
        <w:rPr>
          <w:rFonts w:ascii="Times New Roman" w:cs="Times New Roman" w:eastAsia="Times New Roman" w:hAnsi="Times New Roman"/>
          <w:sz w:val="17"/>
          <w:szCs w:val="17"/>
          <w:color w:val="auto"/>
        </w:rPr>
        <w:t>: We are optimistic for the future care of patients with retinal vascular diseases. The competitive landscape of intravitreally-injected anti-VEGF biologic therapies and therapeutic candidates is clearing, due to the incremental durability of competing molecules, and/or safety challenges that, even if only recently appreciated, have been observed from early in the development of these potential competitors. Adjacent surgical and gene therapy solutions may also face challenges with long-term safety, limited accessibility and the complex economics of surgical implantation.</w:t>
      </w:r>
    </w:p>
    <w:p>
      <w:pPr>
        <w:spacing w:after="0" w:line="67" w:lineRule="exact"/>
        <w:rPr>
          <w:sz w:val="20"/>
          <w:szCs w:val="20"/>
          <w:color w:val="auto"/>
        </w:rPr>
      </w:pPr>
    </w:p>
    <w:p>
      <w:pPr>
        <w:ind w:right="480" w:firstLine="542"/>
        <w:spacing w:after="0" w:line="283" w:lineRule="auto"/>
        <w:rPr>
          <w:sz w:val="20"/>
          <w:szCs w:val="20"/>
          <w:color w:val="auto"/>
        </w:rPr>
      </w:pPr>
      <w:r>
        <w:rPr>
          <w:rFonts w:ascii="Times New Roman" w:cs="Times New Roman" w:eastAsia="Times New Roman" w:hAnsi="Times New Roman"/>
          <w:sz w:val="17"/>
          <w:szCs w:val="17"/>
          <w:color w:val="auto"/>
        </w:rPr>
        <w:t>KSI-301, with its powerful combination of design attributes, has the potential to be a Generation 2.0 anti-VEGF – a first-line anti-VEGF “product for everyone” that may achieve a significant market share.</w:t>
      </w:r>
    </w:p>
    <w:p>
      <w:pPr>
        <w:spacing w:after="0" w:line="50"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As a company, we remain independent. This independence provides us with the flexibility to adapt both R&amp;D and commercial decision-making within the ever-changing domestic and global landscapes. We remain well capitalized and supported by a high-quality group of long-term stakeholders who understand what is needed to build, invest and execute commensurate with the opportunity.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KSI-301 Phase 1b Study</w:t>
      </w:r>
    </w:p>
    <w:p>
      <w:pPr>
        <w:spacing w:after="0" w:line="117"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Updated Year 1 durability, efficacy and safety data from our ongoing Phase 1b trial of KSI-301 in patients with treatment naïve wet AMD, DME or RVO were presented at the Angiogenesis, Exudation, and Degeneration 2021 – Virtual Edition meeting in February 2021. The data show 2 in every 3 patients are on a 6-month or longer treatment-free interval at Year 1 in each of the 3 major retinal vascular diseases after only 3 loading doses. Robust vision gains (particularly notable in the context of very good baseline vision) and robust retinal drying (when baseline anatomical characteristics are considered) were seen across all three diseases being studied. Strong anti-VEGF efficacy (achieving at Year 1 approximately 20/40 eye chart vision on average in wet AMD and approximately 20/32 vision on average in DME and RVO) and an encouraging safety profile continue to be observed across all three diseases. We believe the data continue to support the “anti-VEGF Generation 2.0” profile of KSI-301.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KSI-301 Pivotal Program</w:t>
      </w:r>
    </w:p>
    <w:p>
      <w:pPr>
        <w:spacing w:after="0" w:line="117"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We saw robust patient enrollment in our DAZZLE pivotal study in wet AMD through the third quarter of 2020 and completed global patient recruitment in November 2020 – a potential reflection of the enthusiasm for KSI-301 on the part of clinical investigators and patients. With a one-year primary endpoint, we remain on track for DAZZLE top-line data readout in early 2022.</w:t>
      </w:r>
    </w:p>
    <w:p>
      <w:pPr>
        <w:spacing w:after="0" w:line="63" w:lineRule="exact"/>
        <w:rPr>
          <w:sz w:val="20"/>
          <w:szCs w:val="20"/>
          <w:color w:val="auto"/>
        </w:rPr>
      </w:pPr>
    </w:p>
    <w:p>
      <w:pPr>
        <w:ind w:right="80" w:firstLine="542"/>
        <w:spacing w:after="0" w:line="257" w:lineRule="auto"/>
        <w:rPr>
          <w:sz w:val="20"/>
          <w:szCs w:val="20"/>
          <w:color w:val="auto"/>
        </w:rPr>
      </w:pPr>
      <w:r>
        <w:rPr>
          <w:rFonts w:ascii="Times New Roman" w:cs="Times New Roman" w:eastAsia="Times New Roman" w:hAnsi="Times New Roman"/>
          <w:sz w:val="17"/>
          <w:szCs w:val="17"/>
          <w:color w:val="auto"/>
        </w:rPr>
        <w:t>In the third quarter of 2020, we initiated two Phase 3 studies in DME (GLEAM and GLIMMER) and one Phase 3 study in RVO (BEACON). The randomization of treatment-naïve patients into these three studies is a critical step to build the clinical evidence for KSI-301 as a safe, effective and highly durable therapy for patients with retinal diseases. The initiation of the additional Phase 3 studies and the robust patient recruitment into DAZZLE represent strong operational progress towards our 2022 Vision of a single BLA filed for KSI-301 in wet AMD, DME, and RVO in 2022. Clinical trial applications for BEACON, GLEAM, and GLIMMER have been submitted and approved in countries across the EU. To date, we are pleased with progress in site activation, patient screening, and recruitment in these studies. We believe we are also on track to begin recruitment of the GLOW study in NPDR without DME in 2021.</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Importantly, to date the data emerging in our Phase 1b study remain consistent and provide support for and confidence in our pivotal study designs.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Follow-on Equity Offering</w:t>
      </w:r>
    </w:p>
    <w:p>
      <w:pPr>
        <w:spacing w:after="0" w:line="117" w:lineRule="exact"/>
        <w:rPr>
          <w:sz w:val="20"/>
          <w:szCs w:val="20"/>
          <w:color w:val="auto"/>
        </w:rPr>
      </w:pPr>
    </w:p>
    <w:p>
      <w:pPr>
        <w:ind w:right="180" w:firstLine="542"/>
        <w:spacing w:after="0" w:line="274" w:lineRule="auto"/>
        <w:rPr>
          <w:sz w:val="20"/>
          <w:szCs w:val="20"/>
          <w:color w:val="auto"/>
        </w:rPr>
      </w:pPr>
      <w:r>
        <w:rPr>
          <w:rFonts w:ascii="Times New Roman" w:cs="Times New Roman" w:eastAsia="Times New Roman" w:hAnsi="Times New Roman"/>
          <w:sz w:val="17"/>
          <w:szCs w:val="17"/>
          <w:color w:val="auto"/>
        </w:rPr>
        <w:t>On November 20, 2020, we completed a follow-on equity offering and issued and sold 5,972,222 shares of the Company’s common stock at a price to the public of $108.00 per share. The gross proceeds from this offering were $645.0 million, resulting in aggregate net proceeds of $612.0 million after deducting underwriting discounts and commissions and other offering costs.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1" w:right="379" w:bottom="1440" w:gutter="0" w:footer="0" w:header="0"/>
        </w:sectPr>
      </w:pPr>
    </w:p>
    <w:bookmarkStart w:id="7" w:name="page8"/>
    <w:bookmarkEnd w:id="7"/>
    <w:p>
      <w:pPr>
        <w:jc w:val="both"/>
        <w:ind w:right="180" w:firstLine="542"/>
        <w:spacing w:after="0" w:line="261" w:lineRule="auto"/>
        <w:rPr>
          <w:sz w:val="20"/>
          <w:szCs w:val="20"/>
          <w:color w:val="auto"/>
        </w:rPr>
      </w:pPr>
      <w:r>
        <w:rPr>
          <w:rFonts w:ascii="Times New Roman" w:cs="Times New Roman" w:eastAsia="Times New Roman" w:hAnsi="Times New Roman"/>
          <w:sz w:val="17"/>
          <w:szCs w:val="17"/>
          <w:color w:val="auto"/>
        </w:rPr>
        <w:t>Proceeds from the equity offering together with our current cash, cash equivalents and marketable securities are expected to advance the clinical programs for KSI-301 towards achieving our “2022 Vision” of a Biologics License Application, or BLA, of KSI-301 in 2022 for wet AMD, DME, RVO and potentially DR without DME, including the manufacturing activities necessary for BLA submission, as well as to advance our pipeline of drug candidates including KSI-501 and our triplet inhibitor drug candidates and for working capital and general corporate purposes.</w:t>
      </w:r>
    </w:p>
    <w:p>
      <w:pPr>
        <w:spacing w:after="0" w:line="70" w:lineRule="exact"/>
        <w:rPr>
          <w:sz w:val="20"/>
          <w:szCs w:val="20"/>
          <w:color w:val="auto"/>
        </w:rPr>
      </w:pPr>
    </w:p>
    <w:p>
      <w:pPr>
        <w:jc w:val="both"/>
        <w:ind w:right="40" w:firstLine="542"/>
        <w:spacing w:after="0" w:line="267" w:lineRule="auto"/>
        <w:rPr>
          <w:sz w:val="20"/>
          <w:szCs w:val="20"/>
          <w:color w:val="auto"/>
        </w:rPr>
      </w:pPr>
      <w:r>
        <w:rPr>
          <w:rFonts w:ascii="Times New Roman" w:cs="Times New Roman" w:eastAsia="Times New Roman" w:hAnsi="Times New Roman"/>
          <w:sz w:val="17"/>
          <w:szCs w:val="17"/>
          <w:color w:val="auto"/>
        </w:rPr>
        <w:t>Our current cash, cash equivalents and marketable securities which includes the net proceeds from the November 2020 public offering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Manufacturing</w:t>
      </w:r>
    </w:p>
    <w:p>
      <w:pPr>
        <w:spacing w:after="0" w:line="117" w:lineRule="exact"/>
        <w:rPr>
          <w:sz w:val="20"/>
          <w:szCs w:val="20"/>
          <w:color w:val="auto"/>
        </w:rPr>
      </w:pPr>
    </w:p>
    <w:p>
      <w:pPr>
        <w:ind w:right="80" w:firstLine="542"/>
        <w:spacing w:after="0" w:line="261" w:lineRule="auto"/>
        <w:rPr>
          <w:sz w:val="20"/>
          <w:szCs w:val="20"/>
          <w:color w:val="auto"/>
        </w:rPr>
      </w:pPr>
      <w:r>
        <w:rPr>
          <w:rFonts w:ascii="Times New Roman" w:cs="Times New Roman" w:eastAsia="Times New Roman" w:hAnsi="Times New Roman"/>
          <w:sz w:val="17"/>
          <w:szCs w:val="17"/>
          <w:color w:val="auto"/>
        </w:rPr>
        <w:t>We successfully negotiated a long-term agreement with Lonza for the manufacture of KSI-301. This agreement will provide Kodiak with a custom-built bioconjugation facility with a capacity to supply millions of doses per year. With construction targeted for completion in early 2022, the Lonza-Kodiak Ibex facility will provide Kodiak with the facility needed for commercial-scale manufacturing of KSI-301. The scale is designed to support KSI-301’s potential to achieve significant market share as a new first-line agent designed to improve outcomes for patients with common and serious retinal vascular diseases.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117"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We are continuing to monitor the global ongoing COVID-19 pandemic. Since the initial outbreak in early 2020, governments globally have taken preventative and protective actions, including but not limited to, restrictions on non-essential travel, business operations, and gatherings of individuals. The State of California, where our corporate office is located, declared a state of emergency and shelter-in-place order in March 2020. Although certain restrictions have eased, and phased re-openings are underway, it is not certain when such restrictions will be fully lifted, and recent resurgences in number and rates of infections, reactions to increased testing and/or further spreading of the virus may result in the return or implementation of more restrictive measures. Global financial markets have also experienced extreme volatility and as a result, economic uncertainties have arisen which could impact our operations and its financial position. The extent of the impact of the ongoing COVID-19 pandemic will depend on certain evolving developments, including the duration and spread of the outbreak, regulatory and private sector responses, and the impact on our employees, vendors including supply chain and clinical partners, all of which are uncertain and cannot be predicted.</w:t>
      </w:r>
    </w:p>
    <w:p>
      <w:pPr>
        <w:spacing w:after="0" w:line="76" w:lineRule="exact"/>
        <w:rPr>
          <w:sz w:val="20"/>
          <w:szCs w:val="20"/>
          <w:color w:val="auto"/>
        </w:rPr>
      </w:pPr>
    </w:p>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We continue to monitor government responses and may elect to temporarily close our office and/or laboratory space to protect our employees. We continue to assess the potential for supply chain disruptions as the pandemic may impact personnel at third party manufacturing facilities in China, Switzerland and other countries, as well as its impact on the availability and/or cost of materials. We continue to monitor financial markets and the impact on our operations and capital resources.</w:t>
      </w:r>
    </w:p>
    <w:p>
      <w:pPr>
        <w:spacing w:after="0" w:line="70" w:lineRule="exact"/>
        <w:rPr>
          <w:sz w:val="20"/>
          <w:szCs w:val="20"/>
          <w:color w:val="auto"/>
        </w:rPr>
      </w:pPr>
    </w:p>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We and our key clinical and manufacturing partners have been able to continue to advance our operations. 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pandemic towards achieving our “2022 Vision.”</w:t>
      </w:r>
    </w:p>
    <w:p>
      <w:pPr>
        <w:spacing w:after="0" w:line="63" w:lineRule="exact"/>
        <w:rPr>
          <w:sz w:val="20"/>
          <w:szCs w:val="20"/>
          <w:color w:val="auto"/>
        </w:rPr>
      </w:pPr>
    </w:p>
    <w:p>
      <w:pPr>
        <w:jc w:val="both"/>
        <w:ind w:right="140" w:firstLine="542"/>
        <w:spacing w:after="0" w:line="267" w:lineRule="auto"/>
        <w:rPr>
          <w:sz w:val="20"/>
          <w:szCs w:val="20"/>
          <w:color w:val="auto"/>
        </w:rPr>
      </w:pPr>
      <w:r>
        <w:rPr>
          <w:rFonts w:ascii="Times New Roman" w:cs="Times New Roman" w:eastAsia="Times New Roman" w:hAnsi="Times New Roman"/>
          <w:sz w:val="17"/>
          <w:szCs w:val="17"/>
          <w:color w:val="auto"/>
        </w:rPr>
        <w:t>During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are seeing low levels of patient missed visits.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response to the COVID-19 pandemic with regards to business operations, clinical trials, and manufacturing activities:</w:t>
      </w:r>
    </w:p>
    <w:p>
      <w:pPr>
        <w:spacing w:after="0" w:line="111" w:lineRule="exact"/>
        <w:rPr>
          <w:sz w:val="20"/>
          <w:szCs w:val="20"/>
          <w:color w:val="auto"/>
        </w:rPr>
      </w:pPr>
    </w:p>
    <w:p>
      <w:pPr>
        <w:ind w:left="660" w:right="80" w:hanging="121"/>
        <w:spacing w:after="0" w:line="267"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taken steps in line with guidance from the U.S. Centers for Disease Control and Prevention, or CDC, and the State of California to protect the health and safety of our employees and the community. In particular, we have implemented remote work arrangements for certain employees since March 17, 2020.</w:t>
      </w:r>
    </w:p>
    <w:p>
      <w:pPr>
        <w:spacing w:after="0" w:line="63" w:lineRule="exact"/>
        <w:rPr>
          <w:rFonts w:ascii="Times New Roman" w:cs="Times New Roman" w:eastAsia="Times New Roman" w:hAnsi="Times New Roman"/>
          <w:sz w:val="17"/>
          <w:szCs w:val="17"/>
          <w:color w:val="auto"/>
        </w:rPr>
      </w:pPr>
    </w:p>
    <w:p>
      <w:pPr>
        <w:ind w:left="660" w:hanging="121"/>
        <w:spacing w:after="0" w:line="25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working closely with our clinical trial sites to monitor and attempt to minimize the potential impacts of the evolving COVID-19 pandemic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Since the month of March 2020, the rate of missed study visits has remained &lt;5%. As of now, we have not experienced significant delays to our ongoing or planned clinical trials; however, this could change rapidly depending on the dynamics of the pandemic.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ind w:left="660" w:right="120" w:hanging="121"/>
        <w:spacing w:after="0" w:line="283"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2020, we restarted patient recruitment activities at certain sites in EU countries. DAZZLE study sites in the EU were activated in the first quarter of 2020, but we deferred study patient enrollment until June due to the pandemic.</w:t>
      </w:r>
    </w:p>
    <w:p>
      <w:pPr>
        <w:spacing w:after="0" w:line="50" w:lineRule="exact"/>
        <w:rPr>
          <w:rFonts w:ascii="Times New Roman" w:cs="Times New Roman" w:eastAsia="Times New Roman" w:hAnsi="Times New Roman"/>
          <w:sz w:val="17"/>
          <w:szCs w:val="17"/>
          <w:color w:val="auto"/>
        </w:rPr>
      </w:pPr>
    </w:p>
    <w:p>
      <w:pPr>
        <w:ind w:left="660" w:hanging="121"/>
        <w:spacing w:after="0" w:line="257"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minimize the potential for disruption of our pivotal studies of KSI-301, we have refined our study designs, including sample size and country selection. We began enrollment of our pivotal DME (GLEAM and GLIMMER) and RVO (BEACON) studies in the third quarter of 2020 in the United States and aim to initiate the pivotal study in non-proliferative DR (GLOW) in the first half of 2021, dependent on the continued evolution of the COVID-19 pandemic. Ex-U.S. clinical trial application submissions are underway for GLEAM, GLIMMER and BEACON, and most have already been approved; recruitment activities are now underway in the EU. We believe we are still on track to achieve our “2022 Vision” objective of filing a single BLA in 2022 for KSI-301 in wet AMD, DME and RVO.</w:t>
      </w:r>
    </w:p>
    <w:p>
      <w:pPr>
        <w:spacing w:after="0" w:line="72" w:lineRule="exact"/>
        <w:rPr>
          <w:rFonts w:ascii="Times New Roman" w:cs="Times New Roman" w:eastAsia="Times New Roman" w:hAnsi="Times New Roman"/>
          <w:sz w:val="17"/>
          <w:szCs w:val="17"/>
          <w:color w:val="auto"/>
        </w:rPr>
      </w:pPr>
    </w:p>
    <w:p>
      <w:pPr>
        <w:ind w:left="660" w:right="480" w:hanging="121"/>
        <w:spacing w:after="0" w:line="283"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supply chain and manufacturing activities remain intact, and we do not currently anticipate disruptions to our clinical supply of KSI-301 due to COVID-19.</w:t>
      </w:r>
    </w:p>
    <w:p>
      <w:pPr>
        <w:spacing w:after="0" w:line="50" w:lineRule="exact"/>
        <w:rPr>
          <w:rFonts w:ascii="Times New Roman" w:cs="Times New Roman" w:eastAsia="Times New Roman" w:hAnsi="Times New Roman"/>
          <w:sz w:val="17"/>
          <w:szCs w:val="17"/>
          <w:color w:val="auto"/>
        </w:rPr>
      </w:pPr>
    </w:p>
    <w:p>
      <w:pPr>
        <w:ind w:left="660" w:right="20" w:hanging="121"/>
        <w:spacing w:after="0" w:line="259"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 We are carefully monitoring any potential impacts to our manufacturing activities and timelines with the objective to intersect clinical timelines, manufacturing timelines and number of doses available in the first year(s) after commercial launch. We believe we are still on track for a close intersection of these three key elements.</w:t>
      </w:r>
    </w:p>
    <w:p>
      <w:pPr>
        <w:spacing w:after="0" w:line="70" w:lineRule="exact"/>
        <w:rPr>
          <w:sz w:val="20"/>
          <w:szCs w:val="20"/>
          <w:color w:val="auto"/>
        </w:rPr>
      </w:pPr>
    </w:p>
    <w:p>
      <w:pPr>
        <w:ind w:right="100" w:firstLine="542"/>
        <w:spacing w:after="0" w:line="261" w:lineRule="auto"/>
        <w:rPr>
          <w:sz w:val="20"/>
          <w:szCs w:val="20"/>
          <w:color w:val="auto"/>
        </w:rPr>
      </w:pPr>
      <w:r>
        <w:rPr>
          <w:rFonts w:ascii="Times New Roman" w:cs="Times New Roman" w:eastAsia="Times New Roman" w:hAnsi="Times New Roman"/>
          <w:sz w:val="17"/>
          <w:szCs w:val="17"/>
          <w:color w:val="auto"/>
        </w:rPr>
        <w:t>We will continue to monitor the COVID-19 situation closely. The ultimate impact of the ongoing COVID-19 pandemic on our business operations remains highly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Business Highlights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2020 and into the first quarter of 2021, additional highlights of our activities included:</w:t>
      </w:r>
    </w:p>
    <w:p>
      <w:pPr>
        <w:spacing w:after="0" w:line="107" w:lineRule="exact"/>
        <w:rPr>
          <w:sz w:val="20"/>
          <w:szCs w:val="20"/>
          <w:color w:val="auto"/>
        </w:rPr>
      </w:pPr>
    </w:p>
    <w:p>
      <w:pPr>
        <w:ind w:left="660" w:hanging="121"/>
        <w:spacing w:after="0" w:line="26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Completed Lease Agreement for Kodiak’s New U.S. corporate offices: </w:t>
      </w:r>
      <w:r>
        <w:rPr>
          <w:rFonts w:ascii="Times New Roman" w:cs="Times New Roman" w:eastAsia="Times New Roman" w:hAnsi="Times New Roman"/>
          <w:sz w:val="17"/>
          <w:szCs w:val="17"/>
          <w:color w:val="auto"/>
        </w:rPr>
        <w:t>We have leased approximately 82,662 square feet located at 1200 Page Mill Road,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Palo Alto, California and approximately 72,812 square feet located at 1250 Page Mill Road, Palo Alto, California. These newly leased buildings will serve as Kodiak’s U.S. corporate offices for office and laboratory space. We also leased approximately 10,750 square feet in Visp, Switzerland, for manufacturing support and supervision.</w:t>
      </w:r>
    </w:p>
    <w:p>
      <w:pPr>
        <w:spacing w:after="0" w:line="63" w:lineRule="exact"/>
        <w:rPr>
          <w:rFonts w:ascii="Times New Roman" w:cs="Times New Roman" w:eastAsia="Times New Roman" w:hAnsi="Times New Roman"/>
          <w:sz w:val="17"/>
          <w:szCs w:val="17"/>
          <w:color w:val="auto"/>
        </w:rPr>
      </w:pPr>
    </w:p>
    <w:p>
      <w:pPr>
        <w:ind w:left="660" w:right="20" w:hanging="121"/>
        <w:spacing w:after="0" w:line="269"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Supplemental Research Agreement with AbCellera: </w:t>
      </w:r>
      <w:r>
        <w:rPr>
          <w:rFonts w:ascii="Times New Roman" w:cs="Times New Roman" w:eastAsia="Times New Roman" w:hAnsi="Times New Roman"/>
          <w:sz w:val="17"/>
          <w:szCs w:val="17"/>
          <w:color w:val="auto"/>
        </w:rPr>
        <w:t>In October 2020, we announced that we entered a supplemental research agreement with AbCellera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 additional therapeutic antibody candidates for novel disease targets in ophthalmology in support of our evolving research pipeline. We intend to progress these and other product candidates to address high-prevalence ophthalmic diseases.</w:t>
      </w:r>
    </w:p>
    <w:p>
      <w:pPr>
        <w:spacing w:after="0" w:line="58" w:lineRule="exact"/>
        <w:rPr>
          <w:rFonts w:ascii="Times New Roman" w:cs="Times New Roman" w:eastAsia="Times New Roman" w:hAnsi="Times New Roman"/>
          <w:sz w:val="17"/>
          <w:szCs w:val="17"/>
          <w:color w:val="auto"/>
        </w:rPr>
      </w:pPr>
    </w:p>
    <w:p>
      <w:pPr>
        <w:ind w:left="660" w:right="340" w:hanging="121"/>
        <w:spacing w:after="0" w:line="260"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Appointment of Charles Bancroft to Board of Directors: </w:t>
      </w:r>
      <w:r>
        <w:rPr>
          <w:rFonts w:ascii="Times New Roman" w:cs="Times New Roman" w:eastAsia="Times New Roman" w:hAnsi="Times New Roman"/>
          <w:sz w:val="17"/>
          <w:szCs w:val="17"/>
          <w:color w:val="auto"/>
        </w:rPr>
        <w:t>Charles Bancroft, formerly Chief Financial Officer of Bristol Myers Squibb (BMS), joined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Kodiak’s Board of Directors as chair of our audit committee and member of our nominating and governance committee in April 2020. Mr. Bancroft recently retired from a successful career at BMS where he held a number of leadership roles in commercial, strategy and finance. Mr. Bancroft brings financial and management experience that will be vital to Kodiak as the company continues to scale and build its manufacturing and commercial capabilities.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Kodiak’s 2022 Vision and KSI-301 Accelerated Development Strategy</w:t>
      </w:r>
    </w:p>
    <w:p>
      <w:pPr>
        <w:spacing w:after="0" w:line="115"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We believe we remain on track to achieve our “2022 Vision” of a single BLA submission and initial FDA approval for KSI-301 in wet AMD, DME and RVO in 2022 with a total of four pivotal trials - two in DME (GLEAM and GLIMMER), one in wet AMD (DAZZLE) and one in RVO (BEACON). These studies, together with our ongoing pivotal study in wet AMD, will be the basis of our intended BLA and supplemental BLA submissions. We currently expect to submit the wet AMD, DME, and RVO indications in a single initial BLA for KSI-301 and the DR indication (to be studied in the Phase 3 GLOW trial) in a supplemental BLA in the United States. We may also begin one or more additional KSI-301 clinical studies in 2021 that could be beneficial for product labeling and/or reimbursement and market access purposes.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 w:name="page10"/>
    <w:bookmarkEnd w:id="9"/>
    <w:p>
      <w:pPr>
        <w:ind w:firstLine="542"/>
        <w:spacing w:after="0" w:line="283" w:lineRule="auto"/>
        <w:rPr>
          <w:sz w:val="20"/>
          <w:szCs w:val="20"/>
          <w:color w:val="auto"/>
        </w:rPr>
      </w:pPr>
      <w:r>
        <w:rPr>
          <w:rFonts w:ascii="Times New Roman" w:cs="Times New Roman" w:eastAsia="Times New Roman" w:hAnsi="Times New Roman"/>
          <w:sz w:val="17"/>
          <w:szCs w:val="17"/>
          <w:color w:val="auto"/>
        </w:rPr>
        <w:t>We continue to invest in our science and our pipeline, including our bispecific ABC product candidate KSI-501 for retinal vascular diseases with a strong inflammatory component and our new triplet ABC product candidate KSI-601 for the high prevalence multifactorial retinal disease dry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50165</wp:posOffset>
            </wp:positionV>
            <wp:extent cx="5492750" cy="3091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92750" cy="309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542"/>
        <w:spacing w:after="0" w:line="283" w:lineRule="auto"/>
        <w:rPr>
          <w:sz w:val="20"/>
          <w:szCs w:val="20"/>
          <w:color w:val="auto"/>
        </w:rPr>
      </w:pPr>
      <w:r>
        <w:rPr>
          <w:rFonts w:ascii="Times New Roman" w:cs="Times New Roman" w:eastAsia="Times New Roman" w:hAnsi="Times New Roman"/>
          <w:sz w:val="17"/>
          <w:szCs w:val="17"/>
          <w:color w:val="auto"/>
        </w:rPr>
        <w:t>Our 2022 Vision includes the following potential catalysts and milestones in 2021, 2022 and 2023, along with the important milestones achieved in 2019 and 2020 that support the accelerated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0" w:name="page11"/>
    <w:bookmarkEnd w:id="10"/>
    <w:p>
      <w:pPr>
        <w:jc w:val="both"/>
        <w:ind w:right="120" w:firstLine="542"/>
        <w:spacing w:after="0" w:line="267" w:lineRule="auto"/>
        <w:rPr>
          <w:sz w:val="20"/>
          <w:szCs w:val="20"/>
          <w:color w:val="auto"/>
        </w:rPr>
      </w:pPr>
      <w:r>
        <w:rPr>
          <w:rFonts w:ascii="Times New Roman" w:cs="Times New Roman" w:eastAsia="Times New Roman" w:hAnsi="Times New Roman"/>
          <w:sz w:val="17"/>
          <w:szCs w:val="17"/>
          <w:color w:val="auto"/>
        </w:rPr>
        <w:t>Our “2022 Vision” is built on the following concurrent development strategy. This table incorporates our most recent view of the KSI-301 clinical program and its execution, as described above, and we believe the successful prosecution of this program is achievable based on our currently available information and the evolving effects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58420</wp:posOffset>
            </wp:positionV>
            <wp:extent cx="5492750" cy="3082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Opportunity for Clinically Meaningful Differentiation</w:t>
      </w:r>
    </w:p>
    <w:p>
      <w:pPr>
        <w:spacing w:after="0" w:line="115"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Current intravitreal anti-VEGF agents require frequent eye injections to achieve the best clinical results. When patients do not follow product labeling or miss treatments, improvements in their vision following treatment may be transient or decline over time. Real-world data demonstrate that most patients are not currently receiving their anti-VEGF therapy at the recommended intervals. We believe that our ABC Platform medicines could address this problem by requiring less frequent dosing, and the Year 1 Phase 1b clinical data with KSI-301 support meaningfully differentiated clinical profiles of KSI-301 relative to standard of care in each of the major retinal diseases treated today with anti-VEGF therapy. The current standard of care treatment regimens and the dosing regimens Kodiak intends to test in its pivotal trials with KSI-301 are shown in the below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Retinal disease:</w:t>
            </w:r>
          </w:p>
        </w:tc>
        <w:tc>
          <w:tcPr>
            <w:tcW w:w="214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5"/>
                <w:szCs w:val="15"/>
                <w:b w:val="1"/>
                <w:bCs w:val="1"/>
                <w:color w:val="auto"/>
              </w:rPr>
              <w:t>Diabetic macular</w:t>
            </w:r>
          </w:p>
        </w:tc>
        <w:tc>
          <w:tcPr>
            <w:tcW w:w="20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Retinal vein</w:t>
            </w:r>
          </w:p>
        </w:tc>
        <w:tc>
          <w:tcPr>
            <w:tcW w:w="28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Non-proliferative</w:t>
            </w:r>
          </w:p>
        </w:tc>
        <w:tc>
          <w:tcPr>
            <w:tcW w:w="0" w:type="dxa"/>
            <w:vAlign w:val="bottom"/>
          </w:tcPr>
          <w:p>
            <w:pPr>
              <w:spacing w:after="0"/>
              <w:rPr>
                <w:sz w:val="1"/>
                <w:szCs w:val="1"/>
                <w:color w:val="auto"/>
              </w:rPr>
            </w:pPr>
          </w:p>
        </w:tc>
      </w:tr>
      <w:tr>
        <w:trPr>
          <w:trHeight w:val="203"/>
        </w:trPr>
        <w:tc>
          <w:tcPr>
            <w:tcW w:w="1700" w:type="dxa"/>
            <w:vAlign w:val="bottom"/>
            <w:vMerge w:val="continue"/>
          </w:tcPr>
          <w:p>
            <w:pPr>
              <w:spacing w:after="0"/>
              <w:rPr>
                <w:sz w:val="17"/>
                <w:szCs w:val="17"/>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Wet AMD</w:t>
            </w:r>
          </w:p>
        </w:tc>
        <w:tc>
          <w:tcPr>
            <w:tcW w:w="2480" w:type="dxa"/>
            <w:vAlign w:val="bottom"/>
          </w:tcPr>
          <w:p>
            <w:pPr>
              <w:ind w:left="780"/>
              <w:spacing w:after="0"/>
              <w:rPr>
                <w:sz w:val="20"/>
                <w:szCs w:val="20"/>
                <w:color w:val="auto"/>
              </w:rPr>
            </w:pPr>
            <w:r>
              <w:rPr>
                <w:rFonts w:ascii="Times New Roman" w:cs="Times New Roman" w:eastAsia="Times New Roman" w:hAnsi="Times New Roman"/>
                <w:sz w:val="15"/>
                <w:szCs w:val="15"/>
                <w:b w:val="1"/>
                <w:bCs w:val="1"/>
                <w:color w:val="auto"/>
              </w:rPr>
              <w:t>edema</w:t>
            </w:r>
          </w:p>
        </w:tc>
        <w:tc>
          <w:tcPr>
            <w:tcW w:w="2060" w:type="dxa"/>
            <w:vAlign w:val="bottom"/>
          </w:tcPr>
          <w:p>
            <w:pPr>
              <w:ind w:left="560"/>
              <w:spacing w:after="0"/>
              <w:rPr>
                <w:sz w:val="20"/>
                <w:szCs w:val="20"/>
                <w:color w:val="auto"/>
              </w:rPr>
            </w:pPr>
            <w:r>
              <w:rPr>
                <w:rFonts w:ascii="Times New Roman" w:cs="Times New Roman" w:eastAsia="Times New Roman" w:hAnsi="Times New Roman"/>
                <w:sz w:val="15"/>
                <w:szCs w:val="15"/>
                <w:b w:val="1"/>
                <w:bCs w:val="1"/>
                <w:color w:val="auto"/>
              </w:rPr>
              <w:t>occlusion</w:t>
            </w:r>
          </w:p>
        </w:tc>
        <w:tc>
          <w:tcPr>
            <w:tcW w:w="286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rPr>
              <w:t>diabetic retinopathy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Current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i w:val="1"/>
          <w:iCs w:val="1"/>
          <w:color w:val="auto"/>
        </w:rPr>
        <w:t>Kodiak’s Potential Dosing Regimen for KSI-301 (as studied in ongoing or anticipated pivotal trials)</w:t>
      </w:r>
    </w:p>
    <w:p>
      <w:pPr>
        <w:spacing w:after="0" w:line="20" w:lineRule="exact"/>
        <w:rPr>
          <w:sz w:val="20"/>
          <w:szCs w:val="20"/>
          <w:color w:val="auto"/>
        </w:rPr>
      </w:pPr>
      <w:r>
        <w:rPr>
          <w:sz w:val="20"/>
          <w:szCs w:val="20"/>
          <w:color w:val="auto"/>
        </w:rPr>
        <w:br w:type="column"/>
      </w:r>
    </w:p>
    <w:p>
      <w:pPr>
        <w:jc w:val="both"/>
        <w:ind w:right="300"/>
        <w:spacing w:after="0" w:line="267" w:lineRule="auto"/>
        <w:rPr>
          <w:sz w:val="20"/>
          <w:szCs w:val="20"/>
          <w:color w:val="auto"/>
        </w:rPr>
      </w:pPr>
      <w:r>
        <w:rPr>
          <w:rFonts w:ascii="Times New Roman" w:cs="Times New Roman" w:eastAsia="Times New Roman" w:hAnsi="Times New Roman"/>
          <w:sz w:val="17"/>
          <w:szCs w:val="17"/>
          <w:color w:val="auto"/>
        </w:rPr>
        <w:t>Aflibercept once every 2 months, after 3 monthly loading doses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KSI-301 once every 3, 4 or 5 months, after 3 monthly loading doses</w:t>
      </w:r>
    </w:p>
    <w:p>
      <w:pPr>
        <w:spacing w:after="0" w:line="20" w:lineRule="exact"/>
        <w:rPr>
          <w:sz w:val="20"/>
          <w:szCs w:val="20"/>
          <w:color w:val="auto"/>
        </w:rPr>
      </w:pPr>
      <w:r>
        <w:rPr>
          <w:sz w:val="20"/>
          <w:szCs w:val="20"/>
          <w:color w:val="auto"/>
        </w:rPr>
        <w:br w:type="column"/>
      </w: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Aflibercept once every 2 months, after 5 monthly loading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-411480</wp:posOffset>
            </wp:positionV>
            <wp:extent cx="7139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KSI-301 once every 2 to 6 months, after 3 monthly loading doses</w:t>
      </w:r>
    </w:p>
    <w:p>
      <w:pPr>
        <w:spacing w:after="0" w:line="20" w:lineRule="exact"/>
        <w:rPr>
          <w:sz w:val="20"/>
          <w:szCs w:val="20"/>
          <w:color w:val="auto"/>
        </w:rPr>
      </w:pPr>
      <w:r>
        <w:rPr>
          <w:sz w:val="20"/>
          <w:szCs w:val="20"/>
          <w:color w:val="auto"/>
        </w:rPr>
        <w:br w:type="column"/>
      </w:r>
    </w:p>
    <w:p>
      <w:pPr>
        <w:spacing w:after="0" w:line="315" w:lineRule="auto"/>
        <w:rPr>
          <w:sz w:val="20"/>
          <w:szCs w:val="20"/>
          <w:color w:val="auto"/>
        </w:rPr>
      </w:pPr>
      <w:r>
        <w:rPr>
          <w:rFonts w:ascii="Times New Roman" w:cs="Times New Roman" w:eastAsia="Times New Roman" w:hAnsi="Times New Roman"/>
          <w:sz w:val="16"/>
          <w:szCs w:val="16"/>
          <w:color w:val="auto"/>
        </w:rPr>
        <w:t>Aflibercept once monthly (for both Branch and Central RVO)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KSI-301 once every 2 months or longer, after 2 monthly loading doses</w:t>
      </w:r>
    </w:p>
    <w:p>
      <w:pPr>
        <w:spacing w:after="0" w:line="20" w:lineRule="exact"/>
        <w:rPr>
          <w:sz w:val="20"/>
          <w:szCs w:val="20"/>
          <w:color w:val="auto"/>
        </w:rPr>
      </w:pPr>
      <w:r>
        <w:rPr>
          <w:sz w:val="20"/>
          <w:szCs w:val="20"/>
          <w:color w:val="auto"/>
        </w:rPr>
        <w:br w:type="column"/>
      </w:r>
    </w:p>
    <w:p>
      <w:pPr>
        <w:jc w:val="both"/>
        <w:ind w:right="400" w:firstLine="34"/>
        <w:spacing w:after="0" w:line="267" w:lineRule="auto"/>
        <w:rPr>
          <w:sz w:val="20"/>
          <w:szCs w:val="20"/>
          <w:color w:val="auto"/>
        </w:rPr>
      </w:pPr>
      <w:r>
        <w:rPr>
          <w:rFonts w:ascii="Times New Roman" w:cs="Times New Roman" w:eastAsia="Times New Roman" w:hAnsi="Times New Roman"/>
          <w:sz w:val="17"/>
          <w:szCs w:val="17"/>
          <w:color w:val="auto"/>
        </w:rPr>
        <w:t>Aflibercept once every 2 months, after 5 monthly loading doses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KSI-301 once every 6 months, after 3 initiating doses</w:t>
      </w:r>
    </w:p>
    <w:p>
      <w:pPr>
        <w:spacing w:after="0" w:line="569" w:lineRule="exact"/>
        <w:rPr>
          <w:sz w:val="20"/>
          <w:szCs w:val="20"/>
          <w:color w:val="auto"/>
        </w:rPr>
      </w:pPr>
    </w:p>
    <w:p>
      <w:pPr>
        <w:sectPr>
          <w:pgSz w:w="11900" w:h="16838" w:orient="portrait"/>
          <w:cols w:equalWidth="0" w:num="5">
            <w:col w:w="2240" w:space="140"/>
            <w:col w:w="1980" w:space="260"/>
            <w:col w:w="1820" w:space="440"/>
            <w:col w:w="2120" w:space="120"/>
            <w:col w:w="2120"/>
          </w:cols>
          <w:pgMar w:left="320" w:top="2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Data From Our Ongoing Phase 1b Trial Continue to Demonstrate KSI-301’s Differentiated Profile</w:t>
      </w:r>
    </w:p>
    <w:p>
      <w:pPr>
        <w:spacing w:after="0" w:line="115" w:lineRule="exact"/>
        <w:rPr>
          <w:sz w:val="20"/>
          <w:szCs w:val="20"/>
          <w:color w:val="auto"/>
        </w:rPr>
      </w:pPr>
    </w:p>
    <w:p>
      <w:pPr>
        <w:ind w:right="480" w:firstLine="542"/>
        <w:spacing w:after="0" w:line="283" w:lineRule="auto"/>
        <w:rPr>
          <w:sz w:val="20"/>
          <w:szCs w:val="20"/>
          <w:color w:val="auto"/>
        </w:rPr>
      </w:pPr>
      <w:r>
        <w:rPr>
          <w:rFonts w:ascii="Times New Roman" w:cs="Times New Roman" w:eastAsia="Times New Roman" w:hAnsi="Times New Roman"/>
          <w:sz w:val="17"/>
          <w:szCs w:val="17"/>
          <w:color w:val="auto"/>
        </w:rPr>
        <w:t>We have continued to make progress with our studies of KSI-301, and the Year 1 durability, efficacy and safety data we observe in the Phase 1b study continue to surpass our expectations. We now have more than 168 patient-years of clinical experience with KSI-301 in the Phase 1b study.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1" w:name="page12"/>
    <w:bookmarkEnd w:id="11"/>
    <w:p>
      <w:pPr>
        <w:ind w:right="320" w:firstLine="542"/>
        <w:spacing w:after="0" w:line="261" w:lineRule="auto"/>
        <w:rPr>
          <w:sz w:val="20"/>
          <w:szCs w:val="20"/>
          <w:color w:val="auto"/>
        </w:rPr>
      </w:pPr>
      <w:r>
        <w:rPr>
          <w:rFonts w:ascii="Times New Roman" w:cs="Times New Roman" w:eastAsia="Times New Roman" w:hAnsi="Times New Roman"/>
          <w:sz w:val="17"/>
          <w:szCs w:val="17"/>
          <w:color w:val="auto"/>
        </w:rPr>
        <w:t>The overall study duration was originally nine and then 18 months, and we have now extended the treatment and follow-up period to 36 months total, to continue generating long-term outcomes data in advance of the pivotal studies. Outcomes include vision, measured as change in best corrected visual acuity or BCVA using the standard ETDRS testing protocol, and retinal anatomy, which is measured as change in retinal central subfield thickness, or CST, using optical coherence tomography imaging, or OCT. We also obtain other images such as fluorescein angiography, color fundus photos, and OCT angiography.</w:t>
      </w:r>
    </w:p>
    <w:p>
      <w:pPr>
        <w:spacing w:after="0" w:line="70" w:lineRule="exact"/>
        <w:rPr>
          <w:sz w:val="20"/>
          <w:szCs w:val="20"/>
          <w:color w:val="auto"/>
        </w:rPr>
      </w:pPr>
    </w:p>
    <w:p>
      <w:pPr>
        <w:ind w:right="140" w:firstLine="542"/>
        <w:spacing w:after="0" w:line="256" w:lineRule="auto"/>
        <w:rPr>
          <w:sz w:val="20"/>
          <w:szCs w:val="20"/>
          <w:color w:val="auto"/>
        </w:rPr>
      </w:pPr>
      <w:r>
        <w:rPr>
          <w:rFonts w:ascii="Times New Roman" w:cs="Times New Roman" w:eastAsia="Times New Roman" w:hAnsi="Times New Roman"/>
          <w:sz w:val="17"/>
          <w:szCs w:val="17"/>
          <w:color w:val="auto"/>
        </w:rPr>
        <w:t>The figures below present the most recent data on durability and efficacy outcomes from the ongoing Phase 1b study presented at the Angiogenesis, Exudation, and Degeneration 2021 - Virtual Edition meeting, held in February 2021. Across all three diseases under study, improvements in vision and retinal anatomy were observed through Year 1 of patient follow-up, with stability in OCT and BCVA over time in the monthly follow-up intervals following the three mandatory loading doses. Year 1 data show 2 in every 3 patients are on a 6-month or longer treatment-free interval at Year 1 in each of the 3 major retinal vascular diseases after only 3 loading doses. Strong anti-VEGF efficacy (achieving at Year 1 ~20/40 eye chart vision on average in wAMD and ~20/32 vision on average in DME and RVO) and an encouraging safety profile continue to be observed across all three diseases. Vision is measured as change in BCVA, on a standardized eye chart, and retinal anatomy is measured as change in retinal CST using OCT imaging.</w:t>
      </w:r>
    </w:p>
    <w:p>
      <w:pPr>
        <w:spacing w:after="0" w:line="74"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The Phase 1b study design, retreatment criteria, and patient baseline characteristics are described below. In the Phase 1b study, treatment-naïve patients with wet AMD, DME or RVO receive three monthly loading doses of KSI-301 at either the 2.5 mg or 5 mg dose levels and are followed thereafter; retreatment with KSI-301 is administered as per the protocol-specified retreatment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58420</wp:posOffset>
            </wp:positionV>
            <wp:extent cx="5492750" cy="3082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161925</wp:posOffset>
            </wp:positionV>
            <wp:extent cx="5492750" cy="3082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3780155</wp:posOffset>
            </wp:positionV>
            <wp:extent cx="5452110" cy="567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452110" cy="56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60" w:type="dxa"/>
            <w:vAlign w:val="bottom"/>
          </w:tcPr>
          <w:p>
            <w:pPr>
              <w:spacing w:after="0"/>
              <w:rPr>
                <w:sz w:val="17"/>
                <w:szCs w:val="17"/>
                <w:color w:val="auto"/>
              </w:rPr>
            </w:pPr>
          </w:p>
        </w:tc>
        <w:tc>
          <w:tcPr>
            <w:tcW w:w="3600" w:type="dxa"/>
            <w:vAlign w:val="bottom"/>
            <w:gridSpan w:val="2"/>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wet AMD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DME</w:t>
            </w:r>
          </w:p>
        </w:tc>
        <w:tc>
          <w:tcPr>
            <w:tcW w:w="76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RVO</w:t>
            </w:r>
          </w:p>
        </w:tc>
        <w:tc>
          <w:tcPr>
            <w:tcW w:w="440" w:type="dxa"/>
            <w:vAlign w:val="bottom"/>
          </w:tcPr>
          <w:p>
            <w:pPr>
              <w:spacing w:after="0"/>
              <w:rPr>
                <w:sz w:val="17"/>
                <w:szCs w:val="17"/>
                <w:color w:val="auto"/>
              </w:rPr>
            </w:pPr>
          </w:p>
        </w:tc>
      </w:tr>
      <w:tr>
        <w:trPr>
          <w:trHeight w:val="217"/>
        </w:trPr>
        <w:tc>
          <w:tcPr>
            <w:tcW w:w="47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cohort</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cohort</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cohort</w:t>
            </w:r>
          </w:p>
        </w:tc>
        <w:tc>
          <w:tcPr>
            <w:tcW w:w="440" w:type="dxa"/>
            <w:vAlign w:val="bottom"/>
          </w:tcPr>
          <w:p>
            <w:pPr>
              <w:spacing w:after="0"/>
              <w:rPr>
                <w:sz w:val="18"/>
                <w:szCs w:val="18"/>
                <w:color w:val="auto"/>
              </w:rPr>
            </w:pPr>
          </w:p>
        </w:tc>
      </w:tr>
      <w:tr>
        <w:trPr>
          <w:trHeight w:val="225"/>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Variable</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(n=51)</w:t>
            </w: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(n=35)</w:t>
            </w: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(n=35)</w:t>
            </w:r>
          </w:p>
        </w:tc>
        <w:tc>
          <w:tcPr>
            <w:tcW w:w="440" w:type="dxa"/>
            <w:vAlign w:val="bottom"/>
            <w:tcBorders>
              <w:bottom w:val="single" w:sz="8" w:color="auto"/>
            </w:tcBorders>
          </w:tcPr>
          <w:p>
            <w:pPr>
              <w:spacing w:after="0"/>
              <w:rPr>
                <w:sz w:val="19"/>
                <w:szCs w:val="19"/>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Age, mean (SD), years</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76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(10.5)</w:t>
            </w:r>
          </w:p>
        </w:tc>
        <w:tc>
          <w:tcPr>
            <w:tcW w:w="16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59.7 (11.7)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7"/>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Gender, n (%), female</w:t>
            </w: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(62.7)</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(40.0)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1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Race, n (%), White</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76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(94.1)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76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(80.0)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17"/>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BCVA, mean (SD), ETDRS letters</w:t>
            </w: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(13.3)</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(10.2)</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Snellen equivalent</w:t>
            </w:r>
          </w:p>
        </w:tc>
        <w:tc>
          <w:tcPr>
            <w:tcW w:w="36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~20/50</w:t>
            </w:r>
          </w:p>
        </w:tc>
        <w:tc>
          <w:tcPr>
            <w:tcW w:w="16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~20/50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w:t>
            </w:r>
          </w:p>
        </w:tc>
      </w:tr>
      <w:tr>
        <w:trPr>
          <w:trHeight w:val="217"/>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BCVA, Snellen 20/40 or better, n (%)</w:t>
            </w: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(39.2)</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(45.7)</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1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OCT CST, mean (SD), microns</w:t>
            </w:r>
          </w:p>
        </w:tc>
        <w:tc>
          <w:tcPr>
            <w:tcW w:w="36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450 (182)</w:t>
            </w:r>
          </w:p>
        </w:tc>
        <w:tc>
          <w:tcPr>
            <w:tcW w:w="160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453 (110)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 (237)</w:t>
            </w:r>
          </w:p>
        </w:tc>
      </w:tr>
    </w:tbl>
    <w:p>
      <w:pPr>
        <w:spacing w:after="0" w:line="82" w:lineRule="exact"/>
        <w:rPr>
          <w:sz w:val="20"/>
          <w:szCs w:val="20"/>
          <w:color w:val="auto"/>
        </w:rPr>
      </w:pPr>
    </w:p>
    <w:p>
      <w:pPr>
        <w:ind w:left="5580" w:right="3320" w:hanging="5036"/>
        <w:spacing w:after="0" w:line="644" w:lineRule="auto"/>
        <w:rPr>
          <w:sz w:val="20"/>
          <w:szCs w:val="20"/>
          <w:color w:val="auto"/>
        </w:rPr>
      </w:pPr>
      <w:r>
        <w:rPr>
          <w:rFonts w:ascii="Times New Roman" w:cs="Times New Roman" w:eastAsia="Times New Roman" w:hAnsi="Times New Roman"/>
          <w:sz w:val="14"/>
          <w:szCs w:val="14"/>
          <w:color w:val="auto"/>
        </w:rPr>
        <w:t xml:space="preserve">SD = standard deviation; BCVA = best corrected visual acuity; OCT = optical coherence tomography; CST = central subfield thickness </w:t>
      </w: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13994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ind w:right="220" w:firstLine="542"/>
        <w:spacing w:after="0" w:line="261" w:lineRule="auto"/>
        <w:rPr>
          <w:sz w:val="20"/>
          <w:szCs w:val="20"/>
          <w:color w:val="auto"/>
        </w:rPr>
      </w:pPr>
      <w:r>
        <w:rPr>
          <w:rFonts w:ascii="Times New Roman" w:cs="Times New Roman" w:eastAsia="Times New Roman" w:hAnsi="Times New Roman"/>
          <w:sz w:val="17"/>
          <w:szCs w:val="17"/>
          <w:color w:val="auto"/>
        </w:rPr>
        <w:t>The Phase 1b data in treatment-naïve patients demonstrate that the observed vision gains of 5.7 letters in wet AMD and 7.6 letters in DME at Year 1 are appropriate for the relatively high baseline vision. After one year of treatment, wet AMD subjects in our Phase 1b study were observed to have an average visual acuity of 69.7 eye chart letters or approximately 20/40 Snellen visual acuity, and DME subjects were observed to have an average visual acuity of 73.9 eye chart letters or approximately Snellen 20/32.</w:t>
      </w:r>
    </w:p>
    <w:p>
      <w:pPr>
        <w:spacing w:after="0" w:line="70"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Although out Phase 1b study does not have an active comparator, the chart below places the observed baseline (pre-treatment) and one-year visual acuity outcomes in the context of the starting and one-year visual acuity metrics seen in other recent and historical clinical trials and also demonstrates how post-treatment average visual acuity is dependent on the starting (baseline)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50165</wp:posOffset>
            </wp:positionV>
            <wp:extent cx="5492750" cy="3082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Wet AMD</w:t>
      </w:r>
    </w:p>
    <w:p>
      <w:pPr>
        <w:spacing w:after="0" w:line="115"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The data below are observed from 50 wet AMD patients who received all loading doses and reached Week 12 or later. These patients had good starting vision, approximately 64 letters. They experienced a visual acuity increase after 3 loading doses and maintained a gain of 5.7 letters, to an average BCVA of 69.7 letters (Snellen ~20/40), achieved with a mean of just 2.0 individualized doses. Supporting the extended durability, we see only a very slow fluctuation in the OCT over time, which compares favorably to the OCT fluctuations observed with existing anti-VEGFs given on shorter dosing intervals. The stability in BCVA over this interval is also consistent with the prolonged duration of KSI-301.</w:t>
      </w:r>
    </w:p>
    <w:p>
      <w:pPr>
        <w:spacing w:after="0" w:line="70"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In the Phase 1b study, the average retinal thickness or OCT CST data as reported by our clinical investigators includes the height of pigment epithelial detachments or PEDs. PEDs are an anatomic feature in some patients with wet AMD; treatment success in subjects with PEDs does not necessarily imply complete flattening of the PED, but rather eliminating the intraretinal and subretinal fluid, particularly when the PED is very high prior to anti-VEGF treatment. Additionally, comparison across studies of OCT mean CST values is difficult because it is often not clear or not disclosed in presentations and publications whether the data include or exclude the height of the PED, and whether or how the data are corrected for different OCT machine, among other reasons.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542"/>
        <w:spacing w:after="0" w:line="267" w:lineRule="auto"/>
        <w:rPr>
          <w:sz w:val="20"/>
          <w:szCs w:val="20"/>
          <w:color w:val="auto"/>
        </w:rPr>
      </w:pPr>
      <w:r>
        <w:rPr>
          <w:rFonts w:ascii="Times New Roman" w:cs="Times New Roman" w:eastAsia="Times New Roman" w:hAnsi="Times New Roman"/>
          <w:sz w:val="17"/>
          <w:szCs w:val="17"/>
          <w:color w:val="auto"/>
        </w:rPr>
        <w:t>When comparing subjects with and without very high PED at baseline, which we defined as 500 microns or more total CST, the BCVA and OCT CST curves are similar in shape to those of the full cohort. Excluding give patients with high PEDs, the OCT CST values are lower at baseline and over time, and the standard error of the mean (SEM) error bars are narrower. Thus, those five patients with high PEDs thus pull the overall average CST value up.</w:t>
      </w:r>
    </w:p>
    <w:p>
      <w:pPr>
        <w:spacing w:after="0" w:line="63"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Excluding those patients, the average retinal center subfield thickness is 316 microns after initiation of treatment with KSI-301, as measured using the Heidelberg OCT machine employed by the Phase 1b study sites, in which 305 microns is normal for a healthy (no AMD) female and 315 microns is normal for a healthy male.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5" w:name="page16"/>
    <w:bookmarkEnd w:id="15"/>
    <w:p>
      <w:pPr>
        <w:ind w:firstLine="542"/>
        <w:spacing w:after="0" w:line="261" w:lineRule="auto"/>
        <w:rPr>
          <w:sz w:val="20"/>
          <w:szCs w:val="20"/>
          <w:color w:val="auto"/>
        </w:rPr>
      </w:pPr>
      <w:r>
        <w:rPr>
          <w:rFonts w:ascii="Times New Roman" w:cs="Times New Roman" w:eastAsia="Times New Roman" w:hAnsi="Times New Roman"/>
          <w:sz w:val="17"/>
          <w:szCs w:val="17"/>
          <w:color w:val="auto"/>
        </w:rPr>
        <w:t>Overall, 66% of our wet AMD patients have achieved a 6-months treatment-free interval at Year 1 and 74% of patients achieved a five months or longer treatment-free interval at Year 1. 80% of patients have received two or fewer retreatments in Year 1. Remarkably, 80% of these wet AMD patients have achieved a 6-month treatment free interval at least once during follow-up. As this is an anti-VEGF treatment naïve population, there is no pre-selection for “anti-VEGF responders” or patients who might require or be predicted to require less frequent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3082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542"/>
        <w:spacing w:after="0" w:line="261" w:lineRule="auto"/>
        <w:rPr>
          <w:sz w:val="20"/>
          <w:szCs w:val="20"/>
          <w:color w:val="auto"/>
        </w:rPr>
      </w:pPr>
      <w:r>
        <w:rPr>
          <w:rFonts w:ascii="Times New Roman" w:cs="Times New Roman" w:eastAsia="Times New Roman" w:hAnsi="Times New Roman"/>
          <w:sz w:val="17"/>
          <w:szCs w:val="17"/>
          <w:color w:val="auto"/>
        </w:rPr>
        <w:t>The data generated in wAMD patients in the Phase 1b study form a compelling data package. At Year 1, KSI-301 is achieving remarkable durability, strong efficacy that brings patients to an average ~20/40 vision on the Snellen chart and a favorable safety profile. Together with strong anti-VEGF activity on both vision (BCVA gains) and retinal anatomy (OCT drying) in the DME and RVO cohorts of the Phase 1b, we believe KSI-301 continues to track well towards its “Generation 2.0” profile.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Diabetic Macular Edema (DME)</w:t>
      </w:r>
    </w:p>
    <w:p>
      <w:pPr>
        <w:spacing w:after="0" w:line="128" w:lineRule="exact"/>
        <w:rPr>
          <w:sz w:val="20"/>
          <w:szCs w:val="20"/>
          <w:color w:val="auto"/>
        </w:rPr>
      </w:pPr>
    </w:p>
    <w:p>
      <w:pPr>
        <w:ind w:right="260" w:firstLine="542"/>
        <w:spacing w:after="0" w:line="261" w:lineRule="auto"/>
        <w:rPr>
          <w:sz w:val="20"/>
          <w:szCs w:val="20"/>
          <w:color w:val="auto"/>
        </w:rPr>
      </w:pPr>
      <w:r>
        <w:rPr>
          <w:rFonts w:ascii="Times New Roman" w:cs="Times New Roman" w:eastAsia="Times New Roman" w:hAnsi="Times New Roman"/>
          <w:sz w:val="17"/>
          <w:szCs w:val="17"/>
          <w:color w:val="auto"/>
        </w:rPr>
        <w:t>We measure KSI-301 efficacy data in treatment naïve DME as change from baseline in BCVA and OCT CST. Below are data from the 32 DME patients who received all loading doses and reached Week 12 or later. These patients had good starting vision, approximately 66 letters. They experienced a visual acuity increase after three loading doses and maintained a gain of 7.6 letters, to an average BCVA of 73.9 letters (Snellen ~20/32), achieved with a mean of just 1.0 retreatments.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ind w:firstLine="542"/>
        <w:spacing w:after="0" w:line="283" w:lineRule="auto"/>
        <w:rPr>
          <w:sz w:val="20"/>
          <w:szCs w:val="20"/>
          <w:color w:val="auto"/>
        </w:rPr>
      </w:pPr>
      <w:r>
        <w:rPr>
          <w:rFonts w:ascii="Times New Roman" w:cs="Times New Roman" w:eastAsia="Times New Roman" w:hAnsi="Times New Roman"/>
          <w:sz w:val="17"/>
          <w:szCs w:val="17"/>
          <w:color w:val="auto"/>
        </w:rPr>
        <w:t>Consistent with the extended durability effect of KSI-301, we see again only slight fluctuations in the OCT over time, which compares favorably to the OCT fluctuations observed with existing anti-VEGF agents that are given on shorter dosing intervals.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41910</wp:posOffset>
            </wp:positionV>
            <wp:extent cx="5492750" cy="3082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 w:name="page19"/>
    <w:bookmarkEnd w:id="18"/>
    <w:p>
      <w:pPr>
        <w:jc w:val="both"/>
        <w:ind w:firstLine="542"/>
        <w:spacing w:after="0" w:line="261" w:lineRule="auto"/>
        <w:rPr>
          <w:sz w:val="20"/>
          <w:szCs w:val="20"/>
          <w:color w:val="auto"/>
        </w:rPr>
      </w:pPr>
      <w:r>
        <w:rPr>
          <w:rFonts w:ascii="Times New Roman" w:cs="Times New Roman" w:eastAsia="Times New Roman" w:hAnsi="Times New Roman"/>
          <w:sz w:val="17"/>
          <w:szCs w:val="17"/>
          <w:color w:val="auto"/>
        </w:rPr>
        <w:t>The swim lane plot for DME durability is shown below. At Year 1, 94% of DME patients have achieved a three months or longer treatment-free interval. Of these patients, 84% have gone four months or longer, and 78% five months or longer at Year 1. Further, 69% have gone six-months or longer – as there is no cap to the treatment interval in the DME cohort. Half of patients did not require any retreatment at Year 1. 81% of patients have achieved a six months or longer treatment-free interval at least once during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6231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2750" cy="623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Retinal Vein Occlusion (RVO)</w:t>
      </w:r>
    </w:p>
    <w:p>
      <w:pPr>
        <w:spacing w:after="0" w:line="11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KSI-301 efficacy in treatment naïve RVO is also measured as change from baseline in BCVA and OCT CST. The 34 RVO patients that received all loading doses and reached Week 12 or later began with a lower visual acuity baseline of approximately 54 letters, typical of this disease. After three loading doses, their visual acuity substantially improved, with a 22.2 letter improvement at Year 1, to an average vision of 76.6 letters (Snellen ~20/32). The vision gain was maintained with an average of just 1.7 injections. A sustained OCT response with a decrease of 357 microns was also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3082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ind w:firstLine="542"/>
        <w:spacing w:after="0" w:line="259" w:lineRule="auto"/>
        <w:rPr>
          <w:sz w:val="20"/>
          <w:szCs w:val="20"/>
          <w:color w:val="auto"/>
        </w:rPr>
      </w:pPr>
      <w:r>
        <w:rPr>
          <w:rFonts w:ascii="Times New Roman" w:cs="Times New Roman" w:eastAsia="Times New Roman" w:hAnsi="Times New Roman"/>
          <w:sz w:val="17"/>
          <w:szCs w:val="17"/>
          <w:color w:val="auto"/>
        </w:rPr>
        <w:t>In this swim lane plot of the durability of individual patients with RVO, the disease with arguably the highest VEGF load, the bars in pink and orange now denote retreatment intervals of six months or longer and two months or shorter, respectively. 87% of RVO patients have achieved a three months or longer treatment-free interval at Year 1. Only 3% of patients were on a monthly treatment interval at Year 1. 75% of patients achieved a four months or longer treatment-free interval at Year 1, and 69% achieved a five months or longer interval at Year 1. Remarkably, given that many RVO patients require monthly therapy for the best results with existing medicines, 66% of patients have achieved a six months or longer treatment-free interval at Year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6231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2750" cy="623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Safety of KSI-301 Injections</w:t>
      </w:r>
    </w:p>
    <w:p>
      <w:pPr>
        <w:spacing w:after="0" w:line="117" w:lineRule="exact"/>
        <w:rPr>
          <w:sz w:val="20"/>
          <w:szCs w:val="20"/>
          <w:color w:val="auto"/>
        </w:rPr>
      </w:pPr>
    </w:p>
    <w:p>
      <w:pPr>
        <w:ind w:right="80" w:firstLine="542"/>
        <w:spacing w:after="0" w:line="267" w:lineRule="auto"/>
        <w:rPr>
          <w:sz w:val="20"/>
          <w:szCs w:val="20"/>
          <w:color w:val="auto"/>
        </w:rPr>
      </w:pPr>
      <w:r>
        <w:rPr>
          <w:rFonts w:ascii="Times New Roman" w:cs="Times New Roman" w:eastAsia="Times New Roman" w:hAnsi="Times New Roman"/>
          <w:sz w:val="17"/>
          <w:szCs w:val="17"/>
          <w:color w:val="auto"/>
        </w:rPr>
        <w:t>We believe the safety profile of KSI-301 continues to be very encouraging. Now with 710 injections given in the Phase 1a/1b program (as of January 26, 2021), and with patients followed for as long as 26 months, we are continuing to track with the expectations set by the safety profile of the current standard of care intravitreal medicines.</w:t>
      </w:r>
    </w:p>
    <w:p>
      <w:pPr>
        <w:spacing w:after="0" w:line="63"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None of the serious adverse events, or SAEs, observed have been reported as or deemed drug-related, and they are typical of the systemic SAEs expected in these patient populations. The ocular SAE of worsening cataract was in a diabetic patient with pre-existing cataract, was not drug-related, and resolved with routine cataract surgery. The ocular SAE of subretinal hemorrhage in a wAMD patient is often found in wAMD patients and was not drug-related.</w:t>
      </w:r>
    </w:p>
    <w:p>
      <w:pPr>
        <w:spacing w:after="0" w:line="63"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There have been only two events (previously described) of intraocular inflammation. The events were mild in nature, both trace to 1+ grade cells in the vitreous, on a standardized scale where 0 is none and 4+ is severe. They resolved completely, and there was no vasculitis or retinitis in either patient. Both patients have done very well with substantial improvements in vision from baseline; each of them had gained 30 letters or 6 lines of vision as of their last visits.</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KSI-301 Pivotal Study Designs</w:t>
      </w:r>
    </w:p>
    <w:p>
      <w:pPr>
        <w:spacing w:after="0" w:line="130"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Our pivotal study designs for wet AMD (our ongoing DAZZLE study), DME (our ongoing GLEAM and GLIMMER studies), and RVO (our ongoing BEACON study) have been optimized based on Phase 1b data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41910</wp:posOffset>
            </wp:positionV>
            <wp:extent cx="5492750" cy="3082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color w:val="auto"/>
        </w:rPr>
        <w:t>Wet AMD DAZZLE Study</w:t>
      </w:r>
    </w:p>
    <w:p>
      <w:pPr>
        <w:spacing w:after="0" w:line="115"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DAZZLE (NCT04049266) assesses patients with treatment naïve wet AMD and are randomized 1:1 to receive KSI-301 every 12 to 20 weeks or Eylea every 8 weeks, each after 3 monthly loading doses. The determination of treatment interval for the patients assigned to KSI-301 is based on disease activity assessments where both OCT and BCVA are measured and compared against prior data, similar to other recent and ongoing Phase 3 studies in the field. By default, patients are on an every 20 week regimen. If disease activity criteria are met before 20 weeks, that is, 12 or 16 weeks after the last dose, then the treatment interval is correspondingly shortened.</w:t>
      </w:r>
    </w:p>
    <w:p>
      <w:pPr>
        <w:spacing w:after="0" w:line="70" w:lineRule="exact"/>
        <w:rPr>
          <w:sz w:val="20"/>
          <w:szCs w:val="20"/>
          <w:color w:val="auto"/>
        </w:rPr>
      </w:pPr>
    </w:p>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The primary endpoint is at one year and is a non-inferiority comparison to Eylea, with a four-letter non-inferiority margin. The one-year endpoint is measured as the average of the BCVA change from baseline to weeks 48 and 52. All of the KSI-301 patients are analyzed together as a single group with respect to the primary comparison to Eylea. In the second year of the study, patients whose disease is stable can have their KSI-301 treatment interval extended, and patients originally randomized to Eylea will be re-randomized 1:1 to either continued Eylea or switched to every eight week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3082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4" w:name="page25"/>
    <w:bookmarkEnd w:id="24"/>
    <w:p>
      <w:pPr>
        <w:ind w:firstLine="542"/>
        <w:spacing w:after="0" w:line="261" w:lineRule="auto"/>
        <w:rPr>
          <w:sz w:val="20"/>
          <w:szCs w:val="20"/>
          <w:color w:val="auto"/>
        </w:rPr>
      </w:pPr>
      <w:r>
        <w:rPr>
          <w:rFonts w:ascii="Times New Roman" w:cs="Times New Roman" w:eastAsia="Times New Roman" w:hAnsi="Times New Roman"/>
          <w:sz w:val="17"/>
          <w:szCs w:val="17"/>
          <w:color w:val="auto"/>
        </w:rPr>
        <w:t>Disease assessment criteria are used to determine whether the treatment interval is 12, 16 or 20 weeks. These criteria are tightened, and subjectivity has been reduced, compared to the retreatment criteria used in the Phase 1b study. The DAZZLE criteria, and the overall approach to dosing regimen determination in DAZZLE, are very similar to other recent Phase 3 programs in wet AMD. The aim is to customize the dose interval per patient, in a way that is feasible in a large, multicenter, double-masked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54610</wp:posOffset>
            </wp:positionV>
            <wp:extent cx="5492750" cy="3082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Diabetic Macular Edema Paired Studies, GLEAM and GLIMMER</w:t>
      </w:r>
    </w:p>
    <w:p>
      <w:pPr>
        <w:spacing w:after="0" w:line="115"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In DME, we are conducting two Phase 3 studies in parallel with identical design. In each of the two studies, called GLEAM (NCT04611152) and GLIMMER (NCT04603937), we will randomize 450 treatment-naïve DME patients to either KSI-301 every 8 to 24 weeks after 3 loading doses, or Eylea every 8 weeks after 5 loading doses. The primary endpoint is the change from baseline in BCVA at one year, again the average of the week 48 and 52 visits. The studies are non-inferiority studies with a margin of 4.5 letters.</w:t>
      </w:r>
    </w:p>
    <w:p>
      <w:pPr>
        <w:spacing w:after="0" w:line="7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At each monthly study visit, patients who have been randomized to KSI-301 will undergo a disease activity assessment, using data from both BCVA and OCT measurements. Depending on their disease activity status, the dosing interval can be shortened, lengthened, or maintained at the same interval. This is different from the DAZZLE wet AMD study design where the interval can only be maintained or shortened in the first year. In DME, patients may experience disease modification (improvement in the severity of the underlying retinopathy) that curtails the need for therapy over time, an event that has been seen in many DME patients treated with KSI-301 allowing for the treatment interval to be potentially further prolonged after the first retreatment. The minimum KSI-301 treatment interval in GLEAM and GLIMMER is every eight weeks, and the maximum interval is every 24 weeks or six months.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In the second year of both studies, the same approach is maintained. Eylea will stay on its q8 week regimen, and patients on KSI-301 will continue to be on an 8 to 24 week regimen based on disease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41910</wp:posOffset>
            </wp:positionV>
            <wp:extent cx="5492750" cy="3082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ind w:right="100" w:firstLine="542"/>
        <w:spacing w:after="0" w:line="261" w:lineRule="auto"/>
        <w:rPr>
          <w:sz w:val="20"/>
          <w:szCs w:val="20"/>
          <w:color w:val="auto"/>
        </w:rPr>
      </w:pPr>
      <w:r>
        <w:rPr>
          <w:rFonts w:ascii="Times New Roman" w:cs="Times New Roman" w:eastAsia="Times New Roman" w:hAnsi="Times New Roman"/>
          <w:sz w:val="17"/>
          <w:szCs w:val="17"/>
          <w:color w:val="auto"/>
        </w:rPr>
        <w:t>To determine the treatment interval for KSI-301 patients, we are employing disease activity assessments and protocol-specified criteria. All patients randomized to KSI-301 are on the longest interval by default. If patients meet any of these disease activity criteria at earlier timepoints, the retreatment interval is shortened. The criteria for shortening the treatment interval are tighter than they are in Phase 1b, and the subjectivity is reduced. Additional anatomic criteria have also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-9525</wp:posOffset>
            </wp:positionV>
            <wp:extent cx="5492750" cy="3082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Retinal Vein Occlusion BEACON Study Design</w:t>
      </w:r>
    </w:p>
    <w:p>
      <w:pPr>
        <w:spacing w:after="0" w:line="128" w:lineRule="exact"/>
        <w:rPr>
          <w:sz w:val="20"/>
          <w:szCs w:val="20"/>
          <w:color w:val="auto"/>
        </w:rPr>
      </w:pPr>
    </w:p>
    <w:p>
      <w:pPr>
        <w:ind w:right="320" w:firstLine="542"/>
        <w:spacing w:after="0" w:line="267" w:lineRule="auto"/>
        <w:rPr>
          <w:sz w:val="20"/>
          <w:szCs w:val="20"/>
          <w:color w:val="auto"/>
        </w:rPr>
      </w:pPr>
      <w:r>
        <w:rPr>
          <w:rFonts w:ascii="Times New Roman" w:cs="Times New Roman" w:eastAsia="Times New Roman" w:hAnsi="Times New Roman"/>
          <w:sz w:val="17"/>
          <w:szCs w:val="17"/>
          <w:color w:val="auto"/>
        </w:rPr>
        <w:t>The Phase 3 BEACON study (NCT04592419) in patients with RVO is a year-long study in which we will randomize 550 patients with treatment-naïve RVO, either branch or central vein type, to either every 8 weeks KSI-301 after two loading doses, or to monthly Eylea, for the first six months. The primary endpoint is at six months, with a non-inferiority margin of 4.5 letters.</w:t>
      </w:r>
    </w:p>
    <w:p>
      <w:pPr>
        <w:spacing w:after="0" w:line="63"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In the second six months, patients in both groups will receive treatment on an individualized regimen, again using typical disease activity assessments. This phase of the study will provide a direct, head-to-head comparison of Eylea and KSI-301 on the same criteria-driven regimen. The minimum interval is monthly and there is no upper limit to the retreatment interval in this six-month period.</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153670</wp:posOffset>
            </wp:positionV>
            <wp:extent cx="5492750" cy="3082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Because the first six months of the study are fixed-interval dosing, the disease activity assessment criteria are only used to determine dosing in the second six months of the RVO study. The criteria are similar to our DME studies, and tighter than they are in Phase 1b, with the OCT and BCVA measured against the best previous measurements; subjectivity is also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50800</wp:posOffset>
            </wp:positionV>
            <wp:extent cx="5492750" cy="3082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Standard of Care for Wet AMD, DME/DR, and RVO</w:t>
      </w:r>
    </w:p>
    <w:p>
      <w:pPr>
        <w:spacing w:after="0" w:line="117" w:lineRule="exact"/>
        <w:rPr>
          <w:sz w:val="20"/>
          <w:szCs w:val="20"/>
          <w:color w:val="auto"/>
        </w:rPr>
      </w:pPr>
    </w:p>
    <w:p>
      <w:pPr>
        <w:ind w:right="240" w:firstLine="542"/>
        <w:spacing w:after="0" w:line="257" w:lineRule="auto"/>
        <w:rPr>
          <w:sz w:val="20"/>
          <w:szCs w:val="20"/>
          <w:color w:val="auto"/>
        </w:rPr>
      </w:pPr>
      <w:r>
        <w:rPr>
          <w:rFonts w:ascii="Times New Roman" w:cs="Times New Roman" w:eastAsia="Times New Roman" w:hAnsi="Times New Roman"/>
          <w:sz w:val="17"/>
          <w:szCs w:val="17"/>
          <w:color w:val="auto"/>
        </w:rPr>
        <w:t>Overexpression of vascular endothelial growth factor, or VEGF, in ocular tissues is central to the pathogenesis and clinical manifestations of wet AMD, DME/DR, and RVO. VEGF is a protein produced by cells that stimulates the formation of new blood vessels, a process called neovascularization, and induces vascular permeability. In wet AMD, DME, and RVO fluid that exits from blood vessels causes swelling, or edema, of the retina and loss of vision. This loss of vision can be reversed if treated early with an anti-VEGF agent to suppress VEGF signaling. Delayed treatment or undertreatment can result in permanent retinal damage and blindness. To reach effective ocular tissue concentrations, these agents must be injected into the vitreous humor, the jelly-like substance that fills the area between the lens and retina. These injections must occur at regular intervals in order to maintain anti-VEGF effects.</w:t>
      </w:r>
    </w:p>
    <w:p>
      <w:pPr>
        <w:spacing w:after="0" w:line="73"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Lucentis (ranibizumab), marketed by Genentech, Inc., a subsidiary of the Roche Group, in the United States and by Novartis AG outside the United States, and Eylea (aflibercept), marketed by Regeneron Pharmaceuticals, Inc. in the United States and by Bayer HealthCare LLC outside the United States, are anti-VEGF therapies that have become the standard of care for treating wet AMD and severe forms of DR based on pivotal clinical studies in which Lucentis was injected every four weeks and Eylea was injected every eight weeks (after three initial monthly doses in the case of wet AMD and after five initial monthly doses in the case of DR with DME). Beovu (brolucizumab), marketed worldwide by Novartis, was approved in late 2019 in the United States and early 2020 in Europe for the treatment of wet AMD and is injected every eight to 12 weeks after three initial monthly doses. It is not currently approved for diseases other than wet AMD. Avastin (bevacizumab), marketed for non-ocular indications by Genentech in the United States and by Roche outside of the United States, is an anti-VEGF cancer therapy that shares structural characteristics with Lucentis and is commonly used off-label to treat wet AMD, DME, and RVO through intravitreal injection dosed every four weeks.</w:t>
      </w:r>
    </w:p>
    <w:p>
      <w:pPr>
        <w:spacing w:after="0" w:line="73"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Annual worldwide sales of branded anti-VEGFs for all indications totaled more than $11.5 billion in 2020. We believe that a substantial majority of these sales were in connection with the treatment of wet AMD and DME. Avastin, which is currently approved and marketed for the treatment of cancer, is also used off-label to treat wet AMD, DME, and RVO.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DME/DR, and RVO could be substantial.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Current Anti-VEGF Therapies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limitations of current anti-VEGF therapies include:</w:t>
      </w:r>
    </w:p>
    <w:p>
      <w:pPr>
        <w:spacing w:after="0" w:line="107" w:lineRule="exact"/>
        <w:rPr>
          <w:sz w:val="20"/>
          <w:szCs w:val="20"/>
          <w:color w:val="auto"/>
        </w:rPr>
      </w:pPr>
    </w:p>
    <w:p>
      <w:pPr>
        <w:ind w:left="660" w:hanging="121"/>
        <w:spacing w:after="0" w:line="258"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Existing anti-VEGF therapies block VEGF activity effectively but have limited durability. </w:t>
      </w:r>
      <w:r>
        <w:rPr>
          <w:rFonts w:ascii="Times New Roman" w:cs="Times New Roman" w:eastAsia="Times New Roman" w:hAnsi="Times New Roman"/>
          <w:sz w:val="17"/>
          <w:szCs w:val="17"/>
          <w:color w:val="auto"/>
        </w:rPr>
        <w:t>We believe current anti-VEGF therapies maintain potent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drug levels in ocular tissues for three to six weeks after injection on average. But typical treatment intervals in real-world clinical practice are longer. When a patient’s dosing cycle is extended beyond the durability of the anti-VEGF agent, and the amount of drug remaining in the eye falls below therapeutic levels, the disease can progress and cause cumulative and permanent retinal damage. Most wet AMD, DME, RVO and DR patients will require protracted anti-VEGF therapy, possibly for life. Under these circumstances, strict adherence to the manufacturer’s labeled treatment regimen of every four weeks for Lucentis and every eight weeks for Eylea is challenging.</w:t>
      </w:r>
    </w:p>
    <w:p>
      <w:pPr>
        <w:spacing w:after="0" w:line="67" w:lineRule="exact"/>
        <w:rPr>
          <w:rFonts w:ascii="Times New Roman" w:cs="Times New Roman" w:eastAsia="Times New Roman" w:hAnsi="Times New Roman"/>
          <w:sz w:val="17"/>
          <w:szCs w:val="17"/>
          <w:color w:val="auto"/>
        </w:rPr>
      </w:pPr>
    </w:p>
    <w:p>
      <w:pPr>
        <w:ind w:left="660" w:right="20" w:hanging="121"/>
        <w:spacing w:after="0" w:line="255"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Real-world utilization of current anti-VEGFs results in undertreatment, which diminishes effectiveness. </w:t>
      </w:r>
      <w:r>
        <w:rPr>
          <w:rFonts w:ascii="Times New Roman" w:cs="Times New Roman" w:eastAsia="Times New Roman" w:hAnsi="Times New Roman"/>
          <w:sz w:val="17"/>
          <w:szCs w:val="17"/>
          <w:color w:val="auto"/>
        </w:rPr>
        <w:t>A divergence between the efficacy of Lucentis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Eylea in pivotal clinical trials and in the real world is evidenced in multiple studies and is increasingly recognized as an important unmet medical need. A 2017 report by the Angiogenesis Foundation suggested that the burden involved in monthly visits for evaluation and treatment causes patients and physicians to extend treatment intervals, which in turn results in undertreatment and visual outcomes that fall short of the results seen in clinical trials. For example, Lucentis was tested and failed to successfully extend the treatment interval to 12-week dosing, with patients going back to pre-treatment baseline or even losing vision at the end of the first year of treatment, on average. The Lucentis U.S. product labeling refers to this regimen as an option which is “not as effective” as monthly dosing. The FDA allowed an update to Eylea’s labeling to allow 12-week dosing, but only in the second year of treatment (after one full year of intensive treatment). The labeling refers to it as “not as effective as the recommended every 8-week dosing.” Even a small deviation from per label dosing can be devastating for vision. Missing as few as one or two injections in a year from Eylea’s recommended dosing results in almost one line of vision lost.</w:t>
      </w:r>
    </w:p>
    <w:p>
      <w:pPr>
        <w:spacing w:after="0" w:line="69" w:lineRule="exact"/>
        <w:rPr>
          <w:rFonts w:ascii="Times New Roman" w:cs="Times New Roman" w:eastAsia="Times New Roman" w:hAnsi="Times New Roman"/>
          <w:sz w:val="17"/>
          <w:szCs w:val="17"/>
          <w:color w:val="auto"/>
        </w:rPr>
      </w:pPr>
    </w:p>
    <w:p>
      <w:pPr>
        <w:ind w:left="660" w:right="260" w:hanging="121"/>
        <w:spacing w:after="0" w:line="288"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Patients are not sustaining visual acuity gains over the long term. </w:t>
      </w:r>
      <w:r>
        <w:rPr>
          <w:rFonts w:ascii="Times New Roman" w:cs="Times New Roman" w:eastAsia="Times New Roman" w:hAnsi="Times New Roman"/>
          <w:sz w:val="17"/>
          <w:szCs w:val="17"/>
          <w:color w:val="auto"/>
        </w:rPr>
        <w:t>Following exit from tightly controlled clinical trials into the real-world environment,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patients, on average, lose all the gains in visual acuity that had been previously achieved.</w:t>
      </w:r>
    </w:p>
    <w:p>
      <w:pPr>
        <w:spacing w:after="0" w:line="41" w:lineRule="exact"/>
        <w:rPr>
          <w:rFonts w:ascii="Times New Roman" w:cs="Times New Roman" w:eastAsia="Times New Roman" w:hAnsi="Times New Roman"/>
          <w:sz w:val="17"/>
          <w:szCs w:val="17"/>
          <w:color w:val="auto"/>
        </w:rPr>
      </w:pPr>
    </w:p>
    <w:p>
      <w:pPr>
        <w:jc w:val="both"/>
        <w:ind w:left="660" w:right="260" w:hanging="121"/>
        <w:spacing w:after="0" w:line="269"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Damage caused by these retinal diseases may be irreversible if anti-VEGF therapy is not initiated early in the disease progression. </w:t>
      </w:r>
      <w:r>
        <w:rPr>
          <w:rFonts w:ascii="Times New Roman" w:cs="Times New Roman" w:eastAsia="Times New Roman" w:hAnsi="Times New Roman"/>
          <w:sz w:val="17"/>
          <w:szCs w:val="17"/>
          <w:color w:val="auto"/>
        </w:rPr>
        <w:t>A study in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diabetic macular edema, or DME, a severe form of DR, found that undertreatment in the early course of patients’ disease may reduce the patients’ ability to respond to anti-VEGF therapies.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Wet AMD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 of Wet AMD</w:t>
      </w:r>
    </w:p>
    <w:p>
      <w:pPr>
        <w:spacing w:after="0" w:line="115" w:lineRule="exact"/>
        <w:rPr>
          <w:sz w:val="20"/>
          <w:szCs w:val="20"/>
          <w:color w:val="auto"/>
        </w:rPr>
      </w:pPr>
    </w:p>
    <w:p>
      <w:pPr>
        <w:ind w:right="280" w:firstLine="542"/>
        <w:spacing w:after="0" w:line="267" w:lineRule="auto"/>
        <w:rPr>
          <w:sz w:val="20"/>
          <w:szCs w:val="20"/>
          <w:color w:val="auto"/>
        </w:rPr>
      </w:pPr>
      <w:r>
        <w:rPr>
          <w:rFonts w:ascii="Times New Roman" w:cs="Times New Roman" w:eastAsia="Times New Roman" w:hAnsi="Times New Roman"/>
          <w:sz w:val="17"/>
          <w:szCs w:val="17"/>
          <w:color w:val="auto"/>
        </w:rPr>
        <w:t>AMD is a common eye condition affecting people of age 55 years and older with a reported prevalence of approximately 11 million people in the United States and 170 million people globally. It is a progressive disease affecting the central portion of the retina, known as the macula, which is the region of the eye responsible for sharp, central vision and color perception. The likelihood of AMD progression and associated vision loss increases with age.</w:t>
      </w:r>
    </w:p>
    <w:p>
      <w:pPr>
        <w:spacing w:after="0" w:line="63"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Wet AMD is an advanced form of AMD characterized by neovascularization and fluid leakage under the retina. It is the leading cause of severe vision loss in patients over the age of 50 in the United States and the EU, with a reported prevalence of approximately 1.25 million people and an annual incidence of approximately 200,000 people in the United States. The likelihood of disease progression increases with age, so the prevalence and incidence of wet AMD is projected to accelerate in countries with aging populations. It has additionally been observed that approximately 50% of patients presenting with wet AMD in one eye will develop wet AMD in the other eye within five years, leading to a relatively significant number of patients requiring treatment in both eyes. While wet AMD represents only 10% of the number of cases of AMD overall, it is responsible for 90% of AMD-related severe vision loss. In many eyes with wet AMD, the disease can progress quickly with rapid loss of central vision needed for activities such as reading and driving. Untreated or undertreated wet AMD results in blood vessel leakage, fluid in the macula, and ultimately scar tissue formation, which can lead to permanent vision loss, or even blindness, as a result of the scarring and retinal deformation that occur during periods of non-treatment or undertreatment.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Therapies for Wet AMD</w:t>
      </w:r>
    </w:p>
    <w:p>
      <w:pPr>
        <w:spacing w:after="0" w:line="115" w:lineRule="exact"/>
        <w:rPr>
          <w:sz w:val="20"/>
          <w:szCs w:val="20"/>
          <w:color w:val="auto"/>
        </w:rPr>
      </w:pPr>
    </w:p>
    <w:p>
      <w:pPr>
        <w:ind w:right="20" w:firstLine="542"/>
        <w:spacing w:after="0" w:line="253" w:lineRule="auto"/>
        <w:rPr>
          <w:sz w:val="20"/>
          <w:szCs w:val="20"/>
          <w:color w:val="auto"/>
        </w:rPr>
      </w:pPr>
      <w:r>
        <w:rPr>
          <w:rFonts w:ascii="Times New Roman" w:cs="Times New Roman" w:eastAsia="Times New Roman" w:hAnsi="Times New Roman"/>
          <w:sz w:val="17"/>
          <w:szCs w:val="17"/>
          <w:color w:val="auto"/>
        </w:rPr>
        <w:t>The standard of care treatments for wet AMD are two anti-VEGF drugs, Lucentis (ranibizumab) and Eylea (aflibercept). Lucentis (ranibizumab), marketed by Genentech, Inc., a subsidiary of the Roche Group, in the United States and by Novartis AG outside the United States, is a recombinant humanized monoclonal antibody fragment that binds to and inhibits VEGF proteins in the eye and was approved in the United States in 2006 and in Europe in 2007. Eylea (aflibercept), marketed by Regeneron Pharmaceuticals, Inc. in the United States and by Bayer HealthCare LLC outside the United States, is a recombinant fusion protein containing portions of the human VEGF receptor that binds to soluble VEGF and was approved in the United States in 2011 and in Europe in 2012. These drugs became the standard of care for treating wet AMD based on pivotal clinical trials in which Lucentis was injected every four weeks and Eylea was injected every eight weeks (after three initial monthly loading doses). Since its approval, Eylea has been widely adopted largely due to a durability advantage compared to Lucentis, but both agents were effective in improving visual acuity in the first months of the treatment period and sustaining this gain throughout the duration of their respective clinical trials. Avastin (bevacizumab), marketed for non-ocular indications by Genentech in the United States and by Roche outside of the United States, is an anti-VEGF cancer therapy that shares structural characteristics with Lucentis and is commonly used off-label as a monthly, intravitreal injection for wet AMD. Beovu (brolucizumab), marketed worldwide by Novartis, was approved in late 2019 in the United States and early 2020 in Europe for the treatment of wet AMD and is injected every eight to 12 weeks after three initial monthly doses. Its competitiveness with Lucentis and Eylea in the commercial marketplace has yet to be observed.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Market for Wet AMD</w:t>
      </w:r>
    </w:p>
    <w:p>
      <w:pPr>
        <w:spacing w:after="0" w:line="115"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Annual worldwide sales of branded anti-VEGFs for all indications were an estimated $11.5 billion in 2020. We believe a substantial majority of these sales were in connection with the treatment of wet AMD, DME, and RVO. Avastin, which is currently approved and marketed for the treatment of cancer, is also used off-label to treat wet AMD, DME, RVO, and DR.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and DR could be substantial.</w:t>
      </w:r>
    </w:p>
    <w:p>
      <w:pPr>
        <w:spacing w:after="0" w:line="70"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With an improved anti-VEGF therapy, we believe the total addressable market opportunity in wet AMD could be substantially greater than sales of Lucentis and Eylea in wet AMD, DME and RVO. A clinically meaningful durability advantage over existing treatments could increase long-term compliance rates and maintain patients on a consistent and FDA approved treatment regimen for this chronic condition. Furthermore, we believe that an anti-VEGF therapy that is more durable than Avastin may reduce the relative weight of cost as a deciding factor for patients and providers who currently favor Avastin and expand the market for “branded” treatments.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Diabetic Retinopathy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 of Diabetic Retinopathy</w:t>
      </w:r>
    </w:p>
    <w:p>
      <w:pPr>
        <w:spacing w:after="0" w:line="115" w:lineRule="exact"/>
        <w:rPr>
          <w:sz w:val="20"/>
          <w:szCs w:val="20"/>
          <w:color w:val="auto"/>
        </w:rPr>
      </w:pPr>
    </w:p>
    <w:p>
      <w:pPr>
        <w:ind w:right="260" w:firstLine="542"/>
        <w:spacing w:after="0" w:line="283" w:lineRule="auto"/>
        <w:rPr>
          <w:sz w:val="20"/>
          <w:szCs w:val="20"/>
          <w:color w:val="auto"/>
        </w:rPr>
      </w:pPr>
      <w:r>
        <w:rPr>
          <w:rFonts w:ascii="Times New Roman" w:cs="Times New Roman" w:eastAsia="Times New Roman" w:hAnsi="Times New Roman"/>
          <w:sz w:val="17"/>
          <w:szCs w:val="17"/>
          <w:color w:val="auto"/>
        </w:rPr>
        <w:t>DR is an eye disease resulting from diabetes, in which chronically elevated blood sugar levels cause damage to blood vessels in the retina. There are two major types of DR:</w:t>
      </w:r>
    </w:p>
    <w:p>
      <w:pPr>
        <w:spacing w:after="0" w:line="46" w:lineRule="exact"/>
        <w:rPr>
          <w:sz w:val="20"/>
          <w:szCs w:val="20"/>
          <w:color w:val="auto"/>
        </w:rPr>
      </w:pPr>
    </w:p>
    <w:p>
      <w:pPr>
        <w:ind w:left="660" w:hanging="121"/>
        <w:spacing w:after="0" w:line="288"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Non-proliferative DR, or NPDR</w:t>
      </w:r>
      <w:r>
        <w:rPr>
          <w:rFonts w:ascii="Times New Roman" w:cs="Times New Roman" w:eastAsia="Times New Roman" w:hAnsi="Times New Roman"/>
          <w:sz w:val="17"/>
          <w:szCs w:val="17"/>
          <w:color w:val="auto"/>
        </w:rPr>
        <w:t>. NPDR is an earlier, more typical stage of DR and can progress into more severe forms of DR over time if untreated and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exposure to elevated blood sugar levels persists.</w:t>
      </w:r>
    </w:p>
    <w:p>
      <w:pPr>
        <w:spacing w:after="0" w:line="41" w:lineRule="exact"/>
        <w:rPr>
          <w:rFonts w:ascii="Times New Roman" w:cs="Times New Roman" w:eastAsia="Times New Roman" w:hAnsi="Times New Roman"/>
          <w:sz w:val="17"/>
          <w:szCs w:val="17"/>
          <w:color w:val="auto"/>
        </w:rPr>
      </w:pPr>
    </w:p>
    <w:p>
      <w:pPr>
        <w:ind w:left="660" w:right="20" w:hanging="121"/>
        <w:spacing w:after="0" w:line="288"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Proliferative DR, or PDR</w:t>
      </w:r>
      <w:r>
        <w:rPr>
          <w:rFonts w:ascii="Times New Roman" w:cs="Times New Roman" w:eastAsia="Times New Roman" w:hAnsi="Times New Roman"/>
          <w:sz w:val="17"/>
          <w:szCs w:val="17"/>
          <w:color w:val="auto"/>
        </w:rPr>
        <w:t>. PDR is a more advanced stage of DR than NPDR. It is characterized by retinal neovascularization and, if left untreated, leads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permanent damage and blindness.</w:t>
      </w:r>
    </w:p>
    <w:p>
      <w:pPr>
        <w:spacing w:after="0" w:line="46" w:lineRule="exact"/>
        <w:rPr>
          <w:sz w:val="20"/>
          <w:szCs w:val="20"/>
          <w:color w:val="auto"/>
        </w:rPr>
      </w:pPr>
    </w:p>
    <w:p>
      <w:pPr>
        <w:ind w:right="100" w:firstLine="542"/>
        <w:spacing w:after="0" w:line="261" w:lineRule="auto"/>
        <w:rPr>
          <w:sz w:val="20"/>
          <w:szCs w:val="20"/>
          <w:color w:val="auto"/>
        </w:rPr>
      </w:pPr>
      <w:r>
        <w:rPr>
          <w:rFonts w:ascii="Times New Roman" w:cs="Times New Roman" w:eastAsia="Times New Roman" w:hAnsi="Times New Roman"/>
          <w:sz w:val="17"/>
          <w:szCs w:val="17"/>
          <w:color w:val="auto"/>
        </w:rPr>
        <w:t>DME, which occurs when fluid accumulates in the macula due to leaking blood vessels, can develop at any stage of DR. PDR, together with DME, are the primary causes of vision-threatening DR, or VTDR. VTDR is the leading cause of blindness among people with diabetes and the leading cause of blindness among working age adults in the United States and the EU. Patients with mild or moderate NPDR who have not developed DME are characterized as patients with non-vision threatening DR, or NVTDR.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Therapies for DR</w:t>
      </w:r>
    </w:p>
    <w:p>
      <w:pPr>
        <w:spacing w:after="0" w:line="115" w:lineRule="exact"/>
        <w:rPr>
          <w:sz w:val="20"/>
          <w:szCs w:val="20"/>
          <w:color w:val="auto"/>
        </w:rPr>
      </w:pPr>
    </w:p>
    <w:p>
      <w:pPr>
        <w:ind w:right="40" w:firstLine="542"/>
        <w:spacing w:after="0" w:line="256" w:lineRule="auto"/>
        <w:rPr>
          <w:sz w:val="20"/>
          <w:szCs w:val="20"/>
          <w:color w:val="auto"/>
        </w:rPr>
      </w:pPr>
      <w:r>
        <w:rPr>
          <w:rFonts w:ascii="Times New Roman" w:cs="Times New Roman" w:eastAsia="Times New Roman" w:hAnsi="Times New Roman"/>
          <w:sz w:val="17"/>
          <w:szCs w:val="17"/>
          <w:color w:val="auto"/>
        </w:rPr>
        <w:t>PDR has historically been treated with laser therapy. In recent years, use of anti-VEGF therapies has emerged as a complementary first-line treatment for PDR. Lucentis and Eylea are also approved for the treatment of DME with or without PDR. In April 2017, Lucentis’ approval was expanded to include all forms of DR, whether or not the patient also has DME. The approval was based on the demonstration that treatment with Lucentis results in more patients experiencing improvement of their diabetic retinopathy severity (disease regression). In March 2018, Regeneron announced results from its study in which Eylea demonstrated it can reverse disease progression in patients with moderately severe to severe NPDR when administered on average 4.4 times over 24 weeks. In 2019, Eylea received FDA approval as a treatment for DR without DME. For DR without DME, the recommended Lucentis regimen is monthly and the recommend Eylea regimen is every 8 weeks after 5 initial monthly injections.</w:t>
      </w:r>
    </w:p>
    <w:p>
      <w:pPr>
        <w:spacing w:after="0" w:line="74" w:lineRule="exact"/>
        <w:rPr>
          <w:sz w:val="20"/>
          <w:szCs w:val="20"/>
          <w:color w:val="auto"/>
        </w:rPr>
      </w:pPr>
    </w:p>
    <w:p>
      <w:pPr>
        <w:jc w:val="both"/>
        <w:ind w:right="160" w:firstLine="542"/>
        <w:spacing w:after="0" w:line="267" w:lineRule="auto"/>
        <w:rPr>
          <w:sz w:val="20"/>
          <w:szCs w:val="20"/>
          <w:color w:val="auto"/>
        </w:rPr>
      </w:pPr>
      <w:r>
        <w:rPr>
          <w:rFonts w:ascii="Times New Roman" w:cs="Times New Roman" w:eastAsia="Times New Roman" w:hAnsi="Times New Roman"/>
          <w:sz w:val="17"/>
          <w:szCs w:val="17"/>
          <w:color w:val="auto"/>
        </w:rPr>
        <w:t>The first-line interventions for non-vision threatening DR are observation, lifestyle changes and treatment of underlying diabetes. In practice, anti-VEGF therapies are not commonly prescribed for patients with NVTDR. However, results from the RISE and RIDE trials for Lucentis as well as the PANORAMA study for Eylea showed that anti-VEGF therapies can slow disease progression in patients with NPDR as well as induce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58420</wp:posOffset>
            </wp:positionV>
            <wp:extent cx="1955165" cy="1314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516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Figure: Time to disease worsening (DR progression as defined by a composite endpoint)</w:t>
      </w:r>
    </w:p>
    <w:p>
      <w:pPr>
        <w:ind w:left="3120"/>
        <w:spacing w:after="0"/>
        <w:rPr>
          <w:sz w:val="20"/>
          <w:szCs w:val="20"/>
          <w:color w:val="auto"/>
        </w:rPr>
      </w:pPr>
      <w:r>
        <w:rPr>
          <w:rFonts w:ascii="Times New Roman" w:cs="Times New Roman" w:eastAsia="Times New Roman" w:hAnsi="Times New Roman"/>
          <w:sz w:val="14"/>
          <w:szCs w:val="14"/>
          <w:b w:val="1"/>
          <w:bCs w:val="1"/>
          <w:color w:val="auto"/>
        </w:rPr>
        <w:t>from baseline in DME patients with NPDR treated with sham procedures vs. Lucentis.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2200275</wp:posOffset>
            </wp:positionH>
            <wp:positionV relativeFrom="page">
              <wp:posOffset>88900</wp:posOffset>
            </wp:positionV>
            <wp:extent cx="3155950" cy="1784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3155950" cy="178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Proportion of subjects improving or worsening per treatment arm.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Market for DR</w:t>
      </w:r>
    </w:p>
    <w:p>
      <w:pPr>
        <w:spacing w:after="0" w:line="115"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According to the Center for Disease Control, or CDC, and National Institutes of Health, or NIH, (1) an estimated 30 million people in the United States have diabetes, with approximately 1.5 million additional people in the United States diagnosed with diabetes each year, and (2) 285 million people worldwide have diabetes. We estimate that the number of people in the United States and the EU with DR in 2015 was approximately 28.5 million. According to the NIH, the number of Americans with DR is expected to nearly double from 2010 to 2050. The CDC estimates that approximately 900,000 Americans are affected by VTDR. We believe a substantial majority of the approximately $11.5 billion in global sales of branded anti-VEGFs in 2020 were for the treatment of wet AMD, DME and RVO, with only a small proportion of sales for the treatment of NPDR without DME. Furthermore, we believe that the frequent injections required by current anti-VEGF therapies may dissuade patients with mild or asymptomatic forms of DR from accepting treatment. A more durable agent such as KSI-301 could be attractive for these untreated patients and extend the anti-VEGF market to include patients with NVTDR.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of Current Anti-VEGF Therapies</w:t>
      </w:r>
    </w:p>
    <w:p>
      <w:pPr>
        <w:spacing w:after="0" w:line="115" w:lineRule="exact"/>
        <w:rPr>
          <w:sz w:val="20"/>
          <w:szCs w:val="20"/>
          <w:color w:val="auto"/>
        </w:rPr>
      </w:pPr>
    </w:p>
    <w:p>
      <w:pPr>
        <w:ind w:right="100" w:firstLine="542"/>
        <w:spacing w:after="0" w:line="256" w:lineRule="auto"/>
        <w:rPr>
          <w:sz w:val="20"/>
          <w:szCs w:val="20"/>
          <w:color w:val="auto"/>
        </w:rPr>
      </w:pPr>
      <w:r>
        <w:rPr>
          <w:rFonts w:ascii="Times New Roman" w:cs="Times New Roman" w:eastAsia="Times New Roman" w:hAnsi="Times New Roman"/>
          <w:sz w:val="17"/>
          <w:szCs w:val="17"/>
          <w:color w:val="auto"/>
        </w:rPr>
        <w:t>The underlying pathophysiologies of wet AMD, DME, DR and RVO are responsive to anti-VEGF drugs. Both conditions suffer from the limitations of current anti-VEGF therapies such as limited on-mechanism durability and frequent dosing intervals. On-mechanism durability is a function of the time that therapeutic levels are sustained in the ocular tissues. Data suggest that the effectiveness of Lucentis and Eylea in clinical practice is inferior to the results seen in well-controlled clinical studies, an observation attributed to insufficiently frequent dosing and resulting undertreatment even, in the case of Eylea, with its labeled eight-week regimen. Other studies show that while patients may benefit from anti-VEGF therapies in the early treatment phase, they may fail to sustain their visual acuity gains over the long term. Clinical studies have also shown that non-treatment or undertreatment with anti-VEGF agents in the months or years after disease onset may reduce the benefit of anti-VEGF therapies once therapy is initiated. These factors contribute to permanent and unnecessary vision loss for many patients.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Existing anti-VEGF therapies block VEGF activity effectively but have limited durability.</w:t>
      </w:r>
    </w:p>
    <w:p>
      <w:pPr>
        <w:spacing w:after="0" w:line="117" w:lineRule="exact"/>
        <w:rPr>
          <w:sz w:val="20"/>
          <w:szCs w:val="20"/>
          <w:color w:val="auto"/>
        </w:rPr>
      </w:pPr>
    </w:p>
    <w:p>
      <w:pPr>
        <w:ind w:right="60" w:firstLine="542"/>
        <w:spacing w:after="0" w:line="254" w:lineRule="auto"/>
        <w:rPr>
          <w:sz w:val="20"/>
          <w:szCs w:val="20"/>
          <w:color w:val="auto"/>
        </w:rPr>
      </w:pPr>
      <w:r>
        <w:rPr>
          <w:rFonts w:ascii="Times New Roman" w:cs="Times New Roman" w:eastAsia="Times New Roman" w:hAnsi="Times New Roman"/>
          <w:sz w:val="17"/>
          <w:szCs w:val="17"/>
          <w:color w:val="auto"/>
        </w:rPr>
        <w:t>Wet AMD, DME, and DR are chronic and progressive diseases that require protracted treatment, possibly for life. Currently available anti-VEGF agents have relatively short durability. To maintain effective drug levels in the eye, existing anti-VEGF treatments must be administered on a frequent and sustained schedule. Lucentis was approved based on a monthly dosing interval. For wet AMD and DME, Eylea was approved based on a dosing interval of every eight weeks (following three initial, monthly loading doses for wet AMD, and five for DME). The most accepted sign of disease activity in wet AMD for retina specialists worldwide is recurrent accumulation of fluid in the macula, as determined by evaluating the retinal thickness and anatomic appearance with OCT. As can be seen in the figure below, when Eylea or Lucentis are dosed on a Q4W (once every four weeks) regimen, the retinal thickness remains stable between doses, as measured on OCT. However, when Eylea dosing is shifted to its Q8W (once every eight weeks) labeled regimen, the retina expands and contracts as it begins to swell with fluid before its next retreatment, exhibiting a seesaw pattern that we refer to as OCT flutter. This suggests that, although vision outcomes are comparable on average between fixed-interval 4-weekly and 8-weekly dosing, Eylea’s durability and ability to maintain disease control as measured by OCT is less than the approved 8-week per-label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67945</wp:posOffset>
            </wp:positionV>
            <wp:extent cx="3131820" cy="1046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3182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14"/>
          <w:szCs w:val="14"/>
          <w:b w:val="1"/>
          <w:bCs w:val="1"/>
          <w:color w:val="auto"/>
        </w:rPr>
        <w:t>Figure: Retinal thickness (y-axis), measured in microns, decreases upon treatment with Eylea. Rq4 = Lucentis every four weeks; 0.5q4 = Eylea 0.5mg every four weeks; 2q4 = Eylea 2mg every four weeks; 2q8 = Eylea 2mg every eight weeks.</w:t>
      </w:r>
    </w:p>
    <w:p>
      <w:pPr>
        <w:spacing w:after="0" w:line="72" w:lineRule="exact"/>
        <w:rPr>
          <w:sz w:val="20"/>
          <w:szCs w:val="20"/>
          <w:color w:val="auto"/>
        </w:rPr>
      </w:pPr>
    </w:p>
    <w:p>
      <w:pPr>
        <w:jc w:val="both"/>
        <w:ind w:right="20" w:firstLine="542"/>
        <w:spacing w:after="0" w:line="261" w:lineRule="auto"/>
        <w:rPr>
          <w:sz w:val="20"/>
          <w:szCs w:val="20"/>
          <w:color w:val="auto"/>
        </w:rPr>
      </w:pPr>
      <w:r>
        <w:rPr>
          <w:rFonts w:ascii="Times New Roman" w:cs="Times New Roman" w:eastAsia="Times New Roman" w:hAnsi="Times New Roman"/>
          <w:sz w:val="17"/>
          <w:szCs w:val="17"/>
          <w:color w:val="auto"/>
        </w:rPr>
        <w:t>The clinical implication is that when a patient’s dosing cycle is extended beyond the durability of the anti-VEGF agent and the amount of drug remaining in the eye falls below therapeutic levels, disease activity can recur. At this point, the disease can progress and begin to cause cumulative and possibly permanent retinal damage. To this point, the Eylea product labeling in the United States notes that “some patients may need every 4-week (monthly) dosing after the first 12 weeks (3 months).”</w:t>
      </w:r>
    </w:p>
    <w:p>
      <w:pPr>
        <w:spacing w:after="0" w:line="70"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Additional evidence of the recognition of limited durability is seen in the FDA’s evaluation of both Lucentis and Eylea. Lucentis was tested for its potential to reach quarterly dosing in a Phase 3b study; it failed to successfully deliver the same efficacy results as monthly dosing. The FDA did accept dosing every three months after three initial monthly loading doses in the Lucentis product labeling, with the following wording: “Although not as effective, patients may be treated with 3 monthly doses followed by less frequent dosing with regular assessment. In the 9 months after three initial monthly doses, less frequent dosing with 4-5 doses on average is expected to maintain visual acuity while monthly dosing may be expected to result in an additional average 1-2 letter gain. Patients should be assessed regularly.” The loss of one line of vision translates into patients going back to baseline or even losing vision at the end of the first year of treatment, on average. Furthermore, the required wording of regular assessments means that the high burden of frequent office visits remains. For Eylea, recently, the FDA updated the product labeling to allow 12-week dosing but only in the second year of treatment, after one full year of intensive treatment. The labeling refers to it as “not as effective as the recommended every 8-week dosing.” For both Lucentis and Eylea, the recommended fixed interval dosing of monthly and bimonthly, respectively, appear to result in the best and most consistent visual acuity results, with all flexible or less-frequent dosing intervals labeled by FDA as “not as effective.”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Real-world utilization of current anti-VEGF therapies results in undertreatment which diminishes effectiveness.</w:t>
      </w:r>
    </w:p>
    <w:p>
      <w:pPr>
        <w:spacing w:after="0" w:line="117"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Extended treatment intervals caused by the burden of frequent treatments causes undertreatment and visual outcomes that fall short of the results seen in pivotal clinical trials.</w:t>
      </w:r>
    </w:p>
    <w:p>
      <w:pPr>
        <w:spacing w:after="0" w:line="50" w:lineRule="exact"/>
        <w:rPr>
          <w:sz w:val="20"/>
          <w:szCs w:val="20"/>
          <w:color w:val="auto"/>
        </w:rPr>
      </w:pPr>
    </w:p>
    <w:p>
      <w:pPr>
        <w:ind w:right="100" w:firstLine="542"/>
        <w:spacing w:after="0" w:line="283" w:lineRule="auto"/>
        <w:rPr>
          <w:sz w:val="20"/>
          <w:szCs w:val="20"/>
          <w:color w:val="auto"/>
        </w:rPr>
      </w:pPr>
      <w:r>
        <w:rPr>
          <w:rFonts w:ascii="Times New Roman" w:cs="Times New Roman" w:eastAsia="Times New Roman" w:hAnsi="Times New Roman"/>
          <w:sz w:val="17"/>
          <w:szCs w:val="17"/>
          <w:color w:val="auto"/>
        </w:rPr>
        <w:t>Compared to Lucentis’ pivotal trials in wet AMD, ANCHOR and MARINA, where initial vision gains are maintained with monthly dosing over two years, a variety of studies have shown that the initial gains (if achieved) are not maintained, on average, after the initial loading phase.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3" w:name="page34"/>
    <w:bookmarkEnd w:id="33"/>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This is clearly seen in AURA, a multi-country real-world practice study of Lucentis. The visual acuity improvement seen in AURA falls significantly short of the visual acuity improvement that patients showed in MARINA and ANCHOR. A gradual loss of the initial vision gains can be seen as early as three months after initiation of treatment as depicted in the graph below. A key finding in AURA is that populations that received less frequent anti-VEGF treatment tended to experience less improvement in visual acuity, on average, as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62865</wp:posOffset>
            </wp:positionV>
            <wp:extent cx="3286125" cy="1168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86125" cy="116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Figure: Vision gains seen in the AURA study over time for all patients by country (adapted from Holz et al).</w:t>
      </w:r>
    </w:p>
    <w:p>
      <w:pPr>
        <w:jc w:val="center"/>
        <w:spacing w:after="0"/>
        <w:rPr>
          <w:sz w:val="20"/>
          <w:szCs w:val="20"/>
          <w:color w:val="auto"/>
        </w:rPr>
      </w:pPr>
      <w:r>
        <w:rPr>
          <w:rFonts w:ascii="Times New Roman" w:cs="Times New Roman" w:eastAsia="Times New Roman" w:hAnsi="Times New Roman"/>
          <w:sz w:val="14"/>
          <w:szCs w:val="14"/>
          <w:b w:val="1"/>
          <w:bCs w:val="1"/>
          <w:color w:val="auto"/>
        </w:rPr>
        <w:t>*Last observation carried forward analysis.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Mean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Mean VA</w:t>
            </w:r>
          </w:p>
        </w:tc>
      </w:tr>
      <w:tr>
        <w:trPr>
          <w:trHeight w:val="204"/>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7"/>
              </w:rPr>
              <w:t>injections in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VA score to</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VA score to</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VA score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score at</w:t>
            </w:r>
          </w:p>
        </w:tc>
      </w:tr>
      <w:tr>
        <w:trPr>
          <w:trHeight w:val="225"/>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full 2 years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day 90*</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year 1*</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to year 2*</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2*</w:t>
            </w:r>
          </w:p>
        </w:tc>
      </w:tr>
      <w:tr>
        <w:trPr>
          <w:trHeight w:val="210"/>
        </w:trPr>
        <w:tc>
          <w:tcPr>
            <w:tcW w:w="4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UK</w:t>
            </w: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410</w:t>
            </w: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Netherlands</w:t>
            </w: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350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8"/>
                <w:szCs w:val="18"/>
                <w:color w:val="auto"/>
              </w:rPr>
            </w:pPr>
          </w:p>
        </w:tc>
      </w:tr>
      <w:tr>
        <w:trPr>
          <w:trHeight w:val="217"/>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France</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398</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shd w:val="clear" w:color="auto" w:fill="CFF0FC"/>
          </w:tcPr>
          <w:p>
            <w:pPr>
              <w:spacing w:after="0"/>
              <w:rPr>
                <w:sz w:val="18"/>
                <w:szCs w:val="18"/>
                <w:color w:val="auto"/>
              </w:rPr>
            </w:pPr>
          </w:p>
        </w:tc>
      </w:tr>
      <w:tr>
        <w:trPr>
          <w:trHeight w:val="217"/>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Germany</w:t>
            </w: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r>
      <w:tr>
        <w:trPr>
          <w:trHeight w:val="217"/>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Italy</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365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shd w:val="clear" w:color="auto" w:fill="CFF0FC"/>
          </w:tcPr>
          <w:p>
            <w:pPr>
              <w:spacing w:after="0"/>
              <w:rPr>
                <w:sz w:val="18"/>
                <w:szCs w:val="18"/>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Summary of changes in visual acuity (VA) score from baseline and number of injections over two years, per country.</w:t>
      </w:r>
    </w:p>
    <w:p>
      <w:pPr>
        <w:jc w:val="center"/>
        <w:spacing w:after="0"/>
        <w:rPr>
          <w:sz w:val="20"/>
          <w:szCs w:val="20"/>
          <w:color w:val="auto"/>
        </w:rPr>
      </w:pPr>
      <w:r>
        <w:rPr>
          <w:rFonts w:ascii="Times New Roman" w:cs="Times New Roman" w:eastAsia="Times New Roman" w:hAnsi="Times New Roman"/>
          <w:sz w:val="14"/>
          <w:szCs w:val="14"/>
          <w:b w:val="1"/>
          <w:bCs w:val="1"/>
          <w:color w:val="auto"/>
        </w:rPr>
        <w:t>*Last observation carried forward analysis.</w:t>
      </w:r>
    </w:p>
    <w:p>
      <w:pPr>
        <w:spacing w:after="0" w:line="72" w:lineRule="exact"/>
        <w:rPr>
          <w:sz w:val="20"/>
          <w:szCs w:val="20"/>
          <w:color w:val="auto"/>
        </w:rPr>
      </w:pPr>
    </w:p>
    <w:p>
      <w:pPr>
        <w:ind w:right="80" w:firstLine="542"/>
        <w:spacing w:after="0" w:line="261" w:lineRule="auto"/>
        <w:rPr>
          <w:sz w:val="20"/>
          <w:szCs w:val="20"/>
          <w:color w:val="auto"/>
        </w:rPr>
      </w:pPr>
      <w:r>
        <w:rPr>
          <w:rFonts w:ascii="Times New Roman" w:cs="Times New Roman" w:eastAsia="Times New Roman" w:hAnsi="Times New Roman"/>
          <w:sz w:val="17"/>
          <w:szCs w:val="17"/>
          <w:color w:val="auto"/>
        </w:rPr>
        <w:t>Consistent with the AURA study, an observational study following patients who completed the SEVEN UP and HORIZON trials for Lucentis in wet AMD showed a correlation between the number of injections and level of visual acuity benefit. Patients who received 11 or more injections during the period from four to eight years after they exited the pivotal clinical trial were more likely to experience improved vision (average gain of 3.9 letters) than patients who received six to ten injections during the same period (average loss of 6.9 letters).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No</w:t>
            </w: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1-5</w:t>
            </w:r>
          </w:p>
        </w:tc>
        <w:tc>
          <w:tcPr>
            <w:tcW w:w="24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6-10</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≥11</w:t>
            </w:r>
          </w:p>
        </w:tc>
      </w:tr>
      <w:tr>
        <w:trPr>
          <w:trHeight w:val="204"/>
        </w:trPr>
        <w:tc>
          <w:tcPr>
            <w:tcW w:w="58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injections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injections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injections</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injections</w:t>
            </w:r>
          </w:p>
        </w:tc>
      </w:tr>
      <w:tr>
        <w:trPr>
          <w:trHeight w:val="225"/>
        </w:trPr>
        <w:tc>
          <w:tcPr>
            <w:tcW w:w="58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(n=26)</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(n=11)</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(n=11)</w:t>
            </w: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(n=14)</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Letter change:</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SEVEN UP vs HORIZON exit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567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&lt;0.05</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Mean letter change from HORIZON to SEVEN UP by total number of anti-VEGF treatments.</w:t>
      </w:r>
    </w:p>
    <w:p>
      <w:pPr>
        <w:spacing w:after="0" w:line="72"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The implication of these data is that in clinical practice and outside of clinical studies, patients are receiving fewer injections than the labeled regimens for Lucentis (12 per year) and Eylea (seven to eight in the first year and six in subsequent years). In 2017, the Angiogenesis Foundation reported that in routine clinical practice, 65% of wet AMD patients receive six or fewer injections during the first year of treatment. Likewise, a recent publication from the American Academy of Ophthalmology’s IRIS (Intelligent Research In Sight) patient registry showed that, in 13,859 U.S. patients with wet AMD, the average number of injections in the first year of treatment was approximately six.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As illustrated in the top right of the figure below, data regarding long-term anti-VEGF treatment show that visual acuity outcomes are positively correlated with number of injections, with the greatest benefit seen when therapies are used at 10.5 or more injections per year reflecting high intensity, fixed Q4W or Q8W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Five-year visual acuity outcomes versus injection frequency for three or more years in AMD.</w:t>
      </w:r>
    </w:p>
    <w:p>
      <w:pPr>
        <w:spacing w:after="0" w:line="9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In real-world practice, even a small deviation from per-labeled dosing can result in significant vision loss. In the PERSEUS Study, the real-world effectiveness of Eylea was evaluated in patients treated per-label (regular treatment) compared to patients treated irregularly. Patients treated regularly received a mean of 7.4 injections compared to 5.2 in the irregular treatment group. The initial vision gains seen after the loading doses started to decrease at month four, with vision returning, on average, to almost baseline in the irregularly treated patients, as shown in the graph below. The difference in vision of 4.6 letters gained between the two groups is statistically significant, and, more importantly, represents almost a line (five eye chart letters) of vision difference on average, which is recognized in the field as clinically meaningful. Additionally, in this study, the majority of patients (70.5%) did not receive regular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64770</wp:posOffset>
            </wp:positionV>
            <wp:extent cx="4754245" cy="1168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54245" cy="116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mean change in visual acuity for regularly and irregularly treated patients in the PERSEUS Study (effectiveness set)</w:t>
      </w:r>
    </w:p>
    <w:p>
      <w:pPr>
        <w:spacing w:after="0" w:line="90" w:lineRule="exact"/>
        <w:rPr>
          <w:sz w:val="20"/>
          <w:szCs w:val="20"/>
          <w:color w:val="auto"/>
        </w:rPr>
      </w:pPr>
    </w:p>
    <w:p>
      <w:pPr>
        <w:jc w:val="both"/>
        <w:ind w:right="620" w:firstLine="542"/>
        <w:spacing w:after="0" w:line="267" w:lineRule="auto"/>
        <w:rPr>
          <w:sz w:val="20"/>
          <w:szCs w:val="20"/>
          <w:color w:val="auto"/>
        </w:rPr>
      </w:pPr>
      <w:r>
        <w:rPr>
          <w:rFonts w:ascii="Times New Roman" w:cs="Times New Roman" w:eastAsia="Times New Roman" w:hAnsi="Times New Roman"/>
          <w:sz w:val="17"/>
          <w:szCs w:val="17"/>
          <w:color w:val="auto"/>
        </w:rPr>
        <w:t>Real-world outcomes of anti-VEGF treatment in patients with DME show similar patterns to wet AMD. For instance, a recently published report of electronic health records real-world data from 15,608 DME patient eyes showed that patients on average receive fewer injections over 12 months and have meaningfully worse visual acuity outcomes compared to randomized controlled trials.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are not sustaining visual acuity gains over the long term.</w:t>
      </w:r>
    </w:p>
    <w:p>
      <w:pPr>
        <w:spacing w:after="0" w:line="117"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Patients treated with anti-VEGF agents can sustain visual acuity gains over time if they adhere to a tighter dose frequency. Results from the VIEW 1 extension study demonstrate that it is possible for patients treated with anti-VEGF agents to sustain visual acuity gains over time, as long as patients adhere to a tighter dose frequency that is closer to the labeled regimen. In the early intensive treatment phase, patients in VIEW 1 achieved a ten-letter visual acuity gain, which they then maintained over two years on a Q8W regimen. At the end of two years, patients shifted into a less-intensive clinical monitoring regimen and into a more flexible dosing regimen in which they were required to maintain at least Q12W dosing. In this hybrid setting, patients showed a slow but steady decrease in average visual acuity from ten letters to seven letters; however, their average visual acuity did not drop to pretreatment levels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64770</wp:posOffset>
            </wp:positionV>
            <wp:extent cx="3293745" cy="19958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9374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380" w:right="2460"/>
        <w:spacing w:after="0" w:line="228" w:lineRule="auto"/>
        <w:rPr>
          <w:sz w:val="20"/>
          <w:szCs w:val="20"/>
          <w:color w:val="auto"/>
        </w:rPr>
      </w:pPr>
      <w:r>
        <w:rPr>
          <w:rFonts w:ascii="Times New Roman" w:cs="Times New Roman" w:eastAsia="Times New Roman" w:hAnsi="Times New Roman"/>
          <w:sz w:val="14"/>
          <w:szCs w:val="14"/>
          <w:b w:val="1"/>
          <w:bCs w:val="1"/>
          <w:color w:val="auto"/>
        </w:rPr>
        <w:t>Figure: Mean visual acuity and 95% confidence interval for 647 patients in the Comparison of Age-Related Macular Degeneration Treatments Trials Follow-up Study: (A) overall and by drug assigned in the clinical trial and (B) overall and by dosing regimen assigned in the clinical trial. PRN = “as needed.”</w:t>
      </w:r>
    </w:p>
    <w:p>
      <w:pPr>
        <w:spacing w:after="0" w:line="73"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As mentioned above, AURA and many other real-world practice studies show that the vision gains seen in tightly controlled clinical trials are not transferrable to clinical practice. A United Kingdom study of approximately 93,000 Lucentis injections reviewed EMRs of thousands of patients treated outside the context of clinical trials. On average, patients received a median of 5, 4, and 4 injections of Lucentis over years one, two and three, respectively. The study found that although patients showed early improvement, they regressed, on average, to pretreatment levels by the end of year two with continued deterioration below their starting visual acuity by year three,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62865</wp:posOffset>
            </wp:positionV>
            <wp:extent cx="4234815" cy="1598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3481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Figure: Mean visual acuity (VA), as measured by letter score, over time comparing patients with follow-up of at least 1, 2 or 3 years.</w:t>
      </w:r>
    </w:p>
    <w:p>
      <w:pPr>
        <w:spacing w:after="0" w:line="90" w:lineRule="exact"/>
        <w:rPr>
          <w:sz w:val="20"/>
          <w:szCs w:val="20"/>
          <w:color w:val="auto"/>
        </w:rPr>
      </w:pPr>
    </w:p>
    <w:p>
      <w:pPr>
        <w:ind w:right="120" w:firstLine="542"/>
        <w:spacing w:after="0" w:line="283" w:lineRule="auto"/>
        <w:rPr>
          <w:sz w:val="20"/>
          <w:szCs w:val="20"/>
          <w:color w:val="auto"/>
        </w:rPr>
      </w:pPr>
      <w:r>
        <w:rPr>
          <w:rFonts w:ascii="Times New Roman" w:cs="Times New Roman" w:eastAsia="Times New Roman" w:hAnsi="Times New Roman"/>
          <w:sz w:val="17"/>
          <w:szCs w:val="17"/>
          <w:color w:val="auto"/>
        </w:rPr>
        <w:t>More importantly, with many patients losing vision, during the study follow-up many patients experienced new sight impairment (29.6%, 41%, 48.7% and 53.7% in years one, two, three and four, respectively) and even new cases of blindness (5.1%, 8.6%, 12% and 15.6% in years one through four, respectively).</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sectPr>
      </w:pPr>
    </w:p>
    <w:bookmarkStart w:id="36" w:name="page37"/>
    <w:bookmarkEnd w:id="36"/>
    <w:p>
      <w:pPr>
        <w:ind w:right="80" w:firstLine="542"/>
        <w:spacing w:after="0" w:line="267" w:lineRule="auto"/>
        <w:rPr>
          <w:sz w:val="20"/>
          <w:szCs w:val="20"/>
          <w:color w:val="auto"/>
        </w:rPr>
      </w:pPr>
      <w:r>
        <w:rPr>
          <w:rFonts w:ascii="Times New Roman" w:cs="Times New Roman" w:eastAsia="Times New Roman" w:hAnsi="Times New Roman"/>
          <w:sz w:val="17"/>
          <w:szCs w:val="17"/>
          <w:color w:val="auto"/>
        </w:rPr>
        <w:t>In the United States, an EMR study of 7,650 eyes treated with Lucentis and Eylea outside of the clinical trial setting showed that these therapies improved patients’ visual acuity less in practice than they do in clinical trials. Further, by the end of the first year of treatment, patients’ average visual acuity had deteriorated below their pretreatment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58420</wp:posOffset>
            </wp:positionV>
            <wp:extent cx="4786630" cy="1776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8663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Figure: Mean change in visual acuity (VA) letter score at 3, 6 and 12 months in the first year of treatment.</w:t>
      </w:r>
    </w:p>
    <w:p>
      <w:pPr>
        <w:jc w:val="center"/>
        <w:spacing w:after="0"/>
        <w:rPr>
          <w:sz w:val="20"/>
          <w:szCs w:val="20"/>
          <w:color w:val="auto"/>
        </w:rPr>
      </w:pPr>
      <w:r>
        <w:rPr>
          <w:rFonts w:ascii="Times New Roman" w:cs="Times New Roman" w:eastAsia="Times New Roman" w:hAnsi="Times New Roman"/>
          <w:sz w:val="14"/>
          <w:szCs w:val="14"/>
          <w:b w:val="1"/>
          <w:bCs w:val="1"/>
          <w:color w:val="auto"/>
        </w:rPr>
        <w:t>VA was lower at 12 months than at the beginning of treatment.</w:t>
      </w:r>
    </w:p>
    <w:p>
      <w:pPr>
        <w:spacing w:after="0" w:line="72"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When patients leave the tightly controlled clinical trial environment, their eyesight, on average, falls to pretreatment levels. In practice, anti-VEGF therapies are not delivering the level of benefit that their pivotal clinical trials suggested. In the pivotal Lucentis trials MARINA and ANCHOR, patients were able to gain and maintain vision gains with monthly dosing over two years. After exiting the clinical trials, patients were followed in the HORIZON study with as needed dosing (Pro Re Nata or PRN) for three more years. Gradual vision decline can be seen immediately after exiting the trials, returning to pre-treatment baseline vision before the end of the third year of follow-up in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62865</wp:posOffset>
            </wp:positionV>
            <wp:extent cx="3042285" cy="1379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4228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2660"/>
        <w:spacing w:after="0" w:line="228" w:lineRule="auto"/>
        <w:rPr>
          <w:sz w:val="20"/>
          <w:szCs w:val="20"/>
          <w:color w:val="auto"/>
        </w:rPr>
      </w:pPr>
      <w:r>
        <w:rPr>
          <w:rFonts w:ascii="Times New Roman" w:cs="Times New Roman" w:eastAsia="Times New Roman" w:hAnsi="Times New Roman"/>
          <w:sz w:val="14"/>
          <w:szCs w:val="14"/>
          <w:b w:val="1"/>
          <w:bCs w:val="1"/>
          <w:color w:val="auto"/>
        </w:rPr>
        <w:t>Figure: Mean change in visual acuity (VA) letter score in MARINA and ANCHOR (years one and two) and in HORIZON (years three to five). VA gradually decreased immediately after the patients exited monthly dosing in a clinical trial setting.</w:t>
      </w:r>
    </w:p>
    <w:p>
      <w:pPr>
        <w:spacing w:after="0" w:line="73"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A study funded by the National Eye Institute followed patients who left the tightly controlled clinical trial environment into clinical practice and showed that these patients, on average, lost all the gains in visual acuity that they obtained while enrolled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50165</wp:posOffset>
            </wp:positionV>
            <wp:extent cx="5030470" cy="1468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3047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Undertreatment in the early course of patients’ disease risks the patients’ ability to benefit from anti-VEGF therapies after the passage of time.</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After disease onset, how soon patients receive appropriate treatment is important to whether they can respond to treatment. Failure to appropriately treat neovascularization in the early period may reduce patients’ ability to respond to anti-VEGF therapies as the disease progresses, possibly leading to irreversible damage. In the RIDE/RISE clinical studies of Lucentis in DR, patients who received Lucentis saw an increase in visual acuity of 10 to 12 letters at month 24. Patients who received sham treatment (a procedure that is intended to mimic a therapy in a clinical trial as closely as possible without having any actual efficacy) for 24 months saw no benefit. At the 24-month mark, the patient arms were crossed over, such that the patients who had initially received sham treatment now began to receive Lucentis. These patients were only able to improve by four letters by year three. The interpretation is that the unchecked disease progression in the initial period damaged the retina to such an extent that patients were subsequently unable to respond to Lucentis to the same degree as patients treated with Lucentis earlier in their disease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66675</wp:posOffset>
            </wp:positionV>
            <wp:extent cx="4908550" cy="1103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08550" cy="110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At 36 months, patients who received Lucentis 0.5mg experienced a mean BCVA change from</w:t>
      </w:r>
    </w:p>
    <w:p>
      <w:pPr>
        <w:jc w:val="center"/>
        <w:ind w:left="340" w:right="2280"/>
        <w:spacing w:after="0" w:line="264" w:lineRule="auto"/>
        <w:rPr>
          <w:sz w:val="20"/>
          <w:szCs w:val="20"/>
          <w:color w:val="auto"/>
        </w:rPr>
      </w:pPr>
      <w:r>
        <w:rPr>
          <w:rFonts w:ascii="Times New Roman" w:cs="Times New Roman" w:eastAsia="Times New Roman" w:hAnsi="Times New Roman"/>
          <w:sz w:val="12"/>
          <w:szCs w:val="12"/>
          <w:b w:val="1"/>
          <w:bCs w:val="1"/>
          <w:color w:val="auto"/>
        </w:rPr>
        <w:t>baseline of 11.4 letters and 11.0 letters in RIDE and RISE, respectively. Patients who received sham treatment for 24 months and then crossed over to Lucentis 0.5mg experienced a diminished benefit in mean best corrected visual acuity change from baseline at 36 months of 4.7 letters and 4.3 letters in RIDE and RISE,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Conclusions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There is a significant and urgent unmet medical need to find better therapeutic options for patients with neovascular diseases of the retina that can:</w:t>
      </w:r>
    </w:p>
    <w:p>
      <w:pPr>
        <w:spacing w:after="0" w:line="111" w:lineRule="exact"/>
        <w:rPr>
          <w:sz w:val="20"/>
          <w:szCs w:val="20"/>
          <w:color w:val="auto"/>
        </w:rPr>
      </w:pPr>
    </w:p>
    <w:p>
      <w:pPr>
        <w:ind w:left="660" w:right="520" w:hanging="121"/>
        <w:spacing w:after="0" w:line="283"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patients on mechanism for longer than currently available anti-VEGF therapies, thereby preventing repeated undertreatment by overextending treatment intervals and thus avoiding latent recurrence of retinal edema;</w:t>
      </w:r>
    </w:p>
    <w:p>
      <w:pPr>
        <w:spacing w:after="0" w:line="50" w:lineRule="exact"/>
        <w:rPr>
          <w:rFonts w:ascii="Times New Roman" w:cs="Times New Roman" w:eastAsia="Times New Roman" w:hAnsi="Times New Roman"/>
          <w:sz w:val="17"/>
          <w:szCs w:val="17"/>
          <w:color w:val="auto"/>
        </w:rPr>
      </w:pPr>
    </w:p>
    <w:p>
      <w:pPr>
        <w:ind w:left="660" w:hanging="121"/>
        <w:spacing w:after="0" w:line="283"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match the required frequency of injections to keep the patient’s disease quiescent with the frequency of visits that patient and physician behavior suggest is achievable in practice;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 the strong visual acuity gains of the early intensive treatment phase over the long term and outside of clinical trial contexts; and</w:t>
      </w:r>
    </w:p>
    <w:p>
      <w:pPr>
        <w:spacing w:after="0" w:line="111" w:lineRule="exact"/>
        <w:rPr>
          <w:rFonts w:ascii="Times New Roman" w:cs="Times New Roman" w:eastAsia="Times New Roman" w:hAnsi="Times New Roman"/>
          <w:sz w:val="17"/>
          <w:szCs w:val="17"/>
          <w:color w:val="auto"/>
        </w:rPr>
      </w:pPr>
    </w:p>
    <w:p>
      <w:pPr>
        <w:ind w:left="660" w:right="60" w:hanging="121"/>
        <w:spacing w:after="0" w:line="283"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tolerable treatment regimen even for patients who are early in the course of their disease, so they can achieve the maximal benefit of anti-VEGF therapy.</w:t>
      </w:r>
    </w:p>
    <w:p>
      <w:pPr>
        <w:spacing w:after="0" w:line="50" w:lineRule="exact"/>
        <w:rPr>
          <w:sz w:val="20"/>
          <w:szCs w:val="20"/>
          <w:color w:val="auto"/>
        </w:rPr>
      </w:pPr>
    </w:p>
    <w:p>
      <w:pPr>
        <w:ind w:right="300" w:firstLine="542"/>
        <w:spacing w:after="0" w:line="267" w:lineRule="auto"/>
        <w:rPr>
          <w:sz w:val="20"/>
          <w:szCs w:val="20"/>
          <w:color w:val="auto"/>
        </w:rPr>
      </w:pPr>
      <w:r>
        <w:rPr>
          <w:rFonts w:ascii="Times New Roman" w:cs="Times New Roman" w:eastAsia="Times New Roman" w:hAnsi="Times New Roman"/>
          <w:sz w:val="17"/>
          <w:szCs w:val="17"/>
          <w:color w:val="auto"/>
        </w:rPr>
        <w:t>In the 2018 Preferences and Trends Survey conducted by the American Society of Retina Specialists, retina specialists worldwide cited both reduced treatment burden and long-acting durability as the greatest unmet needs regarding wet AMD treatment, and in the 2019 Survey, the majority of retina specialists believed that wet AMD patients are being undertreated.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Lead Product Candidate: KSI-301</w:t>
      </w:r>
    </w:p>
    <w:p>
      <w:pPr>
        <w:spacing w:after="0" w:line="115" w:lineRule="exact"/>
        <w:rPr>
          <w:sz w:val="20"/>
          <w:szCs w:val="20"/>
          <w:color w:val="auto"/>
        </w:rPr>
      </w:pPr>
    </w:p>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Our lead product candidate, KSI-301, is a novel, clinical-stage anti-VEGF biological agent that combines inhibition of a known pathway with a potentially superior on-mechanism durability profile compared to currently marketed drugs for wet AMD, DME, DR and RVO. By addressing the primary causes of undertreatment, KSI-301 has the potential to improve and sustain visual acuity outcomes in patients with retinal vascular and exudative diseases.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Components of KSI-301</w:t>
      </w:r>
    </w:p>
    <w:p>
      <w:pPr>
        <w:spacing w:after="0" w:line="117"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KSI-301 is a bioconjugate comprised of two novel components. The first component is a recombinant, full-length humanized anti-VEGF monoclonal antibody. The second component is a branched, optically clear phosphorylcholine biopolymer. The antibody is conjugated to the biopolymer in a one-to-one ratio through a stable and site-specific chemical linkage to form the antibody biopolymer conjugate. The molecular weight of KSI-301 is approximately 950,000 Daltons (Dalton is a standard measure of molecular weight), of which approximately 150,000 Daltons are attributable to the antibody component and 800,000 Daltons are attributable to the biopolymer component. It is well-established that substances, when injected intravitreally, with a smaller molecular weight will be cleared from ocular tissues more quickly than larger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565910" cy="1565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65910"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Figure: Functional structure of the KSI-301 antibody biopolymer conjugate.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Antibody Intermediate</w:t>
      </w:r>
    </w:p>
    <w:p>
      <w:pPr>
        <w:spacing w:after="0" w:line="115" w:lineRule="exact"/>
        <w:rPr>
          <w:sz w:val="20"/>
          <w:szCs w:val="20"/>
          <w:color w:val="auto"/>
        </w:rPr>
      </w:pPr>
    </w:p>
    <w:p>
      <w:pPr>
        <w:ind w:right="100" w:firstLine="542"/>
        <w:spacing w:after="0" w:line="283" w:lineRule="auto"/>
        <w:rPr>
          <w:sz w:val="20"/>
          <w:szCs w:val="20"/>
          <w:color w:val="auto"/>
        </w:rPr>
      </w:pPr>
      <w:r>
        <w:rPr>
          <w:rFonts w:ascii="Times New Roman" w:cs="Times New Roman" w:eastAsia="Times New Roman" w:hAnsi="Times New Roman"/>
          <w:sz w:val="17"/>
          <w:szCs w:val="17"/>
          <w:color w:val="auto"/>
        </w:rPr>
        <w:t>The antibody intermediate of KSI-301 consists of a humanized anti-VEGF antibody. KSI-301 behaves pharmacologically similar to Lucentis by inhibiting VEGF-mediated neovascularization and vascular permeability.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Biopolymer Intermediate</w:t>
      </w:r>
    </w:p>
    <w:p>
      <w:pPr>
        <w:spacing w:after="0" w:line="115" w:lineRule="exact"/>
        <w:rPr>
          <w:sz w:val="20"/>
          <w:szCs w:val="20"/>
          <w:color w:val="auto"/>
        </w:rPr>
      </w:pPr>
    </w:p>
    <w:p>
      <w:pPr>
        <w:ind w:right="20" w:firstLine="542"/>
        <w:spacing w:after="0" w:line="253" w:lineRule="auto"/>
        <w:rPr>
          <w:sz w:val="20"/>
          <w:szCs w:val="20"/>
          <w:color w:val="auto"/>
        </w:rPr>
      </w:pPr>
      <w:r>
        <w:rPr>
          <w:rFonts w:ascii="Times New Roman" w:cs="Times New Roman" w:eastAsia="Times New Roman" w:hAnsi="Times New Roman"/>
          <w:sz w:val="17"/>
          <w:szCs w:val="17"/>
          <w:color w:val="auto"/>
        </w:rPr>
        <w:t>The biopolymer component is a branched, optically clear phosphorylcholine biopolymer. Phosphorylcholine is a naturally occurring phospholipid head group present on the external surface of mammalian cellular membranes. Phosphorylcholine demonstrates physiological inertness that has been attributed to its molecular structure, where a permanent positive charge on the nitrogen group is equally balanced by a negative charge on the phosphate, yielding a net neutral charge over a wide range of conditions. Because of these biophysical properties, phosphorylcholine-based materials demonstrate super-hydrophilic properties in which they bind large amounts of water molecules very tightly, to create what we call “structured water.” Phosphorylcholine is used successfully in marketed medical materials as the key water control monomer, in particular as a hydrogel in certain contact lenses and as a polymeric surface coating in certain cardiac drug-eluting stents. In these applications, phosphorylcholine containing monomers are polymerized via “uncontrolled” free radical polymerization. For an external hydrogel application (contact lens) and an internal surface coating application (drug eluting stent), control of molecular weight and architecture are not important performance attributes. Kodiak’s objective was to incorporate phosphorylcholine into well-controlled biomaterials to use as conjugates for soluble, injectable medicines such as biopharmaceuticals. In such an application, control of molecular weight and architecture are important manufacturing and performance parameters. Therefore, we used controlled “living” polymerization techniques to build precise, star-shaped, high molecular weight, well-characterized phosphorylcholine-based biopolymers that preserve functional chemistry for subsequent conjugation to biologically active proteins and, once conjugated, bring a highly structured water environment into close proximity with the bioactive antibody’s target binding regions. We are also applying these controlled “living” polymerization techniques to develop phosphorylcholine-based biopolymers as copolymers of phosphorylcholine-containing and drug-containing comonomers to build chemistry-based product candidates that we believe may demonstrate high biocompatibility, high drug loading and sustained release of small molecule drugs for ophthalmology applications.</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322"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Characteristics of KSI-301</w:t>
      </w:r>
    </w:p>
    <w:p>
      <w:pPr>
        <w:spacing w:after="0" w:line="117"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We believe that KSI-301 can be a highly differentiated treatment with an improved durability and bioavailability profile compared to current anti-VEGF therapies due to the following design features and resulting performance benefits we have observed with KSI-301 in our preclinical development:</w:t>
      </w:r>
    </w:p>
    <w:p>
      <w:pPr>
        <w:spacing w:after="0" w:line="50" w:lineRule="exact"/>
        <w:rPr>
          <w:sz w:val="20"/>
          <w:szCs w:val="20"/>
          <w:color w:val="auto"/>
        </w:rPr>
      </w:pPr>
    </w:p>
    <w:p>
      <w:pPr>
        <w:ind w:left="660" w:right="700" w:hanging="121"/>
        <w:spacing w:after="0" w:line="283"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feature: KSI-301’s ultra-high molecular weight of 950,000 Daltons as compared to 115,000 for Eylea, 48,000 for Lucentis and 27,000 for brolucizumab</w:t>
      </w:r>
    </w:p>
    <w:p>
      <w:pPr>
        <w:spacing w:after="0" w:line="50" w:lineRule="exact"/>
        <w:rPr>
          <w:rFonts w:ascii="Times New Roman" w:cs="Times New Roman" w:eastAsia="Times New Roman" w:hAnsi="Times New Roman"/>
          <w:sz w:val="17"/>
          <w:szCs w:val="17"/>
          <w:color w:val="auto"/>
        </w:rPr>
      </w:pPr>
    </w:p>
    <w:p>
      <w:pPr>
        <w:ind w:left="1200" w:hanging="125"/>
        <w:spacing w:after="0"/>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Associated performance benefits:</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3x improvement in key ocular pharmacokinetic parameters of KSI-301, as compared to Eylea</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~1000x ocular concentration advantage at three months post-dosing of KSI-301, as compared to Eylea</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feature: KSI-301’s phosphorylcholine-based ABC Platform</w:t>
      </w:r>
    </w:p>
    <w:p>
      <w:pPr>
        <w:spacing w:after="0" w:line="111" w:lineRule="exact"/>
        <w:rPr>
          <w:rFonts w:ascii="Times New Roman" w:cs="Times New Roman" w:eastAsia="Times New Roman" w:hAnsi="Times New Roman"/>
          <w:sz w:val="17"/>
          <w:szCs w:val="17"/>
          <w:color w:val="auto"/>
        </w:rPr>
      </w:pPr>
    </w:p>
    <w:p>
      <w:pPr>
        <w:ind w:left="1200" w:hanging="125"/>
        <w:spacing w:after="0"/>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Associated performance benefits:</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4x increase in key target ocular tissue bioavailability, as compared to Eylea</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 or increased bioactivity, as compared to the standard of care anti-VEGF agents</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stability and resistance to degradation of bioconjugates compared to therapeutic proteins</w:t>
      </w:r>
    </w:p>
    <w:p>
      <w:pPr>
        <w:spacing w:after="0" w:line="111" w:lineRule="exact"/>
        <w:rPr>
          <w:rFonts w:ascii="Times New Roman" w:cs="Times New Roman" w:eastAsia="Times New Roman" w:hAnsi="Times New Roman"/>
          <w:sz w:val="17"/>
          <w:szCs w:val="17"/>
          <w:color w:val="auto"/>
        </w:rPr>
      </w:pPr>
    </w:p>
    <w:p>
      <w:pPr>
        <w:ind w:left="660" w:right="160" w:hanging="121"/>
        <w:spacing w:after="0" w:line="283"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feature: KSI-301’s increased formulation strength of 50 mg/mL as compared to 40 mg/mL for Eylea and 10 mg/mL for Lucentis, as measured by weight of protein moiety</w:t>
      </w:r>
    </w:p>
    <w:p>
      <w:pPr>
        <w:spacing w:after="0" w:line="50" w:lineRule="exact"/>
        <w:rPr>
          <w:rFonts w:ascii="Times New Roman" w:cs="Times New Roman" w:eastAsia="Times New Roman" w:hAnsi="Times New Roman"/>
          <w:sz w:val="17"/>
          <w:szCs w:val="17"/>
          <w:color w:val="auto"/>
        </w:rPr>
      </w:pPr>
    </w:p>
    <w:p>
      <w:pPr>
        <w:ind w:left="1200" w:hanging="125"/>
        <w:spacing w:after="0"/>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Associated performance benefits:</w:t>
      </w:r>
    </w:p>
    <w:p>
      <w:pPr>
        <w:spacing w:after="0" w:line="111" w:lineRule="exact"/>
        <w:rPr>
          <w:rFonts w:ascii="Times New Roman" w:cs="Times New Roman" w:eastAsia="Times New Roman" w:hAnsi="Times New Roman"/>
          <w:sz w:val="17"/>
          <w:szCs w:val="17"/>
          <w:color w:val="auto"/>
        </w:rPr>
      </w:pPr>
    </w:p>
    <w:p>
      <w:pPr>
        <w:ind w:left="1720" w:hanging="133"/>
        <w:spacing w:after="0"/>
        <w:tabs>
          <w:tab w:leader="none" w:pos="172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3.5x and 7x higher number of anti-VEGF binding sites per dose, as compared with Eylea and Lucentis, respectively</w:t>
      </w:r>
    </w:p>
    <w:p>
      <w:pPr>
        <w:spacing w:after="0" w:line="111"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We believe that the aggregated effects of these properties could afford KSI-301 a longer on-mechanism durability that will more closely match the frequency of physician visits that is realistic for patients in clinical practice.</w:t>
      </w:r>
    </w:p>
    <w:p>
      <w:pPr>
        <w:spacing w:after="0" w:line="50" w:lineRule="exact"/>
        <w:rPr>
          <w:sz w:val="20"/>
          <w:szCs w:val="20"/>
          <w:color w:val="auto"/>
        </w:rPr>
      </w:pPr>
    </w:p>
    <w:p>
      <w:pPr>
        <w:ind w:right="40" w:firstLine="542"/>
        <w:spacing w:after="0" w:line="253" w:lineRule="auto"/>
        <w:rPr>
          <w:sz w:val="20"/>
          <w:szCs w:val="20"/>
          <w:color w:val="auto"/>
        </w:rPr>
      </w:pPr>
      <w:r>
        <w:rPr>
          <w:rFonts w:ascii="Times New Roman" w:cs="Times New Roman" w:eastAsia="Times New Roman" w:hAnsi="Times New Roman"/>
          <w:sz w:val="17"/>
          <w:szCs w:val="17"/>
          <w:color w:val="auto"/>
        </w:rPr>
        <w:t>We also believe that these properties along with KSI-301’s delivery by intravitreal injection position it favorably compared to other therapies being studied in the clinic with the aim of long-interval dosing in retinal vascular disease. For example, both subretinal gene therapy and an implantable drug reservoir require the patient to undergo surgery, which is generally riskier than an intravitreal injection. This need for surgery may reduce the likelihood that those technologies could be useful for or adopted by a broad range of physicians and patients, especially those patients with earlier-stage disease. An implantable drug reservoir also leaves a foreign body permanently in the eye, with an attendant increased risk of infection or other long-term postoperative complications such as implant dislocation. Coated microsphere drug depots that deliver small-molecule receptor tyrosine kinase inhibitor drugs into the eye may leave a foreign residual material, which may cause visual symptoms and/or other safety problems. Additionally, receptor tyrosine kinase inhibitor drugs affect signaling through additional receptors other than VEGF receptor; the effects on the eye of this additional receptor inhibition, either good or bad, are not yet known. Likewise, intravitreally-administered gene therapy vectors have been associated with chronic intraocular inflammation in a high percentage of treated patients, which may limit the efficacy of these treatments, the ability to retreat the first eye or treat the second eye over time, and the overall adoption of these approaches if they are successful. Finally, bispecific antibodies that target VEGF as well as other angiogenic signaling pathways are attempting to increase durability of treatment effect both through high molar doses and the targeting of additional pathways beyond VEGF, but the antibodies being used are the same size as typical monoclonal antibodies (~150 kDa) and we believe they do not have any unique size or half-life extending properties.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Trajectories in Field of Medicines Development for Retinal (Intravitreal) Therapies</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Since the initial FDA approval of Lucentis in 2006 as a monthly therapy for wet AMD, efforts have been made to improve the durability of intravitreal anti-VEGF therapy. Primarily, two parameters have been varied: size of molecule and amount of injected dose. First, increasing molecular weight, which can increase durability or ocular pharmacokinetics, or PK, in the eye because a larger molecule can lead to a slower exit from the eye. For example, Lucentis has a molecular weight of 48 kDa whereas Eylea, approved in 2011, has a molecular weight of 115 kDa. The second parameter is increasing the formulation strength (concentration) to increase the effective dose of anti-VEGF, given the limited volume of medicine that can be injected intravitreally in a single administration. This increases effective durability by keeping drug concentrations in the eye above a minimal threshold for longer periods of time. For example, Eylea has a 2x molar equivalence to Lucentis. In designing KSI-301, we addressed both parameters: first, increasing the molecular weight to 950 kDa through our ABC approach, and second, increasing the molar strength through a high concentration formulation of 50 mg/mL (by weight of protein). We believe our design decisions for KSI-301 may provide increased durability. The following figure illustrates these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-7620</wp:posOffset>
            </wp:positionV>
            <wp:extent cx="5492750" cy="3082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92750" cy="308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color w:val="auto"/>
        </w:rPr>
        <w:t>Affinity for and Inhibition of VEGF</w:t>
      </w:r>
    </w:p>
    <w:p>
      <w:pPr>
        <w:spacing w:after="0" w:line="11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The therapeutic activity of KSI-301 is driven by its antibody component, OG1950, which (1) binds to VEGF and (2) prevents VEGF from carrying out its functions that promote neovascularization and increase vascular permeability. Our preclinical tests have demonstrated that OG1950 and KSI-301 bind to VEGF with similar affinity, which indicates that, despite the size and complex architecture of the biopolymer intermediate, the biopolymer does not interfere with antibody binding.</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Binding kinetics of OG1950 and KSI-301 to huVEGF-A165 by SPR or KinExA analysis.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Molecule</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Platform (°C)</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7"/>
                <w:szCs w:val="17"/>
                <w:b w:val="1"/>
                <w:bCs w:val="1"/>
                <w:color w:val="auto"/>
              </w:rPr>
              <w:t xml:space="preserve"> (M)</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off</w:t>
            </w:r>
            <w:r>
              <w:rPr>
                <w:rFonts w:ascii="Times New Roman" w:cs="Times New Roman" w:eastAsia="Times New Roman" w:hAnsi="Times New Roman"/>
                <w:sz w:val="17"/>
                <w:szCs w:val="17"/>
                <w:b w:val="1"/>
                <w:bCs w:val="1"/>
                <w:color w:val="auto"/>
              </w:rPr>
              <w:t xml:space="preserve"> (M)</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7"/>
                <w:szCs w:val="17"/>
                <w:b w:val="1"/>
                <w:bCs w:val="1"/>
                <w:color w:val="auto"/>
              </w:rPr>
              <w:t xml:space="preserve"> (pM)</w:t>
            </w:r>
          </w:p>
        </w:tc>
      </w:tr>
      <w:tr>
        <w:trPr>
          <w:trHeight w:val="210"/>
        </w:trPr>
        <w:tc>
          <w:tcPr>
            <w:tcW w:w="5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OG1950</w:t>
            </w: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Biacore(25°)</w:t>
            </w: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7"/>
                <w:szCs w:val="17"/>
                <w:color w:val="auto"/>
                <w:w w:val="99"/>
              </w:rPr>
              <w:t>5.31x10</w:t>
            </w:r>
            <w:r>
              <w:rPr>
                <w:rFonts w:ascii="Times New Roman" w:cs="Times New Roman" w:eastAsia="Times New Roman" w:hAnsi="Times New Roman"/>
                <w:sz w:val="14"/>
                <w:szCs w:val="14"/>
                <w:color w:val="auto"/>
                <w:w w:val="99"/>
              </w:rPr>
              <w:t>6</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rPr>
              <w:t>4.48x10</w:t>
            </w:r>
            <w:r>
              <w:rPr>
                <w:rFonts w:ascii="Times New Roman" w:cs="Times New Roman" w:eastAsia="Times New Roman" w:hAnsi="Times New Roman"/>
                <w:sz w:val="14"/>
                <w:szCs w:val="14"/>
                <w:color w:val="auto"/>
              </w:rPr>
              <w:t>-5</w:t>
            </w:r>
          </w:p>
        </w:tc>
        <w:tc>
          <w:tcPr>
            <w:tcW w:w="1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KinExA(37°)</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5.09x10</w:t>
            </w:r>
            <w:r>
              <w:rPr>
                <w:rFonts w:ascii="Times New Roman" w:cs="Times New Roman" w:eastAsia="Times New Roman" w:hAnsi="Times New Roman"/>
                <w:sz w:val="14"/>
                <w:szCs w:val="14"/>
                <w:color w:val="auto"/>
              </w:rPr>
              <w:t>5</w:t>
            </w: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1.75x10</w:t>
            </w:r>
            <w:r>
              <w:rPr>
                <w:rFonts w:ascii="Times New Roman" w:cs="Times New Roman" w:eastAsia="Times New Roman" w:hAnsi="Times New Roman"/>
                <w:sz w:val="14"/>
                <w:szCs w:val="14"/>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8"/>
                <w:szCs w:val="18"/>
                <w:color w:val="auto"/>
              </w:rPr>
            </w:pPr>
          </w:p>
        </w:tc>
      </w:tr>
      <w:tr>
        <w:trPr>
          <w:trHeight w:val="217"/>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KSI-301</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Biacore(25°)</w:t>
            </w:r>
          </w:p>
        </w:tc>
        <w:tc>
          <w:tcPr>
            <w:tcW w:w="13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7"/>
                <w:szCs w:val="17"/>
                <w:color w:val="auto"/>
              </w:rPr>
              <w:t>3.19x10</w:t>
            </w:r>
            <w:r>
              <w:rPr>
                <w:rFonts w:ascii="Times New Roman" w:cs="Times New Roman" w:eastAsia="Times New Roman" w:hAnsi="Times New Roman"/>
                <w:sz w:val="14"/>
                <w:szCs w:val="14"/>
                <w:color w:val="auto"/>
              </w:rPr>
              <w:t>6</w:t>
            </w:r>
          </w:p>
        </w:tc>
        <w:tc>
          <w:tcPr>
            <w:tcW w:w="14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rPr>
              <w:t>5.33x10</w:t>
            </w:r>
            <w:r>
              <w:rPr>
                <w:rFonts w:ascii="Times New Roman" w:cs="Times New Roman" w:eastAsia="Times New Roman" w:hAnsi="Times New Roman"/>
                <w:sz w:val="14"/>
                <w:szCs w:val="14"/>
                <w:color w:val="auto"/>
              </w:rPr>
              <w:t>-5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FF0FC"/>
          </w:tcPr>
          <w:p>
            <w:pPr>
              <w:spacing w:after="0"/>
              <w:rPr>
                <w:sz w:val="18"/>
                <w:szCs w:val="18"/>
                <w:color w:val="auto"/>
              </w:rPr>
            </w:pPr>
          </w:p>
        </w:tc>
      </w:tr>
      <w:tr>
        <w:trPr>
          <w:trHeight w:val="222"/>
        </w:trPr>
        <w:tc>
          <w:tcPr>
            <w:tcW w:w="5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KinExA(37°)</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2.69x10</w:t>
            </w:r>
            <w:r>
              <w:rPr>
                <w:rFonts w:ascii="Times New Roman" w:cs="Times New Roman" w:eastAsia="Times New Roman" w:hAnsi="Times New Roman"/>
                <w:sz w:val="14"/>
                <w:szCs w:val="14"/>
                <w:color w:val="auto"/>
              </w:rPr>
              <w:t>5</w:t>
            </w: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1.82x10</w:t>
            </w:r>
            <w:r>
              <w:rPr>
                <w:rFonts w:ascii="Times New Roman" w:cs="Times New Roman" w:eastAsia="Times New Roman" w:hAnsi="Times New Roman"/>
                <w:sz w:val="14"/>
                <w:szCs w:val="14"/>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Pr>
          <w:p>
            <w:pPr>
              <w:spacing w:after="0"/>
              <w:rPr>
                <w:sz w:val="19"/>
                <w:szCs w:val="19"/>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C = degrees Celsius; K</w:t>
      </w:r>
      <w:r>
        <w:rPr>
          <w:rFonts w:ascii="Times New Roman" w:cs="Times New Roman" w:eastAsia="Times New Roman" w:hAnsi="Times New Roman"/>
          <w:sz w:val="23"/>
          <w:szCs w:val="23"/>
          <w:i w:val="1"/>
          <w:iCs w:val="1"/>
          <w:color w:val="auto"/>
          <w:vertAlign w:val="subscript"/>
        </w:rPr>
        <w:t>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3"/>
          <w:szCs w:val="13"/>
          <w:i w:val="1"/>
          <w:iCs w:val="1"/>
          <w:color w:val="auto"/>
        </w:rPr>
        <w:t>= dissociation constant</w:t>
      </w:r>
    </w:p>
    <w:p>
      <w:pPr>
        <w:spacing w:after="0" w:line="119" w:lineRule="exact"/>
        <w:rPr>
          <w:sz w:val="20"/>
          <w:szCs w:val="20"/>
          <w:color w:val="auto"/>
        </w:rPr>
      </w:pPr>
    </w:p>
    <w:p>
      <w:pPr>
        <w:jc w:val="both"/>
        <w:ind w:right="180" w:firstLine="542"/>
        <w:spacing w:after="0" w:line="259" w:lineRule="auto"/>
        <w:rPr>
          <w:sz w:val="20"/>
          <w:szCs w:val="20"/>
          <w:color w:val="auto"/>
        </w:rPr>
      </w:pPr>
      <w:r>
        <w:rPr>
          <w:rFonts w:ascii="Times New Roman" w:cs="Times New Roman" w:eastAsia="Times New Roman" w:hAnsi="Times New Roman"/>
          <w:sz w:val="17"/>
          <w:szCs w:val="17"/>
          <w:color w:val="auto"/>
        </w:rPr>
        <w:t>We have also tested OG1950 and KSI-301 in vitro alongside other anti-VEGF biologics to test their respective abilities to inhibit VEGF from binding to VEGF receptors. As shown in the figure and table below, while KSI-301 and OG1950 have similar IC50 (the concentration at which binding is reduced by half) compared to Eylea, KSI-301 consistently demonstrates a higher maximal inhibition than Eylea or Lucentis. Of note, KSI-301 improved maximal inhibition more than OG1950, suggesting that the special nature of our antibody biopolymer conjugate synergistically improves the bioactivity of the antibody intermediate acting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62865</wp:posOffset>
            </wp:positionV>
            <wp:extent cx="2596515" cy="2036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6515" cy="203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70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Figure: Inhibition of VEGF binding to VEGF receptors by anti-VEGF agents.</w:t>
            </w:r>
          </w:p>
        </w:tc>
        <w:tc>
          <w:tcPr>
            <w:tcW w:w="1660" w:type="dxa"/>
            <w:vAlign w:val="bottom"/>
          </w:tcPr>
          <w:p>
            <w:pPr>
              <w:spacing w:after="0"/>
              <w:rPr>
                <w:sz w:val="15"/>
                <w:szCs w:val="15"/>
                <w:color w:val="auto"/>
              </w:rPr>
            </w:pPr>
          </w:p>
        </w:tc>
      </w:tr>
      <w:tr>
        <w:trPr>
          <w:trHeight w:val="297"/>
        </w:trPr>
        <w:tc>
          <w:tcPr>
            <w:tcW w:w="2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Maximal</w:t>
            </w:r>
          </w:p>
        </w:tc>
      </w:tr>
      <w:tr>
        <w:trPr>
          <w:trHeight w:val="204"/>
        </w:trPr>
        <w:tc>
          <w:tcPr>
            <w:tcW w:w="25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inhibition</w:t>
            </w: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Molecule</w:t>
            </w: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4"/>
                <w:szCs w:val="14"/>
                <w:b w:val="1"/>
                <w:bCs w:val="1"/>
                <w:color w:val="auto"/>
              </w:rPr>
              <w:t>50</w:t>
            </w:r>
            <w:r>
              <w:rPr>
                <w:rFonts w:ascii="Times New Roman" w:cs="Times New Roman" w:eastAsia="Times New Roman" w:hAnsi="Times New Roman"/>
                <w:sz w:val="17"/>
                <w:szCs w:val="17"/>
                <w:b w:val="1"/>
                <w:bCs w:val="1"/>
                <w:color w:val="auto"/>
              </w:rPr>
              <w:t xml:space="preserve"> (nM)</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p>
        </w:tc>
      </w:tr>
      <w:tr>
        <w:trPr>
          <w:trHeight w:val="210"/>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KSI-301</w:t>
            </w:r>
          </w:p>
        </w:tc>
        <w:tc>
          <w:tcPr>
            <w:tcW w:w="5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3.72±0.74</w:t>
            </w:r>
          </w:p>
        </w:tc>
        <w:tc>
          <w:tcPr>
            <w:tcW w:w="20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93.89±1.41</w:t>
            </w:r>
          </w:p>
        </w:tc>
      </w:tr>
      <w:tr>
        <w:trPr>
          <w:trHeight w:val="217"/>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OG1950</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3.97±1.19</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83.72±3.13</w:t>
            </w:r>
          </w:p>
        </w:tc>
      </w:tr>
      <w:tr>
        <w:trPr>
          <w:trHeight w:val="217"/>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Ranibizumab (Lucentis)</w:t>
            </w:r>
          </w:p>
        </w:tc>
        <w:tc>
          <w:tcPr>
            <w:tcW w:w="6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8.60±1.29</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70.67±2.36</w:t>
            </w:r>
          </w:p>
        </w:tc>
      </w:tr>
      <w:tr>
        <w:trPr>
          <w:trHeight w:val="217"/>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Aflibercept (Eylea)</w:t>
            </w:r>
          </w:p>
        </w:tc>
        <w:tc>
          <w:tcPr>
            <w:tcW w:w="6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4.50±0.14</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74.96±1.84</w:t>
            </w:r>
          </w:p>
        </w:tc>
      </w:tr>
      <w:tr>
        <w:trPr>
          <w:trHeight w:val="217"/>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Bevacizumab (Avastin)</w:t>
            </w:r>
          </w:p>
        </w:tc>
        <w:tc>
          <w:tcPr>
            <w:tcW w:w="6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10.29±0.70</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73.08±4.20</w:t>
            </w: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Average IC</w:t>
      </w:r>
      <w:r>
        <w:rPr>
          <w:rFonts w:ascii="Times New Roman" w:cs="Times New Roman" w:eastAsia="Times New Roman" w:hAnsi="Times New Roman"/>
          <w:sz w:val="11"/>
          <w:szCs w:val="11"/>
          <w:b w:val="1"/>
          <w:bCs w:val="1"/>
          <w:color w:val="auto"/>
        </w:rPr>
        <w:t>50</w:t>
      </w:r>
      <w:r>
        <w:rPr>
          <w:rFonts w:ascii="Times New Roman" w:cs="Times New Roman" w:eastAsia="Times New Roman" w:hAnsi="Times New Roman"/>
          <w:sz w:val="14"/>
          <w:szCs w:val="14"/>
          <w:b w:val="1"/>
          <w:bCs w:val="1"/>
          <w:color w:val="auto"/>
        </w:rPr>
        <w:t xml:space="preserve"> and maximal inhibition of anti-VEGF agents. IC</w:t>
      </w:r>
      <w:r>
        <w:rPr>
          <w:rFonts w:ascii="Times New Roman" w:cs="Times New Roman" w:eastAsia="Times New Roman" w:hAnsi="Times New Roman"/>
          <w:sz w:val="11"/>
          <w:szCs w:val="11"/>
          <w:b w:val="1"/>
          <w:bCs w:val="1"/>
          <w:color w:val="auto"/>
        </w:rPr>
        <w:t>50</w:t>
      </w:r>
      <w:r>
        <w:rPr>
          <w:rFonts w:ascii="Times New Roman" w:cs="Times New Roman" w:eastAsia="Times New Roman" w:hAnsi="Times New Roman"/>
          <w:sz w:val="14"/>
          <w:szCs w:val="14"/>
          <w:b w:val="1"/>
          <w:bCs w:val="1"/>
          <w:color w:val="auto"/>
        </w:rPr>
        <w:t xml:space="preserve"> values measured in nanomoles (nM) and</w:t>
      </w:r>
    </w:p>
    <w:p>
      <w:pPr>
        <w:jc w:val="center"/>
        <w:spacing w:after="0"/>
        <w:rPr>
          <w:sz w:val="20"/>
          <w:szCs w:val="20"/>
          <w:color w:val="auto"/>
        </w:rPr>
      </w:pPr>
      <w:r>
        <w:rPr>
          <w:rFonts w:ascii="Times New Roman" w:cs="Times New Roman" w:eastAsia="Times New Roman" w:hAnsi="Times New Roman"/>
          <w:sz w:val="14"/>
          <w:szCs w:val="14"/>
          <w:b w:val="1"/>
          <w:bCs w:val="1"/>
          <w:color w:val="auto"/>
        </w:rPr>
        <w:t>calculated from concentration of anti-VEGF agents. All values shown as average with standard deviation.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color w:val="auto"/>
        </w:rPr>
        <w:t>Inhibition of VEGF-Mediated Processes</w:t>
      </w:r>
    </w:p>
    <w:p>
      <w:pPr>
        <w:spacing w:after="0" w:line="115"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 xml:space="preserve">Based on its ability to bind and inhibit VEGF, KSI-301 is expected to behave pharmacologically similar to Lucentis, Eylea and Avastin to decrease the leakage of blood proteins and fluid into the retina. In fact,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testing of KSI-301 against Lucentis, Eylea and Avastin in their respective ability to inhibit VEGF-mediated endothelial cell proliferation (a key component of neovascularization) in primary human retina microvascular endothelial cells, or HRMVECs, showed that KSI-301 inhibited proliferation to approximately the same degree as Eylea and with greater potency than Lucentis or Avastin. In addition, KSI-301 displayed a superior maximal inhibition of VEGF-mediated proliferation relative to Eylea and Avastin.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62865</wp:posOffset>
            </wp:positionV>
            <wp:extent cx="2636520" cy="2068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36520" cy="206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20" w:type="dxa"/>
            <w:vAlign w:val="bottom"/>
          </w:tcPr>
          <w:p>
            <w:pPr>
              <w:spacing w:after="0"/>
              <w:rPr>
                <w:sz w:val="15"/>
                <w:szCs w:val="15"/>
                <w:color w:val="auto"/>
              </w:rPr>
            </w:pPr>
          </w:p>
        </w:tc>
        <w:tc>
          <w:tcPr>
            <w:tcW w:w="716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Figure: Effects of KSI-301, Lucentis, Eylea and Avastin on HRMVEC proliferation.</w:t>
            </w:r>
          </w:p>
        </w:tc>
        <w:tc>
          <w:tcPr>
            <w:tcW w:w="1660" w:type="dxa"/>
            <w:vAlign w:val="bottom"/>
          </w:tcPr>
          <w:p>
            <w:pPr>
              <w:spacing w:after="0"/>
              <w:rPr>
                <w:sz w:val="15"/>
                <w:szCs w:val="15"/>
                <w:color w:val="auto"/>
              </w:rPr>
            </w:pPr>
          </w:p>
        </w:tc>
      </w:tr>
      <w:tr>
        <w:trPr>
          <w:trHeight w:val="297"/>
        </w:trPr>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Maximal</w:t>
            </w:r>
          </w:p>
        </w:tc>
      </w:tr>
      <w:tr>
        <w:trPr>
          <w:trHeight w:val="204"/>
        </w:trPr>
        <w:tc>
          <w:tcPr>
            <w:tcW w:w="24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Inhibition</w:t>
            </w: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Molecule</w:t>
            </w: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4"/>
                <w:szCs w:val="14"/>
                <w:b w:val="1"/>
                <w:bCs w:val="1"/>
                <w:color w:val="auto"/>
              </w:rPr>
              <w:t>50</w:t>
            </w:r>
            <w:r>
              <w:rPr>
                <w:rFonts w:ascii="Times New Roman" w:cs="Times New Roman" w:eastAsia="Times New Roman" w:hAnsi="Times New Roman"/>
                <w:sz w:val="17"/>
                <w:szCs w:val="17"/>
                <w:b w:val="1"/>
                <w:bCs w:val="1"/>
                <w:color w:val="auto"/>
              </w:rPr>
              <w:t xml:space="preserve"> (nM)</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p>
        </w:tc>
      </w:tr>
      <w:tr>
        <w:trPr>
          <w:trHeight w:val="210"/>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KSI-301</w:t>
            </w:r>
          </w:p>
        </w:tc>
        <w:tc>
          <w:tcPr>
            <w:tcW w:w="5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0.96±0.18</w:t>
            </w:r>
          </w:p>
        </w:tc>
        <w:tc>
          <w:tcPr>
            <w:tcW w:w="20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64.74±2.36</w:t>
            </w:r>
          </w:p>
        </w:tc>
      </w:tr>
      <w:tr>
        <w:trPr>
          <w:trHeight w:val="217"/>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OG1950</w:t>
            </w:r>
          </w:p>
        </w:tc>
        <w:tc>
          <w:tcPr>
            <w:tcW w:w="6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0.85±0.07</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58.92±5.30</w:t>
            </w:r>
          </w:p>
        </w:tc>
      </w:tr>
      <w:tr>
        <w:trPr>
          <w:trHeight w:val="217"/>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Ranibizumab (Lucentis)</w:t>
            </w:r>
          </w:p>
        </w:tc>
        <w:tc>
          <w:tcPr>
            <w:tcW w:w="6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1.25±0.14</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60.96±2.53</w:t>
            </w:r>
          </w:p>
        </w:tc>
      </w:tr>
      <w:tr>
        <w:trPr>
          <w:trHeight w:val="217"/>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Aflibercept (Eylea)</w:t>
            </w:r>
          </w:p>
        </w:tc>
        <w:tc>
          <w:tcPr>
            <w:tcW w:w="6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0.74±0.10</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53.93±4.91</w:t>
            </w:r>
          </w:p>
        </w:tc>
      </w:tr>
      <w:tr>
        <w:trPr>
          <w:trHeight w:val="217"/>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Bevacizumab (Avastin)</w:t>
            </w:r>
          </w:p>
        </w:tc>
        <w:tc>
          <w:tcPr>
            <w:tcW w:w="6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1.25±0.36</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38.98±6.18</w:t>
            </w:r>
          </w:p>
        </w:tc>
      </w:tr>
    </w:tbl>
    <w:p>
      <w:pPr>
        <w:spacing w:after="0" w:line="91" w:lineRule="exact"/>
        <w:rPr>
          <w:sz w:val="20"/>
          <w:szCs w:val="20"/>
          <w:color w:val="auto"/>
        </w:rPr>
      </w:pPr>
    </w:p>
    <w:p>
      <w:pPr>
        <w:jc w:val="center"/>
        <w:ind w:left="340" w:right="180"/>
        <w:spacing w:after="0" w:line="238" w:lineRule="auto"/>
        <w:rPr>
          <w:sz w:val="20"/>
          <w:szCs w:val="20"/>
          <w:color w:val="auto"/>
        </w:rPr>
      </w:pPr>
      <w:r>
        <w:rPr>
          <w:rFonts w:ascii="Times New Roman" w:cs="Times New Roman" w:eastAsia="Times New Roman" w:hAnsi="Times New Roman"/>
          <w:sz w:val="14"/>
          <w:szCs w:val="14"/>
          <w:b w:val="1"/>
          <w:bCs w:val="1"/>
          <w:color w:val="auto"/>
        </w:rPr>
        <w:t>Table: IC50 Values and maximal inhibition of anti-VEGF agents on VEGF-mediated proliferation of HRMVECs. IC50 values were calculated from concentration of anti-VEGF agents. All values shown as average with standard deviation.</w:t>
      </w:r>
    </w:p>
    <w:p>
      <w:pPr>
        <w:spacing w:after="0" w:line="68" w:lineRule="exact"/>
        <w:rPr>
          <w:sz w:val="20"/>
          <w:szCs w:val="20"/>
          <w:color w:val="auto"/>
        </w:rPr>
      </w:pPr>
    </w:p>
    <w:p>
      <w:pPr>
        <w:ind w:right="380" w:firstLine="542"/>
        <w:spacing w:after="0" w:line="269" w:lineRule="auto"/>
        <w:rPr>
          <w:sz w:val="20"/>
          <w:szCs w:val="20"/>
          <w:color w:val="auto"/>
        </w:rPr>
      </w:pPr>
      <w:r>
        <w:rPr>
          <w:rFonts w:ascii="Times New Roman" w:cs="Times New Roman" w:eastAsia="Times New Roman" w:hAnsi="Times New Roman"/>
          <w:sz w:val="17"/>
          <w:szCs w:val="17"/>
          <w:color w:val="auto"/>
        </w:rPr>
        <w:t xml:space="preserve">To mimic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conditions where endothelial cells and pericytes coexist in blood vessels, a three-dimensional co-culture of HRMVECs and human mesenchymal pericytes, or HMPs, grown on beads was established. This model was then used to test the ability of KSI-301 to inhibit VEGF-mediated vascular sprouting compared to Lucentis and Eylea. The average number of sprouts per bead and the length per sprout were analyzed under each treatment condition.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43" w:name="page44"/>
    <w:bookmarkEnd w:id="43"/>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As shown in the figures below, at maximal anti-VEGF inhibition the average sprout length of cultures treated with KSI-301 was substantially less than that of the control (481 compared with 990 microns) and comparable to Lucentis and Eylea (505 and 428 microns respectively). The average number of sprouts per bead for cultures treated with KSI-301 was 11.5, which was comparable to 13.3 and 13.0 sprouts per bead observed for the cultures treated with Lucentis and Eylea,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62865</wp:posOffset>
            </wp:positionV>
            <wp:extent cx="4519295" cy="1224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19295" cy="122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Figure: Effects of KSI-301 and other anti-VEGF molecules on length and number of vascular sprouts in 3-dimensional culture.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Extended Ocular Half-Life versus Standard of Care Agents</w:t>
      </w:r>
    </w:p>
    <w:p>
      <w:pPr>
        <w:spacing w:after="0" w:line="11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The addition of the biopolymer intermediate increases the size of the biologic, thereby extending the ocular half-life of the molecule beyond that of standard of care anti-VEGF agents. Preclinical studies with KSI-301 in the well-established rabbit ocular pharmacokinetics model have demonstrated that KSI-301 has ocular tissue half-lives of 10+ days in the retina and 12.5+ days in the choroid. This is in comparison to published data for ocular tissue half-lives for Lucentis of 2.9 days and Eylea of 4-5 days.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Enhanced Ocular Tissue Bioavailability versus Eylea</w:t>
      </w:r>
    </w:p>
    <w:p>
      <w:pPr>
        <w:spacing w:after="0" w:line="115" w:lineRule="exact"/>
        <w:rPr>
          <w:sz w:val="20"/>
          <w:szCs w:val="20"/>
          <w:color w:val="auto"/>
        </w:rPr>
      </w:pPr>
    </w:p>
    <w:p>
      <w:pPr>
        <w:ind w:right="180" w:firstLine="542"/>
        <w:spacing w:after="0" w:line="283" w:lineRule="auto"/>
        <w:rPr>
          <w:sz w:val="20"/>
          <w:szCs w:val="20"/>
          <w:color w:val="auto"/>
        </w:rPr>
      </w:pPr>
      <w:r>
        <w:rPr>
          <w:rFonts w:ascii="Times New Roman" w:cs="Times New Roman" w:eastAsia="Times New Roman" w:hAnsi="Times New Roman"/>
          <w:sz w:val="17"/>
          <w:szCs w:val="17"/>
          <w:color w:val="auto"/>
        </w:rPr>
        <w:t>The data also show that KSI-301, despite its large size, penetrates ocular tissues well and has a retina and choroid ocular tissue biodistribution that is more than four-fold higher than 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50165</wp:posOffset>
            </wp:positionV>
            <wp:extent cx="5435600" cy="2482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35600" cy="248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color w:val="auto"/>
        </w:rPr>
        <w:t>Modeling On-Mechanism Durability and Human Dose Frequency</w:t>
      </w:r>
    </w:p>
    <w:p>
      <w:pPr>
        <w:spacing w:after="0" w:line="115" w:lineRule="exact"/>
        <w:rPr>
          <w:sz w:val="20"/>
          <w:szCs w:val="20"/>
          <w:color w:val="auto"/>
        </w:rPr>
      </w:pPr>
    </w:p>
    <w:p>
      <w:pPr>
        <w:ind w:right="280" w:firstLine="542"/>
        <w:spacing w:after="0" w:line="258" w:lineRule="auto"/>
        <w:rPr>
          <w:sz w:val="20"/>
          <w:szCs w:val="20"/>
          <w:color w:val="auto"/>
        </w:rPr>
      </w:pPr>
      <w:r>
        <w:rPr>
          <w:rFonts w:ascii="Times New Roman" w:cs="Times New Roman" w:eastAsia="Times New Roman" w:hAnsi="Times New Roman"/>
          <w:sz w:val="17"/>
          <w:szCs w:val="17"/>
          <w:color w:val="auto"/>
        </w:rPr>
        <w:t>In order to estimate the impact of high potency and extended ocular half-life on durability of effect, we used a pharmacokinetic and pharmacodynamic model that overlays rabbit ocular tissue pharmacokinetic profiles of intravitreally injected anti-VEGF therapeutics and correlates the drug levels with (1) human OCT data to define a rabbit minimal inhibitory concentration to maintain human on-mechanism durability that corresponds with human OCT outcomes, and</w:t>
      </w:r>
    </w:p>
    <w:p>
      <w:pPr>
        <w:ind w:right="40" w:firstLine="2"/>
        <w:spacing w:after="0" w:line="256" w:lineRule="auto"/>
        <w:tabs>
          <w:tab w:leader="none" w:pos="24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dose frequency to define a rabbit minimal inhibitory concentration to support a dose frequency in humans which corresponds to the ability to maintain visual acuity outcomes over the long-term. Specifically, we overlay the ocular tissue pharmacokinetic profiles of Lucentis at 0.5 mg dose (the marketed dose in wet AMD), Eylea at 2.0mg dose (the marketed dose), and bioconjugate KSI-301 at 5.0 mg dose (our selected dose), as separately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64770</wp:posOffset>
            </wp:positionV>
            <wp:extent cx="4989830" cy="2539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9830"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Our modeling suggests a single dose of KSI-301 can stay above both on-mechanism and “dosing” minimal inhibitory concentrations for longer than 12 weeks in wet AMD patients. A minimal inhibitory concentration is the minimum concentration of a drug that still has the desired therapeutic effect. The implication is that KSI-301 may on average keep the retina dry for longer than 12 weeks after dosing, allowing patients to be dosed in regular 12-week intervals or less frequently and still maintain anti-VEGF mediated visual acuity gains over the long term. This contrasts with overextending the treatment interval beyond a point where retinal swelling recurs as observed in Eylea’s VIEW 2 Phase 3 clinical trial (as described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KSI-301 has demonstrated superior stability compared to typical protein therapeutics</w:t>
      </w:r>
    </w:p>
    <w:p>
      <w:pPr>
        <w:spacing w:after="0" w:line="117" w:lineRule="exact"/>
        <w:rPr>
          <w:sz w:val="20"/>
          <w:szCs w:val="20"/>
          <w:color w:val="auto"/>
        </w:rPr>
      </w:pPr>
    </w:p>
    <w:p>
      <w:pPr>
        <w:ind w:right="60" w:firstLine="542"/>
        <w:spacing w:after="0" w:line="267" w:lineRule="auto"/>
        <w:rPr>
          <w:sz w:val="20"/>
          <w:szCs w:val="20"/>
          <w:color w:val="auto"/>
        </w:rPr>
      </w:pPr>
      <w:r>
        <w:rPr>
          <w:rFonts w:ascii="Times New Roman" w:cs="Times New Roman" w:eastAsia="Times New Roman" w:hAnsi="Times New Roman"/>
          <w:sz w:val="17"/>
          <w:szCs w:val="17"/>
          <w:color w:val="auto"/>
        </w:rPr>
        <w:t>Stability studies have shown that KSI-301 bioconjugate is stable in ex vivo vitreous for at least 4 months at 37°C. Further, forced degradation studies at the extreme condition of 64°C have shown that KSI-301 bioconjugate remains in solution and is optically clear for at least 48 hours whereas the precursor antibody protein precipitated forming an opaque white suspension within several hours.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Toxicology Profile</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KSI-301 has demonstrated an attractive safety profile. In all GLP monkey toxicology studies conducted through ocular or systemic administration, KSI-301 has been well tolerated. In ocular studies, KSI-301 was dosed bilaterally via intravitreal injection at 2.5 or 5.0 mg per eye every four weeks up to seven doses and evaluated through 40 weeks. Findings were limited to a dose-related anterior segment and posterior segment mild inflammatory response, which was not associated with other ocular abnormalities. The anterior segment response declined during the interval between doses and generally the finding was not present one-week post dose. The posterior segment response was attributed to a mild immune mediated response typically observed to a humanized therapeutic in monkeys. No drug related systemic toxicity was observed. Additionally, in a systemic administration study, KSI-301 was well tolerated up to the highest dose of 5 mg/kg when dosed intravenously every four weeks for ten weeks. In summary, the results of the toxicology studies strongly indicate that KSI-301’s well tolerated safety profile in monkeys is favorable compared to that reported for Lucentis and Eylea.</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KSI-301 Commercialization</w:t>
      </w:r>
    </w:p>
    <w:p>
      <w:pPr>
        <w:spacing w:after="0" w:line="115" w:lineRule="exact"/>
        <w:rPr>
          <w:sz w:val="20"/>
          <w:szCs w:val="20"/>
          <w:color w:val="auto"/>
        </w:rPr>
      </w:pPr>
    </w:p>
    <w:p>
      <w:pPr>
        <w:ind w:right="380" w:firstLine="542"/>
        <w:spacing w:after="0" w:line="283" w:lineRule="auto"/>
        <w:rPr>
          <w:sz w:val="20"/>
          <w:szCs w:val="20"/>
          <w:color w:val="auto"/>
        </w:rPr>
      </w:pPr>
      <w:r>
        <w:rPr>
          <w:rFonts w:ascii="Times New Roman" w:cs="Times New Roman" w:eastAsia="Times New Roman" w:hAnsi="Times New Roman"/>
          <w:sz w:val="17"/>
          <w:szCs w:val="17"/>
          <w:color w:val="auto"/>
        </w:rPr>
        <w:t>We currently have no sales, marketing or commercial product distribution capabilities and have no experience as a company in marketing products. We intend to build our own commercialization capabilities over time.</w:t>
      </w:r>
    </w:p>
    <w:p>
      <w:pPr>
        <w:spacing w:after="0" w:line="50"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If KSI-301 receives marketing approval, we plan to commercialize it in the United States with our own focused, specialty sales force. We believe that retinal specialists in the United States, who perform most of the medical procedures involving diseases of the back of the eye, are sufficiently concentrated that we will be able to effectively promote KSI-301 to these specialists with a sales and marketing group of fewer than 200 persons.</w:t>
      </w:r>
    </w:p>
    <w:p>
      <w:pPr>
        <w:spacing w:after="0" w:line="63" w:lineRule="exact"/>
        <w:rPr>
          <w:sz w:val="20"/>
          <w:szCs w:val="20"/>
          <w:color w:val="auto"/>
        </w:rPr>
      </w:pPr>
    </w:p>
    <w:p>
      <w:pPr>
        <w:ind w:right="20" w:firstLine="542"/>
        <w:spacing w:after="0" w:line="283" w:lineRule="auto"/>
        <w:rPr>
          <w:sz w:val="20"/>
          <w:szCs w:val="20"/>
          <w:color w:val="auto"/>
        </w:rPr>
      </w:pPr>
      <w:r>
        <w:rPr>
          <w:rFonts w:ascii="Times New Roman" w:cs="Times New Roman" w:eastAsia="Times New Roman" w:hAnsi="Times New Roman"/>
          <w:sz w:val="17"/>
          <w:szCs w:val="17"/>
          <w:color w:val="auto"/>
        </w:rPr>
        <w:t>We expect to use a variety of types of collaboration, distribution and other marketing arrangements with one or more third parties to commercialize KSI-301 in markets outside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KSI-301 Manufacturing</w:t>
      </w:r>
    </w:p>
    <w:p>
      <w:pPr>
        <w:spacing w:after="0" w:line="115" w:lineRule="exact"/>
        <w:rPr>
          <w:sz w:val="20"/>
          <w:szCs w:val="20"/>
          <w:color w:val="auto"/>
        </w:rPr>
      </w:pPr>
    </w:p>
    <w:p>
      <w:pPr>
        <w:ind w:right="540" w:firstLine="542"/>
        <w:spacing w:after="0" w:line="283" w:lineRule="auto"/>
        <w:rPr>
          <w:sz w:val="20"/>
          <w:szCs w:val="20"/>
          <w:color w:val="auto"/>
        </w:rPr>
      </w:pPr>
      <w:r>
        <w:rPr>
          <w:rFonts w:ascii="Times New Roman" w:cs="Times New Roman" w:eastAsia="Times New Roman" w:hAnsi="Times New Roman"/>
          <w:sz w:val="17"/>
          <w:szCs w:val="17"/>
          <w:color w:val="auto"/>
        </w:rPr>
        <w:t>We believe it is important to our business and success to have a reliable, high-quality clinical drug supply. As we mature as a company and approach commercial stage operations, securing reliable high-quality commercial drug supply will be critical.</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do not currently own or operate facilities for product manufacturing, storage, distribution or testing.</w:t>
      </w:r>
    </w:p>
    <w:p>
      <w:pPr>
        <w:spacing w:after="0" w:line="111"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We rely on third-party contract manufacturers, or CMOs, to manufacture and supply our clinical materials to be used during the development of our product candidates. We have established relationships with several CMOs, including Lonza AG, or Lonza, for the manufacture of KSI-301, as well as certain of our other product candidates.</w:t>
      </w:r>
    </w:p>
    <w:p>
      <w:pPr>
        <w:spacing w:after="0" w:line="63" w:lineRule="exact"/>
        <w:rPr>
          <w:sz w:val="20"/>
          <w:szCs w:val="20"/>
          <w:color w:val="auto"/>
        </w:rPr>
      </w:pPr>
    </w:p>
    <w:p>
      <w:pPr>
        <w:ind w:right="180" w:firstLine="542"/>
        <w:spacing w:after="0" w:line="283" w:lineRule="auto"/>
        <w:rPr>
          <w:sz w:val="20"/>
          <w:szCs w:val="20"/>
          <w:color w:val="auto"/>
        </w:rPr>
      </w:pPr>
      <w:r>
        <w:rPr>
          <w:rFonts w:ascii="Times New Roman" w:cs="Times New Roman" w:eastAsia="Times New Roman" w:hAnsi="Times New Roman"/>
          <w:sz w:val="17"/>
          <w:szCs w:val="17"/>
          <w:color w:val="auto"/>
        </w:rPr>
        <w:t>We currently do not need commercial manufacturing capacity. When and if this becomes relevant, we intend to evaluate both third-party manufacturers as well as building out internal capabilities and capacity. We may choose one or both options, or a combination of the two.</w:t>
      </w:r>
    </w:p>
    <w:p>
      <w:pPr>
        <w:spacing w:after="0" w:line="50"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The process for manufacturing KSI-301 consists of conjugating our antibody intermediate with our biopolymer intermediate. Our antibody intermediate is produced in a recombinant GS-CHO (Glutamine Synthetase—Chinese Hamster Ovary) cell line in a protein-free and animal component-free medium. Our biopolymer intermediate is synthesized via a multi-step controlled “living” polymerization process, purified and formulated. Following conjugation of the intermediates, the bioconjugate drug substance is further purified, concentrated, and stored.</w:t>
      </w:r>
    </w:p>
    <w:p>
      <w:pPr>
        <w:spacing w:after="0" w:line="70" w:lineRule="exact"/>
        <w:rPr>
          <w:sz w:val="20"/>
          <w:szCs w:val="20"/>
          <w:color w:val="auto"/>
        </w:rPr>
      </w:pPr>
    </w:p>
    <w:p>
      <w:pPr>
        <w:jc w:val="both"/>
        <w:ind w:right="160" w:firstLine="542"/>
        <w:spacing w:after="0" w:line="267" w:lineRule="auto"/>
        <w:rPr>
          <w:sz w:val="20"/>
          <w:szCs w:val="20"/>
          <w:color w:val="auto"/>
        </w:rPr>
      </w:pPr>
      <w:r>
        <w:rPr>
          <w:rFonts w:ascii="Times New Roman" w:cs="Times New Roman" w:eastAsia="Times New Roman" w:hAnsi="Times New Roman"/>
          <w:sz w:val="17"/>
          <w:szCs w:val="17"/>
          <w:color w:val="auto"/>
        </w:rPr>
        <w:t>To date, we have relied primarily on Lonza for the manufacture of KSI-301. Notably, in the first quarter of 2020, we completed three successful re-supply batches of cGMP-manufactured KSI-301 drug substance. We believe that supply from these new batches, together with previously available KSI-301 supply from prior cGMP drug substance manufacturing, is sufficient to support our ongoing and planned clinical development activities.</w:t>
      </w:r>
    </w:p>
    <w:p>
      <w:pPr>
        <w:spacing w:after="0" w:line="63" w:lineRule="exact"/>
        <w:rPr>
          <w:sz w:val="20"/>
          <w:szCs w:val="20"/>
          <w:color w:val="auto"/>
        </w:rPr>
      </w:pPr>
    </w:p>
    <w:p>
      <w:pPr>
        <w:ind w:right="280" w:firstLine="542"/>
        <w:spacing w:after="0" w:line="261" w:lineRule="auto"/>
        <w:rPr>
          <w:sz w:val="20"/>
          <w:szCs w:val="20"/>
          <w:color w:val="auto"/>
        </w:rPr>
      </w:pPr>
      <w:r>
        <w:rPr>
          <w:rFonts w:ascii="Times New Roman" w:cs="Times New Roman" w:eastAsia="Times New Roman" w:hAnsi="Times New Roman"/>
          <w:sz w:val="17"/>
          <w:szCs w:val="17"/>
          <w:color w:val="auto"/>
        </w:rPr>
        <w:t>The manufacture of KSI-301, like other biologic products, is complex and we have actively worked with Lonza to develop and refine our manufacturing process. As our need for KSI-301 increases in connection with pre-BLA manufacturing and validation activities and, if approved, commercial quantities, we anticipate continued collaboration with Lonza. We have also identified multiple other CMOs that we believe would be capable of implementing, validating and commercializing our manufacturing process for KSI-301 should the need arise.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ABC Platform</w:t>
      </w:r>
    </w:p>
    <w:p>
      <w:pPr>
        <w:spacing w:after="0" w:line="115" w:lineRule="exact"/>
        <w:rPr>
          <w:sz w:val="20"/>
          <w:szCs w:val="20"/>
          <w:color w:val="auto"/>
        </w:rPr>
      </w:pPr>
    </w:p>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We believe that our ABC Platform is well suited to extend the durability of soluble, injectable retinal medicines, while at the same time providing for other useful benefits. We intend to develop additional drug candidates by applying our ABC Platform in other significant areas of unmet medical need in retina and ophthalmic disease.</w:t>
      </w:r>
    </w:p>
    <w:p>
      <w:pPr>
        <w:spacing w:after="0" w:line="63"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We believe our ABC Platform differentiates us and has the potential to fuel a pipeline of differentiated product candidates in high-prevalence ophthalmic diseases. In addition to KSI-301, we have leveraged our ABC Platform to build a pipeline of potential product candidates, including KSI-501, a recombinant, mammalian cell expressed dual inhibitor antibody biopolymer conjugate, targeting both VEGF and IL-6 for the treatment of retinal diseases with an inflammatory component. The cGMP master cell bank for KSI-501 has been completed, and KSI-501 is being further developed towards an IND in 2021.</w:t>
      </w:r>
    </w:p>
    <w:p>
      <w:pPr>
        <w:spacing w:after="0" w:line="70"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In addition, we have expanded our early research pipeline to include ABC Platform-based triplet inhibitors. In this approach, a bispecific or dual inhibitor antibody is conjugated to a phosphorylcholine biopolymer variant that is embedded with hundreds of copies of a small-molecule drug. As a result, multiple disease-related biologies - both intracellular and extracellular - can be targeted with a single medicine. This approach can be of particular relevance for common vision-threatening diseases that are more complex because of their multifactorial pathophysiology, such as dry AMD and glaucoma. KSI-601 is a triplet inhibitor for dry AMD, and we currently intend to submit an IND in 2022.</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Overview of KSI-501</w:t>
      </w:r>
    </w:p>
    <w:p>
      <w:pPr>
        <w:spacing w:after="0" w:line="115" w:lineRule="exact"/>
        <w:rPr>
          <w:sz w:val="20"/>
          <w:szCs w:val="20"/>
          <w:color w:val="auto"/>
        </w:rPr>
      </w:pPr>
    </w:p>
    <w:p>
      <w:pPr>
        <w:ind w:right="220" w:firstLine="542"/>
        <w:spacing w:after="0" w:line="256" w:lineRule="auto"/>
        <w:rPr>
          <w:sz w:val="20"/>
          <w:szCs w:val="20"/>
          <w:color w:val="auto"/>
        </w:rPr>
      </w:pPr>
      <w:r>
        <w:rPr>
          <w:rFonts w:ascii="Times New Roman" w:cs="Times New Roman" w:eastAsia="Times New Roman" w:hAnsi="Times New Roman"/>
          <w:sz w:val="17"/>
          <w:szCs w:val="17"/>
          <w:color w:val="auto"/>
        </w:rPr>
        <w:t>In addition to angiogenesis, inflammation has been implicated in the pathogenesis of a number of retinal diseases. Anti-inflammatory therapies such as steroids have been effective in treating both uveitis (a spectrum of diseases with intraocular inflammation as a defining characteristic) and DME. Similarly, genetically inherited variations in the interleukin 6, or IL-6, gene have been associated with higher PDR incidence in patients with type 2 diabetes. Moreover, disease progression in AMD, DR and RVO have been reported to be associated with increased serum and/or ocular levels of IL-6. Additionally, chronic inflammatory cells have been seen on the surface of the basement membrane behind the retina in eyes with wet AMD. Interestingly, IL-6 has been implicated in resistance to anti-VEGF treatments in DME patients. This in part is believed to be an indirect result of IL-6 mediated upregulation of VEGF expression as well as more direct VEGF-independent angiogenic functions mediated by IL-6 signaling that occur in the presence of VEGF inhibitors.</w:t>
      </w:r>
    </w:p>
    <w:p>
      <w:pPr>
        <w:spacing w:after="0" w:line="74" w:lineRule="exact"/>
        <w:rPr>
          <w:sz w:val="20"/>
          <w:szCs w:val="20"/>
          <w:color w:val="auto"/>
        </w:rPr>
      </w:pPr>
    </w:p>
    <w:p>
      <w:pPr>
        <w:ind w:right="140" w:firstLine="542"/>
        <w:spacing w:after="0" w:line="257" w:lineRule="auto"/>
        <w:rPr>
          <w:sz w:val="20"/>
          <w:szCs w:val="20"/>
          <w:color w:val="auto"/>
        </w:rPr>
      </w:pPr>
      <w:r>
        <w:rPr>
          <w:rFonts w:ascii="Times New Roman" w:cs="Times New Roman" w:eastAsia="Times New Roman" w:hAnsi="Times New Roman"/>
          <w:sz w:val="17"/>
          <w:szCs w:val="17"/>
          <w:color w:val="auto"/>
        </w:rPr>
        <w:t>Our KSI-501 product candidate is a dual inhibitor Trap-Antibody-Fusion, or TAF, bioconjugate molecule designed to target concurrent inflammation and abnormal angiogenesis observed in the pathogenesis of retinal vascular diseases. KSI-501 acts through an anti-VEGF mechanism similar to Eylea and an anti-inflammatory mechanism that targets the potent cytokine IL-6. Similar to KSI-301, KSI-501 uses the ABC Platform and is a bioconjugate of the TAF protein conjugated to our phosphorylcholine-based biopolymer. Preclinical binding and functional studies demonstrate that the TAF protein binds specifically and simultaneously to its intended targets. We believe that this dual inhibition may provide a superior treatment option for patients with retinal vascular diseases and in particular those patients with diseases known to have a high inflammatory component such as DME, as well as in ocular inflammatory diseases such as uveitis.</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KSI-501 is now in GMP manufacturing, and we are currently working towards IND submission in early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Components of KSI-501</w:t>
      </w:r>
    </w:p>
    <w:p>
      <w:pPr>
        <w:spacing w:after="0" w:line="117"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KSI-501 is a bioconjugate of a dual inhibitor TAF protein and a phosphorylcholine-based biopolymer. The protein portion of KSI-501 has two VEGF binding domains from human VEGF receptors which together act as a trap or soluble receptor decoy to bind the most abundant isoforms of VEGF. The anti-VEGF trap domains are fused to a high-affinity IgG1 antibody that binds with high specificity and affinity to IL-6 and disrupts the ligand’s association with its cognate IL-6 receptor. Moreover, the Fc domain has been engineered to reduce immune effector function and facilitate site-specific conjugation to our phosphorylcholine-based biopolymer.</w:t>
      </w:r>
    </w:p>
    <w:p>
      <w:pPr>
        <w:spacing w:after="0" w:line="70" w:lineRule="exact"/>
        <w:rPr>
          <w:sz w:val="20"/>
          <w:szCs w:val="20"/>
          <w:color w:val="auto"/>
        </w:rPr>
      </w:pPr>
    </w:p>
    <w:p>
      <w:pPr>
        <w:ind w:right="240" w:firstLine="542"/>
        <w:spacing w:after="0" w:line="267" w:lineRule="auto"/>
        <w:rPr>
          <w:sz w:val="20"/>
          <w:szCs w:val="20"/>
          <w:color w:val="auto"/>
        </w:rPr>
      </w:pPr>
      <w:r>
        <w:rPr>
          <w:rFonts w:ascii="Times New Roman" w:cs="Times New Roman" w:eastAsia="Times New Roman" w:hAnsi="Times New Roman"/>
          <w:sz w:val="17"/>
          <w:szCs w:val="17"/>
          <w:color w:val="auto"/>
        </w:rPr>
        <w:t>Notably, this IgG1 antibody sequence is identical to that from KSI-301, except for the six CDR regions that mediate target binding and which are specific for binding to the IL-6 target. Retaining the IgG1 frameworks across ABC Platform-derived product candidates enables “platform capability” which simplify manufacturing and product development. KSI-501, furthermore, uses the same cGMP biopolymer intermediate as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58420</wp:posOffset>
            </wp:positionV>
            <wp:extent cx="1160145" cy="13303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0145" cy="133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spacing w:after="0" w:line="238" w:lineRule="auto"/>
        <w:rPr>
          <w:sz w:val="20"/>
          <w:szCs w:val="20"/>
          <w:color w:val="auto"/>
        </w:rPr>
      </w:pPr>
      <w:r>
        <w:rPr>
          <w:rFonts w:ascii="Times New Roman" w:cs="Times New Roman" w:eastAsia="Times New Roman" w:hAnsi="Times New Roman"/>
          <w:sz w:val="14"/>
          <w:szCs w:val="14"/>
          <w:b w:val="1"/>
          <w:bCs w:val="1"/>
          <w:color w:val="auto"/>
        </w:rPr>
        <w:t>Figure: Functional structure of the KSI-501 antibody biopolymer conjugate. CH – constant heavy, CL – constant light, VH – variable heavy, VL – variable light, – Complementarity Determining Regions (CDR).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Characteristics of KSI-501</w:t>
      </w:r>
    </w:p>
    <w:p>
      <w:pPr>
        <w:spacing w:after="0" w:line="117" w:lineRule="exact"/>
        <w:rPr>
          <w:sz w:val="20"/>
          <w:szCs w:val="20"/>
          <w:color w:val="auto"/>
        </w:rPr>
      </w:pPr>
    </w:p>
    <w:p>
      <w:pPr>
        <w:ind w:right="20" w:firstLine="542"/>
        <w:spacing w:after="0" w:line="283" w:lineRule="auto"/>
        <w:rPr>
          <w:sz w:val="20"/>
          <w:szCs w:val="20"/>
          <w:color w:val="auto"/>
        </w:rPr>
      </w:pPr>
      <w:r>
        <w:rPr>
          <w:rFonts w:ascii="Times New Roman" w:cs="Times New Roman" w:eastAsia="Times New Roman" w:hAnsi="Times New Roman"/>
          <w:sz w:val="17"/>
          <w:szCs w:val="17"/>
          <w:color w:val="auto"/>
        </w:rPr>
        <w:t>We believe that KSI-501 can be a highly differentiated treatment due to its dual mechanism of action, with an improved durability and bioavailability profile due to the ABC Platform component. In addition, there are currently no IL-6 inhibitors approved for use in the eye.</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incorporated the following design features into KSI-501:</w:t>
      </w:r>
    </w:p>
    <w:p>
      <w:pPr>
        <w:spacing w:after="0" w:line="111" w:lineRule="exact"/>
        <w:rPr>
          <w:sz w:val="20"/>
          <w:szCs w:val="20"/>
          <w:color w:val="auto"/>
        </w:rPr>
      </w:pPr>
    </w:p>
    <w:p>
      <w:pPr>
        <w:ind w:left="660" w:hanging="121"/>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Binds with high affinity to the most abundant isoforms of VEGF</w:t>
      </w:r>
    </w:p>
    <w:p>
      <w:pPr>
        <w:spacing w:after="0" w:line="111" w:lineRule="exact"/>
        <w:rPr>
          <w:rFonts w:ascii="Times New Roman" w:cs="Times New Roman" w:eastAsia="Times New Roman" w:hAnsi="Times New Roman"/>
          <w:sz w:val="17"/>
          <w:szCs w:val="17"/>
          <w:color w:val="auto"/>
        </w:rPr>
      </w:pPr>
    </w:p>
    <w:p>
      <w:pPr>
        <w:ind w:left="660" w:right="280" w:hanging="121"/>
        <w:spacing w:after="0" w:line="283"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Engineered to remove a protease hotspot to prevent cleavage in Chinese Hamster Ovary, or CHO, mammalian expression systems, which may improve potency and formulation stability</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Design Feature: KSI-501’s anti-IL-6 domain</w:t>
      </w:r>
    </w:p>
    <w:p>
      <w:pPr>
        <w:spacing w:after="0" w:line="111" w:lineRule="exact"/>
        <w:rPr>
          <w:sz w:val="20"/>
          <w:szCs w:val="20"/>
          <w:color w:val="auto"/>
        </w:rPr>
      </w:pPr>
    </w:p>
    <w:p>
      <w:pPr>
        <w:ind w:left="660" w:hanging="121"/>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Affinity matured, humanized anti-IL-6 IgG1 that binds with high affinity to IL-6 and inhibits binding of IL-6 to its cognate receptor</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IgG1 Fc domain engineered to reduce immune effector functions</w:t>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Design Feature: KSI-501’s phosphorylcholine-based ABC Platform</w:t>
      </w:r>
    </w:p>
    <w:p>
      <w:pPr>
        <w:spacing w:after="0" w:line="111" w:lineRule="exact"/>
        <w:rPr>
          <w:sz w:val="20"/>
          <w:szCs w:val="20"/>
          <w:color w:val="auto"/>
        </w:rPr>
      </w:pPr>
    </w:p>
    <w:p>
      <w:pPr>
        <w:ind w:left="660" w:hanging="121"/>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Ultra-high molecular weight of 1,000,000 Daltons for improved ocular pharmacokinetics</w:t>
      </w:r>
    </w:p>
    <w:p>
      <w:pPr>
        <w:spacing w:after="0" w:line="111" w:lineRule="exact"/>
        <w:rPr>
          <w:rFonts w:ascii="Times New Roman" w:cs="Times New Roman" w:eastAsia="Times New Roman" w:hAnsi="Times New Roman"/>
          <w:sz w:val="17"/>
          <w:szCs w:val="17"/>
          <w:color w:val="auto"/>
        </w:rPr>
      </w:pPr>
    </w:p>
    <w:p>
      <w:pPr>
        <w:ind w:left="660" w:right="420" w:hanging="121"/>
        <w:spacing w:after="0" w:line="283"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 IgG1 framework sequences and same phosphorylcholine-based biopolymer as KSI-301 and other ABC Platform-derived product candidates to simplify manufacturing and product development</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benefits of the ABC Platform such as enhanced tissue access to key ocular tissues and bioconjugate stability</w:t>
      </w:r>
    </w:p>
    <w:p>
      <w:pPr>
        <w:spacing w:after="0" w:line="111"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 xml:space="preserve">Note that the in vitro data shown below are generated using the TAF (protein) of KSI-501, without conjugation to our ABC biopolymer. Results using KSI-501 may be different, but experience with a structurally similar prior molecule, KSI-201, has shown that these individual components,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trap antibody fusion protein and biopolymer, can function together simultaneously as a dual inhibitor bioconjugate. Prior experiences with bioconjugates KSI-201 and KSI-301 have also demonstrated that the biopolymer portion does not interfere with the bioactivity of the protein portion.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Affinity and concurrent binding to VEGF and IL-6</w:t>
      </w:r>
    </w:p>
    <w:p>
      <w:pPr>
        <w:spacing w:after="0" w:line="115" w:lineRule="exact"/>
        <w:rPr>
          <w:sz w:val="20"/>
          <w:szCs w:val="20"/>
          <w:color w:val="auto"/>
        </w:rPr>
      </w:pPr>
    </w:p>
    <w:p>
      <w:pPr>
        <w:ind w:right="80" w:firstLine="542"/>
        <w:spacing w:after="0" w:line="267" w:lineRule="auto"/>
        <w:rPr>
          <w:sz w:val="20"/>
          <w:szCs w:val="20"/>
          <w:color w:val="auto"/>
        </w:rPr>
      </w:pPr>
      <w:r>
        <w:rPr>
          <w:rFonts w:ascii="Times New Roman" w:cs="Times New Roman" w:eastAsia="Times New Roman" w:hAnsi="Times New Roman"/>
          <w:sz w:val="17"/>
          <w:szCs w:val="17"/>
          <w:color w:val="auto"/>
        </w:rPr>
        <w:t>Preclinical studies indicate that the TAF portion of KSI-501 binds with high affinity to both VEGF and IL-6, as measured by SPR analysis (Table). Importantly, binding of each molecule has no effect on the binding of the other, and KSI-501 can bind to both molecules as shown below. Thus, we believe our dual inhibitor can simultaneously inhibit both of its targets with high potency.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00" w:type="dxa"/>
            <w:vAlign w:val="bottom"/>
          </w:tcPr>
          <w:p>
            <w:pPr>
              <w:spacing w:after="0"/>
              <w:rPr>
                <w:sz w:val="15"/>
                <w:szCs w:val="15"/>
                <w:color w:val="auto"/>
              </w:rPr>
            </w:pPr>
          </w:p>
        </w:tc>
        <w:tc>
          <w:tcPr>
            <w:tcW w:w="658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w w:val="98"/>
              </w:rPr>
              <w:t>Table: Binding kinetics of TAF portion of KSI-501 to huVEGF-A165 or IL-6 by SPR analysis.</w:t>
            </w: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8"/>
        </w:trPr>
        <w:tc>
          <w:tcPr>
            <w:tcW w:w="1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Molecule</w:t>
            </w: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7"/>
                <w:szCs w:val="17"/>
                <w:b w:val="1"/>
                <w:bCs w:val="1"/>
                <w:color w:val="auto"/>
              </w:rPr>
              <w:t xml:space="preserve"> (M)</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off</w:t>
            </w:r>
            <w:r>
              <w:rPr>
                <w:rFonts w:ascii="Times New Roman" w:cs="Times New Roman" w:eastAsia="Times New Roman" w:hAnsi="Times New Roman"/>
                <w:sz w:val="17"/>
                <w:szCs w:val="17"/>
                <w:b w:val="1"/>
                <w:bCs w:val="1"/>
                <w:color w:val="auto"/>
              </w:rPr>
              <w:t xml:space="preserve"> (M)</w:t>
            </w: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7"/>
                <w:szCs w:val="17"/>
                <w:b w:val="1"/>
                <w:bCs w:val="1"/>
                <w:color w:val="auto"/>
              </w:rPr>
              <w:t xml:space="preserve"> (pM)</w:t>
            </w:r>
          </w:p>
        </w:tc>
      </w:tr>
      <w:tr>
        <w:trPr>
          <w:trHeight w:val="210"/>
        </w:trPr>
        <w:tc>
          <w:tcPr>
            <w:tcW w:w="1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IL-6</w:t>
            </w:r>
          </w:p>
        </w:tc>
        <w:tc>
          <w:tcPr>
            <w:tcW w:w="4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7"/>
                <w:szCs w:val="17"/>
                <w:color w:val="auto"/>
                <w:w w:val="99"/>
              </w:rPr>
              <w:t>3.72x10</w:t>
            </w:r>
            <w:r>
              <w:rPr>
                <w:rFonts w:ascii="Times New Roman" w:cs="Times New Roman" w:eastAsia="Times New Roman" w:hAnsi="Times New Roman"/>
                <w:sz w:val="14"/>
                <w:szCs w:val="14"/>
                <w:color w:val="auto"/>
                <w:w w:val="99"/>
              </w:rPr>
              <w:t>6</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w w:val="98"/>
              </w:rPr>
              <w:t>4.06x10</w:t>
            </w:r>
            <w:r>
              <w:rPr>
                <w:rFonts w:ascii="Times New Roman" w:cs="Times New Roman" w:eastAsia="Times New Roman" w:hAnsi="Times New Roman"/>
                <w:sz w:val="14"/>
                <w:szCs w:val="14"/>
                <w:color w:val="auto"/>
                <w:w w:val="98"/>
              </w:rPr>
              <w:t>-4</w:t>
            </w:r>
          </w:p>
        </w:tc>
        <w:tc>
          <w:tcPr>
            <w:tcW w:w="1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22"/>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VEGF-A165</w:t>
            </w: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1.07x10</w:t>
            </w:r>
            <w:r>
              <w:rPr>
                <w:rFonts w:ascii="Times New Roman" w:cs="Times New Roman" w:eastAsia="Times New Roman" w:hAnsi="Times New Roman"/>
                <w:sz w:val="14"/>
                <w:szCs w:val="14"/>
                <w:color w:val="auto"/>
              </w:rPr>
              <w:t>7</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1.63x10</w:t>
            </w:r>
            <w:r>
              <w:rPr>
                <w:rFonts w:ascii="Times New Roman" w:cs="Times New Roman" w:eastAsia="Times New Roman" w:hAnsi="Times New Roman"/>
                <w:sz w:val="14"/>
                <w:szCs w:val="14"/>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69850</wp:posOffset>
            </wp:positionV>
            <wp:extent cx="2888615" cy="1533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8615"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Figure: TAF of KSI-501 simultaneously binds to IL-6 and VEGF by sandwich ELISA, which only shows a signal if a compound binds to both IL-6 and VEGF concurrently.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color w:val="auto"/>
        </w:rPr>
        <w:t>Inhibition of VEGF and IL-6</w:t>
      </w:r>
    </w:p>
    <w:p>
      <w:pPr>
        <w:spacing w:after="0" w:line="115"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KSI-501 was designed to inhibit both VEGF and IL-6 mediated signaling that occur after the ligands bind to their respective receptors. The figure below shows that the TAF protein of KSI-501 effectively prevents VEGF from stimulating downstream VEGFR2 signaling in a reporter assay in a comparable manner to Eylea, while anti-IL-6 alone served as a negative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58420</wp:posOffset>
            </wp:positionV>
            <wp:extent cx="2953385" cy="1549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5338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Figure: VEGF stimulated reporter assay with increasing concentrations of anti-VEGF inhibitors</w:t>
      </w:r>
    </w:p>
    <w:p>
      <w:pPr>
        <w:spacing w:after="0" w:line="90"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The figure below shows that the control anti-IL-6 antibody and TAF protein of KSI-501 effectively compete with IL-6R for binding to plate-bound IL-6 and therefore inhibit this specific antigen-receptor interaction. The IC50 values for the control anti-IL-6 monoclonal antibody and the TAF protein are comparable (anti-IL-6 = 0.36 nM, KSI-501 = 0.47 nM), while Eylea had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58420</wp:posOffset>
            </wp:positionV>
            <wp:extent cx="2174240" cy="133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74240" cy="133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Figure: ELISA measuring IL-6 binding to IL-6R in the presence of increasing concentrations of anti-IL-6 inhibitors</w:t>
      </w:r>
    </w:p>
    <w:p>
      <w:pPr>
        <w:spacing w:after="0" w:line="90"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Together, these data indicate that the TAF protein of KSI-501 inhibits both VEGF and IL-6 from binding their cognate receptors as effectively as the monotherapies. Importantly, these data also demonstrate that the TAF protein of KSI-501 can simultaneously block downstream signaling mediated by both VEGF and IL-6.</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color w:val="auto"/>
        </w:rPr>
        <w:t>IL-6 and VEGF mediated proliferation of HUVECs</w:t>
      </w:r>
    </w:p>
    <w:p>
      <w:pPr>
        <w:spacing w:after="0" w:line="115" w:lineRule="exact"/>
        <w:rPr>
          <w:sz w:val="20"/>
          <w:szCs w:val="20"/>
          <w:color w:val="auto"/>
        </w:rPr>
      </w:pPr>
    </w:p>
    <w:p>
      <w:pPr>
        <w:ind w:right="120" w:firstLine="542"/>
        <w:spacing w:after="0" w:line="257" w:lineRule="auto"/>
        <w:rPr>
          <w:sz w:val="20"/>
          <w:szCs w:val="20"/>
          <w:color w:val="auto"/>
        </w:rPr>
      </w:pPr>
      <w:r>
        <w:rPr>
          <w:rFonts w:ascii="Times New Roman" w:cs="Times New Roman" w:eastAsia="Times New Roman" w:hAnsi="Times New Roman"/>
          <w:sz w:val="17"/>
          <w:szCs w:val="17"/>
          <w:color w:val="auto"/>
        </w:rPr>
        <w:t>The ability of the TAF protein of KSI-501 to inhibit IL-6 and VEGF mediated angiogenic functions was tested in a Human Vascular Endothelial Cell, or HUVEC, proliferation assay as shown in the figure below. Importantly, the concentrations of VEGF and IL-6 used to stimulate proliferation were below the saturation point for each individual stimulant and under these conditions VEGF and IL-6 showed some synergy for growth. The presence of TAF protein significantly attenuated proliferation to approximately 50% of maximal growth, while neither Eylea nor control anti-IL-6 alone had quantifiable effects. These data provide supporting evidence that KSI-501 can synergistically abrogate endothelial cell proliferation that is driven by concurrent inflammatory and VEGF mediated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64770</wp:posOffset>
            </wp:positionV>
            <wp:extent cx="2612390" cy="1379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2390"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Figure: VEGF/IL-6 mediated HUVEC proliferation in the presence of inhibitors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IL-6 and VEGF mediated tubule formation of HUVECs:</w:t>
      </w:r>
    </w:p>
    <w:p>
      <w:pPr>
        <w:spacing w:after="0" w:line="115"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TAF protein of KSI-501 was also tested in an endothelial cell tubule formation assay. Treatment of HUVECs seeded on an extracellular basement membrane matrix (Matrigel) with VEGF and IL-6 together stimulate tubule formation to a higher degree than either treatment alone. The TAF protein of KSI-501 demonstrated superior inhibition of this tubule formation when compared to Eylea or control anti-IL-6 antibody.</w:t>
      </w:r>
    </w:p>
    <w:p>
      <w:pPr>
        <w:spacing w:after="0" w:line="63" w:lineRule="exact"/>
        <w:rPr>
          <w:sz w:val="20"/>
          <w:szCs w:val="20"/>
          <w:color w:val="auto"/>
        </w:rPr>
      </w:pPr>
    </w:p>
    <w:p>
      <w:pPr>
        <w:ind w:right="320" w:firstLine="542"/>
        <w:spacing w:after="0" w:line="267" w:lineRule="auto"/>
        <w:rPr>
          <w:sz w:val="20"/>
          <w:szCs w:val="20"/>
          <w:color w:val="auto"/>
        </w:rPr>
      </w:pPr>
      <w:r>
        <w:rPr>
          <w:rFonts w:ascii="Times New Roman" w:cs="Times New Roman" w:eastAsia="Times New Roman" w:hAnsi="Times New Roman"/>
          <w:sz w:val="17"/>
          <w:szCs w:val="17"/>
          <w:color w:val="auto"/>
        </w:rPr>
        <w:t>Furthermore, quantification of the effects of each inhibitor on twenty parameters of HUVEC tubule formation show that the TAF protein significantly inhibited 17 of 20 angiogenic parameters versus control (compared to 4 of 20 for Eylea and 7 of 20 for control anti-IL-6 antibody). TAF protein was statistically better than Eylea and anti-IL-6 control in 12 of 20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58420</wp:posOffset>
            </wp:positionV>
            <wp:extent cx="4170045" cy="256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7004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Figure: Quantification of IL-6/VEGF mediated HUVEC tubule formation in the presence or absence of inhibitor molecules using the Angiogenesis Analyzer plugin for ImageJ</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0" w:name="page51"/>
    <w:bookmarkEnd w:id="50"/>
    <w:p>
      <w:pPr>
        <w:ind w:right="140" w:firstLine="542"/>
        <w:spacing w:after="0" w:line="267" w:lineRule="auto"/>
        <w:rPr>
          <w:sz w:val="20"/>
          <w:szCs w:val="20"/>
          <w:color w:val="auto"/>
        </w:rPr>
      </w:pPr>
      <w:r>
        <w:rPr>
          <w:rFonts w:ascii="Times New Roman" w:cs="Times New Roman" w:eastAsia="Times New Roman" w:hAnsi="Times New Roman"/>
          <w:sz w:val="17"/>
          <w:szCs w:val="17"/>
          <w:color w:val="auto"/>
        </w:rPr>
        <w:t>Together, these data show that the TAF protein of KSI-501 can simultaneously bind IL-6 and VEGF to inhibit their downstream angiogenic signaling pathways. We believe that this novel dual inhibitor can provide an alternative option for the treatment of retinal vascular diseases, especially those that have a high inflammatory component and/or that do not respond adequately to anti-VEGF treatments alone.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5" w:lineRule="exact"/>
        <w:rPr>
          <w:sz w:val="20"/>
          <w:szCs w:val="20"/>
          <w:color w:val="auto"/>
        </w:rPr>
      </w:pPr>
    </w:p>
    <w:p>
      <w:pPr>
        <w:ind w:right="100" w:firstLine="542"/>
        <w:spacing w:after="0" w:line="259"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7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Our potential competitors include large pharmaceutical and biotechnology companies, and specialty pharmaceutical and generic or biosimilar drug companies. 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early-stage companies may also prove to be significant competitors, particularly through collaborative arrangements with large and established companies. These competitors compete with us in recruiting and retaining qualified scientific and management personnel, establishing clinical trial sites and patient enrollment for clinical trials, as well as in acquiring products, product candidates or other technologies complementary to our programs.</w:t>
      </w:r>
    </w:p>
    <w:p>
      <w:pPr>
        <w:spacing w:after="0" w:line="73" w:lineRule="exact"/>
        <w:rPr>
          <w:sz w:val="20"/>
          <w:szCs w:val="20"/>
          <w:color w:val="auto"/>
        </w:rPr>
      </w:pPr>
    </w:p>
    <w:p>
      <w:pPr>
        <w:jc w:val="both"/>
        <w:ind w:right="100" w:firstLine="542"/>
        <w:spacing w:after="0" w:line="257" w:lineRule="auto"/>
        <w:rPr>
          <w:sz w:val="20"/>
          <w:szCs w:val="20"/>
          <w:color w:val="auto"/>
        </w:rPr>
      </w:pPr>
      <w:r>
        <w:rPr>
          <w:rFonts w:ascii="Times New Roman" w:cs="Times New Roman" w:eastAsia="Times New Roman" w:hAnsi="Times New Roman"/>
          <w:sz w:val="17"/>
          <w:szCs w:val="17"/>
          <w:color w:val="auto"/>
        </w:rPr>
        <w:t>The key competitive factors affecting the success of KSI-301, if approved, are likely to be its efficacy, safety, method and frequency of administration, on-mechanism durability of therapeutic effect, convenience, price, the level of generic and biosimilar competition and the availability of coverage and reimbursement from government and other third-party payors. The method of administration of KSI-301, intravitreal injection, is commonly used to administer ophthalmic drugs for the treatment of severe disease and is generally accepted by patients facing the prospect of severe visual loss or blindness. However, a therapy that offers a less invasive method of administration might have a competitive advantage over one administered by intravitreal injection, depending on the relative safety of the other method of administration.</w:t>
      </w:r>
    </w:p>
    <w:p>
      <w:pPr>
        <w:spacing w:after="0" w:line="73" w:lineRule="exact"/>
        <w:rPr>
          <w:sz w:val="20"/>
          <w:szCs w:val="20"/>
          <w:color w:val="auto"/>
        </w:rPr>
      </w:pPr>
    </w:p>
    <w:p>
      <w:pPr>
        <w:ind w:right="280" w:firstLine="542"/>
        <w:spacing w:after="0" w:line="267" w:lineRule="auto"/>
        <w:rPr>
          <w:sz w:val="20"/>
          <w:szCs w:val="20"/>
          <w:color w:val="auto"/>
        </w:rPr>
      </w:pPr>
      <w:r>
        <w:rPr>
          <w:rFonts w:ascii="Times New Roman" w:cs="Times New Roman" w:eastAsia="Times New Roman" w:hAnsi="Times New Roman"/>
          <w:sz w:val="17"/>
          <w:szCs w:val="17"/>
          <w:color w:val="auto"/>
        </w:rPr>
        <w:t>The current standard of care for wet AMD, advanced stages of DR (including DME), and RVO is monotherapy administration of anti-VEGF drugs, principally Avastin, Lucentis and Eylea, which are well-established therapies and are widely accepted by physicians, patients and third-party payors. Physicians, patients and third-party payors may not accept the addition of KSI-301 to their current treatment regimens for a variety of potential reasons, including:</w:t>
      </w:r>
    </w:p>
    <w:p>
      <w:pPr>
        <w:spacing w:after="0" w:line="63" w:lineRule="exact"/>
        <w:rPr>
          <w:sz w:val="20"/>
          <w:szCs w:val="20"/>
          <w:color w:val="auto"/>
        </w:rPr>
      </w:pPr>
    </w:p>
    <w:p>
      <w:pPr>
        <w:ind w:left="660" w:hanging="121"/>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they do not wish to incur the additional cost of KSI-301;</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they perceive the addition of KSI-301 to be of limited benefit to patients;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they wish to treat with more than an anti-VEGF drug;</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sufficient coverage and reimbursement are not available;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they do not perceive KSI-301 to have a favorable risk-benefit profile.</w:t>
      </w:r>
    </w:p>
    <w:p>
      <w:pPr>
        <w:spacing w:after="0" w:line="111"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We are developing KSI-301 as an alternative to existing anti-VEGF drugs, including Avastin, Lucentis and Eylea. Accordingly, KSI-301 would directly compete with these therapies. While we believe KSI-301 will compete favorably with existing anti-VEGF drugs, future approved standalone or combination therapies with demonstrated improved efficacy over KSI-301 or currently marketed therapies with a favorable safety profile and any of the following characteristics might pose a significant competitive threat to us:</w:t>
      </w:r>
    </w:p>
    <w:p>
      <w:pPr>
        <w:spacing w:after="0" w:line="70" w:lineRule="exact"/>
        <w:rPr>
          <w:sz w:val="20"/>
          <w:szCs w:val="20"/>
          <w:color w:val="auto"/>
        </w:rPr>
      </w:pPr>
    </w:p>
    <w:p>
      <w:pPr>
        <w:ind w:left="660" w:hanging="121"/>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mechanism of action that does not involve VEGF;</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duration of action that obviates the need for frequent intravitreal injection;</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method of administration that avoids intravitreal injection;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 savings or reimbursement advantages compared to KSI-301 and other anti-VEGF therapies.</w:t>
      </w:r>
    </w:p>
    <w:p>
      <w:pPr>
        <w:spacing w:after="0" w:line="111"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one or more of our competitors develop and commercialize products that are safer, more effective, have fewer or less severe side effects, are more convenient or are less expensive than any products that we may develop. A drug with greater convenience than KSI-301 might make such a drug more attractive to physicians and patients. An anti-VEGF gene therapy product might substantially reduce the number and frequency of intravitreal injections when treating wet AMD, DME, RVO, or DR, making KSI-301 unattractive to physicians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1" w:name="page52"/>
    <w:bookmarkEnd w:id="51"/>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and patients.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because in many cases insurers or other third-party payors seek to encourage the use of generic products.</w:t>
      </w:r>
    </w:p>
    <w:p>
      <w:pPr>
        <w:spacing w:after="0" w:line="63"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In addition to currently available therapies, we are aware of a number of products in preclinical research and clinical development by third parties to treat wet AMD, DME, RVO and DR. We expect that product candidates currently in clinical development, or that could enter clinical development in the near future, that inhibit the function of VEGF or inhibit the function of both VEGF and other factors, could represent significant competition if approved. These product candidates may provide efficacy, safety, convenience and other benefits that are not provided by currently marketed therapies. For example, Novartis has received FDA and EMA approval for Beovu (brolucizumab) for the treatment of wet AMD, and is studying Beovu as a potential treatment option for patients with DME and RVO. Roche is developing faricimab, a bispecific antibody targeting VEGF and another mechanism, in wet AMD, DME, and RVO, and recently presented Phase 3 data demonstrating the non-inferiority of faricimab to Eylea in wet AMD and DME. There are also several companies and research organizations pursuing treatments targeting other molecular targets, potential gene therapy treatments, stem cell transplant treatments and medical devices for the treatment of wet AMD, DME, DR, and RVO.</w:t>
      </w:r>
    </w:p>
    <w:p>
      <w:pPr>
        <w:spacing w:after="0" w:line="73" w:lineRule="exact"/>
        <w:rPr>
          <w:sz w:val="20"/>
          <w:szCs w:val="20"/>
          <w:color w:val="auto"/>
        </w:rPr>
      </w:pPr>
    </w:p>
    <w:p>
      <w:pPr>
        <w:ind w:right="340" w:firstLine="542"/>
        <w:spacing w:after="0" w:line="283" w:lineRule="auto"/>
        <w:rPr>
          <w:sz w:val="20"/>
          <w:szCs w:val="20"/>
          <w:color w:val="auto"/>
        </w:rPr>
      </w:pPr>
      <w:r>
        <w:rPr>
          <w:rFonts w:ascii="Times New Roman" w:cs="Times New Roman" w:eastAsia="Times New Roman" w:hAnsi="Times New Roman"/>
          <w:sz w:val="17"/>
          <w:szCs w:val="17"/>
          <w:color w:val="auto"/>
        </w:rPr>
        <w:t>Because there are a variety of means to treat wet AMD, DME, DR, and RVO, our patents and other proprietary protections for KSI-301 will not prevent development or commercialization of product candidates that are different from KSI-301.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Agreement</w:t>
      </w:r>
    </w:p>
    <w:p>
      <w:pPr>
        <w:spacing w:after="0" w:line="115"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On December 1, 2019, we, and our subsidiary, Kodiak Sciences GmbH, entered into a funding agreement to sell a capped royalty right on global net sales of KSI-301 to BBA for $225,000,000. Under the funding agreement, BBA purchased the right to receive a capped 4.5% royalty on net sales following marketing approval of KSI-301 in exchange for $225,000,000 in committed development funding payable to us. Unless earlier terminated or re-purchased by us, the royalty “caps” or terminates upon the date that BBA has received an aggregate amount equal to 4.5 times the funding amount paid to us. Under the terms of the funding agreement, BBA was required to pay the first $100,000,000 of the funding amount at the closing of the funding transaction and the remaining $125,000,000 of the funding amount, subject to delivery of notice by the Company, payable upon enrollment of 50% of the patients in the RVO clinical program. 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Under the funding agreement, BBA also received a right to a royalty interest on future net sales following marketing approval of other of our products that employ an anti-VEGF A, or VEGF-A, biology as a sole molecular or chemical biology. In the event we commercialize related products that contain both an anti-VEGF-A biology together with at least one additional molecular or chemical biology(ies), BBA would have the right to receive a fractional royalty of up to 2.25% for one additional molecular or chemical biology or 1.5% for two additional molecular or chemical biologies provided that such other products are being progressed in indications for, or patient populations with, retinal vein occlusion, wet AMD or diabetic macular edema, or indications or patient populations in which KSI-301 or a VEGF-A product has received marketing approval. Total royalty payments under the funding agreement are not to exceed the cap of 4.5 times the funding amount paid to us. The funding agreement was the result of a competitive process overseen by independent and disinterested directors of Kodiak with the assistance of outside counsel.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5"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U.S. Drug Development</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6" w:lineRule="exact"/>
        <w:rPr>
          <w:sz w:val="20"/>
          <w:szCs w:val="20"/>
          <w:color w:val="auto"/>
        </w:rPr>
      </w:pPr>
    </w:p>
    <w:p>
      <w:pPr>
        <w:ind w:right="300" w:firstLine="542"/>
        <w:spacing w:after="0" w:line="283" w:lineRule="auto"/>
        <w:rPr>
          <w:sz w:val="20"/>
          <w:szCs w:val="20"/>
          <w:color w:val="auto"/>
        </w:rPr>
      </w:pPr>
      <w:r>
        <w:rPr>
          <w:rFonts w:ascii="Times New Roman" w:cs="Times New Roman" w:eastAsia="Times New Roman" w:hAnsi="Times New Roman"/>
          <w:sz w:val="17"/>
          <w:szCs w:val="17"/>
          <w:color w:val="auto"/>
        </w:rPr>
        <w:t>Any future product candidates must be approved by the FDA through either a new drug application, or NDA, or a biologics license application, or BLA, process before they may be legally marketed in the United States. The process generally involves the following:</w:t>
      </w:r>
    </w:p>
    <w:p>
      <w:pPr>
        <w:spacing w:after="0" w:line="50" w:lineRule="exact"/>
        <w:rPr>
          <w:sz w:val="20"/>
          <w:szCs w:val="20"/>
          <w:color w:val="auto"/>
        </w:rPr>
      </w:pPr>
    </w:p>
    <w:p>
      <w:pPr>
        <w:ind w:left="660" w:right="320" w:hanging="121"/>
        <w:spacing w:after="0" w:line="283"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studies in accordance with applicable regulations, including studies conducted in accordance with good laboratory practice, or GLP, requirements;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human clinical trials may begin;</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institutional review board, or IRB, or ethics committee at each clinical trial site before each trial may be initiated;</w:t>
      </w:r>
    </w:p>
    <w:p>
      <w:pPr>
        <w:spacing w:after="0" w:line="111" w:lineRule="exact"/>
        <w:rPr>
          <w:rFonts w:ascii="Times New Roman" w:cs="Times New Roman" w:eastAsia="Times New Roman" w:hAnsi="Times New Roman"/>
          <w:sz w:val="17"/>
          <w:szCs w:val="17"/>
          <w:color w:val="auto"/>
        </w:rPr>
      </w:pPr>
    </w:p>
    <w:p>
      <w:pPr>
        <w:ind w:left="660" w:right="340" w:hanging="121"/>
        <w:spacing w:after="0" w:line="283"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or BLA;</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an NDA or BLA to accept the filing for review;</w:t>
      </w:r>
    </w:p>
    <w:p>
      <w:pPr>
        <w:spacing w:after="0" w:line="111" w:lineRule="exact"/>
        <w:rPr>
          <w:rFonts w:ascii="Times New Roman" w:cs="Times New Roman" w:eastAsia="Times New Roman" w:hAnsi="Times New Roman"/>
          <w:sz w:val="17"/>
          <w:szCs w:val="17"/>
          <w:color w:val="auto"/>
        </w:rPr>
      </w:pPr>
    </w:p>
    <w:p>
      <w:pPr>
        <w:jc w:val="both"/>
        <w:ind w:left="660" w:right="100" w:hanging="121"/>
        <w:spacing w:after="0" w:line="267"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63"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preclinical and/or clinical trial sites that generated the data in support of the NDA or BLA;</w:t>
      </w:r>
    </w:p>
    <w:p>
      <w:pPr>
        <w:spacing w:after="0" w:line="111" w:lineRule="exact"/>
        <w:rPr>
          <w:rFonts w:ascii="Times New Roman" w:cs="Times New Roman" w:eastAsia="Times New Roman" w:hAnsi="Times New Roman"/>
          <w:sz w:val="17"/>
          <w:szCs w:val="17"/>
          <w:color w:val="auto"/>
        </w:rPr>
      </w:pPr>
    </w:p>
    <w:p>
      <w:pPr>
        <w:ind w:left="660" w:right="100" w:hanging="121"/>
        <w:spacing w:after="0" w:line="283"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or BLA, including consideration of the views of any FDA advisory committee, prior to any commercial marketing or sale of the drug or biologic in the United States; and</w:t>
      </w:r>
    </w:p>
    <w:p>
      <w:pPr>
        <w:spacing w:after="0" w:line="50" w:lineRule="exact"/>
        <w:rPr>
          <w:rFonts w:ascii="Times New Roman" w:cs="Times New Roman" w:eastAsia="Times New Roman" w:hAnsi="Times New Roman"/>
          <w:sz w:val="17"/>
          <w:szCs w:val="17"/>
          <w:color w:val="auto"/>
        </w:rPr>
      </w:pPr>
    </w:p>
    <w:p>
      <w:pPr>
        <w:ind w:left="660" w:right="120" w:hanging="121"/>
        <w:spacing w:after="0" w:line="283"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any post-approval requirements, including the potential requirement to implement a Risk Evaluation and Mitigation Strategy, or REMS, and the potential requirement to conduct post-approval studies.</w:t>
      </w:r>
    </w:p>
    <w:p>
      <w:pPr>
        <w:spacing w:after="0" w:line="50"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Preclinical Studies and IND</w:t>
      </w:r>
    </w:p>
    <w:p>
      <w:pPr>
        <w:spacing w:after="0" w:line="117" w:lineRule="exact"/>
        <w:rPr>
          <w:sz w:val="20"/>
          <w:szCs w:val="20"/>
          <w:color w:val="auto"/>
        </w:rPr>
      </w:pPr>
    </w:p>
    <w:p>
      <w:pPr>
        <w:ind w:right="300" w:firstLine="542"/>
        <w:spacing w:after="0" w:line="261" w:lineRule="auto"/>
        <w:rPr>
          <w:sz w:val="20"/>
          <w:szCs w:val="20"/>
          <w:color w:val="auto"/>
        </w:rPr>
      </w:pPr>
      <w:r>
        <w:rPr>
          <w:rFonts w:ascii="Times New Roman" w:cs="Times New Roman" w:eastAsia="Times New Roman" w:hAnsi="Times New Roman"/>
          <w:sz w:val="17"/>
          <w:szCs w:val="17"/>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53" w:name="page54"/>
    <w:bookmarkEnd w:id="53"/>
    <w:p>
      <w:pPr>
        <w:ind w:right="80" w:firstLine="542"/>
        <w:spacing w:after="0" w:line="255" w:lineRule="auto"/>
        <w:rPr>
          <w:sz w:val="20"/>
          <w:szCs w:val="20"/>
          <w:color w:val="auto"/>
        </w:rPr>
      </w:pPr>
      <w:r>
        <w:rPr>
          <w:rFonts w:ascii="Times New Roman" w:cs="Times New Roman" w:eastAsia="Times New Roman" w:hAnsi="Times New Roman"/>
          <w:sz w:val="17"/>
          <w:szCs w:val="17"/>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73" w:lineRule="exact"/>
        <w:rPr>
          <w:sz w:val="20"/>
          <w:szCs w:val="20"/>
          <w:color w:val="auto"/>
        </w:rPr>
      </w:pPr>
    </w:p>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Clinical trials in the United States generally are conducted in three sequential phases, known as Phase 1, Phase 2 and Phase 3, and may overlap.</w:t>
      </w:r>
    </w:p>
    <w:p>
      <w:pPr>
        <w:spacing w:after="0" w:line="111" w:lineRule="exact"/>
        <w:rPr>
          <w:sz w:val="20"/>
          <w:szCs w:val="20"/>
          <w:color w:val="auto"/>
        </w:rPr>
      </w:pPr>
    </w:p>
    <w:p>
      <w:pPr>
        <w:jc w:val="both"/>
        <w:ind w:left="660" w:right="280" w:hanging="121"/>
        <w:spacing w:after="0" w:line="267"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63" w:lineRule="exact"/>
        <w:rPr>
          <w:rFonts w:ascii="Times New Roman" w:cs="Times New Roman" w:eastAsia="Times New Roman" w:hAnsi="Times New Roman"/>
          <w:sz w:val="17"/>
          <w:szCs w:val="17"/>
          <w:color w:val="auto"/>
        </w:rPr>
      </w:pPr>
    </w:p>
    <w:p>
      <w:pPr>
        <w:ind w:left="660" w:right="180" w:hanging="121"/>
        <w:spacing w:after="0" w:line="267"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63" w:lineRule="exact"/>
        <w:rPr>
          <w:rFonts w:ascii="Times New Roman" w:cs="Times New Roman" w:eastAsia="Times New Roman" w:hAnsi="Times New Roman"/>
          <w:sz w:val="17"/>
          <w:szCs w:val="17"/>
          <w:color w:val="auto"/>
        </w:rPr>
      </w:pPr>
    </w:p>
    <w:p>
      <w:pPr>
        <w:ind w:left="660" w:right="140" w:hanging="121"/>
        <w:spacing w:after="0" w:line="261"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0" w:lineRule="exact"/>
        <w:rPr>
          <w:sz w:val="20"/>
          <w:szCs w:val="20"/>
          <w:color w:val="auto"/>
        </w:rPr>
      </w:pPr>
    </w:p>
    <w:p>
      <w:pPr>
        <w:ind w:right="200" w:firstLine="542"/>
        <w:spacing w:after="0" w:line="267" w:lineRule="auto"/>
        <w:rPr>
          <w:sz w:val="20"/>
          <w:szCs w:val="20"/>
          <w:color w:val="auto"/>
        </w:rPr>
      </w:pPr>
      <w:r>
        <w:rPr>
          <w:rFonts w:ascii="Times New Roman" w:cs="Times New Roman" w:eastAsia="Times New Roman" w:hAnsi="Times New Roman"/>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63"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ind w:firstLine="542"/>
        <w:spacing w:after="0" w:line="254" w:lineRule="auto"/>
        <w:rPr>
          <w:sz w:val="20"/>
          <w:szCs w:val="20"/>
          <w:color w:val="auto"/>
        </w:rPr>
      </w:pPr>
      <w:r>
        <w:rPr>
          <w:rFonts w:ascii="Times New Roman" w:cs="Times New Roman" w:eastAsia="Times New Roman" w:hAnsi="Times New Roman"/>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NDA/BLA Review Process</w:t>
      </w:r>
    </w:p>
    <w:p>
      <w:pPr>
        <w:spacing w:after="0" w:line="117" w:lineRule="exact"/>
        <w:rPr>
          <w:sz w:val="20"/>
          <w:szCs w:val="20"/>
          <w:color w:val="auto"/>
        </w:rPr>
      </w:pPr>
    </w:p>
    <w:p>
      <w:pPr>
        <w:ind w:right="60" w:firstLine="542"/>
        <w:spacing w:after="0" w:line="255" w:lineRule="auto"/>
        <w:rPr>
          <w:sz w:val="20"/>
          <w:szCs w:val="20"/>
          <w:color w:val="auto"/>
        </w:rPr>
      </w:pPr>
      <w:r>
        <w:rPr>
          <w:rFonts w:ascii="Times New Roman" w:cs="Times New Roman" w:eastAsia="Times New Roman" w:hAnsi="Times New Roman"/>
          <w:sz w:val="17"/>
          <w:szCs w:val="17"/>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76"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0" w:lineRule="exact"/>
        <w:rPr>
          <w:sz w:val="20"/>
          <w:szCs w:val="20"/>
          <w:color w:val="auto"/>
        </w:rPr>
      </w:pPr>
    </w:p>
    <w:p>
      <w:pPr>
        <w:ind w:right="60" w:firstLine="542"/>
        <w:spacing w:after="0" w:line="257" w:lineRule="auto"/>
        <w:rPr>
          <w:sz w:val="20"/>
          <w:szCs w:val="20"/>
          <w:color w:val="auto"/>
        </w:rPr>
      </w:pPr>
      <w:r>
        <w:rPr>
          <w:rFonts w:ascii="Times New Roman" w:cs="Times New Roman" w:eastAsia="Times New Roman" w:hAnsi="Times New Roman"/>
          <w:sz w:val="17"/>
          <w:szCs w:val="17"/>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73"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ind w:right="320"/>
        <w:spacing w:after="0" w:line="267" w:lineRule="auto"/>
        <w:rPr>
          <w:sz w:val="20"/>
          <w:szCs w:val="20"/>
          <w:color w:val="auto"/>
        </w:rPr>
      </w:pPr>
      <w:r>
        <w:rPr>
          <w:rFonts w:ascii="Times New Roman" w:cs="Times New Roman" w:eastAsia="Times New Roman" w:hAnsi="Times New Roman"/>
          <w:sz w:val="17"/>
          <w:szCs w:val="17"/>
          <w:color w:val="auto"/>
        </w:rPr>
        <w:t>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Expedited Development and Review Programs</w:t>
      </w:r>
    </w:p>
    <w:p>
      <w:pPr>
        <w:spacing w:after="0" w:line="117" w:lineRule="exact"/>
        <w:rPr>
          <w:sz w:val="20"/>
          <w:szCs w:val="20"/>
          <w:color w:val="auto"/>
        </w:rPr>
      </w:pPr>
    </w:p>
    <w:p>
      <w:pPr>
        <w:ind w:right="440" w:firstLine="542"/>
        <w:spacing w:after="0" w:line="259" w:lineRule="auto"/>
        <w:rPr>
          <w:sz w:val="20"/>
          <w:szCs w:val="20"/>
          <w:color w:val="auto"/>
        </w:rPr>
      </w:pPr>
      <w:r>
        <w:rPr>
          <w:rFonts w:ascii="Times New Roman" w:cs="Times New Roman" w:eastAsia="Times New Roman" w:hAnsi="Times New Roman"/>
          <w:sz w:val="17"/>
          <w:szCs w:val="17"/>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70"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63"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73"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Abbreviated Licensure Pathway of Biological Products as Biosimilar or Interchangeable</w:t>
      </w:r>
    </w:p>
    <w:p>
      <w:pPr>
        <w:spacing w:after="0" w:line="117" w:lineRule="exact"/>
        <w:rPr>
          <w:sz w:val="20"/>
          <w:szCs w:val="20"/>
          <w:color w:val="auto"/>
        </w:rPr>
      </w:pPr>
    </w:p>
    <w:p>
      <w:pPr>
        <w:ind w:right="420" w:firstLine="542"/>
        <w:spacing w:after="0" w:line="267"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w:t>
      </w:r>
    </w:p>
    <w:p>
      <w:pPr>
        <w:spacing w:after="0" w:line="63" w:lineRule="exact"/>
        <w:rPr>
          <w:sz w:val="20"/>
          <w:szCs w:val="20"/>
          <w:color w:val="auto"/>
        </w:rPr>
      </w:pPr>
    </w:p>
    <w:p>
      <w:pPr>
        <w:ind w:left="660" w:right="500" w:hanging="121"/>
        <w:spacing w:after="0" w:line="283"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analytical studies demonstrating that the proposed biosimilar product is highly similar to the approved product notwithstanding minor differences in clinically inactive components;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animal studies (including the assessment of toxicity); and</w:t>
      </w:r>
    </w:p>
    <w:p>
      <w:pPr>
        <w:spacing w:after="0" w:line="111" w:lineRule="exact"/>
        <w:rPr>
          <w:rFonts w:ascii="Times New Roman" w:cs="Times New Roman" w:eastAsia="Times New Roman" w:hAnsi="Times New Roman"/>
          <w:sz w:val="17"/>
          <w:szCs w:val="17"/>
          <w:color w:val="auto"/>
        </w:rPr>
      </w:pPr>
    </w:p>
    <w:p>
      <w:pPr>
        <w:ind w:left="660" w:right="360" w:hanging="121"/>
        <w:spacing w:after="0" w:line="283"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addition, an application must include information demonstrating that:</w:t>
      </w:r>
    </w:p>
    <w:p>
      <w:pPr>
        <w:spacing w:after="0" w:line="111" w:lineRule="exact"/>
        <w:rPr>
          <w:sz w:val="20"/>
          <w:szCs w:val="20"/>
          <w:color w:val="auto"/>
        </w:rPr>
      </w:pPr>
    </w:p>
    <w:p>
      <w:pPr>
        <w:ind w:left="660" w:right="460" w:hanging="121"/>
        <w:spacing w:after="0" w:line="283"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50" w:lineRule="exact"/>
        <w:rPr>
          <w:rFonts w:ascii="Times New Roman" w:cs="Times New Roman" w:eastAsia="Times New Roman" w:hAnsi="Times New Roman"/>
          <w:sz w:val="17"/>
          <w:szCs w:val="17"/>
          <w:color w:val="auto"/>
        </w:rPr>
      </w:pPr>
    </w:p>
    <w:p>
      <w:pPr>
        <w:ind w:left="660" w:right="580" w:hanging="121"/>
        <w:spacing w:after="0" w:line="283"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 or conditions of use prescribed, recommended, or suggested in the labeling for the proposed biosimilar product have been previously approved for the reference product;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7"/>
          <w:szCs w:val="17"/>
          <w:color w:val="auto"/>
        </w:rPr>
        <w:t>the route of administration, the dosage form, and the strength of the proposed biosimilar product are the same as those for the reference product; and</w:t>
      </w:r>
    </w:p>
    <w:p>
      <w:pPr>
        <w:spacing w:after="0" w:line="111" w:lineRule="exact"/>
        <w:rPr>
          <w:sz w:val="20"/>
          <w:szCs w:val="20"/>
          <w:color w:val="auto"/>
        </w:rPr>
      </w:pPr>
    </w:p>
    <w:p>
      <w:pPr>
        <w:ind w:left="660" w:right="440" w:hanging="121"/>
        <w:spacing w:after="0" w:line="283"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facility in which the biological product is manufactured, processed, packed or held meets standards designed to assure that the biological product continues to be safe, pure, and potent.</w:t>
      </w:r>
    </w:p>
    <w:p>
      <w:pPr>
        <w:spacing w:after="0" w:line="50"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70" w:lineRule="exact"/>
        <w:rPr>
          <w:sz w:val="20"/>
          <w:szCs w:val="20"/>
          <w:color w:val="auto"/>
        </w:rPr>
      </w:pPr>
    </w:p>
    <w:p>
      <w:pPr>
        <w:ind w:left="660" w:hanging="12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product is biosimilar to the reference product;</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product is expected to produce the same clinical result as the reference product in any given patient; and</w:t>
      </w:r>
    </w:p>
    <w:p>
      <w:pPr>
        <w:spacing w:after="0" w:line="111" w:lineRule="exact"/>
        <w:rPr>
          <w:rFonts w:ascii="Times New Roman" w:cs="Times New Roman" w:eastAsia="Times New Roman" w:hAnsi="Times New Roman"/>
          <w:sz w:val="17"/>
          <w:szCs w:val="17"/>
          <w:color w:val="auto"/>
        </w:rPr>
      </w:pPr>
    </w:p>
    <w:p>
      <w:pPr>
        <w:ind w:left="660" w:right="280" w:hanging="121"/>
        <w:spacing w:after="0" w:line="283"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50" w:lineRule="exact"/>
        <w:rPr>
          <w:sz w:val="20"/>
          <w:szCs w:val="20"/>
          <w:color w:val="auto"/>
        </w:rPr>
      </w:pPr>
    </w:p>
    <w:p>
      <w:pPr>
        <w:ind w:right="200" w:firstLine="542"/>
        <w:spacing w:after="0" w:line="283" w:lineRule="auto"/>
        <w:rPr>
          <w:sz w:val="20"/>
          <w:szCs w:val="20"/>
          <w:color w:val="auto"/>
        </w:rPr>
      </w:pPr>
      <w:r>
        <w:rPr>
          <w:rFonts w:ascii="Times New Roman" w:cs="Times New Roman" w:eastAsia="Times New Roman" w:hAnsi="Times New Roman"/>
          <w:sz w:val="17"/>
          <w:szCs w:val="17"/>
          <w:color w:val="auto"/>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spacing w:after="0" w:line="50" w:lineRule="exact"/>
        <w:rPr>
          <w:sz w:val="20"/>
          <w:szCs w:val="20"/>
          <w:color w:val="auto"/>
        </w:rPr>
      </w:pPr>
    </w:p>
    <w:p>
      <w:pPr>
        <w:ind w:right="60" w:firstLine="542"/>
        <w:spacing w:after="0" w:line="254" w:lineRule="auto"/>
        <w:rPr>
          <w:sz w:val="20"/>
          <w:szCs w:val="20"/>
          <w:color w:val="auto"/>
        </w:rPr>
      </w:pPr>
      <w:r>
        <w:rPr>
          <w:rFonts w:ascii="Times New Roman" w:cs="Times New Roman" w:eastAsia="Times New Roman" w:hAnsi="Times New Roman"/>
          <w:sz w:val="17"/>
          <w:szCs w:val="17"/>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Requirements</w:t>
      </w:r>
    </w:p>
    <w:p>
      <w:pPr>
        <w:spacing w:after="0" w:line="117" w:lineRule="exact"/>
        <w:rPr>
          <w:sz w:val="20"/>
          <w:szCs w:val="20"/>
          <w:color w:val="auto"/>
        </w:rPr>
      </w:pPr>
    </w:p>
    <w:p>
      <w:pPr>
        <w:jc w:val="both"/>
        <w:ind w:right="180" w:firstLine="542"/>
        <w:spacing w:after="0" w:line="256" w:lineRule="auto"/>
        <w:rPr>
          <w:sz w:val="20"/>
          <w:szCs w:val="20"/>
          <w:color w:val="auto"/>
        </w:rPr>
      </w:pPr>
      <w:r>
        <w:rPr>
          <w:rFonts w:ascii="Times New Roman" w:cs="Times New Roman" w:eastAsia="Times New Roman" w:hAnsi="Times New Roman"/>
          <w:sz w:val="17"/>
          <w:szCs w:val="17"/>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w:t>
      </w:r>
    </w:p>
    <w:p>
      <w:pPr>
        <w:spacing w:after="0" w:line="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73"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0" w:lineRule="exact"/>
        <w:rPr>
          <w:sz w:val="20"/>
          <w:szCs w:val="20"/>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post-approval clinical studies;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applications or supplements to approved applications;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or suspension or revocation of product license approvals;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11"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U.S. Regulatory Laws</w:t>
      </w:r>
    </w:p>
    <w:p>
      <w:pPr>
        <w:spacing w:after="0" w:line="117" w:lineRule="exact"/>
        <w:rPr>
          <w:sz w:val="20"/>
          <w:szCs w:val="20"/>
          <w:color w:val="auto"/>
        </w:rPr>
      </w:pPr>
    </w:p>
    <w:p>
      <w:pPr>
        <w:ind w:right="80" w:firstLine="542"/>
        <w:spacing w:after="0" w:line="261"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70"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8" w:lineRule="exact"/>
        <w:rPr>
          <w:sz w:val="20"/>
          <w:szCs w:val="20"/>
          <w:color w:val="auto"/>
        </w:rPr>
      </w:pPr>
    </w:p>
    <w:p>
      <w:pPr>
        <w:ind w:right="100" w:firstLine="542"/>
        <w:spacing w:after="0" w:line="256"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4"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payer.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ind w:right="340"/>
        <w:spacing w:after="0" w:line="283" w:lineRule="auto"/>
        <w:rPr>
          <w:sz w:val="20"/>
          <w:szCs w:val="20"/>
          <w:color w:val="auto"/>
        </w:rPr>
      </w:pPr>
      <w:r>
        <w:rPr>
          <w:rFonts w:ascii="Times New Roman" w:cs="Times New Roman" w:eastAsia="Times New Roman" w:hAnsi="Times New Roman"/>
          <w:sz w:val="17"/>
          <w:szCs w:val="17"/>
          <w:color w:val="auto"/>
        </w:rPr>
        <w:t>such information related to payments or other transfers of value to physician assistants, nurse practitioners, clinical nurse specialists, anesthesiologist assistants, certified registered nurse anesthetists and certified nurse midwives during the previous year.</w:t>
      </w:r>
    </w:p>
    <w:p>
      <w:pPr>
        <w:spacing w:after="0" w:line="50" w:lineRule="exact"/>
        <w:rPr>
          <w:sz w:val="20"/>
          <w:szCs w:val="20"/>
          <w:color w:val="auto"/>
        </w:rPr>
      </w:pPr>
    </w:p>
    <w:p>
      <w:pPr>
        <w:ind w:right="180" w:firstLine="542"/>
        <w:spacing w:after="0" w:line="259"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2009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spacing w:after="0" w:line="70"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w:t>
      </w:r>
    </w:p>
    <w:p>
      <w:pPr>
        <w:spacing w:after="0" w:line="63"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70" w:lineRule="exact"/>
        <w:rPr>
          <w:sz w:val="20"/>
          <w:szCs w:val="20"/>
          <w:color w:val="auto"/>
        </w:rPr>
      </w:pPr>
    </w:p>
    <w:p>
      <w:pPr>
        <w:ind w:right="660" w:firstLine="542"/>
        <w:spacing w:after="0" w:line="283" w:lineRule="auto"/>
        <w:rPr>
          <w:sz w:val="20"/>
          <w:szCs w:val="20"/>
          <w:color w:val="auto"/>
        </w:rPr>
      </w:pPr>
      <w:r>
        <w:rPr>
          <w:rFonts w:ascii="Times New Roman" w:cs="Times New Roman" w:eastAsia="Times New Roman" w:hAnsi="Times New Roman"/>
          <w:sz w:val="17"/>
          <w:szCs w:val="17"/>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Privacy</w:t>
      </w:r>
    </w:p>
    <w:p>
      <w:pPr>
        <w:spacing w:after="0" w:line="117"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 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w:t>
      </w:r>
    </w:p>
    <w:p>
      <w:pPr>
        <w:spacing w:after="0" w:line="74"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In addition, the processing of personal data in connection with clinical trials in the EU must comply with comprehensive data protection requirements imposed by EU’s General Data Protection Regulation, or GDPR.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74"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9" w:name="page60"/>
    <w:bookmarkEnd w:id="59"/>
    <w:p>
      <w:pPr>
        <w:ind w:right="120" w:firstLine="542"/>
        <w:spacing w:after="0" w:line="256"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may result in possible legal or regulatory action. Depending on the circumstances, failure to meet applicable regulatory requirements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Health Care Reform</w:t>
      </w:r>
    </w:p>
    <w:p>
      <w:pPr>
        <w:spacing w:after="0" w:line="117" w:lineRule="exact"/>
        <w:rPr>
          <w:sz w:val="20"/>
          <w:szCs w:val="20"/>
          <w:color w:val="auto"/>
        </w:rPr>
      </w:pPr>
    </w:p>
    <w:p>
      <w:pPr>
        <w:ind w:firstLine="542"/>
        <w:spacing w:after="0" w:line="252"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there remain judicial challenges to certain aspects of the ACA. On December 14, 2018, a U.S. District Court Judge in the Northern District of Texas, ruled that the individual mandate is a critical and inseverable feature of the ACA, and therefore, because it was Tax Cuts and Jobs Act of 2017 (the Tax Act), the remaining provisions of the ACA are invalid as well. Additionally, on December 18, 2019, the U.S. Court of Appeals for the 5th Circuit upheld the District Court ruling that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Although the United States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United States Supreme Court ruling, other such litigation, and the healthcare form measures of the Biden administration will impact the ACA and our business.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Further, it is possible that additional governmental action is taken in response to the COVID-19 pandemic.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Patent-Term Restoration and Marketing Exclusivity</w:t>
      </w:r>
    </w:p>
    <w:p>
      <w:pPr>
        <w:spacing w:after="0" w:line="117" w:lineRule="exact"/>
        <w:rPr>
          <w:sz w:val="20"/>
          <w:szCs w:val="20"/>
          <w:color w:val="auto"/>
        </w:rPr>
      </w:pPr>
    </w:p>
    <w:p>
      <w:pPr>
        <w:ind w:right="20" w:firstLine="542"/>
        <w:spacing w:after="0" w:line="254"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ind w:right="20" w:firstLine="542"/>
        <w:spacing w:after="0" w:line="253" w:lineRule="auto"/>
        <w:rPr>
          <w:sz w:val="20"/>
          <w:szCs w:val="20"/>
          <w:color w:val="auto"/>
        </w:rPr>
      </w:pPr>
      <w:r>
        <w:rPr>
          <w:rFonts w:ascii="Times New Roman" w:cs="Times New Roman" w:eastAsia="Times New Roman" w:hAnsi="Times New Roman"/>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2" w:lineRule="exact"/>
        <w:rPr>
          <w:sz w:val="20"/>
          <w:szCs w:val="20"/>
          <w:color w:val="auto"/>
        </w:rPr>
      </w:pPr>
    </w:p>
    <w:p>
      <w:pPr>
        <w:ind w:right="60" w:firstLine="542"/>
        <w:spacing w:after="0" w:line="272" w:lineRule="auto"/>
        <w:rPr>
          <w:sz w:val="20"/>
          <w:szCs w:val="20"/>
          <w:color w:val="auto"/>
        </w:rPr>
      </w:pPr>
      <w:r>
        <w:rPr>
          <w:rFonts w:ascii="Times New Roman" w:cs="Times New Roman" w:eastAsia="Times New Roman" w:hAnsi="Times New Roman"/>
          <w:sz w:val="16"/>
          <w:szCs w:val="16"/>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Union Drug Development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in the United States, medicinal products can be marketed only if a marketing authorization from the competent regulatory agencies has been obtained.</w:t>
      </w:r>
    </w:p>
    <w:p>
      <w:pPr>
        <w:spacing w:after="0" w:line="111"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74" w:lineRule="exact"/>
        <w:rPr>
          <w:sz w:val="20"/>
          <w:szCs w:val="20"/>
          <w:color w:val="auto"/>
        </w:rPr>
      </w:pPr>
    </w:p>
    <w:p>
      <w:pPr>
        <w:ind w:right="220" w:firstLine="542"/>
        <w:spacing w:after="0" w:line="261" w:lineRule="auto"/>
        <w:rPr>
          <w:sz w:val="20"/>
          <w:szCs w:val="20"/>
          <w:color w:val="auto"/>
        </w:rPr>
      </w:pPr>
      <w:r>
        <w:rPr>
          <w:rFonts w:ascii="Times New Roman" w:cs="Times New Roman" w:eastAsia="Times New Roman" w:hAnsi="Times New Roman"/>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Union Drug Review and Approval</w:t>
      </w:r>
    </w:p>
    <w:p>
      <w:pPr>
        <w:spacing w:after="0" w:line="117" w:lineRule="exact"/>
        <w:rPr>
          <w:sz w:val="20"/>
          <w:szCs w:val="20"/>
          <w:color w:val="auto"/>
        </w:rPr>
      </w:pPr>
    </w:p>
    <w:p>
      <w:pPr>
        <w:ind w:right="200" w:firstLine="542"/>
        <w:spacing w:after="0" w:line="267" w:lineRule="auto"/>
        <w:rPr>
          <w:sz w:val="20"/>
          <w:szCs w:val="20"/>
          <w:color w:val="auto"/>
        </w:rPr>
      </w:pPr>
      <w:r>
        <w:rPr>
          <w:rFonts w:ascii="Times New Roman" w:cs="Times New Roman" w:eastAsia="Times New Roman" w:hAnsi="Times New Roman"/>
          <w:sz w:val="17"/>
          <w:szCs w:val="17"/>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63" w:lineRule="exact"/>
        <w:rPr>
          <w:sz w:val="20"/>
          <w:szCs w:val="20"/>
          <w:color w:val="auto"/>
        </w:rPr>
      </w:pPr>
    </w:p>
    <w:p>
      <w:pPr>
        <w:ind w:left="660" w:hanging="121"/>
        <w:spacing w:after="0" w:line="256"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73" w:lineRule="exact"/>
        <w:rPr>
          <w:rFonts w:ascii="Times New Roman" w:cs="Times New Roman" w:eastAsia="Times New Roman" w:hAnsi="Times New Roman"/>
          <w:sz w:val="17"/>
          <w:szCs w:val="17"/>
          <w:color w:val="auto"/>
        </w:rPr>
      </w:pPr>
    </w:p>
    <w:p>
      <w:pPr>
        <w:ind w:left="660" w:right="20" w:hanging="121"/>
        <w:spacing w:after="0" w:line="254"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in the RMS and the Member States Concerned).</w:t>
      </w:r>
    </w:p>
    <w:p>
      <w:pPr>
        <w:spacing w:after="0" w:line="78"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People’s Republic of China Drug Regulation</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China heavily regulates the development, approval, manufacturing and distribution of drugs, including biologics. The legal framework for the administration of pharmaceutical products in China was established by the Drug Administration Law of the PRC (DAL). The DAL applies to entities and individuals engaged in the development, production, trade, clinical use, as well as supervision and administration of pharmaceutical products by regulatory agencies and provides a framework for regulating pharmaceutical manufacturers, pharmaceutical trading companies, medical institutions, and the research, development, manufacturing, distribution, packaging, pricing, and advertisement activities related to pharmaceutical products. The DAL was revised in 2019 (rDAL) and reflects the regulatory trend of strengthening the lifecycle management of drugs, balancing the development of innovative drugs and generic drugs, and enhancing drug review and enforcement. It also represents legislative efforts to address prominent problems of the pharmaceutical industry, such as high drug prices and counterfeit and substandard drugs.</w:t>
      </w:r>
    </w:p>
    <w:p>
      <w:pPr>
        <w:spacing w:after="0" w:line="76"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The rDAL contains a dedicated chapter on the Marketing Authorization Holder (MAH) system. Subject to approval by the NMPA, MAHs will be allowed to transfer their marketing authorizations, although it is uncertain whether the transferability of MAH will offer more flexibility in structuring cross-border transactions. In addition, the implementation of the MAH system was accompanied by a range of new requirements for the MAHs, such as establishing a quality assurance system and being responsible for the whole process including all aspects of preclinical research, clinical trials, manufacturing and distribution, post-marketing research, adverse drug reaction monitoring and reporting.</w:t>
      </w:r>
    </w:p>
    <w:p>
      <w:pPr>
        <w:spacing w:after="0" w:line="70" w:lineRule="exact"/>
        <w:rPr>
          <w:sz w:val="20"/>
          <w:szCs w:val="20"/>
          <w:color w:val="auto"/>
        </w:rPr>
      </w:pPr>
    </w:p>
    <w:p>
      <w:pPr>
        <w:ind w:right="220" w:firstLine="542"/>
        <w:spacing w:after="0" w:line="267" w:lineRule="auto"/>
        <w:rPr>
          <w:sz w:val="20"/>
          <w:szCs w:val="20"/>
          <w:color w:val="auto"/>
        </w:rPr>
      </w:pPr>
      <w:r>
        <w:rPr>
          <w:rFonts w:ascii="Times New Roman" w:cs="Times New Roman" w:eastAsia="Times New Roman" w:hAnsi="Times New Roman"/>
          <w:sz w:val="17"/>
          <w:szCs w:val="17"/>
          <w:color w:val="auto"/>
        </w:rPr>
        <w:t>The rDAL also requires MAHs, manufacturers, distributors, and medical institutions to establish and implement drug track and trace systems. A drug pharmacovigilance system will also be established to monitor, identify, evaluate and control adverse drug reactions and other possible drug-related problems. The NMPA will issue related standards and regulations regarding drug track and trace system.</w:t>
      </w:r>
    </w:p>
    <w:p>
      <w:pPr>
        <w:spacing w:after="0" w:line="63" w:lineRule="exact"/>
        <w:rPr>
          <w:sz w:val="20"/>
          <w:szCs w:val="20"/>
          <w:color w:val="auto"/>
        </w:rPr>
      </w:pPr>
    </w:p>
    <w:p>
      <w:pPr>
        <w:ind w:right="340" w:firstLine="542"/>
        <w:spacing w:after="0" w:line="267" w:lineRule="auto"/>
        <w:rPr>
          <w:sz w:val="20"/>
          <w:szCs w:val="20"/>
          <w:color w:val="auto"/>
        </w:rPr>
      </w:pPr>
      <w:r>
        <w:rPr>
          <w:rFonts w:ascii="Times New Roman" w:cs="Times New Roman" w:eastAsia="Times New Roman" w:hAnsi="Times New Roman"/>
          <w:sz w:val="17"/>
          <w:szCs w:val="17"/>
          <w:color w:val="auto"/>
        </w:rPr>
        <w:t>The rDAL no longer requires the certification for good clinical practice (GCP), good supply practice (GSP), and GMP. Drug manufacturers and drug distributors must still comply with current requirements and the NMPA and its local counterparts are directed to strengthen their surveillance, including through regular and continuous site inspections, to ensure their compliance.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62" w:name="page63"/>
    <w:bookmarkEnd w:id="62"/>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The rDAL creates an expanded access pathway for investigational drugs under which a company sponsor of a clinical trial in China can apply to establish an expanded access treatment program for patients with life-threatening disease who otherwise do not satisfy the inclusion criteria of a clinical trial. To qualify for expanded access: (1) the drug must be used for life-threatening diseases that lack effective treatment; (2) the drug must have demonstrated its potential efficacy based on medical observations; (3) such use is in line with ethical principles; (4) such expanded use has been reviewed and approved (although the approval pathway not clear), and has obtained patients’ informed consent; and (5) the drug must be used within the clinical trial institution and used on patients with similar conditions.</w:t>
      </w:r>
    </w:p>
    <w:p>
      <w:pPr>
        <w:spacing w:after="0" w:line="73" w:lineRule="exact"/>
        <w:rPr>
          <w:sz w:val="20"/>
          <w:szCs w:val="20"/>
          <w:color w:val="auto"/>
        </w:rPr>
      </w:pPr>
    </w:p>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The rDAL also significantly increases and expands penalties for violations. Depending on various types of violations, the DAL imposes different penalties, including warnings, confiscation of illegal gains, fines of up to 5 million RMB (about $725,000) or up to 30 times of illegal gains, revocation of required business and operating licenses, certificates or approval documents for drugs, suspension of business, temporary (10 years) or permanent debarment of companies, institutions and responsible persons, and criminal liabilities in the case of serious violations.</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There are still uncertainties with respect to the interpretation and implementation of the rDAL. We plan to monitor the implementation of the rDAL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Authorities and Recent Government Reorganization</w:t>
      </w:r>
    </w:p>
    <w:p>
      <w:pPr>
        <w:spacing w:after="0" w:line="115"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In China, the NMPA is the primary regulator for pharmaceutical products and businesses. The agency was formed from the prior China Food and Drug Administration (CFDA) in 2018 as part of a complete government reorganization. The NMPA is no longer an independent agency and its parent agency is now the newly formed State Administration of Market Regulation (SAMR), into which agencies responsible for, among other areas, consumer protection, advertising, anticorruption, antitrust, fair competition and intellectual property have been merged.</w:t>
      </w:r>
    </w:p>
    <w:p>
      <w:pPr>
        <w:spacing w:after="0" w:line="70"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Like the CFDA, the NMPA is still the chief drug regulatory agency and implements the same laws, regulations, rules, and guidelines as the CFDA. The agency regulates almost all of the key stages of the lifecycle of pharmaceutical products, including nonclinical studies, clinical trials, marketing approvals, manufacturing, advertising and promotion, distribution, and pharmacovigilance (i.e., post-marketing safety reporting obligations). The Center for Drug Evaluation (CDE), which remains under the NMPA, conducts the technical evaluation of each drug and biologic application for safety and efficacy.</w:t>
      </w:r>
    </w:p>
    <w:p>
      <w:pPr>
        <w:spacing w:after="0" w:line="70" w:lineRule="exact"/>
        <w:rPr>
          <w:sz w:val="20"/>
          <w:szCs w:val="20"/>
          <w:color w:val="auto"/>
        </w:rPr>
      </w:pPr>
    </w:p>
    <w:p>
      <w:pPr>
        <w:ind w:right="120" w:firstLine="542"/>
        <w:spacing w:after="0" w:line="259" w:lineRule="auto"/>
        <w:rPr>
          <w:sz w:val="20"/>
          <w:szCs w:val="20"/>
          <w:color w:val="auto"/>
        </w:rPr>
      </w:pPr>
      <w:r>
        <w:rPr>
          <w:rFonts w:ascii="Times New Roman" w:cs="Times New Roman" w:eastAsia="Times New Roman" w:hAnsi="Times New Roman"/>
          <w:sz w:val="17"/>
          <w:szCs w:val="17"/>
          <w:color w:val="auto"/>
        </w:rPr>
        <w:t>The National Health Commission (NHC), formerly known as Ministry of Health (MOH) and National Health and Family Planning Commission (NHFPC), is China’s chief healthcare regulator. It is primarily responsible for overseeing the operation of medical institutions, which also serve as clinical trial sites, and regulating the licensure of hospitals and other medical personnel. Furthermore, the NHC and its local counterparts also oversee and organize public medical institutions’ centralized bidding and procurement process for pharmaceutical products.. This is the primary way that public hospitals and their internal pharmacies procure drugs and the NHC plays a significant role in drug reimbursement.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Pre-Clinical and Clinical Development</w:t>
      </w:r>
    </w:p>
    <w:p>
      <w:pPr>
        <w:spacing w:after="0" w:line="115" w:lineRule="exact"/>
        <w:rPr>
          <w:sz w:val="20"/>
          <w:szCs w:val="20"/>
          <w:color w:val="auto"/>
        </w:rPr>
      </w:pPr>
    </w:p>
    <w:p>
      <w:pPr>
        <w:ind w:right="220" w:firstLine="542"/>
        <w:spacing w:after="0" w:line="261" w:lineRule="auto"/>
        <w:rPr>
          <w:sz w:val="20"/>
          <w:szCs w:val="20"/>
          <w:color w:val="auto"/>
        </w:rPr>
      </w:pPr>
      <w:r>
        <w:rPr>
          <w:rFonts w:ascii="Times New Roman" w:cs="Times New Roman" w:eastAsia="Times New Roman" w:hAnsi="Times New Roman"/>
          <w:sz w:val="17"/>
          <w:szCs w:val="17"/>
          <w:color w:val="auto"/>
        </w:rPr>
        <w:t>The NMPA requires preclinical data to support registration applications for new drugs, which includes safety assessment studies that meet the GLP standards, issued in 2003 and amended in 2017. The rDAL requires the NMPA to accredit GLP labs, and that nonclinical studies of chemical drug substances and preparations and biologics that are not yet marketed in China be conducted in GLP-certified labs. There are no approvals required from the NMPA to conduct preclinical studies.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Categories</w:t>
      </w:r>
    </w:p>
    <w:p>
      <w:pPr>
        <w:spacing w:after="0" w:line="115"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An applicant will need to determine the registration category for its drug candidate, prior to engaging with the NMPA on research and development and approval, which will determine the requirements for its clinical trial and marketing application. There are five categories for small molecule drugs: Category 1 (innovative drugs) refers to drugs that have a new chemical entity that has not been marketed anywhere in the world, Category 2 (improved new drugs) refers to drugs with a new indication, dosage form, route of administration, combination, or certain formulation changes not approved in the world, Categories 3 and 4 are for generics that reference an innovator drug (or certain well-known generic drugs) marketed either abroad or in China, respectively, and Category 5 refers to innovative or generic drugs that have already been marketed abroad but are not yet approved in China (i.e., imported drugs).</w:t>
      </w:r>
    </w:p>
    <w:p>
      <w:pPr>
        <w:spacing w:after="0" w:line="73" w:lineRule="exact"/>
        <w:rPr>
          <w:sz w:val="20"/>
          <w:szCs w:val="20"/>
          <w:color w:val="auto"/>
        </w:rPr>
      </w:pPr>
    </w:p>
    <w:p>
      <w:pPr>
        <w:ind w:right="440" w:firstLine="542"/>
        <w:spacing w:after="0" w:line="283" w:lineRule="auto"/>
        <w:rPr>
          <w:sz w:val="20"/>
          <w:szCs w:val="20"/>
          <w:color w:val="auto"/>
        </w:rPr>
      </w:pPr>
      <w:r>
        <w:rPr>
          <w:rFonts w:ascii="Times New Roman" w:cs="Times New Roman" w:eastAsia="Times New Roman" w:hAnsi="Times New Roman"/>
          <w:sz w:val="17"/>
          <w:szCs w:val="17"/>
          <w:color w:val="auto"/>
        </w:rPr>
        <w:t>The categories are similar for therapeutic biologics, with Category 1 for new and innovative biologics that have not been approved inside or outside of China. Biosimilars are under Category 3. KSI-301 is classified as Category 1 based on the defined registration category by the NMPA.</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color w:val="auto"/>
        </w:rPr>
        <w:t>Expedited Programs – Priority Evaluation and Approval Programs to Encourage Innovation</w:t>
      </w:r>
    </w:p>
    <w:p>
      <w:pPr>
        <w:spacing w:after="0" w:line="115"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The NMPA has adopted several expedited review and approval mechanisms since 2009 and created additional expedited programs in recent years that are intended to encourage innovation. Applications for these expedited programs can be submitted after the CTA is admitted for review by the CDE. The NMPA’s Drug Registration Rules effective from July 1, 2020 (DRR) provides certain categories of drugs that may be eligible for priority status. If admitted to one of these expedited programs, an applicant will be entitled to more frequent and timely communication with reviewers at the CDE, expedited review and approval, and more agency resources throughout the approval process.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Trials and Marketing Approval</w:t>
      </w:r>
    </w:p>
    <w:p>
      <w:pPr>
        <w:spacing w:after="0" w:line="115" w:lineRule="exact"/>
        <w:rPr>
          <w:sz w:val="20"/>
          <w:szCs w:val="20"/>
          <w:color w:val="auto"/>
        </w:rPr>
      </w:pPr>
    </w:p>
    <w:p>
      <w:pPr>
        <w:ind w:right="60" w:firstLine="542"/>
        <w:spacing w:after="0" w:line="267" w:lineRule="auto"/>
        <w:rPr>
          <w:sz w:val="20"/>
          <w:szCs w:val="20"/>
          <w:color w:val="auto"/>
        </w:rPr>
      </w:pPr>
      <w:r>
        <w:rPr>
          <w:rFonts w:ascii="Times New Roman" w:cs="Times New Roman" w:eastAsia="Times New Roman" w:hAnsi="Times New Roman"/>
          <w:sz w:val="17"/>
          <w:szCs w:val="17"/>
          <w:color w:val="auto"/>
        </w:rPr>
        <w:t>Upon completion of pre-clinical studies, a sponsor typically needs to conduct clinical trials in China for registering a new drug in China. The materials required for this application and the data requirements are determined by the registration category. The NMPA has taken a number of steps to increase efficiency for approving CTAs, and it has also significantly increased monitoring and enforcement of GCP to ensure data integrity.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Trial Approval</w:t>
      </w:r>
    </w:p>
    <w:p>
      <w:pPr>
        <w:spacing w:after="0" w:line="115" w:lineRule="exact"/>
        <w:rPr>
          <w:sz w:val="20"/>
          <w:szCs w:val="20"/>
          <w:color w:val="auto"/>
        </w:rPr>
      </w:pPr>
    </w:p>
    <w:p>
      <w:pPr>
        <w:ind w:right="140" w:firstLine="542"/>
        <w:spacing w:after="0" w:line="261" w:lineRule="auto"/>
        <w:rPr>
          <w:sz w:val="20"/>
          <w:szCs w:val="20"/>
          <w:color w:val="auto"/>
        </w:rPr>
      </w:pPr>
      <w:r>
        <w:rPr>
          <w:rFonts w:ascii="Times New Roman" w:cs="Times New Roman" w:eastAsia="Times New Roman" w:hAnsi="Times New Roman"/>
          <w:sz w:val="17"/>
          <w:szCs w:val="17"/>
          <w:color w:val="auto"/>
        </w:rPr>
        <w:t>All clinical trials conducted in China for the purpose of seeking marketing approvals must be approved by the NMPA and conducted at hospitals satisfying GCP requirements. In addition to a standalone China trial to support development, imported drug applicants may establish a site in China that is part of an international multicenter trial (IMCT). Domestically manufactured drugs are not subject to foreign approval requirements, and in contrast to prior practice, the NMPA has decided to permit those drugs to conduct development via an IMCT as well.</w:t>
      </w:r>
    </w:p>
    <w:p>
      <w:pPr>
        <w:spacing w:after="0" w:line="70" w:lineRule="exact"/>
        <w:rPr>
          <w:sz w:val="20"/>
          <w:szCs w:val="20"/>
          <w:color w:val="auto"/>
        </w:rPr>
      </w:pPr>
    </w:p>
    <w:p>
      <w:pPr>
        <w:ind w:right="100" w:firstLine="542"/>
        <w:spacing w:after="0" w:line="261" w:lineRule="auto"/>
        <w:rPr>
          <w:sz w:val="20"/>
          <w:szCs w:val="20"/>
          <w:color w:val="auto"/>
        </w:rPr>
      </w:pPr>
      <w:r>
        <w:rPr>
          <w:rFonts w:ascii="Times New Roman" w:cs="Times New Roman" w:eastAsia="Times New Roman" w:hAnsi="Times New Roman"/>
          <w:sz w:val="17"/>
          <w:szCs w:val="17"/>
          <w:color w:val="auto"/>
        </w:rPr>
        <w:t>The rDAL has now also adopted an implied approval system for clinical trials of new drugs. Trials can proceed if after 60 business days, the applicant has not received any objections from the CDE, as opposed to the lengthier previous clinical trial pre-approval process in which the applicant had to wait for affirmative approval. In addition, by abolishing the GCP accreditation system, the rDAL also expanded the number of trial sites and simplified the notification procedure followed by trial sites.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 Register</w:t>
      </w:r>
    </w:p>
    <w:p>
      <w:pPr>
        <w:spacing w:after="0" w:line="115" w:lineRule="exact"/>
        <w:rPr>
          <w:sz w:val="20"/>
          <w:szCs w:val="20"/>
          <w:color w:val="auto"/>
        </w:rPr>
      </w:pPr>
    </w:p>
    <w:p>
      <w:pPr>
        <w:ind w:right="320" w:firstLine="542"/>
        <w:spacing w:after="0" w:line="259" w:lineRule="auto"/>
        <w:rPr>
          <w:sz w:val="20"/>
          <w:szCs w:val="20"/>
          <w:color w:val="auto"/>
        </w:rPr>
      </w:pPr>
      <w:r>
        <w:rPr>
          <w:rFonts w:ascii="Times New Roman" w:cs="Times New Roman" w:eastAsia="Times New Roman" w:hAnsi="Times New Roman"/>
          <w:sz w:val="17"/>
          <w:szCs w:val="17"/>
          <w:color w:val="auto"/>
        </w:rPr>
        <w:t>Clinical trials conducted in China must be registered and published through the Drug Clinical Trial Information Platform (http://www.chinadrugtrials.org.cn). Applicants are required to pre-register the trial information within one month after trial approval to obtain the unique trial registration number and to complete registration of certain information before the first subject is enrolled. If the foregoing pre-registration and registration is not obtained within one year after obtaining the clinical trial approval, the applicant shall submit an explanation, and if the procedure is not completed within three years, the clinical trial approval automatically expires.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Genetic Resources Regulation</w:t>
      </w:r>
    </w:p>
    <w:p>
      <w:pPr>
        <w:spacing w:after="0" w:line="115"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The Regulation on the Administration of Human Genetic Resources (HGR Regulation) became effective on July 1, 2019. The HGR Regulation applies to all human genetic resources (HGR)-related activities for R&amp;D purposes, including sampling, biobanking, use of HGR materials and associated data in China, and the provision or sharing of such materials or data with foreign parties.</w:t>
      </w:r>
    </w:p>
    <w:p>
      <w:pPr>
        <w:spacing w:after="0" w:line="63"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The HGR Regulation applies to foreign parties, including foreign entities and entities established or controlled by foreign entities and individuals. Such foreign parties seeking access to China’s HGRs for scientific research, including clinical trials intended to support marketing approval of drugs and medical devices in China, must engage in collaborations with Chinese parties, such as Chinese hospitals. The HGR Regulation prohibits foreign parties from independently sampling or biobanking any China HGR in China and requires approval for the sampling of certain HGR and biobanking of all HGR by Chinese parties. Any cross-border transfer of the HGR materials, either under an international collaboration or as a direct export, must be on an as-needed basis and requires approval. In addition, providing HGR data to foreign parties requires a record filing.</w:t>
      </w:r>
    </w:p>
    <w:p>
      <w:pPr>
        <w:spacing w:after="0" w:line="73"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The HGR Regulation retains the provision in the Interim Measures for the Administration of Human Genetic Resources issued in 1998 (the Interim Measures) that parties should jointly apply for and own the patent rights arising from the results generated from international collaborations that utilize China HGR. Subject to approval, the parties may contractually agree on how to dispose of their patent rights and non-patent proprietary rights arising from the collaboration. As the joint ownership requirement is rather broad, it is unclear how this requirement will be implemented in practice.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ind w:firstLine="542"/>
        <w:spacing w:after="0" w:line="267" w:lineRule="auto"/>
        <w:rPr>
          <w:sz w:val="20"/>
          <w:szCs w:val="20"/>
          <w:color w:val="auto"/>
        </w:rPr>
      </w:pPr>
      <w:r>
        <w:rPr>
          <w:rFonts w:ascii="Times New Roman" w:cs="Times New Roman" w:eastAsia="Times New Roman" w:hAnsi="Times New Roman"/>
          <w:sz w:val="17"/>
          <w:szCs w:val="17"/>
          <w:color w:val="auto"/>
        </w:rPr>
        <w:t>The HGR Regulation also significantly increases and expands penalties for various violations, including warnings, disgorgement of illegal gains, confiscation of illegal HGR, fines up to 10 million RMB($1,450,000) or 5-10 times of illegal gains in the event such illegal gains exceed 1 million RMB ($145,000), and temporary (1-5 years) or permanent debarment of companies, institutions and responsible persons from future HGR projects regulated by the HGR Regulation.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 Process and Good Clinical Practices</w:t>
      </w:r>
    </w:p>
    <w:p>
      <w:pPr>
        <w:spacing w:after="0" w:line="115"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As in other parts of the world, clinical trials in China typically have three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on patients with target indication(s) and ultimately provide sufficient evidence for the review of a drug registration application. The NMPA requires that the different phases of clinical trials in China receive ethics committee approval and comply with GCP. The NMPA conducts inspections on clinical trials conducted in China to assess GCP compliance and may refuse to approve the drug if it finds substantial issues in the trials. In addition, upon granting the drug registration certificate, NMPA may, at its sole discretion, require a Phase 4 trial to be conducted by MAH within a specified period of time so as to further monitor and obtain safety and efficacy data of the drug.</w:t>
      </w:r>
    </w:p>
    <w:p>
      <w:pPr>
        <w:spacing w:after="0" w:line="74" w:lineRule="exact"/>
        <w:rPr>
          <w:sz w:val="20"/>
          <w:szCs w:val="20"/>
          <w:color w:val="auto"/>
        </w:rPr>
      </w:pPr>
    </w:p>
    <w:p>
      <w:pPr>
        <w:ind w:right="120" w:firstLine="542"/>
        <w:spacing w:after="0" w:line="257" w:lineRule="auto"/>
        <w:rPr>
          <w:sz w:val="20"/>
          <w:szCs w:val="20"/>
          <w:color w:val="auto"/>
        </w:rPr>
      </w:pPr>
      <w:r>
        <w:rPr>
          <w:rFonts w:ascii="Times New Roman" w:cs="Times New Roman" w:eastAsia="Times New Roman" w:hAnsi="Times New Roman"/>
          <w:sz w:val="17"/>
          <w:szCs w:val="17"/>
          <w:color w:val="auto"/>
        </w:rPr>
        <w:t>Pursuant to GCP, sponsors of clinical trials are responsible for proper packaging and labeling of drugs used for clinical trials, including that investigational drugs shall be consistent with the control drug or placebo in appearance, odor, packaging, labeling, and certain other features in double-blinded clinical trials. Pharmaceutical packaging must comply with national and professional standards or obtain approval from the provincial administration for medical products or bureau of standards if these standards are not available and need to be developed and implemented by the sponsors. Changes in such approved packaging standards need to be re-approved. Drugs of which the packaging standards are not approved shall not be released or marketed in China, except for those specifically supplied to the military.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Acceptance of Foreign Clinical Trial Studies</w:t>
      </w:r>
    </w:p>
    <w:p>
      <w:pPr>
        <w:spacing w:after="0" w:line="115"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The NMPA may be flexible on the requirements of trials and data generated in China, dependent on the drug and the existing data. The NMPA has granted waivers for all or part of trials and has stated that it will accept data generated abroad (even if not part of a global study), including early phase data, that meets its requirements. In 2018, the NMPA issued the Technical Guidance Principles on Accepting Foreign Drug Clinical Trial Data (the Guidance Principles), as one of the implementing rules for the Opinions on Deepening the Reform of the Evaluation and Approval Systems and Encouraging Innovation on Drugs and Medical Devices (the Innovation Opinion). According to the Guidance Principles, data from foreign clinical trials must meet authenticity, completeness and accuracy requirements and such data must be obtained in compliance with the relevant requirements under the GCP of the International Conference on Harmonization of Technical Requirements for Registration of Pharmaceuticals for Human Use (ICH). Sponsors must be attentive to ethnic differences in the subject population that could be potentially meaningful.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Drug Application (NDA) and Approval</w:t>
      </w:r>
    </w:p>
    <w:p>
      <w:pPr>
        <w:spacing w:after="0" w:line="115"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Upon completion of clinical trials, a sponsor may submit clinical trial data to support marketing approval for the drug. For domestically manufactured drugs, NDA sponsors must submit data derived from the submitted drugs in support of their approval. Under the rDAL, upon approval of the registration application, the NMPA will issue a drug registration certificate to the applicant which is in fact the marketing approval of the drug, and the applicant is no longer required to be equipped with relevant manufacturing capability.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Manufacturing and Distribution</w:t>
      </w:r>
    </w:p>
    <w:p>
      <w:pPr>
        <w:spacing w:after="0" w:line="115" w:lineRule="exact"/>
        <w:rPr>
          <w:sz w:val="20"/>
          <w:szCs w:val="20"/>
          <w:color w:val="auto"/>
        </w:rPr>
      </w:pPr>
    </w:p>
    <w:p>
      <w:pPr>
        <w:ind w:right="160" w:firstLine="542"/>
        <w:spacing w:after="0" w:line="283" w:lineRule="auto"/>
        <w:rPr>
          <w:sz w:val="20"/>
          <w:szCs w:val="20"/>
          <w:color w:val="auto"/>
        </w:rPr>
      </w:pPr>
      <w:r>
        <w:rPr>
          <w:rFonts w:ascii="Times New Roman" w:cs="Times New Roman" w:eastAsia="Times New Roman" w:hAnsi="Times New Roman"/>
          <w:sz w:val="17"/>
          <w:szCs w:val="17"/>
          <w:color w:val="auto"/>
        </w:rPr>
        <w:t>All facilities that manufacture drugs in China must receive a drug manufacturing license with an appropriate “scope of manufacturing” from the local drug regulatory authority. This license must be renewed every five years, and the manufacturing facility is also required to be in compliance with GMP.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Drug Monitoring Period</w:t>
      </w:r>
    </w:p>
    <w:p>
      <w:pPr>
        <w:spacing w:after="0" w:line="115"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Previously, new varieties of domestically produced drugs approved under Categories 1 or 2 in China could be placed under a monitoring period for three to five years. Category 1 innovative drugs were monitored for five years. During the monitoring period, the NMPA would not approve another CTA from another applicant for the same type of drug, except if another sponsor had an approved CTA at the time that the monitoring period was initiated, it could proceed with its trial and once approved become another drug that was part of the monitoring period. The DRR has abolished these new drug monitoring period programs; however, drugs that had been placed under a monitoring period before the DRR took effect are still entitled to exclusivity before the monitoring periods end.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Post-Marketing Surveillance</w:t>
      </w:r>
    </w:p>
    <w:p>
      <w:pPr>
        <w:spacing w:after="0" w:line="115" w:lineRule="exact"/>
        <w:rPr>
          <w:sz w:val="20"/>
          <w:szCs w:val="20"/>
          <w:color w:val="auto"/>
        </w:rPr>
      </w:pPr>
    </w:p>
    <w:p>
      <w:pPr>
        <w:ind w:right="140" w:firstLine="542"/>
        <w:spacing w:after="0" w:line="261" w:lineRule="auto"/>
        <w:rPr>
          <w:sz w:val="20"/>
          <w:szCs w:val="20"/>
          <w:color w:val="auto"/>
        </w:rPr>
      </w:pPr>
      <w:r>
        <w:rPr>
          <w:rFonts w:ascii="Times New Roman" w:cs="Times New Roman" w:eastAsia="Times New Roman" w:hAnsi="Times New Roman"/>
          <w:sz w:val="17"/>
          <w:szCs w:val="17"/>
          <w:color w:val="auto"/>
        </w:rPr>
        <w:t>Under the rDAL, the MAH of a drug is ultimately responsible for pharmacovigilance, including quality assurance, adverse reaction reporting and monitoring, and product recalls. Distributors and user entities (e.g., hospitals) are also required to report, in their respective roles, adverse reactions of the products they sell or use, and assist the MAH with any product recalls. An MAH for a drug that is currently under the new drug monitoring period must report all adverse drug reactions (as opposed to just serious adverse reactions) for that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Advertising and Promotion of Pharmaceutical Products</w:t>
      </w:r>
    </w:p>
    <w:p>
      <w:pPr>
        <w:spacing w:after="0" w:line="115"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China has a strict regime for the advertising of approved medicines. No unapproved medicines may be advertised. The definition of an advertisement is very broad and does not expressly exclude scientific exchange. It can be any media that directly or indirectly introduces the product to end users. There is no clear line between advertising and any other type of promotion.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Intellectual Property Protections</w:t>
      </w:r>
    </w:p>
    <w:p>
      <w:pPr>
        <w:spacing w:after="0" w:line="11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In January 2020, the United States and China signed the Economic and Trade Agreement Between the United States of America and the PRC (the Trade Agreement), in which, among other things, China agreed to provide effective protection and enforcement of pharmaceutical-related intellectual property rights, such as patents and undisclosed test or other data submitted as a condition of marketing approval. These provisions of the Trade Agreement will need to be implemented in China. In October 2020, amendments to the PRC Patent Law (the Amended PRC Patent Law) were adopted, effective June 1, 2021, which contains both patent term extension and a mechanism for early resolution of patent disputes, that may be comparable to patent linkage in the United States. There is uncertainty around the scope and implementation of the patent term extension and the early resolution mechanism as the provisions are unclear and/or remain subject to the approval of implementing regulations that are still in draft form or have not yet been proposed.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Data Protection</w:t>
      </w:r>
    </w:p>
    <w:p>
      <w:pPr>
        <w:spacing w:after="0" w:line="115"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The Innovation Opinion provided a foundation for regulatory data protection to protect innovative drugs and will be available for undisclosed clinical trial data of drugs within the following categories: innovative drugs, innovative therapeutic biologics, drugs that treat orphan diseases, pediatric drugs, and drugs for which there has been a successful patent challenge. According to the Trade Agreement, China has committed to providing for effective protection of undisclosed clinical trial or other data submitted as a condition of marketing approval.</w:t>
      </w:r>
    </w:p>
    <w:p>
      <w:pPr>
        <w:spacing w:after="0" w:line="70" w:lineRule="exact"/>
        <w:rPr>
          <w:sz w:val="20"/>
          <w:szCs w:val="20"/>
          <w:color w:val="auto"/>
        </w:rPr>
      </w:pPr>
    </w:p>
    <w:p>
      <w:pPr>
        <w:ind w:right="100" w:firstLine="542"/>
        <w:spacing w:after="0" w:line="259" w:lineRule="auto"/>
        <w:rPr>
          <w:sz w:val="20"/>
          <w:szCs w:val="20"/>
          <w:color w:val="auto"/>
        </w:rPr>
      </w:pPr>
      <w:r>
        <w:rPr>
          <w:rFonts w:ascii="Times New Roman" w:cs="Times New Roman" w:eastAsia="Times New Roman" w:hAnsi="Times New Roman"/>
          <w:sz w:val="17"/>
          <w:szCs w:val="17"/>
          <w:color w:val="auto"/>
        </w:rPr>
        <w:t>The NMPA has published draft regulations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later than those abroad would result in the term being reduced to 1-5 years and submissions over six years later in China may not receive protection.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 Linkage</w:t>
      </w:r>
    </w:p>
    <w:p>
      <w:pPr>
        <w:spacing w:after="0" w:line="11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The Innovation Opinion also established the basic elements of a patent linkage system to protect innovators. A follow-on applicant would be required to identify patents that are relevant to its application and notify those relevant patent right holders (including, innovators) within a specified period after filing an application, permitting the patent holders the ability to protect their rights. The system will require that the NMPA continue to review the potentially infringing follow-on application during any lawsuit by the innovator and that the NMPA may not approve the follow-on application pending resolution of the patent litigation in favor of the follow-on application or for a specified period of time, whichever is shorter. Similarly, the Trade Agreement also adopted certain elements of a patent linkage system (notice to the patent right holder of the follow-on application, time and opportunity for that right holder to sue or to seek expeditious remedies, obtain a timely resolution of the patent dispute) but did not explicitly mention a stay of marketing approval of the follow-on application.</w:t>
      </w:r>
    </w:p>
    <w:p>
      <w:pPr>
        <w:spacing w:after="0" w:line="74"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The Amended PRC Patent Law provides a cause of action to allow a patent holder to initiate a declarative action during the regulatory review process of a drug to determine whether the drug falls within the patent scope, that may be comparable to the patent linkage system in the United States. There is uncertainty around the scope and implementation of the early resolution mechanism as the provisions are unclear and/or remain subject to the approval of implementing regulations that are still in draft form or have not yet been proposed.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Patent Term Extension</w:t>
      </w:r>
    </w:p>
    <w:p>
      <w:pPr>
        <w:spacing w:after="0" w:line="115"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In early 2019, pursuant to the Innovation Opinion, the National People’s Congress issued a proposal for patent term extension as part of a proposed amendment to the Patent Law. The Amended PRC Patent Law provides that the China National Intellectual Property Administration shall provide patent term extension, similar to the United States, for the patent term lost during the regulatory review process of a new drug upon the patent holder’s request. The extended term shall not exceed five years, and the total patent term after market entry of the new drug shall not exceed 14 years. The Trade Agreement also provides for patent term extension to compensate for unreasonable delay that occurs during pharmaceutical product marketing approvals. There is uncertainty around the scope and implementation of the patent term extension as the provisions are unclear and/or remain subject to the approval of implementing regulations that are still in draft form or have not yet been proposed.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PRC national- and provincial-level laws and regulations</w:t>
      </w:r>
    </w:p>
    <w:p>
      <w:pPr>
        <w:spacing w:after="0" w:line="11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Pharmaceutical companies operating in China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 medical information and the circumstances under which patient medical information may be released for inclusion in our information systems or released by us to third parties. 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working to finalize a draft rule on cross-border transfer of personal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and Reimbursement</w:t>
      </w:r>
    </w:p>
    <w:p>
      <w:pPr>
        <w:spacing w:after="0" w:line="117"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70" w:lineRule="exact"/>
        <w:rPr>
          <w:sz w:val="20"/>
          <w:szCs w:val="20"/>
          <w:color w:val="auto"/>
        </w:rPr>
      </w:pPr>
    </w:p>
    <w:p>
      <w:pPr>
        <w:ind w:right="160" w:firstLine="542"/>
        <w:spacing w:after="0" w:line="257" w:lineRule="auto"/>
        <w:rPr>
          <w:sz w:val="20"/>
          <w:szCs w:val="20"/>
          <w:color w:val="auto"/>
        </w:rPr>
      </w:pPr>
      <w:r>
        <w:rPr>
          <w:rFonts w:ascii="Times New Roman" w:cs="Times New Roman" w:eastAsia="Times New Roman" w:hAnsi="Times New Roman"/>
          <w:sz w:val="17"/>
          <w:szCs w:val="17"/>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73"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CMS has proposed to expand Medicaid rebate liability to the territories of the United States as well.</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7" w:name="page68"/>
    <w:bookmarkEnd w:id="67"/>
    <w:p>
      <w:pPr>
        <w:ind w:firstLine="542"/>
        <w:spacing w:after="0" w:line="254"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5" w:lineRule="exact"/>
        <w:rPr>
          <w:sz w:val="20"/>
          <w:szCs w:val="20"/>
          <w:color w:val="auto"/>
        </w:rPr>
      </w:pPr>
    </w:p>
    <w:p>
      <w:pPr>
        <w:ind w:right="200" w:firstLine="542"/>
        <w:spacing w:after="0" w:line="257" w:lineRule="auto"/>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73"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0" w:lineRule="exact"/>
        <w:rPr>
          <w:sz w:val="20"/>
          <w:szCs w:val="20"/>
          <w:color w:val="auto"/>
        </w:rPr>
      </w:pPr>
    </w:p>
    <w:p>
      <w:pPr>
        <w:ind w:right="140" w:firstLine="542"/>
        <w:spacing w:after="0" w:line="256" w:lineRule="auto"/>
        <w:rPr>
          <w:sz w:val="20"/>
          <w:szCs w:val="20"/>
          <w:color w:val="auto"/>
        </w:rPr>
      </w:pPr>
      <w:r>
        <w:rPr>
          <w:rFonts w:ascii="Times New Roman" w:cs="Times New Roman" w:eastAsia="Times New Roman" w:hAnsi="Times New Roman"/>
          <w:sz w:val="17"/>
          <w:szCs w:val="17"/>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5" w:lineRule="exact"/>
        <w:rPr>
          <w:sz w:val="20"/>
          <w:szCs w:val="20"/>
          <w:color w:val="auto"/>
        </w:rPr>
      </w:pPr>
    </w:p>
    <w:p>
      <w:pPr>
        <w:ind w:right="40" w:firstLine="542"/>
        <w:spacing w:after="0" w:line="254" w:lineRule="auto"/>
        <w:rPr>
          <w:sz w:val="20"/>
          <w:szCs w:val="20"/>
          <w:color w:val="auto"/>
        </w:rPr>
      </w:pPr>
      <w:r>
        <w:rPr>
          <w:rFonts w:ascii="Times New Roman" w:cs="Times New Roman" w:eastAsia="Times New Roman" w:hAnsi="Times New Roman"/>
          <w:sz w:val="17"/>
          <w:szCs w:val="17"/>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ind w:firstLine="542"/>
        <w:spacing w:after="0" w:line="257" w:lineRule="auto"/>
        <w:rPr>
          <w:sz w:val="20"/>
          <w:szCs w:val="20"/>
          <w:color w:val="auto"/>
        </w:rPr>
      </w:pPr>
      <w:r>
        <w:rPr>
          <w:rFonts w:ascii="Times New Roman" w:cs="Times New Roman" w:eastAsia="Times New Roman" w:hAnsi="Times New Roman"/>
          <w:sz w:val="17"/>
          <w:szCs w:val="17"/>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2020, we were the assignee of record for approximately five U.S. issued patents, and approximately 13 U.S. pending patent applications directed to certain of our proprietary technology, inventions, and improvements and our most advanced product candidates, as well as 28 patents issued in jurisdictions outside of the United States and 66 patent applications pending in jurisdictions outside of the United States that, in many cases, are counterparts to the foregoing U.S. patents and patent applications. We also have one pending PCT application. For example, these patents and patent applications include claims directed to:</w:t>
      </w:r>
    </w:p>
    <w:p>
      <w:pPr>
        <w:spacing w:after="0" w:line="73" w:lineRule="exact"/>
        <w:rPr>
          <w:sz w:val="20"/>
          <w:szCs w:val="20"/>
          <w:color w:val="auto"/>
        </w:rPr>
      </w:pPr>
    </w:p>
    <w:p>
      <w:pPr>
        <w:ind w:left="660" w:hanging="121"/>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therapeutic proteins and biologically active agents conjugated to a biopolymer, which comprise our ABC Platform;</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therapeutics, including KSI-301;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components of our therapeutics.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ind w:right="220" w:firstLine="542"/>
        <w:spacing w:after="0" w:line="283" w:lineRule="auto"/>
        <w:rPr>
          <w:sz w:val="20"/>
          <w:szCs w:val="20"/>
          <w:color w:val="auto"/>
        </w:rPr>
      </w:pPr>
      <w:r>
        <w:rPr>
          <w:rFonts w:ascii="Times New Roman" w:cs="Times New Roman" w:eastAsia="Times New Roman" w:hAnsi="Times New Roman"/>
          <w:sz w:val="17"/>
          <w:szCs w:val="17"/>
          <w:color w:val="auto"/>
        </w:rPr>
        <w:t>The following patents and patent applications (including anticipated 20-year expiration dates, which could be altered by, for example, a disclaimer, patent term adjustment or patent term extension) relate to KSI-301 and/or ABC Platform: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color w:val="auto"/>
              </w:rPr>
              <w:t>Anticipated U.S.</w:t>
            </w:r>
          </w:p>
        </w:tc>
        <w:tc>
          <w:tcPr>
            <w:tcW w:w="4080" w:type="dxa"/>
            <w:vAlign w:val="bottom"/>
          </w:tcPr>
          <w:p>
            <w:pPr>
              <w:spacing w:after="0"/>
              <w:rPr>
                <w:sz w:val="17"/>
                <w:szCs w:val="17"/>
                <w:color w:val="auto"/>
              </w:rPr>
            </w:pPr>
          </w:p>
        </w:tc>
      </w:tr>
      <w:tr>
        <w:trPr>
          <w:trHeight w:val="22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Patent and Patent Application Numbers</w:t>
            </w:r>
          </w:p>
        </w:tc>
        <w:tc>
          <w:tcPr>
            <w:tcW w:w="100" w:type="dxa"/>
            <w:vAlign w:val="bottom"/>
          </w:tcPr>
          <w:p>
            <w:pPr>
              <w:spacing w:after="0"/>
              <w:rPr>
                <w:sz w:val="19"/>
                <w:szCs w:val="19"/>
                <w:color w:val="auto"/>
              </w:rPr>
            </w:pPr>
          </w:p>
        </w:tc>
        <w:tc>
          <w:tcPr>
            <w:tcW w:w="2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120" w:type="dxa"/>
            <w:vAlign w:val="bottom"/>
          </w:tcPr>
          <w:p>
            <w:pPr>
              <w:spacing w:after="0"/>
              <w:rPr>
                <w:sz w:val="19"/>
                <w:szCs w:val="19"/>
                <w:color w:val="auto"/>
              </w:rPr>
            </w:pPr>
          </w:p>
        </w:tc>
        <w:tc>
          <w:tcPr>
            <w:tcW w:w="4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Description of Representative U.S. Claims</w:t>
            </w:r>
          </w:p>
        </w:tc>
      </w:tr>
      <w:tr>
        <w:trPr>
          <w:trHeight w:val="296"/>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8,846,021, US Appl. No. 16/424265, EP Patent</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2/28/2027</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conjugates</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1988910, JP Patent No. 5528710, JP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5745009, and foreign applications in certain</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jurisdictions claiming priority to PCT/US2007/005372</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Appl. No. 15/368,376, AU Patent No. 2011239434,</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4/15/2031</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conjugates</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 Patent No. 2017201930, CA Patent No. 2795667, EP</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 No. 2558538, JP Patent No. 6568748, JP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6754749, MX Patent No. 365521, and foreign</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applications in certain jurisdictions claiming priority to</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PCT/US2011/032768</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8,765,432, US Appl. No. 15/099,234, AU Patent</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5/10/2030</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copolymers and methods of</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2010330727, CA Patent No. 2783615, EP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making copolymers (ABC Platform specifically)</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2512462, EP Patent No. 3254678, CN Patent No.</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ZL201080062252.7, HK Patent No. 1247828, IN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319269, JP Patent No. 5760007, JP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5990629, JP Patent No. 6416832, JP Patent No.</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6777706, MX Patent No. 346423, MX Patent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374020, KR Patent No. 10-1852044, MO Patent No.</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J/002943, and foreign applications in certain jurisdictions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claiming priority to PCT/US2010/061358</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10,702,608, US Appl. No. 16/781869, EP Patent No.</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12/21/2034</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polymers and method of</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3041513, JP Patent No. 6463361, JP Patent No. 6732056,</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making polymers</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foreign applications in certain jurisdictions claiming</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priority to PCT/US2014/054622</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Appl. No. 15/394500 and foreign applications in</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12/29/2036</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antibody and antibody</w:t>
            </w:r>
          </w:p>
        </w:tc>
      </w:tr>
      <w:tr>
        <w:trPr>
          <w:trHeight w:val="204"/>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certain jurisdictions claiming priority to</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conjugate claims, as well as methods of making and using</w:t>
            </w: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PCT/US2016/069336</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conjugates</w:t>
            </w:r>
          </w:p>
        </w:tc>
      </w:tr>
      <w:tr>
        <w:trPr>
          <w:trHeight w:val="507"/>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Appl. No. 17/066856 and PCT Application No.</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10/9/2040</w:t>
            </w:r>
          </w:p>
        </w:tc>
        <w:tc>
          <w:tcPr>
            <w:tcW w:w="12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 claims include method of treating an eye</w:t>
            </w: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PCT/US2020/055074</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disorder using the antibody conjugates</w:t>
            </w:r>
          </w:p>
        </w:tc>
      </w:tr>
    </w:tbl>
    <w:p>
      <w:pPr>
        <w:spacing w:after="0" w:line="98" w:lineRule="exact"/>
        <w:rPr>
          <w:sz w:val="20"/>
          <w:szCs w:val="20"/>
          <w:color w:val="auto"/>
        </w:rPr>
      </w:pPr>
    </w:p>
    <w:p>
      <w:pPr>
        <w:ind w:right="60" w:firstLine="542"/>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63"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ind w:right="140" w:firstLine="542"/>
        <w:spacing w:after="0" w:line="261" w:lineRule="auto"/>
        <w:rPr>
          <w:sz w:val="20"/>
          <w:szCs w:val="20"/>
          <w:color w:val="auto"/>
        </w:rPr>
      </w:pPr>
      <w:r>
        <w:rPr>
          <w:rFonts w:ascii="Times New Roman" w:cs="Times New Roman" w:eastAsia="Times New Roman" w:hAnsi="Times New Roman"/>
          <w:sz w:val="17"/>
          <w:szCs w:val="17"/>
          <w:color w:val="auto"/>
        </w:rPr>
        <w:t>Our issued U.S. patents will expire on dates ranging from 2027 to 2035. If patents are issued on our pending patent applications, the resulting patents are projected to expire on dates ranging from 2027 to 2040.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70" w:lineRule="exact"/>
        <w:rPr>
          <w:sz w:val="20"/>
          <w:szCs w:val="20"/>
          <w:color w:val="auto"/>
        </w:rPr>
      </w:pPr>
    </w:p>
    <w:p>
      <w:pPr>
        <w:ind w:right="20" w:firstLine="542"/>
        <w:spacing w:after="0" w:line="253" w:lineRule="auto"/>
        <w:rPr>
          <w:sz w:val="20"/>
          <w:szCs w:val="20"/>
          <w:color w:val="auto"/>
        </w:rPr>
      </w:pPr>
      <w:r>
        <w:rPr>
          <w:rFonts w:ascii="Times New Roman" w:cs="Times New Roman" w:eastAsia="Times New Roman" w:hAnsi="Times New Roman"/>
          <w:sz w:val="17"/>
          <w:szCs w:val="17"/>
          <w:color w:val="auto"/>
        </w:rPr>
        <w:t>We have filed 34 trademark applications. These include two applications that have matured to registration in the United States. One application has been abandoned in the United States. Sixteen of our applications have matured to registration, of which ten are in China, and one is in each of Canada, the European Union, Japan, Singapore, Switzerland and the United Kingdom. We have eleven pending trademark applications, of which three are in the United States and eight are in China.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w:t>
      </w:r>
    </w:p>
    <w:p>
      <w:pPr>
        <w:spacing w:after="0" w:line="82"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We are also a party to an assignment and license agreement with a former collaborator, whereby we were assigned and non-exclusively licensed certain intellectual property relating to KSI-201 and related technology. Under this agreement, we agreed to use commercially reasonable efforts to develop, obtain regulatory approval for and commercialize KSI-201, and will owe milestone payments to our former collaborator upon the achievement of certain milestones related to KSI-201, as well as a low single digit percentage royalty on net sales of KSI-201. The assignment and license agreement includes customary termination provisions, including the right of the company to terminate for convenience and the right of either party to terminate for cause.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15"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As of February 19, 2021, we had 72 employees worldwide, of whom 8 were based outside of the U.S. Of these employees, 55 employees were engaged in or support research, development and clinical activities, 19 of whom hold a Ph.D. degree or M.D. (or equivalent) degree. None of our employees are subject to a collective bargaining agreement. Given our expanding operations and need to further grow our headcount to support our business,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 We aim to build a pipeline for talent to create more opportunities for workplace diversity and to support greater representation within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15"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As of the date of this annual report,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15" w:lineRule="exact"/>
        <w:rPr>
          <w:sz w:val="20"/>
          <w:szCs w:val="20"/>
          <w:color w:val="auto"/>
        </w:rPr>
      </w:pPr>
    </w:p>
    <w:p>
      <w:pPr>
        <w:ind w:right="60" w:firstLine="542"/>
        <w:spacing w:after="0" w:line="283" w:lineRule="auto"/>
        <w:rPr>
          <w:sz w:val="20"/>
          <w:szCs w:val="20"/>
          <w:color w:val="auto"/>
        </w:rPr>
      </w:pPr>
      <w:r>
        <w:rPr>
          <w:rFonts w:ascii="Times New Roman" w:cs="Times New Roman" w:eastAsia="Times New Roman" w:hAnsi="Times New Roman"/>
          <w:sz w:val="17"/>
          <w:szCs w:val="17"/>
          <w:color w:val="auto"/>
        </w:rPr>
        <w:t>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50"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5"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You should consider carefully the following risk factors, together with all the other information in this report, including the “Management’s Discussion and Analysis of Financial Condition and Results of Operations” section and our consolidated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Discovery, Development and Commercialization of Our Product Candidates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prospects are heavily dependent on our KSI-301 product candidate, which is currently in clinical development for multiple indications.</w:t>
      </w:r>
    </w:p>
    <w:p>
      <w:pPr>
        <w:spacing w:after="0" w:line="117" w:lineRule="exact"/>
        <w:rPr>
          <w:sz w:val="20"/>
          <w:szCs w:val="20"/>
          <w:color w:val="auto"/>
        </w:rPr>
      </w:pPr>
    </w:p>
    <w:p>
      <w:pPr>
        <w:ind w:right="140" w:firstLine="542"/>
        <w:spacing w:after="0" w:line="283" w:lineRule="auto"/>
        <w:rPr>
          <w:sz w:val="20"/>
          <w:szCs w:val="20"/>
          <w:color w:val="auto"/>
        </w:rPr>
      </w:pPr>
      <w:r>
        <w:rPr>
          <w:rFonts w:ascii="Times New Roman" w:cs="Times New Roman" w:eastAsia="Times New Roman" w:hAnsi="Times New Roman"/>
          <w:sz w:val="17"/>
          <w:szCs w:val="17"/>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5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Our early encouraging preclinical and Phase 1/1b clinical trial results for KSI-301 in the respective indications are not necessarily predictive of the results of our ongoing or future discovery programs or any future preclinical or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73"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70" w:lineRule="exact"/>
        <w:rPr>
          <w:sz w:val="20"/>
          <w:szCs w:val="20"/>
          <w:color w:val="auto"/>
        </w:rPr>
      </w:pPr>
    </w:p>
    <w:p>
      <w:pPr>
        <w:jc w:val="both"/>
        <w:ind w:right="200" w:firstLine="542"/>
        <w:spacing w:after="0" w:line="267" w:lineRule="auto"/>
        <w:rPr>
          <w:sz w:val="20"/>
          <w:szCs w:val="20"/>
          <w:color w:val="auto"/>
        </w:rPr>
      </w:pPr>
      <w:r>
        <w:rPr>
          <w:rFonts w:ascii="Times New Roman" w:cs="Times New Roman" w:eastAsia="Times New Roman" w:hAnsi="Times New Roman"/>
          <w:sz w:val="17"/>
          <w:szCs w:val="17"/>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failure of KSI-301 in clinical development may require us to discontinue development of other product candidates based on our ABC Platform.</w:t>
      </w:r>
    </w:p>
    <w:p>
      <w:pPr>
        <w:spacing w:after="0" w:line="117" w:lineRule="exact"/>
        <w:rPr>
          <w:sz w:val="20"/>
          <w:szCs w:val="20"/>
          <w:color w:val="auto"/>
        </w:rPr>
      </w:pPr>
    </w:p>
    <w:p>
      <w:pPr>
        <w:ind w:right="320" w:firstLine="542"/>
        <w:spacing w:after="0" w:line="261" w:lineRule="auto"/>
        <w:rPr>
          <w:sz w:val="20"/>
          <w:szCs w:val="20"/>
          <w:color w:val="auto"/>
        </w:rPr>
      </w:pPr>
      <w:r>
        <w:rPr>
          <w:rFonts w:ascii="Times New Roman" w:cs="Times New Roman" w:eastAsia="Times New Roman" w:hAnsi="Times New Roman"/>
          <w:sz w:val="17"/>
          <w:szCs w:val="17"/>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166"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45" w:lineRule="exact"/>
        <w:rPr>
          <w:sz w:val="20"/>
          <w:szCs w:val="20"/>
          <w:color w:val="auto"/>
        </w:rPr>
      </w:pPr>
    </w:p>
    <w:p>
      <w:pPr>
        <w:ind w:right="80" w:firstLine="542"/>
        <w:spacing w:after="0" w:line="283" w:lineRule="auto"/>
        <w:rPr>
          <w:sz w:val="20"/>
          <w:szCs w:val="20"/>
          <w:color w:val="auto"/>
        </w:rPr>
      </w:pPr>
      <w:r>
        <w:rPr>
          <w:rFonts w:ascii="Times New Roman" w:cs="Times New Roman" w:eastAsia="Times New Roman" w:hAnsi="Times New Roman"/>
          <w:sz w:val="17"/>
          <w:szCs w:val="17"/>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50" w:lineRule="exact"/>
        <w:rPr>
          <w:sz w:val="20"/>
          <w:szCs w:val="20"/>
          <w:color w:val="auto"/>
        </w:rPr>
      </w:pPr>
    </w:p>
    <w:p>
      <w:pPr>
        <w:ind w:left="660" w:hanging="121"/>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not successfully complete preclinical studies or clinical trials;</w:t>
      </w:r>
    </w:p>
    <w:p>
      <w:pPr>
        <w:spacing w:after="0" w:line="111" w:lineRule="exact"/>
        <w:rPr>
          <w:rFonts w:ascii="Times New Roman" w:cs="Times New Roman" w:eastAsia="Times New Roman" w:hAnsi="Times New Roman"/>
          <w:sz w:val="17"/>
          <w:szCs w:val="17"/>
          <w:color w:val="auto"/>
        </w:rPr>
      </w:pPr>
    </w:p>
    <w:p>
      <w:pPr>
        <w:ind w:left="660" w:right="560" w:hanging="121"/>
        <w:spacing w:after="0" w:line="283"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on further study be shown to have harmful side effects or other characteristics that indicate it is unlikely to be effective or otherwise does not meet applicable regulatory criteria;</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may develop therapeutics that render our product candidates obsolete or less attractive;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may develop platform technologies that render our ABC Platform obsolete or less attractive;</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ind w:left="660" w:right="180" w:hanging="121"/>
        <w:spacing w:after="0" w:line="283"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50" w:lineRule="exact"/>
        <w:rPr>
          <w:rFonts w:ascii="Times New Roman" w:cs="Times New Roman" w:eastAsia="Times New Roman" w:hAnsi="Times New Roman"/>
          <w:sz w:val="17"/>
          <w:szCs w:val="17"/>
          <w:color w:val="auto"/>
        </w:rPr>
      </w:pPr>
    </w:p>
    <w:p>
      <w:pPr>
        <w:ind w:left="660" w:right="480" w:hanging="121"/>
        <w:spacing w:after="0" w:line="283"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a product candidate may change so that the continued development of that product candidate is no longer reasonable or commercially attractive;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not be capable of being produced in commercial quantities at an acceptable cost, or at all;</w:t>
      </w:r>
    </w:p>
    <w:p>
      <w:pPr>
        <w:spacing w:after="0" w:line="111" w:lineRule="exact"/>
        <w:rPr>
          <w:rFonts w:ascii="Times New Roman" w:cs="Times New Roman" w:eastAsia="Times New Roman" w:hAnsi="Times New Roman"/>
          <w:sz w:val="17"/>
          <w:szCs w:val="17"/>
          <w:color w:val="auto"/>
        </w:rPr>
      </w:pPr>
    </w:p>
    <w:p>
      <w:pPr>
        <w:ind w:left="660" w:right="180" w:hanging="121"/>
        <w:spacing w:after="0" w:line="283"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product candidate obtains regulatory approval, we may be unable to establish sales and marketing capabilities, or successfully market such approved product candidate, to gain market acceptance; and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not be accepted as safe and effective by patients, the medical community or third-party payors, if applicable.</w:t>
      </w:r>
    </w:p>
    <w:p>
      <w:pPr>
        <w:spacing w:after="0" w:line="111"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70"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6" w:lineRule="exact"/>
        <w:rPr>
          <w:sz w:val="20"/>
          <w:szCs w:val="20"/>
          <w:color w:val="auto"/>
        </w:rPr>
      </w:pPr>
    </w:p>
    <w:p>
      <w:pPr>
        <w:ind w:right="80" w:firstLine="542"/>
        <w:spacing w:after="0" w:line="254" w:lineRule="auto"/>
        <w:rPr>
          <w:sz w:val="20"/>
          <w:szCs w:val="20"/>
          <w:color w:val="auto"/>
        </w:rPr>
      </w:pPr>
      <w:r>
        <w:rPr>
          <w:rFonts w:ascii="Times New Roman" w:cs="Times New Roman" w:eastAsia="Times New Roman" w:hAnsi="Times New Roman"/>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8"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4" w:lineRule="exact"/>
        <w:rPr>
          <w:sz w:val="20"/>
          <w:szCs w:val="20"/>
          <w:color w:val="auto"/>
        </w:rPr>
      </w:pPr>
    </w:p>
    <w:p>
      <w:pPr>
        <w:ind w:right="80" w:firstLine="542"/>
        <w:spacing w:after="0" w:line="267" w:lineRule="auto"/>
        <w:rPr>
          <w:sz w:val="20"/>
          <w:szCs w:val="20"/>
          <w:color w:val="auto"/>
        </w:rPr>
      </w:pPr>
      <w:r>
        <w:rPr>
          <w:rFonts w:ascii="Times New Roman" w:cs="Times New Roman" w:eastAsia="Times New Roman" w:hAnsi="Times New Roman"/>
          <w:sz w:val="17"/>
          <w:szCs w:val="17"/>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substantial delays in our clinical trials, or may not be able to conduct or complete our clinical trials on the timelines we expect, if at all.</w:t>
      </w:r>
    </w:p>
    <w:p>
      <w:pPr>
        <w:spacing w:after="0" w:line="117"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69" w:lineRule="exact"/>
        <w:rPr>
          <w:sz w:val="20"/>
          <w:szCs w:val="20"/>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inability to generate sufficient preclinical, toxicology, or other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data to support the initiation or continuation of clinical trials;</w:t>
      </w:r>
    </w:p>
    <w:p>
      <w:pPr>
        <w:spacing w:after="0" w:line="115" w:lineRule="exact"/>
        <w:rPr>
          <w:rFonts w:ascii="Times New Roman" w:cs="Times New Roman" w:eastAsia="Times New Roman" w:hAnsi="Times New Roman"/>
          <w:sz w:val="17"/>
          <w:szCs w:val="17"/>
          <w:color w:val="auto"/>
        </w:rPr>
      </w:pPr>
    </w:p>
    <w:p>
      <w:pPr>
        <w:ind w:left="660" w:right="34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a consensus with regulatory agencies on study design or, in the case of China, the registration category for the drug candidate to be studied in the clinical trial;</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by the reviewing regulatory authority to require more costly or lengthy clinical trials than we currently anticipate;</w:t>
      </w:r>
    </w:p>
    <w:p>
      <w:pPr>
        <w:spacing w:after="0" w:line="111" w:lineRule="exact"/>
        <w:rPr>
          <w:rFonts w:ascii="Times New Roman" w:cs="Times New Roman" w:eastAsia="Times New Roman" w:hAnsi="Times New Roman"/>
          <w:sz w:val="17"/>
          <w:szCs w:val="17"/>
          <w:color w:val="auto"/>
        </w:rPr>
      </w:pPr>
    </w:p>
    <w:p>
      <w:pPr>
        <w:ind w:left="660" w:right="76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identifying, recruiting and training suitable clinical investigators;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required Institutional Review Board, or IRB, approval at each clinical trial site;</w:t>
      </w:r>
    </w:p>
    <w:p>
      <w:pPr>
        <w:spacing w:after="0" w:line="111" w:lineRule="exact"/>
        <w:rPr>
          <w:rFonts w:ascii="Times New Roman" w:cs="Times New Roman" w:eastAsia="Times New Roman" w:hAnsi="Times New Roman"/>
          <w:sz w:val="17"/>
          <w:szCs w:val="17"/>
          <w:color w:val="auto"/>
        </w:rPr>
      </w:pPr>
    </w:p>
    <w:p>
      <w:pPr>
        <w:ind w:left="660" w:right="300" w:hanging="121"/>
        <w:spacing w:after="0" w:line="259"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69" w:lineRule="exact"/>
        <w:rPr>
          <w:rFonts w:ascii="Times New Roman" w:cs="Times New Roman" w:eastAsia="Times New Roman" w:hAnsi="Times New Roman"/>
          <w:sz w:val="17"/>
          <w:szCs w:val="17"/>
          <w:color w:val="auto"/>
        </w:rPr>
      </w:pPr>
    </w:p>
    <w:p>
      <w:pPr>
        <w:ind w:left="660" w:right="6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identifying, recruiting and enrolling suitable patients to participate in our clinical trials, and delays caused by patients withdrawing from clinical trials or failing to return for post-treatment follow-up;</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collaborating with patient groups and investigators;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CROs, other third parties, or us to adhere to clinical trial requirements;</w:t>
      </w:r>
    </w:p>
    <w:p>
      <w:pPr>
        <w:spacing w:after="0" w:line="111" w:lineRule="exact"/>
        <w:rPr>
          <w:rFonts w:ascii="Times New Roman" w:cs="Times New Roman" w:eastAsia="Times New Roman" w:hAnsi="Times New Roman"/>
          <w:sz w:val="17"/>
          <w:szCs w:val="17"/>
          <w:color w:val="auto"/>
        </w:rPr>
      </w:pPr>
    </w:p>
    <w:p>
      <w:pPr>
        <w:ind w:left="660" w:right="10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perform in accordance with the FDA’s or any other regulatory authority’s current good clinical practices, or cGCPs, requirements, or applicable EMA, NMPA or other regulatory guidelines in other countries;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adverse events associated with the product candidate that are viewed to outweigh its potential benefits;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and guidance that require amending or submitting new clinical protocols;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on which a clinical development plan was based, which may require new or additional trials;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being greater than we anticipate;</w:t>
      </w:r>
    </w:p>
    <w:p>
      <w:pPr>
        <w:spacing w:after="0" w:line="111" w:lineRule="exact"/>
        <w:rPr>
          <w:rFonts w:ascii="Times New Roman" w:cs="Times New Roman" w:eastAsia="Times New Roman" w:hAnsi="Times New Roman"/>
          <w:sz w:val="17"/>
          <w:szCs w:val="17"/>
          <w:color w:val="auto"/>
        </w:rPr>
      </w:pPr>
    </w:p>
    <w:p>
      <w:pPr>
        <w:ind w:left="66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0" w:lineRule="exact"/>
        <w:rPr>
          <w:rFonts w:ascii="Times New Roman" w:cs="Times New Roman" w:eastAsia="Times New Roman" w:hAnsi="Times New Roman"/>
          <w:sz w:val="17"/>
          <w:szCs w:val="17"/>
          <w:color w:val="auto"/>
        </w:rPr>
      </w:pPr>
    </w:p>
    <w:p>
      <w:pPr>
        <w:ind w:left="660" w:right="12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manufacturing processes to larger-scale facilities operated by CMOs or by us, and delays or failure by our CMOs or us to make any necessary changes to such manufacturing process; and</w:t>
      </w:r>
    </w:p>
    <w:p>
      <w:pPr>
        <w:spacing w:after="0" w:line="50" w:lineRule="exact"/>
        <w:rPr>
          <w:rFonts w:ascii="Times New Roman" w:cs="Times New Roman" w:eastAsia="Times New Roman" w:hAnsi="Times New Roman"/>
          <w:sz w:val="17"/>
          <w:szCs w:val="17"/>
          <w:color w:val="auto"/>
        </w:rPr>
      </w:pPr>
    </w:p>
    <w:p>
      <w:pPr>
        <w:ind w:left="660" w:right="20" w:hanging="121"/>
        <w:spacing w:after="0" w:line="283"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50"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sectPr>
      </w:pPr>
    </w:p>
    <w:bookmarkStart w:id="74" w:name="page75"/>
    <w:bookmarkEnd w:id="74"/>
    <w:p>
      <w:pPr>
        <w:ind w:right="180" w:firstLine="542"/>
        <w:spacing w:after="0" w:line="257"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73" w:lineRule="exact"/>
        <w:rPr>
          <w:sz w:val="20"/>
          <w:szCs w:val="20"/>
          <w:color w:val="auto"/>
        </w:rPr>
      </w:pPr>
    </w:p>
    <w:p>
      <w:pPr>
        <w:ind w:right="120" w:firstLine="542"/>
        <w:spacing w:after="0" w:line="261" w:lineRule="auto"/>
        <w:rPr>
          <w:sz w:val="20"/>
          <w:szCs w:val="20"/>
          <w:color w:val="auto"/>
        </w:rPr>
      </w:pPr>
      <w:r>
        <w:rPr>
          <w:rFonts w:ascii="Times New Roman" w:cs="Times New Roman" w:eastAsia="Times New Roman" w:hAnsi="Times New Roman"/>
          <w:sz w:val="17"/>
          <w:szCs w:val="17"/>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45" w:lineRule="exact"/>
        <w:rPr>
          <w:sz w:val="20"/>
          <w:szCs w:val="20"/>
          <w:color w:val="auto"/>
        </w:rPr>
      </w:pPr>
    </w:p>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63"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6" w:lineRule="exact"/>
        <w:rPr>
          <w:sz w:val="20"/>
          <w:szCs w:val="20"/>
          <w:color w:val="auto"/>
        </w:rPr>
      </w:pPr>
    </w:p>
    <w:p>
      <w:pPr>
        <w:ind w:right="100" w:firstLine="542"/>
        <w:spacing w:after="0" w:line="255" w:lineRule="auto"/>
        <w:rPr>
          <w:sz w:val="20"/>
          <w:szCs w:val="20"/>
          <w:color w:val="auto"/>
        </w:rPr>
      </w:pPr>
      <w:r>
        <w:rPr>
          <w:rFonts w:ascii="Times New Roman" w:cs="Times New Roman" w:eastAsia="Times New Roman" w:hAnsi="Times New Roman"/>
          <w:sz w:val="17"/>
          <w:szCs w:val="17"/>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3"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74" w:lineRule="exact"/>
        <w:rPr>
          <w:sz w:val="20"/>
          <w:szCs w:val="20"/>
          <w:color w:val="auto"/>
        </w:rPr>
      </w:pPr>
    </w:p>
    <w:p>
      <w:pPr>
        <w:ind w:right="40" w:firstLine="542"/>
        <w:spacing w:after="0" w:line="283" w:lineRule="auto"/>
        <w:rPr>
          <w:sz w:val="20"/>
          <w:szCs w:val="20"/>
          <w:color w:val="auto"/>
        </w:rPr>
      </w:pPr>
      <w:r>
        <w:rPr>
          <w:rFonts w:ascii="Times New Roman" w:cs="Times New Roman" w:eastAsia="Times New Roman" w:hAnsi="Times New Roman"/>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50" w:lineRule="exact"/>
        <w:rPr>
          <w:sz w:val="20"/>
          <w:szCs w:val="20"/>
          <w:color w:val="auto"/>
        </w:rPr>
      </w:pPr>
    </w:p>
    <w:p>
      <w:pPr>
        <w:ind w:left="660" w:hanging="121"/>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approvals of such product;</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on the label;</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ind w:left="660" w:hanging="121"/>
        <w:spacing w:after="0"/>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 or conduct additional clinical trials or post-approval studies;</w:t>
      </w:r>
    </w:p>
    <w:p>
      <w:pPr>
        <w:spacing w:after="0" w:line="111" w:lineRule="exact"/>
        <w:rPr>
          <w:rFonts w:ascii="Times New Roman" w:cs="Times New Roman" w:eastAsia="Times New Roman" w:hAnsi="Times New Roman"/>
          <w:sz w:val="17"/>
          <w:szCs w:val="17"/>
          <w:color w:val="auto"/>
        </w:rPr>
      </w:pPr>
    </w:p>
    <w:p>
      <w:pPr>
        <w:ind w:left="660" w:right="200" w:hanging="121"/>
        <w:spacing w:after="0" w:line="283"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111" w:lineRule="exact"/>
        <w:rPr>
          <w:sz w:val="20"/>
          <w:szCs w:val="20"/>
          <w:color w:val="auto"/>
        </w:rPr>
      </w:pPr>
    </w:p>
    <w:p>
      <w:pPr>
        <w:ind w:right="720" w:firstLine="542"/>
        <w:spacing w:after="0" w:line="283"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146"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may encounter difficulties enrolling patients in our clinical trials, and our clinical development activities could thereby be delayed or otherwise adversely affected.</w:t>
      </w:r>
    </w:p>
    <w:p>
      <w:pPr>
        <w:spacing w:after="0" w:line="45" w:lineRule="exact"/>
        <w:rPr>
          <w:sz w:val="20"/>
          <w:szCs w:val="20"/>
          <w:color w:val="auto"/>
        </w:rPr>
      </w:pPr>
    </w:p>
    <w:p>
      <w:pPr>
        <w:ind w:right="320" w:firstLine="542"/>
        <w:spacing w:after="0" w:line="315" w:lineRule="auto"/>
        <w:rPr>
          <w:sz w:val="20"/>
          <w:szCs w:val="20"/>
          <w:color w:val="auto"/>
        </w:rPr>
      </w:pPr>
      <w:r>
        <w:rPr>
          <w:rFonts w:ascii="Times New Roman" w:cs="Times New Roman" w:eastAsia="Times New Roman" w:hAnsi="Times New Roman"/>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28" w:lineRule="exact"/>
        <w:rPr>
          <w:sz w:val="20"/>
          <w:szCs w:val="20"/>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nature of the patient population;</w:t>
      </w:r>
    </w:p>
    <w:p>
      <w:pPr>
        <w:spacing w:after="0" w:line="111" w:lineRule="exact"/>
        <w:rPr>
          <w:rFonts w:ascii="Times New Roman" w:cs="Times New Roman" w:eastAsia="Times New Roman" w:hAnsi="Times New Roman"/>
          <w:sz w:val="17"/>
          <w:szCs w:val="17"/>
          <w:color w:val="auto"/>
        </w:rPr>
      </w:pPr>
    </w:p>
    <w:p>
      <w:pPr>
        <w:ind w:left="660" w:right="100" w:hanging="121"/>
        <w:spacing w:after="0" w:line="267"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3"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study population required for analysis of the trial’s primary endpoints;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of patients to a trial site;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health epidemics, including the ongoing COVID-19 pandemic and the resulting shelter-in-place, travel or similar restrictions;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trial;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clinical trials for similar therapies or targeting patient populations meeting our patient eligibility criteria;</w:t>
      </w:r>
    </w:p>
    <w:p>
      <w:pPr>
        <w:spacing w:after="0" w:line="111" w:lineRule="exact"/>
        <w:rPr>
          <w:rFonts w:ascii="Times New Roman" w:cs="Times New Roman" w:eastAsia="Times New Roman" w:hAnsi="Times New Roman"/>
          <w:sz w:val="17"/>
          <w:szCs w:val="17"/>
          <w:color w:val="auto"/>
        </w:rPr>
      </w:pPr>
    </w:p>
    <w:p>
      <w:pPr>
        <w:ind w:left="660" w:right="320" w:hanging="121"/>
        <w:spacing w:after="0" w:line="283"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and side effects of the product candidate being studied in relation to other available therapies and product candidates;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patient consents;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not complete such trials, for any reason.</w:t>
      </w:r>
    </w:p>
    <w:p>
      <w:pPr>
        <w:spacing w:after="0" w:line="111"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6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45"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70" w:lineRule="exact"/>
        <w:rPr>
          <w:sz w:val="20"/>
          <w:szCs w:val="20"/>
          <w:color w:val="auto"/>
        </w:rPr>
      </w:pPr>
    </w:p>
    <w:p>
      <w:pPr>
        <w:ind w:right="100" w:firstLine="542"/>
        <w:spacing w:after="0" w:line="283"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6" w:name="page77"/>
    <w:bookmarkEnd w:id="76"/>
    <w:p>
      <w:pPr>
        <w:ind w:right="80"/>
        <w:spacing w:after="0" w:line="255" w:lineRule="auto"/>
        <w:rPr>
          <w:sz w:val="20"/>
          <w:szCs w:val="20"/>
          <w:color w:val="auto"/>
        </w:rPr>
      </w:pPr>
      <w:r>
        <w:rPr>
          <w:rFonts w:ascii="Times New Roman" w:cs="Times New Roman" w:eastAsia="Times New Roman" w:hAnsi="Times New Roman"/>
          <w:sz w:val="17"/>
          <w:szCs w:val="17"/>
          <w:color w:val="auto"/>
        </w:rPr>
        <w:t>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6" w:lineRule="exact"/>
        <w:rPr>
          <w:sz w:val="20"/>
          <w:szCs w:val="20"/>
          <w:color w:val="auto"/>
        </w:rPr>
      </w:pPr>
    </w:p>
    <w:p>
      <w:pPr>
        <w:ind w:right="320" w:firstLine="542"/>
        <w:spacing w:after="0" w:line="261" w:lineRule="auto"/>
        <w:rPr>
          <w:sz w:val="20"/>
          <w:szCs w:val="20"/>
          <w:color w:val="auto"/>
        </w:rPr>
      </w:pPr>
      <w:r>
        <w:rPr>
          <w:rFonts w:ascii="Times New Roman" w:cs="Times New Roman" w:eastAsia="Times New Roman" w:hAnsi="Times New Roman"/>
          <w:sz w:val="17"/>
          <w:szCs w:val="17"/>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0" w:lineRule="exact"/>
        <w:rPr>
          <w:sz w:val="20"/>
          <w:szCs w:val="20"/>
          <w:color w:val="auto"/>
        </w:rPr>
      </w:pPr>
    </w:p>
    <w:p>
      <w:pPr>
        <w:ind w:right="100" w:firstLine="542"/>
        <w:spacing w:after="0" w:line="259" w:lineRule="auto"/>
        <w:rPr>
          <w:sz w:val="20"/>
          <w:szCs w:val="20"/>
          <w:color w:val="auto"/>
        </w:rPr>
      </w:pPr>
      <w:r>
        <w:rPr>
          <w:rFonts w:ascii="Times New Roman" w:cs="Times New Roman" w:eastAsia="Times New Roman" w:hAnsi="Times New Roman"/>
          <w:sz w:val="17"/>
          <w:szCs w:val="17"/>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66"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45"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66"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0"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ind w:right="40" w:firstLine="542"/>
        <w:spacing w:after="0" w:line="253" w:lineRule="auto"/>
        <w:rPr>
          <w:sz w:val="20"/>
          <w:szCs w:val="20"/>
          <w:color w:val="auto"/>
        </w:rPr>
      </w:pPr>
      <w:r>
        <w:rPr>
          <w:rFonts w:ascii="Times New Roman" w:cs="Times New Roman" w:eastAsia="Times New Roman" w:hAnsi="Times New Roman"/>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2" w:lineRule="exact"/>
        <w:rPr>
          <w:sz w:val="20"/>
          <w:szCs w:val="20"/>
          <w:color w:val="auto"/>
        </w:rPr>
      </w:pPr>
    </w:p>
    <w:p>
      <w:pPr>
        <w:ind w:right="220" w:firstLine="542"/>
        <w:spacing w:after="0" w:line="267" w:lineRule="auto"/>
        <w:rPr>
          <w:sz w:val="20"/>
          <w:szCs w:val="20"/>
          <w:color w:val="auto"/>
        </w:rPr>
      </w:pPr>
      <w:r>
        <w:rPr>
          <w:rFonts w:ascii="Times New Roman" w:cs="Times New Roman" w:eastAsia="Times New Roman" w:hAnsi="Times New Roman"/>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70"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70" w:lineRule="exact"/>
        <w:rPr>
          <w:sz w:val="20"/>
          <w:szCs w:val="20"/>
          <w:color w:val="auto"/>
        </w:rPr>
      </w:pPr>
    </w:p>
    <w:p>
      <w:pPr>
        <w:ind w:right="100" w:firstLine="542"/>
        <w:spacing w:after="0" w:line="255" w:lineRule="auto"/>
        <w:rPr>
          <w:sz w:val="20"/>
          <w:szCs w:val="20"/>
          <w:color w:val="auto"/>
        </w:rPr>
      </w:pPr>
      <w:r>
        <w:rPr>
          <w:rFonts w:ascii="Times New Roman" w:cs="Times New Roman" w:eastAsia="Times New Roman" w:hAnsi="Times New Roman"/>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6" w:lineRule="exact"/>
        <w:rPr>
          <w:sz w:val="20"/>
          <w:szCs w:val="20"/>
          <w:color w:val="auto"/>
        </w:rPr>
      </w:pPr>
    </w:p>
    <w:p>
      <w:pPr>
        <w:ind w:right="180" w:firstLine="542"/>
        <w:spacing w:after="0" w:line="261" w:lineRule="auto"/>
        <w:rPr>
          <w:sz w:val="20"/>
          <w:szCs w:val="20"/>
          <w:color w:val="auto"/>
        </w:rPr>
      </w:pPr>
      <w:r>
        <w:rPr>
          <w:rFonts w:ascii="Times New Roman" w:cs="Times New Roman" w:eastAsia="Times New Roman" w:hAnsi="Times New Roman"/>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0"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These challenges are magnified by the international nature of our supply chain, which, for KSI-301, requires drug substance and drug product sourced from single source suppliers from China, Japan, the United Kingdom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8" w:name="page79"/>
    <w:bookmarkEnd w:id="78"/>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62" w:lineRule="exact"/>
        <w:rPr>
          <w:sz w:val="20"/>
          <w:szCs w:val="20"/>
          <w:color w:val="auto"/>
        </w:rPr>
      </w:pPr>
    </w:p>
    <w:p>
      <w:pPr>
        <w:ind w:right="60" w:firstLine="542"/>
        <w:spacing w:after="0" w:line="255" w:lineRule="auto"/>
        <w:rPr>
          <w:sz w:val="20"/>
          <w:szCs w:val="20"/>
          <w:color w:val="auto"/>
        </w:rPr>
      </w:pPr>
      <w:r>
        <w:rPr>
          <w:rFonts w:ascii="Times New Roman" w:cs="Times New Roman" w:eastAsia="Times New Roman" w:hAnsi="Times New Roman"/>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3"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4" w:lineRule="exact"/>
        <w:rPr>
          <w:sz w:val="20"/>
          <w:szCs w:val="20"/>
          <w:color w:val="auto"/>
        </w:rPr>
      </w:pPr>
    </w:p>
    <w:p>
      <w:pPr>
        <w:ind w:right="7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45"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70"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Factors that may inhibit our efforts to commercialize any approved product on our own include:</w:t>
      </w:r>
    </w:p>
    <w:p>
      <w:pPr>
        <w:spacing w:after="0" w:line="111" w:lineRule="exact"/>
        <w:rPr>
          <w:sz w:val="20"/>
          <w:szCs w:val="20"/>
          <w:color w:val="auto"/>
        </w:rPr>
      </w:pPr>
    </w:p>
    <w:p>
      <w:pPr>
        <w:ind w:left="660" w:right="440" w:hanging="121"/>
        <w:spacing w:after="0" w:line="283"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and retain adequate numbers of effective sales, marketing, reimbursement, customer service, medical affairs and other support personnel;</w:t>
      </w:r>
    </w:p>
    <w:p>
      <w:pPr>
        <w:spacing w:after="0" w:line="50" w:lineRule="exact"/>
        <w:rPr>
          <w:rFonts w:ascii="Times New Roman" w:cs="Times New Roman" w:eastAsia="Times New Roman" w:hAnsi="Times New Roman"/>
          <w:sz w:val="17"/>
          <w:szCs w:val="17"/>
          <w:color w:val="auto"/>
        </w:rPr>
      </w:pPr>
    </w:p>
    <w:p>
      <w:pPr>
        <w:ind w:left="660" w:right="20" w:hanging="121"/>
        <w:spacing w:after="0" w:line="283"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physicians or educate adequate numbers of physicians on the benefits of prescribing any future approved products;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reimbursement professionals to negotiate arrangements for formulary access, reimbursement, and other acceptance by payors;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price our products at a sufficient price point to ensure an adequate and attractive level of profitability;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or closed distribution channels that make it difficult to distribute our products to segments of the patient population;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9" w:name="page80"/>
    <w:bookmarkEnd w:id="79"/>
    <w:p>
      <w:pPr>
        <w:ind w:left="660" w:right="320" w:hanging="121"/>
        <w:spacing w:after="0" w:line="283"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commercialization organization.</w:t>
      </w:r>
    </w:p>
    <w:p>
      <w:pPr>
        <w:spacing w:after="0" w:line="111" w:lineRule="exact"/>
        <w:rPr>
          <w:sz w:val="20"/>
          <w:szCs w:val="20"/>
          <w:color w:val="auto"/>
        </w:rPr>
      </w:pPr>
    </w:p>
    <w:p>
      <w:pPr>
        <w:ind w:right="140" w:firstLine="542"/>
        <w:spacing w:after="0" w:line="257" w:lineRule="auto"/>
        <w:rPr>
          <w:sz w:val="20"/>
          <w:szCs w:val="20"/>
          <w:color w:val="auto"/>
        </w:rPr>
      </w:pPr>
      <w:r>
        <w:rPr>
          <w:rFonts w:ascii="Times New Roman" w:cs="Times New Roman" w:eastAsia="Times New Roman" w:hAnsi="Times New Roman"/>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69"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5" w:lineRule="exact"/>
        <w:rPr>
          <w:sz w:val="20"/>
          <w:szCs w:val="20"/>
          <w:color w:val="auto"/>
        </w:rPr>
      </w:pPr>
    </w:p>
    <w:p>
      <w:pPr>
        <w:ind w:right="160" w:firstLine="542"/>
        <w:spacing w:after="0" w:line="261" w:lineRule="auto"/>
        <w:rPr>
          <w:sz w:val="20"/>
          <w:szCs w:val="20"/>
          <w:color w:val="auto"/>
        </w:rPr>
      </w:pPr>
      <w:r>
        <w:rPr>
          <w:rFonts w:ascii="Times New Roman" w:cs="Times New Roman" w:eastAsia="Times New Roman" w:hAnsi="Times New Roman"/>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0" w:lineRule="exact"/>
        <w:rPr>
          <w:sz w:val="20"/>
          <w:szCs w:val="20"/>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of such product candidates as demonstrated in pivotal clinical trials and published in peer-reviewed journals;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compared to alternative treatments;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our products for sale at competitive prices;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appropriate patient access programs, such as co-pay assistance;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physicians recommend our products to their patients;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convenience and ease of dosing and administration compared to alternative treatments;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 candidate is approved by FDA, EMA, NMPA or other regulatory agencies;</w:t>
      </w:r>
    </w:p>
    <w:p>
      <w:pPr>
        <w:spacing w:after="0" w:line="111" w:lineRule="exact"/>
        <w:rPr>
          <w:rFonts w:ascii="Times New Roman" w:cs="Times New Roman" w:eastAsia="Times New Roman" w:hAnsi="Times New Roman"/>
          <w:sz w:val="17"/>
          <w:szCs w:val="17"/>
          <w:color w:val="auto"/>
        </w:rPr>
      </w:pPr>
    </w:p>
    <w:p>
      <w:pPr>
        <w:ind w:left="660" w:right="220" w:hanging="121"/>
        <w:spacing w:after="0" w:line="283" w:lineRule="auto"/>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labeling or product insert requirements of the FDA, EMA, NMPA or other comparable foreign regulatory authorities, including any limitations, contraindications or warnings contained in a product’s approved labeling;</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how the product is distributed;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competitive products;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publicity concerning our products or competing products and treatments;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marketing and distribution support;</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sufficient third-party coverage or reimbursement;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111"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If any product candidates we develop do not achieve an adequate level of acceptance, we may not generate significant product revenue, and we may not become profitable.</w:t>
      </w:r>
    </w:p>
    <w:p>
      <w:pPr>
        <w:spacing w:after="0" w:line="14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5"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0" w:name="page81"/>
    <w:bookmarkEnd w:id="80"/>
    <w:p>
      <w:pPr>
        <w:ind w:right="520"/>
        <w:spacing w:after="0" w:line="283" w:lineRule="auto"/>
        <w:rPr>
          <w:sz w:val="20"/>
          <w:szCs w:val="20"/>
          <w:color w:val="auto"/>
        </w:rPr>
      </w:pPr>
      <w:r>
        <w:rPr>
          <w:rFonts w:ascii="Times New Roman" w:cs="Times New Roman" w:eastAsia="Times New Roman" w:hAnsi="Times New Roman"/>
          <w:sz w:val="17"/>
          <w:szCs w:val="17"/>
          <w:color w:val="auto"/>
        </w:rPr>
        <w:t>pricing limitations may hinder our ability to recoup our investment in one or more product candidates, even if any product candidates we may develop obtain marketing approval.</w:t>
      </w:r>
    </w:p>
    <w:p>
      <w:pPr>
        <w:spacing w:after="0" w:line="50"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3"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74"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74"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face competition from biological products that are biosimilar to or interchangeable with our product candidates sooner than anticipated.</w:t>
      </w:r>
    </w:p>
    <w:p>
      <w:pPr>
        <w:spacing w:after="0" w:line="45"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74" w:lineRule="exact"/>
        <w:rPr>
          <w:sz w:val="20"/>
          <w:szCs w:val="20"/>
          <w:color w:val="auto"/>
        </w:rPr>
      </w:pPr>
    </w:p>
    <w:p>
      <w:pPr>
        <w:ind w:right="120" w:firstLine="542"/>
        <w:spacing w:after="0" w:line="257" w:lineRule="auto"/>
        <w:rPr>
          <w:sz w:val="20"/>
          <w:szCs w:val="20"/>
          <w:color w:val="auto"/>
        </w:rPr>
      </w:pPr>
      <w:r>
        <w:rPr>
          <w:rFonts w:ascii="Times New Roman" w:cs="Times New Roman" w:eastAsia="Times New Roman" w:hAnsi="Times New Roman"/>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ind w:right="7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4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or interrupted demand for our products;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 and inability to continue clinical trials;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 candidate;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share price.</w:t>
      </w:r>
    </w:p>
    <w:p>
      <w:pPr>
        <w:spacing w:after="0" w:line="111" w:lineRule="exact"/>
        <w:rPr>
          <w:sz w:val="20"/>
          <w:szCs w:val="20"/>
          <w:color w:val="auto"/>
        </w:rPr>
      </w:pPr>
    </w:p>
    <w:p>
      <w:pPr>
        <w:ind w:right="60" w:firstLine="542"/>
        <w:spacing w:after="0" w:line="259" w:lineRule="auto"/>
        <w:rPr>
          <w:sz w:val="20"/>
          <w:szCs w:val="20"/>
          <w:color w:val="auto"/>
        </w:rPr>
      </w:pPr>
      <w:r>
        <w:rPr>
          <w:rFonts w:ascii="Times New Roman" w:cs="Times New Roman" w:eastAsia="Times New Roman" w:hAnsi="Times New Roman"/>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 and Other Legal Compliance Matters</w:t>
      </w:r>
    </w:p>
    <w:p>
      <w:pPr>
        <w:spacing w:after="0" w:line="109"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2" w:lineRule="exact"/>
        <w:rPr>
          <w:sz w:val="20"/>
          <w:szCs w:val="20"/>
          <w:color w:val="auto"/>
        </w:rPr>
      </w:pPr>
    </w:p>
    <w:p>
      <w:pPr>
        <w:ind w:right="100" w:firstLine="542"/>
        <w:spacing w:after="0" w:line="256" w:lineRule="auto"/>
        <w:rPr>
          <w:sz w:val="20"/>
          <w:szCs w:val="20"/>
          <w:color w:val="auto"/>
        </w:rPr>
      </w:pPr>
      <w:r>
        <w:rPr>
          <w:rFonts w:ascii="Times New Roman" w:cs="Times New Roman" w:eastAsia="Times New Roman" w:hAnsi="Times New Roman"/>
          <w:sz w:val="17"/>
          <w:szCs w:val="17"/>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Applications for our product candidates could fail to receive regulatory approval for many reasons, including but not limited to the following:</w:t>
      </w:r>
    </w:p>
    <w:p>
      <w:pPr>
        <w:spacing w:after="0" w:line="111" w:lineRule="exact"/>
        <w:rPr>
          <w:sz w:val="20"/>
          <w:szCs w:val="20"/>
          <w:color w:val="auto"/>
        </w:rPr>
      </w:pPr>
    </w:p>
    <w:p>
      <w:pPr>
        <w:ind w:left="660" w:hanging="121"/>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NMPA or comparable foreign regulatory authorities may disagree with the design, implementation or results of our clinical trials;</w:t>
      </w:r>
    </w:p>
    <w:p>
      <w:pPr>
        <w:spacing w:after="0" w:line="111" w:lineRule="exact"/>
        <w:rPr>
          <w:rFonts w:ascii="Times New Roman" w:cs="Times New Roman" w:eastAsia="Times New Roman" w:hAnsi="Times New Roman"/>
          <w:sz w:val="17"/>
          <w:szCs w:val="17"/>
          <w:color w:val="auto"/>
        </w:rPr>
      </w:pPr>
    </w:p>
    <w:p>
      <w:pPr>
        <w:ind w:left="660" w:hanging="121"/>
        <w:spacing w:after="0" w:line="267"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2" w:name="page83"/>
    <w:bookmarkEnd w:id="82"/>
    <w:p>
      <w:pPr>
        <w:ind w:left="660" w:right="100" w:hanging="121"/>
        <w:spacing w:after="0" w:line="283"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studied in the clinical program may not be sufficiently broad or representative to assure efficacy and safety in the full population for which we seek approval;</w:t>
      </w:r>
    </w:p>
    <w:p>
      <w:pPr>
        <w:spacing w:after="0" w:line="50" w:lineRule="exact"/>
        <w:rPr>
          <w:rFonts w:ascii="Times New Roman" w:cs="Times New Roman" w:eastAsia="Times New Roman" w:hAnsi="Times New Roman"/>
          <w:sz w:val="17"/>
          <w:szCs w:val="17"/>
          <w:color w:val="auto"/>
        </w:rPr>
      </w:pPr>
    </w:p>
    <w:p>
      <w:pPr>
        <w:ind w:left="660" w:right="180" w:hanging="121"/>
        <w:spacing w:after="0" w:line="283"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FDA, EMA, NMPA or comparable foreign regulatory authorities that a product candidate’s risk-benefit ratio for its proposed indication, when compared to the standard of care, is acceptable;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NMPA or comparable foreign regulatory authorities may disagree with our interpretation of data from preclinical studies or clinical trials;</w:t>
      </w:r>
    </w:p>
    <w:p>
      <w:pPr>
        <w:spacing w:after="0" w:line="111" w:lineRule="exact"/>
        <w:rPr>
          <w:rFonts w:ascii="Times New Roman" w:cs="Times New Roman" w:eastAsia="Times New Roman" w:hAnsi="Times New Roman"/>
          <w:sz w:val="17"/>
          <w:szCs w:val="17"/>
          <w:color w:val="auto"/>
        </w:rPr>
      </w:pPr>
    </w:p>
    <w:p>
      <w:pPr>
        <w:ind w:left="660" w:right="140" w:hanging="121"/>
        <w:spacing w:after="0" w:line="283"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BLA or other submission or to obtain regulatory approval in the United States or elsewhere;</w:t>
      </w:r>
    </w:p>
    <w:p>
      <w:pPr>
        <w:spacing w:after="0" w:line="50" w:lineRule="exact"/>
        <w:rPr>
          <w:rFonts w:ascii="Times New Roman" w:cs="Times New Roman" w:eastAsia="Times New Roman" w:hAnsi="Times New Roman"/>
          <w:sz w:val="17"/>
          <w:szCs w:val="17"/>
          <w:color w:val="auto"/>
        </w:rPr>
      </w:pPr>
    </w:p>
    <w:p>
      <w:pPr>
        <w:ind w:left="660" w:right="120" w:hanging="121"/>
        <w:spacing w:after="0" w:line="283"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NMPA or comparable foreign regulatory authorities may fail to approve the manufacturing processes, test procedures and specifications, or facilities of third-party manufacturers with which we contract for clinical and commercial supplies; and</w:t>
      </w:r>
    </w:p>
    <w:p>
      <w:pPr>
        <w:spacing w:after="0" w:line="50" w:lineRule="exact"/>
        <w:rPr>
          <w:rFonts w:ascii="Times New Roman" w:cs="Times New Roman" w:eastAsia="Times New Roman" w:hAnsi="Times New Roman"/>
          <w:sz w:val="17"/>
          <w:szCs w:val="17"/>
          <w:color w:val="auto"/>
        </w:rPr>
      </w:pPr>
    </w:p>
    <w:p>
      <w:pPr>
        <w:ind w:left="660" w:right="660" w:hanging="121"/>
        <w:spacing w:after="0" w:line="283"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EMA, NMPA or comparable foreign regulatory authorities may significantly change in a manner rendering our clinical data insufficient for approval.</w:t>
      </w:r>
    </w:p>
    <w:p>
      <w:pPr>
        <w:spacing w:after="0" w:line="50" w:lineRule="exact"/>
        <w:rPr>
          <w:sz w:val="20"/>
          <w:szCs w:val="20"/>
          <w:color w:val="auto"/>
        </w:rPr>
      </w:pPr>
    </w:p>
    <w:p>
      <w:pPr>
        <w:ind w:right="60" w:firstLine="542"/>
        <w:spacing w:after="0" w:line="283"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4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plan to conduct clinical trials for our product candidates outside the United States, and the FDA, EMA, NMPA and applicable foreign regulatory authorities may not accept data from such trials.</w:t>
      </w:r>
    </w:p>
    <w:p>
      <w:pPr>
        <w:spacing w:after="0" w:line="4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w:t>
      </w:r>
    </w:p>
    <w:p>
      <w:pPr>
        <w:spacing w:after="0" w:line="1" w:lineRule="exact"/>
        <w:rPr>
          <w:sz w:val="20"/>
          <w:szCs w:val="20"/>
          <w:color w:val="auto"/>
        </w:rPr>
      </w:pPr>
    </w:p>
    <w:p>
      <w:pPr>
        <w:ind w:firstLine="2"/>
        <w:spacing w:after="0" w:line="252" w:lineRule="auto"/>
        <w:tabs>
          <w:tab w:leader="none" w:pos="24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 United States or the applicable jurisdiction, including any trials that we may conduct in China.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5" w:lineRule="exact"/>
        <w:rPr>
          <w:sz w:val="20"/>
          <w:szCs w:val="20"/>
          <w:color w:val="auto"/>
        </w:rPr>
      </w:pPr>
    </w:p>
    <w:p>
      <w:pPr>
        <w:ind w:right="40" w:firstLine="542"/>
        <w:spacing w:after="0" w:line="256"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74" w:lineRule="exact"/>
        <w:rPr>
          <w:sz w:val="20"/>
          <w:szCs w:val="20"/>
          <w:color w:val="auto"/>
        </w:rPr>
      </w:pPr>
    </w:p>
    <w:p>
      <w:pPr>
        <w:ind w:right="180" w:firstLine="542"/>
        <w:spacing w:after="0" w:line="261" w:lineRule="auto"/>
        <w:rPr>
          <w:sz w:val="20"/>
          <w:szCs w:val="20"/>
          <w:color w:val="auto"/>
        </w:rPr>
      </w:pPr>
      <w:r>
        <w:rPr>
          <w:rFonts w:ascii="Times New Roman" w:cs="Times New Roman" w:eastAsia="Times New Roman" w:hAnsi="Times New Roman"/>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63"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70" w:lineRule="exact"/>
        <w:rPr>
          <w:sz w:val="20"/>
          <w:szCs w:val="20"/>
          <w:color w:val="auto"/>
        </w:rPr>
      </w:pPr>
    </w:p>
    <w:p>
      <w:pPr>
        <w:ind w:right="20" w:firstLine="542"/>
        <w:spacing w:after="0" w:line="253" w:lineRule="auto"/>
        <w:rPr>
          <w:sz w:val="20"/>
          <w:szCs w:val="20"/>
          <w:color w:val="auto"/>
        </w:rPr>
      </w:pPr>
      <w:r>
        <w:rPr>
          <w:rFonts w:ascii="Times New Roman" w:cs="Times New Roman" w:eastAsia="Times New Roman" w:hAnsi="Times New Roman"/>
          <w:sz w:val="17"/>
          <w:szCs w:val="17"/>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81" w:lineRule="exact"/>
        <w:rPr>
          <w:sz w:val="20"/>
          <w:szCs w:val="20"/>
          <w:color w:val="auto"/>
        </w:rPr>
      </w:pPr>
    </w:p>
    <w:p>
      <w:pPr>
        <w:ind w:right="220" w:firstLine="542"/>
        <w:spacing w:after="0" w:line="261" w:lineRule="auto"/>
        <w:rPr>
          <w:sz w:val="20"/>
          <w:szCs w:val="20"/>
          <w:color w:val="auto"/>
        </w:rPr>
      </w:pPr>
      <w:r>
        <w:rPr>
          <w:rFonts w:ascii="Times New Roman" w:cs="Times New Roman" w:eastAsia="Times New Roman" w:hAnsi="Times New Roman"/>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0" w:lineRule="exact"/>
        <w:rPr>
          <w:sz w:val="20"/>
          <w:szCs w:val="20"/>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warning letters that would result in adverse publicity;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civil or criminal penalties;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withdraw regulatory approvals;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any of our ongoing clinical trials;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approve pending applications or supplements to approved applications submitted by us;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restrictions on our operations, including closing our contract manufacturers’ facilities;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seize or detain products; or</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product recall.</w:t>
      </w:r>
    </w:p>
    <w:p>
      <w:pPr>
        <w:spacing w:after="0" w:line="111"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legislative measures aimed at reducing healthcare costs may have a material adverse effect on our business and results of operations.</w:t>
      </w:r>
    </w:p>
    <w:p>
      <w:pPr>
        <w:spacing w:after="0" w:line="117" w:lineRule="exact"/>
        <w:rPr>
          <w:sz w:val="20"/>
          <w:szCs w:val="20"/>
          <w:color w:val="auto"/>
        </w:rPr>
      </w:pPr>
    </w:p>
    <w:p>
      <w:pPr>
        <w:ind w:right="680" w:firstLine="542"/>
        <w:spacing w:after="0" w:line="283" w:lineRule="auto"/>
        <w:rPr>
          <w:sz w:val="20"/>
          <w:szCs w:val="20"/>
          <w:color w:val="auto"/>
        </w:rPr>
      </w:pPr>
      <w:r>
        <w:rPr>
          <w:rFonts w:ascii="Times New Roman" w:cs="Times New Roman" w:eastAsia="Times New Roman" w:hAnsi="Times New Roman"/>
          <w:sz w:val="17"/>
          <w:szCs w:val="17"/>
          <w:color w:val="auto"/>
        </w:rPr>
        <w:t>Third-party payors, whether domestic or foreign, or governmental or commercial, are developing increasingly sophisticated methods of controlling healthcare costs. In both the United States and certain international jurisdictions, there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7"/>
          <w:szCs w:val="17"/>
          <w:color w:val="auto"/>
        </w:rPr>
        <w:t>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74"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Since the ACA’s enactment, there have been, and continue to be, numerous challenges to the ACA. Since January 2017, President Trump has signed several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eliminated the health insurer tax. In addition, on December 14, 2018, a Texas U.S. District Court Judge ruled that the ACA is unconstitutional in its entirety because the “individual mandate” was repealed by Congress as part of the Tax Act. Additionally, on December 18, 2019, the U.S. Court of Appeals for the 5th Circuit ruled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Although the United States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United States Supreme Court ruling, other such litigation and the healthcare reform measures of the Biden administration will impact the ACA and our business.</w:t>
      </w:r>
    </w:p>
    <w:p>
      <w:pPr>
        <w:spacing w:after="0" w:line="76"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However, COVID-19 relief support legislation suspended the 2% Medicare sequester from May 1, 2020 through March 31, 2021.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76" w:lineRule="exact"/>
        <w:rPr>
          <w:sz w:val="20"/>
          <w:szCs w:val="20"/>
          <w:color w:val="auto"/>
        </w:rPr>
      </w:pPr>
    </w:p>
    <w:p>
      <w:pPr>
        <w:jc w:val="both"/>
        <w:ind w:right="40" w:firstLine="542"/>
        <w:spacing w:after="0" w:line="267" w:lineRule="auto"/>
        <w:rPr>
          <w:sz w:val="20"/>
          <w:szCs w:val="20"/>
          <w:color w:val="auto"/>
        </w:rPr>
      </w:pPr>
      <w:r>
        <w:rPr>
          <w:rFonts w:ascii="Times New Roman" w:cs="Times New Roman" w:eastAsia="Times New Roman" w:hAnsi="Times New Roman"/>
          <w:sz w:val="17"/>
          <w:szCs w:val="17"/>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3" w:lineRule="exact"/>
        <w:rPr>
          <w:sz w:val="20"/>
          <w:szCs w:val="20"/>
          <w:color w:val="auto"/>
        </w:rPr>
      </w:pPr>
    </w:p>
    <w:p>
      <w:pPr>
        <w:ind w:left="660" w:hanging="121"/>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 candidates, if we obtain regulatory approval;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or set a price that we believe is fair for our products;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ind w:right="20" w:firstLine="542"/>
        <w:spacing w:after="0" w:line="252" w:lineRule="auto"/>
        <w:rPr>
          <w:sz w:val="20"/>
          <w:szCs w:val="20"/>
          <w:color w:val="auto"/>
        </w:rPr>
      </w:pPr>
      <w:r>
        <w:rPr>
          <w:rFonts w:ascii="Times New Roman" w:cs="Times New Roman" w:eastAsia="Times New Roman" w:hAnsi="Times New Roman"/>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ongoing COVID-19 pandemic.</w:t>
      </w:r>
    </w:p>
    <w:p>
      <w:pPr>
        <w:spacing w:after="0" w:line="166"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45"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6" w:name="page87"/>
    <w:bookmarkEnd w:id="86"/>
    <w:p>
      <w:pPr>
        <w:ind w:right="200" w:firstLine="542"/>
        <w:spacing w:after="0" w:line="259" w:lineRule="auto"/>
        <w:rPr>
          <w:sz w:val="20"/>
          <w:szCs w:val="20"/>
          <w:color w:val="auto"/>
        </w:rPr>
      </w:pPr>
      <w:r>
        <w:rPr>
          <w:rFonts w:ascii="Times New Roman" w:cs="Times New Roman" w:eastAsia="Times New Roman" w:hAnsi="Times New Roman"/>
          <w:sz w:val="17"/>
          <w:szCs w:val="17"/>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healthcare laws, we could face substantial penalties and our business, operations and financial conditions could be adversely affected.</w:t>
      </w:r>
    </w:p>
    <w:p>
      <w:pPr>
        <w:spacing w:after="0" w:line="117" w:lineRule="exact"/>
        <w:rPr>
          <w:sz w:val="20"/>
          <w:szCs w:val="20"/>
          <w:color w:val="auto"/>
        </w:rPr>
      </w:pPr>
    </w:p>
    <w:p>
      <w:pPr>
        <w:ind w:right="180" w:firstLine="542"/>
        <w:spacing w:after="0" w:line="267" w:lineRule="auto"/>
        <w:rPr>
          <w:sz w:val="20"/>
          <w:szCs w:val="20"/>
          <w:color w:val="auto"/>
        </w:rPr>
      </w:pPr>
      <w:r>
        <w:rPr>
          <w:rFonts w:ascii="Times New Roman" w:cs="Times New Roman" w:eastAsia="Times New Roman" w:hAnsi="Times New Roman"/>
          <w:sz w:val="17"/>
          <w:szCs w:val="17"/>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63" w:lineRule="exact"/>
        <w:rPr>
          <w:sz w:val="20"/>
          <w:szCs w:val="20"/>
          <w:color w:val="auto"/>
        </w:rPr>
      </w:pPr>
    </w:p>
    <w:p>
      <w:pPr>
        <w:ind w:left="660" w:right="40" w:hanging="121"/>
        <w:spacing w:after="0" w:line="257"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72" w:lineRule="exact"/>
        <w:rPr>
          <w:rFonts w:ascii="Times New Roman" w:cs="Times New Roman" w:eastAsia="Times New Roman" w:hAnsi="Times New Roman"/>
          <w:sz w:val="17"/>
          <w:szCs w:val="17"/>
          <w:color w:val="auto"/>
        </w:rPr>
      </w:pPr>
    </w:p>
    <w:p>
      <w:pPr>
        <w:ind w:left="660" w:hanging="121"/>
        <w:spacing w:after="0" w:line="257"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2" w:lineRule="exact"/>
        <w:rPr>
          <w:rFonts w:ascii="Times New Roman" w:cs="Times New Roman" w:eastAsia="Times New Roman" w:hAnsi="Times New Roman"/>
          <w:sz w:val="17"/>
          <w:szCs w:val="17"/>
          <w:color w:val="auto"/>
        </w:rPr>
      </w:pPr>
    </w:p>
    <w:p>
      <w:pPr>
        <w:ind w:left="660" w:right="60" w:hanging="121"/>
        <w:spacing w:after="0" w:line="259"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69" w:lineRule="exact"/>
        <w:rPr>
          <w:rFonts w:ascii="Times New Roman" w:cs="Times New Roman" w:eastAsia="Times New Roman" w:hAnsi="Times New Roman"/>
          <w:sz w:val="17"/>
          <w:szCs w:val="17"/>
          <w:color w:val="auto"/>
        </w:rPr>
      </w:pPr>
    </w:p>
    <w:p>
      <w:pPr>
        <w:ind w:left="660" w:right="20" w:hanging="121"/>
        <w:spacing w:after="0" w:line="261"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7"/>
          <w:szCs w:val="17"/>
          <w:color w:val="auto"/>
        </w:rPr>
      </w:pPr>
    </w:p>
    <w:p>
      <w:pPr>
        <w:ind w:left="660" w:right="100" w:hanging="121"/>
        <w:spacing w:after="0" w:line="259"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69" w:lineRule="exact"/>
        <w:rPr>
          <w:rFonts w:ascii="Times New Roman" w:cs="Times New Roman" w:eastAsia="Times New Roman" w:hAnsi="Times New Roman"/>
          <w:sz w:val="17"/>
          <w:szCs w:val="17"/>
          <w:color w:val="auto"/>
        </w:rPr>
      </w:pPr>
    </w:p>
    <w:p>
      <w:pPr>
        <w:ind w:left="660" w:right="380" w:hanging="121"/>
        <w:spacing w:after="0" w:line="267"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2022, applicable manufacturers also will be required to report such information related to payments or other transfers of value made to physician assistants, nurse practitioners, clinical nurse specialists, anesthesiologist assistants, certified registered nurse anesthetists and certified nurse midwives during the previous year;</w:t>
      </w:r>
    </w:p>
    <w:p>
      <w:pPr>
        <w:spacing w:after="0" w:line="63" w:lineRule="exact"/>
        <w:rPr>
          <w:rFonts w:ascii="Times New Roman" w:cs="Times New Roman" w:eastAsia="Times New Roman" w:hAnsi="Times New Roman"/>
          <w:sz w:val="17"/>
          <w:szCs w:val="17"/>
          <w:color w:val="auto"/>
        </w:rPr>
      </w:pPr>
    </w:p>
    <w:p>
      <w:pPr>
        <w:ind w:left="660" w:right="260" w:hanging="121"/>
        <w:spacing w:after="0" w:line="283"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consumer protection and unfair competition laws, which broadly regulate marketplace activities and activities that potentially harm consumers.; 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ind w:left="660" w:right="200" w:hanging="121"/>
        <w:spacing w:after="0" w:line="255" w:lineRule="auto"/>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3" w:lineRule="exact"/>
        <w:rPr>
          <w:sz w:val="20"/>
          <w:szCs w:val="20"/>
          <w:color w:val="auto"/>
        </w:rPr>
      </w:pPr>
    </w:p>
    <w:p>
      <w:pPr>
        <w:ind w:right="60" w:firstLine="542"/>
        <w:spacing w:after="0" w:line="254"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62"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A wide variety of provincial, state, national, and foreign laws and regulations apply to the collection, use, retention, protection, disclosure and transfer of personal data. These data protection and privacy-related laws and regulations are evolving and may result in ever-increasing regulatory and public scrutiny and escalating levels of enforcement and sanctions. For example, the European Union’s General Data Protection Regulation, or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73"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 At present, there are few, if any, viable alternatives to the EU-U.S. Privacy Shield, the Swiss-U.S. Privacy Shield and the Standard Contractual Clauses. Although we and third party service providers rely primarily on individuals’ explicit consent to transfer certain information from Europe to the U.S. and other countries, in certain cases we and third parties we work with have relied on the EU-U.S. Privacy Shield and the Standard Contractual Clauses. If we are unable to rely on explicit consent to transfer individuals’ personal information from Europe, which can be revoked, or implement other valid compliance solutions, we may face increased exposure to fines under European data protection laws as well as bans on processing personal information from Europe. Inability to import personal information from Europe may also impact our operations in the European Economic Area and Switzerland and require us to incur significant costs to increase our data processing capabilities in Europe.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ind w:firstLine="542"/>
        <w:spacing w:after="0" w:line="255" w:lineRule="auto"/>
        <w:rPr>
          <w:sz w:val="20"/>
          <w:szCs w:val="20"/>
          <w:color w:val="auto"/>
        </w:rPr>
      </w:pPr>
      <w:r>
        <w:rPr>
          <w:rFonts w:ascii="Times New Roman" w:cs="Times New Roman" w:eastAsia="Times New Roman" w:hAnsi="Times New Roman"/>
          <w:sz w:val="17"/>
          <w:szCs w:val="17"/>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73"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 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 While certain clinical trial activities are exempt from the CCPA’s requirements, other personal information that we handle may be subject to the CCPA, which may increase our compliance costs, exposure to regulatory enforcement action and other liabilities.</w:t>
      </w:r>
    </w:p>
    <w:p>
      <w:pPr>
        <w:spacing w:after="0" w:line="76"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The GDPR, CCPA and many other laws and regulations relating to privacy and data protection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70"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Our actual or perceived failure to adequately comply with applicable laws and regulations relating to privacy and data protection, or to protect personal data and other data we process or maintain, could result in regulatory fines and bans on processing personal information,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166"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right="180" w:firstLine="542"/>
        <w:spacing w:after="0" w:line="255" w:lineRule="auto"/>
        <w:rPr>
          <w:sz w:val="20"/>
          <w:szCs w:val="20"/>
          <w:color w:val="auto"/>
        </w:rPr>
      </w:pPr>
      <w:r>
        <w:rPr>
          <w:rFonts w:ascii="Times New Roman" w:cs="Times New Roman" w:eastAsia="Times New Roman" w:hAnsi="Times New Roman"/>
          <w:sz w:val="17"/>
          <w:szCs w:val="17"/>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76"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activities may be subject to the Foreign Corrupt Practices Act, or FCPA, and similar anti-bribery and anti-corruption laws.</w:t>
      </w:r>
    </w:p>
    <w:p>
      <w:pPr>
        <w:spacing w:after="0" w:line="117" w:lineRule="exact"/>
        <w:rPr>
          <w:sz w:val="20"/>
          <w:szCs w:val="20"/>
          <w:color w:val="auto"/>
        </w:rPr>
      </w:pPr>
    </w:p>
    <w:p>
      <w:pPr>
        <w:ind w:right="60" w:firstLine="542"/>
        <w:spacing w:after="0" w:line="253" w:lineRule="auto"/>
        <w:rPr>
          <w:sz w:val="20"/>
          <w:szCs w:val="20"/>
          <w:color w:val="auto"/>
        </w:rPr>
      </w:pPr>
      <w:r>
        <w:rPr>
          <w:rFonts w:ascii="Times New Roman" w:cs="Times New Roman" w:eastAsia="Times New Roman" w:hAnsi="Times New Roman"/>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10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5"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63"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3" w:lineRule="exact"/>
        <w:rPr>
          <w:sz w:val="20"/>
          <w:szCs w:val="20"/>
          <w:color w:val="auto"/>
        </w:rPr>
      </w:pPr>
    </w:p>
    <w:p>
      <w:pPr>
        <w:ind w:right="240" w:firstLine="542"/>
        <w:spacing w:after="0" w:line="267" w:lineRule="auto"/>
        <w:rPr>
          <w:sz w:val="20"/>
          <w:szCs w:val="20"/>
          <w:color w:val="auto"/>
        </w:rPr>
      </w:pPr>
      <w:r>
        <w:rPr>
          <w:rFonts w:ascii="Times New Roman" w:cs="Times New Roman" w:eastAsia="Times New Roman" w:hAnsi="Times New Roman"/>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63"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5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66" w:lineRule="exact"/>
        <w:rPr>
          <w:sz w:val="20"/>
          <w:szCs w:val="20"/>
          <w:color w:val="auto"/>
        </w:rPr>
      </w:pPr>
    </w:p>
    <w:p>
      <w:pPr>
        <w:jc w:val="both"/>
        <w:ind w:right="200" w:firstLine="542"/>
        <w:spacing w:after="0" w:line="267" w:lineRule="auto"/>
        <w:rPr>
          <w:sz w:val="20"/>
          <w:szCs w:val="20"/>
          <w:color w:val="auto"/>
        </w:rPr>
      </w:pPr>
      <w:r>
        <w:rPr>
          <w:rFonts w:ascii="Times New Roman" w:cs="Times New Roman" w:eastAsia="Times New Roman" w:hAnsi="Times New Roman"/>
          <w:sz w:val="17"/>
          <w:szCs w:val="17"/>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0" w:name="page91"/>
    <w:bookmarkEnd w:id="90"/>
    <w:p>
      <w:pPr>
        <w:ind w:right="500" w:firstLine="542"/>
        <w:spacing w:after="0" w:line="283" w:lineRule="auto"/>
        <w:rPr>
          <w:sz w:val="20"/>
          <w:szCs w:val="20"/>
          <w:color w:val="auto"/>
        </w:rPr>
      </w:pPr>
      <w:r>
        <w:rPr>
          <w:rFonts w:ascii="Times New Roman" w:cs="Times New Roman" w:eastAsia="Times New Roman" w:hAnsi="Times New Roman"/>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50" w:lineRule="exact"/>
        <w:rPr>
          <w:sz w:val="20"/>
          <w:szCs w:val="20"/>
          <w:color w:val="auto"/>
        </w:rPr>
      </w:pPr>
    </w:p>
    <w:p>
      <w:pPr>
        <w:ind w:left="660" w:hanging="121"/>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the manufacturing agreement by the third party or us;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agreement by the third party at a time that is costly or inconvenient for us;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early termination of the agreement by us at a time that requires us to pay a cancellation fee;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third party for regulatory compliance, quality assurance, safety and pharmacovigilance and related reporting;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produce required volume in a timely manner and to quality standards.</w:t>
      </w:r>
    </w:p>
    <w:p>
      <w:pPr>
        <w:spacing w:after="0" w:line="111"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0" w:lineRule="exact"/>
        <w:rPr>
          <w:sz w:val="20"/>
          <w:szCs w:val="20"/>
          <w:color w:val="auto"/>
        </w:rPr>
      </w:pPr>
    </w:p>
    <w:p>
      <w:pPr>
        <w:ind w:right="340" w:firstLine="542"/>
        <w:spacing w:after="0" w:line="283" w:lineRule="auto"/>
        <w:rPr>
          <w:sz w:val="20"/>
          <w:szCs w:val="20"/>
          <w:color w:val="auto"/>
        </w:rPr>
      </w:pPr>
      <w:r>
        <w:rPr>
          <w:rFonts w:ascii="Times New Roman" w:cs="Times New Roman" w:eastAsia="Times New Roman" w:hAnsi="Times New Roman"/>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0" w:lineRule="exact"/>
        <w:rPr>
          <w:sz w:val="20"/>
          <w:szCs w:val="20"/>
          <w:color w:val="auto"/>
        </w:rPr>
      </w:pPr>
    </w:p>
    <w:p>
      <w:pPr>
        <w:jc w:val="both"/>
        <w:ind w:right="160" w:firstLine="542"/>
        <w:spacing w:after="0" w:line="261"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70" w:lineRule="exact"/>
        <w:rPr>
          <w:sz w:val="20"/>
          <w:szCs w:val="20"/>
          <w:color w:val="auto"/>
        </w:rPr>
      </w:pPr>
    </w:p>
    <w:p>
      <w:pPr>
        <w:ind w:right="240" w:firstLine="542"/>
        <w:spacing w:after="0" w:line="283" w:lineRule="auto"/>
        <w:rPr>
          <w:sz w:val="20"/>
          <w:szCs w:val="20"/>
          <w:color w:val="auto"/>
        </w:rPr>
      </w:pPr>
      <w:r>
        <w:rPr>
          <w:rFonts w:ascii="Times New Roman" w:cs="Times New Roman" w:eastAsia="Times New Roman" w:hAnsi="Times New Roman"/>
          <w:sz w:val="17"/>
          <w:szCs w:val="17"/>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4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45"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7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45" w:lineRule="exact"/>
        <w:rPr>
          <w:sz w:val="20"/>
          <w:szCs w:val="20"/>
          <w:color w:val="auto"/>
        </w:rPr>
      </w:pPr>
    </w:p>
    <w:p>
      <w:pPr>
        <w:ind w:right="100" w:firstLine="542"/>
        <w:spacing w:after="0" w:line="255" w:lineRule="auto"/>
        <w:rPr>
          <w:sz w:val="20"/>
          <w:szCs w:val="20"/>
          <w:color w:val="auto"/>
        </w:rPr>
      </w:pPr>
      <w:r>
        <w:rPr>
          <w:rFonts w:ascii="Times New Roman" w:cs="Times New Roman" w:eastAsia="Times New Roman" w:hAnsi="Times New Roman"/>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i w:val="1"/>
          <w:iCs w:val="1"/>
          <w:color w:val="auto"/>
        </w:rPr>
        <w:t>We may depend on collaborations with third parties for the research, development and commercialization of certain of the product candidates we may develop.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any such collaborations are not successful, we may not be able to realize the market potential of those product candidates.</w:t>
      </w:r>
    </w:p>
    <w:p>
      <w:pPr>
        <w:spacing w:after="0" w:line="94"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Collaborations involving our product candidates we may develop, pose the following risks to us:</w:t>
      </w:r>
    </w:p>
    <w:p>
      <w:pPr>
        <w:spacing w:after="0" w:line="111" w:lineRule="exact"/>
        <w:rPr>
          <w:sz w:val="20"/>
          <w:szCs w:val="20"/>
          <w:color w:val="auto"/>
        </w:rPr>
      </w:pPr>
    </w:p>
    <w:p>
      <w:pPr>
        <w:ind w:left="660" w:hanging="121"/>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generally have significant discretion in determining the efforts and resources that they will apply to these collaborations;</w:t>
      </w:r>
    </w:p>
    <w:p>
      <w:pPr>
        <w:spacing w:after="0" w:line="111" w:lineRule="exact"/>
        <w:rPr>
          <w:rFonts w:ascii="Times New Roman" w:cs="Times New Roman" w:eastAsia="Times New Roman" w:hAnsi="Times New Roman"/>
          <w:sz w:val="17"/>
          <w:szCs w:val="17"/>
          <w:color w:val="auto"/>
        </w:rPr>
      </w:pPr>
    </w:p>
    <w:p>
      <w:pPr>
        <w:ind w:left="660" w:right="80" w:hanging="121"/>
        <w:spacing w:after="0" w:line="267"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3" w:lineRule="exact"/>
        <w:rPr>
          <w:rFonts w:ascii="Times New Roman" w:cs="Times New Roman" w:eastAsia="Times New Roman" w:hAnsi="Times New Roman"/>
          <w:sz w:val="17"/>
          <w:szCs w:val="17"/>
          <w:color w:val="auto"/>
        </w:rPr>
      </w:pPr>
    </w:p>
    <w:p>
      <w:pPr>
        <w:ind w:left="660" w:right="40" w:hanging="121"/>
        <w:spacing w:after="0" w:line="28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with respect to the ownership of intellectual property developed pursuant to collaborations;</w:t>
      </w:r>
    </w:p>
    <w:p>
      <w:pPr>
        <w:spacing w:after="0" w:line="111" w:lineRule="exact"/>
        <w:rPr>
          <w:rFonts w:ascii="Times New Roman" w:cs="Times New Roman" w:eastAsia="Times New Roman" w:hAnsi="Times New Roman"/>
          <w:sz w:val="17"/>
          <w:szCs w:val="17"/>
          <w:color w:val="auto"/>
        </w:rPr>
      </w:pPr>
    </w:p>
    <w:p>
      <w:pPr>
        <w:ind w:left="660" w:right="240" w:hanging="121"/>
        <w:spacing w:after="0" w:line="28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the cooperation of our collaborators to enforce or defend any intellectual property we contribute to or that arises out of our collaborations, which may not be provided to us;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11" w:lineRule="exact"/>
        <w:rPr>
          <w:rFonts w:ascii="Times New Roman" w:cs="Times New Roman" w:eastAsia="Times New Roman" w:hAnsi="Times New Roman"/>
          <w:sz w:val="17"/>
          <w:szCs w:val="17"/>
          <w:color w:val="auto"/>
        </w:rPr>
      </w:pPr>
    </w:p>
    <w:p>
      <w:pPr>
        <w:ind w:left="660" w:right="480" w:hanging="121"/>
        <w:spacing w:after="0" w:line="28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0" w:lineRule="exact"/>
        <w:rPr>
          <w:rFonts w:ascii="Times New Roman" w:cs="Times New Roman" w:eastAsia="Times New Roman" w:hAnsi="Times New Roman"/>
          <w:sz w:val="17"/>
          <w:szCs w:val="17"/>
          <w:color w:val="auto"/>
        </w:rPr>
      </w:pPr>
    </w:p>
    <w:p>
      <w:pPr>
        <w:ind w:left="660" w:right="200" w:hanging="121"/>
        <w:spacing w:after="0" w:line="267"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3" w:lineRule="exact"/>
        <w:rPr>
          <w:rFonts w:ascii="Times New Roman" w:cs="Times New Roman" w:eastAsia="Times New Roman" w:hAnsi="Times New Roman"/>
          <w:sz w:val="17"/>
          <w:szCs w:val="17"/>
          <w:color w:val="auto"/>
        </w:rPr>
      </w:pPr>
    </w:p>
    <w:p>
      <w:pPr>
        <w:ind w:left="660" w:hanging="121"/>
        <w:spacing w:after="0" w:line="28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50" w:lineRule="exact"/>
        <w:rPr>
          <w:rFonts w:ascii="Times New Roman" w:cs="Times New Roman" w:eastAsia="Times New Roman" w:hAnsi="Times New Roman"/>
          <w:sz w:val="17"/>
          <w:szCs w:val="17"/>
          <w:color w:val="auto"/>
        </w:rPr>
      </w:pPr>
    </w:p>
    <w:p>
      <w:pPr>
        <w:ind w:left="660" w:right="300" w:hanging="121"/>
        <w:spacing w:after="0" w:line="267"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3" w:lineRule="exact"/>
        <w:rPr>
          <w:rFonts w:ascii="Times New Roman" w:cs="Times New Roman" w:eastAsia="Times New Roman" w:hAnsi="Times New Roman"/>
          <w:sz w:val="17"/>
          <w:szCs w:val="17"/>
          <w:color w:val="auto"/>
        </w:rPr>
      </w:pPr>
    </w:p>
    <w:p>
      <w:pPr>
        <w:ind w:left="660" w:right="720" w:hanging="121"/>
        <w:spacing w:after="0" w:line="28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product candidates may not commit sufficient resources to the marketing and distribution of such product candidates;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certain valuable rights under circumstances identified in our collaborations, including if we undergo a change of control;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undergo a change of control and the new owners may decide to take the collaboration in a direction which is not in our best interest;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2" w:name="page93"/>
    <w:bookmarkEnd w:id="92"/>
    <w:p>
      <w:pPr>
        <w:ind w:left="660" w:right="160" w:hanging="121"/>
        <w:spacing w:after="0" w:line="283"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0" w:lineRule="exact"/>
        <w:rPr>
          <w:rFonts w:ascii="Times New Roman" w:cs="Times New Roman" w:eastAsia="Times New Roman" w:hAnsi="Times New Roman"/>
          <w:sz w:val="17"/>
          <w:szCs w:val="17"/>
          <w:color w:val="auto"/>
        </w:rPr>
      </w:pPr>
    </w:p>
    <w:p>
      <w:pPr>
        <w:ind w:left="660" w:right="380" w:hanging="121"/>
        <w:spacing w:after="0" w:line="283"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personnel at our collaborators may leave, which could negatively impact our ability to productively work with our collaborators;</w:t>
      </w:r>
    </w:p>
    <w:p>
      <w:pPr>
        <w:spacing w:after="0" w:line="111" w:lineRule="exact"/>
        <w:rPr>
          <w:rFonts w:ascii="Times New Roman" w:cs="Times New Roman" w:eastAsia="Times New Roman" w:hAnsi="Times New Roman"/>
          <w:sz w:val="17"/>
          <w:szCs w:val="17"/>
          <w:color w:val="auto"/>
        </w:rPr>
      </w:pPr>
    </w:p>
    <w:p>
      <w:pPr>
        <w:ind w:left="660" w:right="460" w:hanging="121"/>
        <w:spacing w:after="0" w:line="283"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require us to incur short and long-term expenditures, issue securities that dilute our stockholders, or disrupt our management and business;</w:t>
      </w:r>
    </w:p>
    <w:p>
      <w:pPr>
        <w:spacing w:after="0" w:line="50" w:lineRule="exact"/>
        <w:rPr>
          <w:rFonts w:ascii="Times New Roman" w:cs="Times New Roman" w:eastAsia="Times New Roman" w:hAnsi="Times New Roman"/>
          <w:sz w:val="17"/>
          <w:szCs w:val="17"/>
          <w:color w:val="auto"/>
        </w:rPr>
      </w:pPr>
    </w:p>
    <w:p>
      <w:pPr>
        <w:ind w:left="660" w:right="100" w:hanging="121"/>
        <w:spacing w:after="0" w:line="283"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 or our ABC Platform; and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product candidates in the most efficient manner or at all.</w:t>
      </w:r>
    </w:p>
    <w:p>
      <w:pPr>
        <w:spacing w:after="0" w:line="111"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4" w:lineRule="exact"/>
        <w:rPr>
          <w:sz w:val="20"/>
          <w:szCs w:val="20"/>
          <w:color w:val="auto"/>
        </w:rPr>
      </w:pPr>
    </w:p>
    <w:p>
      <w:pPr>
        <w:ind w:right="40" w:firstLine="542"/>
        <w:spacing w:after="0" w:line="255" w:lineRule="auto"/>
        <w:rPr>
          <w:sz w:val="20"/>
          <w:szCs w:val="20"/>
          <w:color w:val="auto"/>
        </w:rPr>
      </w:pPr>
      <w:r>
        <w:rPr>
          <w:rFonts w:ascii="Times New Roman" w:cs="Times New Roman" w:eastAsia="Times New Roman" w:hAnsi="Times New Roman"/>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0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2"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ind w:right="280"/>
        <w:spacing w:after="0" w:line="283" w:lineRule="auto"/>
        <w:rPr>
          <w:sz w:val="20"/>
          <w:szCs w:val="20"/>
          <w:color w:val="auto"/>
        </w:rPr>
      </w:pPr>
      <w:r>
        <w:rPr>
          <w:rFonts w:ascii="Times New Roman" w:cs="Times New Roman" w:eastAsia="Times New Roman" w:hAnsi="Times New Roman"/>
          <w:sz w:val="17"/>
          <w:szCs w:val="17"/>
          <w:color w:val="auto"/>
        </w:rPr>
        <w:t>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0"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1"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45"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70" w:lineRule="exact"/>
        <w:rPr>
          <w:sz w:val="20"/>
          <w:szCs w:val="20"/>
          <w:color w:val="auto"/>
        </w:rPr>
      </w:pPr>
    </w:p>
    <w:p>
      <w:pPr>
        <w:ind w:right="40" w:firstLine="542"/>
        <w:spacing w:after="0" w:line="256" w:lineRule="auto"/>
        <w:rPr>
          <w:sz w:val="20"/>
          <w:szCs w:val="20"/>
          <w:color w:val="auto"/>
        </w:rPr>
      </w:pPr>
      <w:r>
        <w:rPr>
          <w:rFonts w:ascii="Times New Roman" w:cs="Times New Roman" w:eastAsia="Times New Roman" w:hAnsi="Times New Roman"/>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74" w:lineRule="exact"/>
        <w:rPr>
          <w:sz w:val="20"/>
          <w:szCs w:val="20"/>
          <w:color w:val="auto"/>
        </w:rPr>
      </w:pPr>
    </w:p>
    <w:p>
      <w:pPr>
        <w:ind w:right="40" w:firstLine="542"/>
        <w:spacing w:after="0" w:line="253"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ind w:firstLine="542"/>
        <w:spacing w:after="0" w:line="267" w:lineRule="auto"/>
        <w:rPr>
          <w:sz w:val="20"/>
          <w:szCs w:val="20"/>
          <w:color w:val="auto"/>
        </w:rPr>
      </w:pPr>
      <w:r>
        <w:rPr>
          <w:rFonts w:ascii="Times New Roman" w:cs="Times New Roman" w:eastAsia="Times New Roman" w:hAnsi="Times New Roman"/>
          <w:sz w:val="17"/>
          <w:szCs w:val="17"/>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74"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3"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6"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5"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69"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45" w:lineRule="exact"/>
        <w:rPr>
          <w:sz w:val="20"/>
          <w:szCs w:val="20"/>
          <w:color w:val="auto"/>
        </w:rPr>
      </w:pPr>
    </w:p>
    <w:p>
      <w:pPr>
        <w:ind w:right="60" w:firstLine="542"/>
        <w:spacing w:after="0" w:line="257" w:lineRule="auto"/>
        <w:rPr>
          <w:sz w:val="20"/>
          <w:szCs w:val="20"/>
          <w:color w:val="auto"/>
        </w:rPr>
      </w:pPr>
      <w:r>
        <w:rPr>
          <w:rFonts w:ascii="Times New Roman" w:cs="Times New Roman" w:eastAsia="Times New Roman" w:hAnsi="Times New Roman"/>
          <w:sz w:val="17"/>
          <w:szCs w:val="17"/>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ind w:right="40" w:firstLine="542"/>
        <w:spacing w:after="0" w:line="255" w:lineRule="auto"/>
        <w:rPr>
          <w:sz w:val="20"/>
          <w:szCs w:val="20"/>
          <w:color w:val="auto"/>
        </w:rPr>
      </w:pPr>
      <w:r>
        <w:rPr>
          <w:rFonts w:ascii="Times New Roman" w:cs="Times New Roman" w:eastAsia="Times New Roman" w:hAnsi="Times New Roman"/>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80" w:firstLine="542"/>
        <w:spacing w:after="0" w:line="261" w:lineRule="auto"/>
        <w:rPr>
          <w:sz w:val="20"/>
          <w:szCs w:val="20"/>
          <w:color w:val="auto"/>
        </w:rPr>
      </w:pPr>
      <w:r>
        <w:rPr>
          <w:rFonts w:ascii="Times New Roman" w:cs="Times New Roman" w:eastAsia="Times New Roman" w:hAnsi="Times New Roman"/>
          <w:sz w:val="17"/>
          <w:szCs w:val="17"/>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79"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3" w:lineRule="exact"/>
        <w:rPr>
          <w:sz w:val="20"/>
          <w:szCs w:val="20"/>
          <w:color w:val="auto"/>
        </w:rPr>
      </w:pPr>
    </w:p>
    <w:p>
      <w:pPr>
        <w:ind w:right="20" w:firstLine="542"/>
        <w:spacing w:after="0" w:line="259" w:lineRule="auto"/>
        <w:rPr>
          <w:sz w:val="20"/>
          <w:szCs w:val="20"/>
          <w:color w:val="auto"/>
        </w:rPr>
      </w:pPr>
      <w:r>
        <w:rPr>
          <w:rFonts w:ascii="Times New Roman" w:cs="Times New Roman" w:eastAsia="Times New Roman" w:hAnsi="Times New Roman"/>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0"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and data exclusivity for any product candidates we may develop, our business may be materially harmed.</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6" w:name="page97"/>
    <w:bookmarkEnd w:id="96"/>
    <w:p>
      <w:pPr>
        <w:ind w:right="140"/>
        <w:spacing w:after="0" w:line="267" w:lineRule="auto"/>
        <w:rPr>
          <w:sz w:val="20"/>
          <w:szCs w:val="20"/>
          <w:color w:val="auto"/>
        </w:rPr>
      </w:pPr>
      <w:r>
        <w:rPr>
          <w:rFonts w:ascii="Times New Roman" w:cs="Times New Roman" w:eastAsia="Times New Roman" w:hAnsi="Times New Roman"/>
          <w:sz w:val="17"/>
          <w:szCs w:val="17"/>
          <w:color w:val="auto"/>
        </w:rPr>
        <w:t>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70" w:lineRule="exact"/>
        <w:rPr>
          <w:sz w:val="20"/>
          <w:szCs w:val="20"/>
          <w:color w:val="auto"/>
        </w:rPr>
      </w:pPr>
    </w:p>
    <w:p>
      <w:pPr>
        <w:ind w:firstLine="542"/>
        <w:spacing w:after="0" w:line="253" w:lineRule="auto"/>
        <w:rPr>
          <w:sz w:val="20"/>
          <w:szCs w:val="20"/>
          <w:color w:val="auto"/>
        </w:rPr>
      </w:pPr>
      <w:r>
        <w:rPr>
          <w:rFonts w:ascii="Times New Roman" w:cs="Times New Roman" w:eastAsia="Times New Roman" w:hAnsi="Times New Roman"/>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79"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45"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73"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7" w:name="page98"/>
    <w:bookmarkEnd w:id="97"/>
    <w:p>
      <w:pPr>
        <w:ind w:right="200"/>
        <w:spacing w:after="0" w:line="261" w:lineRule="auto"/>
        <w:rPr>
          <w:sz w:val="20"/>
          <w:szCs w:val="20"/>
          <w:color w:val="auto"/>
        </w:rPr>
      </w:pPr>
      <w:r>
        <w:rPr>
          <w:rFonts w:ascii="Times New Roman" w:cs="Times New Roman" w:eastAsia="Times New Roman" w:hAnsi="Times New Roman"/>
          <w:sz w:val="17"/>
          <w:szCs w:val="17"/>
          <w:color w:val="auto"/>
        </w:rPr>
        <w:t>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66" w:lineRule="exact"/>
        <w:rPr>
          <w:sz w:val="20"/>
          <w:szCs w:val="20"/>
          <w:color w:val="auto"/>
        </w:rPr>
      </w:pPr>
    </w:p>
    <w:p>
      <w:pPr>
        <w:ind w:right="7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4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0"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post-grant review have been implemented. As stated above, this reform adds uncertainty to the possibility of challenge to our patents in the future.</w:t>
      </w:r>
    </w:p>
    <w:p>
      <w:pPr>
        <w:spacing w:after="0" w:line="73" w:lineRule="exact"/>
        <w:rPr>
          <w:sz w:val="20"/>
          <w:szCs w:val="20"/>
          <w:color w:val="auto"/>
        </w:rPr>
      </w:pPr>
    </w:p>
    <w:p>
      <w:pPr>
        <w:ind w:right="20" w:firstLine="542"/>
        <w:spacing w:after="0" w:line="254" w:lineRule="auto"/>
        <w:rPr>
          <w:sz w:val="20"/>
          <w:szCs w:val="20"/>
          <w:color w:val="auto"/>
        </w:rPr>
      </w:pPr>
      <w:r>
        <w:rPr>
          <w:rFonts w:ascii="Times New Roman" w:cs="Times New Roman" w:eastAsia="Times New Roman" w:hAnsi="Times New Roman"/>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5"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78"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8" w:name="page99"/>
    <w:bookmarkEnd w:id="98"/>
    <w:p>
      <w:pPr>
        <w:ind w:right="80" w:firstLine="542"/>
        <w:spacing w:after="0" w:line="267" w:lineRule="auto"/>
        <w:rPr>
          <w:sz w:val="20"/>
          <w:szCs w:val="20"/>
          <w:color w:val="auto"/>
        </w:rPr>
      </w:pPr>
      <w:r>
        <w:rPr>
          <w:rFonts w:ascii="Times New Roman" w:cs="Times New Roman" w:eastAsia="Times New Roman" w:hAnsi="Times New Roman"/>
          <w:sz w:val="17"/>
          <w:szCs w:val="17"/>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63" w:lineRule="exact"/>
        <w:rPr>
          <w:sz w:val="20"/>
          <w:szCs w:val="20"/>
          <w:color w:val="auto"/>
        </w:rPr>
      </w:pPr>
    </w:p>
    <w:p>
      <w:pPr>
        <w:ind w:right="20" w:firstLine="542"/>
        <w:spacing w:after="0" w:line="254" w:lineRule="auto"/>
        <w:rPr>
          <w:sz w:val="20"/>
          <w:szCs w:val="20"/>
          <w:color w:val="auto"/>
        </w:rPr>
      </w:pPr>
      <w:r>
        <w:rPr>
          <w:rFonts w:ascii="Times New Roman" w:cs="Times New Roman" w:eastAsia="Times New Roman" w:hAnsi="Times New Roman"/>
          <w:sz w:val="17"/>
          <w:szCs w:val="17"/>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8"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6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and other intellectual property rights, which could be expensive, time consuming and unsuccessful.</w:t>
      </w:r>
    </w:p>
    <w:p>
      <w:pPr>
        <w:spacing w:after="0" w:line="45"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6" w:lineRule="exact"/>
        <w:rPr>
          <w:sz w:val="20"/>
          <w:szCs w:val="20"/>
          <w:color w:val="auto"/>
        </w:rPr>
      </w:pPr>
    </w:p>
    <w:p>
      <w:pPr>
        <w:ind w:right="60" w:firstLine="542"/>
        <w:spacing w:after="0" w:line="273" w:lineRule="auto"/>
        <w:rPr>
          <w:sz w:val="20"/>
          <w:szCs w:val="20"/>
          <w:color w:val="auto"/>
        </w:rPr>
      </w:pPr>
      <w:r>
        <w:rPr>
          <w:rFonts w:ascii="Times New Roman" w:cs="Times New Roman" w:eastAsia="Times New Roman" w:hAnsi="Times New Roman"/>
          <w:sz w:val="16"/>
          <w:szCs w:val="16"/>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17"/>
          <w:szCs w:val="17"/>
          <w:color w:val="auto"/>
        </w:rPr>
        <w:t>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17" w:lineRule="exact"/>
        <w:rPr>
          <w:sz w:val="20"/>
          <w:szCs w:val="20"/>
          <w:color w:val="auto"/>
        </w:rPr>
      </w:pPr>
    </w:p>
    <w:p>
      <w:pPr>
        <w:ind w:right="300" w:firstLine="542"/>
        <w:spacing w:after="0" w:line="283"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660" w:right="20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our product candidates or utilize similar technology but that are not covered by the claims of the patents that we may license or own;</w:t>
      </w:r>
    </w:p>
    <w:p>
      <w:pPr>
        <w:spacing w:after="0" w:line="50" w:lineRule="exact"/>
        <w:rPr>
          <w:rFonts w:ascii="Times New Roman" w:cs="Times New Roman" w:eastAsia="Times New Roman" w:hAnsi="Times New Roman"/>
          <w:sz w:val="17"/>
          <w:szCs w:val="17"/>
          <w:color w:val="auto"/>
        </w:rPr>
      </w:pPr>
    </w:p>
    <w:p>
      <w:pPr>
        <w:ind w:left="660" w:right="8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licensors or collaborators, might not have been the first to make the inventions covered by the issued patent or pending patent application that we license or own now or in the future;</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licensors or collaborators, might not have been the first to file patent applications covering certain of our or their inventions;</w:t>
      </w:r>
    </w:p>
    <w:p>
      <w:pPr>
        <w:spacing w:after="0" w:line="111" w:lineRule="exact"/>
        <w:rPr>
          <w:rFonts w:ascii="Times New Roman" w:cs="Times New Roman" w:eastAsia="Times New Roman" w:hAnsi="Times New Roman"/>
          <w:sz w:val="17"/>
          <w:szCs w:val="17"/>
          <w:color w:val="auto"/>
        </w:rPr>
      </w:pPr>
    </w:p>
    <w:p>
      <w:pPr>
        <w:ind w:left="660" w:right="50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owned or licensed intellectual property rights;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current or future pending owned or licensed patent applications will not lead to issued patents;</w:t>
      </w:r>
    </w:p>
    <w:p>
      <w:pPr>
        <w:spacing w:after="0" w:line="111" w:lineRule="exact"/>
        <w:rPr>
          <w:rFonts w:ascii="Times New Roman" w:cs="Times New Roman" w:eastAsia="Times New Roman" w:hAnsi="Times New Roman"/>
          <w:sz w:val="17"/>
          <w:szCs w:val="17"/>
          <w:color w:val="auto"/>
        </w:rPr>
      </w:pPr>
    </w:p>
    <w:p>
      <w:pPr>
        <w:ind w:left="660" w:right="46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may be held invalid or unenforceable, including as a result of legal challenges by our competitors or other third parties;</w:t>
      </w:r>
    </w:p>
    <w:p>
      <w:pPr>
        <w:spacing w:after="0" w:line="50" w:lineRule="exact"/>
        <w:rPr>
          <w:rFonts w:ascii="Times New Roman" w:cs="Times New Roman" w:eastAsia="Times New Roman" w:hAnsi="Times New Roman"/>
          <w:sz w:val="17"/>
          <w:szCs w:val="17"/>
          <w:color w:val="auto"/>
        </w:rPr>
      </w:pPr>
    </w:p>
    <w:p>
      <w:pPr>
        <w:ind w:left="660" w:right="12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111" w:lineRule="exact"/>
        <w:rPr>
          <w:rFonts w:ascii="Times New Roman" w:cs="Times New Roman" w:eastAsia="Times New Roman" w:hAnsi="Times New Roman"/>
          <w:sz w:val="17"/>
          <w:szCs w:val="17"/>
          <w:color w:val="auto"/>
        </w:rPr>
      </w:pPr>
    </w:p>
    <w:p>
      <w:pPr>
        <w:ind w:left="660" w:right="160" w:hanging="121"/>
        <w:spacing w:after="0" w:line="283"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know-how, and a third party may subsequently file a patent covering such intellectual property.</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Should any of these events occur, they could have a material adverse effect on our business, financial condition, results of operations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10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0" w:lineRule="exact"/>
        <w:rPr>
          <w:sz w:val="20"/>
          <w:szCs w:val="20"/>
          <w:color w:val="auto"/>
        </w:rPr>
      </w:pPr>
    </w:p>
    <w:p>
      <w:pPr>
        <w:ind w:right="260" w:firstLine="542"/>
        <w:spacing w:after="0" w:line="283" w:lineRule="auto"/>
        <w:rPr>
          <w:sz w:val="20"/>
          <w:szCs w:val="20"/>
          <w:color w:val="auto"/>
        </w:rPr>
      </w:pPr>
      <w:r>
        <w:rPr>
          <w:rFonts w:ascii="Times New Roman" w:cs="Times New Roman" w:eastAsia="Times New Roman" w:hAnsi="Times New Roman"/>
          <w:sz w:val="17"/>
          <w:szCs w:val="17"/>
          <w:color w:val="auto"/>
        </w:rPr>
        <w:t>We conduct our U.S. operations at our facilities in Palo Alto, California, in a region that is headquarters to many other biopharmaceutical companies and many academic and research institutions. Competition for skilled personnel is intense and</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0" w:name="page101"/>
    <w:bookmarkEnd w:id="100"/>
    <w:p>
      <w:pPr>
        <w:ind w:right="140"/>
        <w:spacing w:after="0" w:line="283" w:lineRule="auto"/>
        <w:rPr>
          <w:sz w:val="20"/>
          <w:szCs w:val="20"/>
          <w:color w:val="auto"/>
        </w:rPr>
      </w:pPr>
      <w:r>
        <w:rPr>
          <w:rFonts w:ascii="Times New Roman" w:cs="Times New Roman" w:eastAsia="Times New Roman" w:hAnsi="Times New Roman"/>
          <w:sz w:val="17"/>
          <w:szCs w:val="17"/>
          <w:color w:val="auto"/>
        </w:rPr>
        <w:t>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50"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60" w:firstLine="542"/>
        <w:spacing w:after="0" w:line="267" w:lineRule="auto"/>
        <w:rPr>
          <w:sz w:val="20"/>
          <w:szCs w:val="20"/>
          <w:color w:val="auto"/>
        </w:rPr>
      </w:pPr>
      <w:r>
        <w:rPr>
          <w:rFonts w:ascii="Times New Roman" w:cs="Times New Roman" w:eastAsia="Times New Roman" w:hAnsi="Times New Roman"/>
          <w:sz w:val="17"/>
          <w:szCs w:val="17"/>
          <w:color w:val="auto"/>
        </w:rPr>
        <w:t>As of February 19, 2021, we had 72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63" w:lineRule="exact"/>
        <w:rPr>
          <w:sz w:val="20"/>
          <w:szCs w:val="20"/>
          <w:color w:val="auto"/>
        </w:rPr>
      </w:pPr>
    </w:p>
    <w:p>
      <w:pPr>
        <w:ind w:left="660" w:hanging="121"/>
        <w:spacing w:after="0"/>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retaining and motivating additional employees;</w:t>
      </w:r>
    </w:p>
    <w:p>
      <w:pPr>
        <w:spacing w:after="0" w:line="111" w:lineRule="exact"/>
        <w:rPr>
          <w:rFonts w:ascii="Times New Roman" w:cs="Times New Roman" w:eastAsia="Times New Roman" w:hAnsi="Times New Roman"/>
          <w:sz w:val="17"/>
          <w:szCs w:val="17"/>
          <w:color w:val="auto"/>
        </w:rPr>
      </w:pPr>
    </w:p>
    <w:p>
      <w:pPr>
        <w:ind w:left="660" w:right="100" w:hanging="121"/>
        <w:spacing w:after="0" w:line="283"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our operational, financial and management controls, reporting systems and procedures;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increasing operational and managerial complexity.</w:t>
      </w:r>
    </w:p>
    <w:p>
      <w:pPr>
        <w:spacing w:after="0" w:line="111" w:lineRule="exact"/>
        <w:rPr>
          <w:sz w:val="20"/>
          <w:szCs w:val="20"/>
          <w:color w:val="auto"/>
        </w:rPr>
      </w:pPr>
    </w:p>
    <w:p>
      <w:pPr>
        <w:jc w:val="both"/>
        <w:ind w:right="60" w:firstLine="542"/>
        <w:spacing w:after="0" w:line="267" w:lineRule="auto"/>
        <w:rPr>
          <w:sz w:val="20"/>
          <w:szCs w:val="20"/>
          <w:color w:val="auto"/>
        </w:rPr>
      </w:pPr>
      <w:r>
        <w:rPr>
          <w:rFonts w:ascii="Times New Roman" w:cs="Times New Roman" w:eastAsia="Times New Roman" w:hAnsi="Times New Roman"/>
          <w:sz w:val="17"/>
          <w:szCs w:val="17"/>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63"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73" w:lineRule="exact"/>
        <w:rPr>
          <w:sz w:val="20"/>
          <w:szCs w:val="20"/>
          <w:color w:val="auto"/>
        </w:rPr>
      </w:pPr>
    </w:p>
    <w:p>
      <w:pPr>
        <w:ind w:right="120" w:firstLine="542"/>
        <w:spacing w:after="0" w:line="267"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5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45" w:lineRule="exact"/>
        <w:rPr>
          <w:sz w:val="20"/>
          <w:szCs w:val="20"/>
          <w:color w:val="auto"/>
        </w:rPr>
      </w:pPr>
    </w:p>
    <w:p>
      <w:pPr>
        <w:ind w:right="560" w:firstLine="542"/>
        <w:spacing w:after="0" w:line="283" w:lineRule="auto"/>
        <w:rPr>
          <w:sz w:val="20"/>
          <w:szCs w:val="20"/>
          <w:color w:val="auto"/>
        </w:rPr>
      </w:pPr>
      <w:r>
        <w:rPr>
          <w:rFonts w:ascii="Times New Roman" w:cs="Times New Roman" w:eastAsia="Times New Roman" w:hAnsi="Times New Roman"/>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50" w:lineRule="exact"/>
        <w:rPr>
          <w:sz w:val="20"/>
          <w:szCs w:val="20"/>
          <w:color w:val="auto"/>
        </w:rPr>
      </w:pPr>
    </w:p>
    <w:p>
      <w:pPr>
        <w:ind w:left="660" w:hanging="121"/>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indebtedness or contingent liabilities;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 which would result in dilution to our stockholders;</w:t>
      </w:r>
    </w:p>
    <w:p>
      <w:pPr>
        <w:spacing w:after="0" w:line="111" w:lineRule="exact"/>
        <w:rPr>
          <w:rFonts w:ascii="Times New Roman" w:cs="Times New Roman" w:eastAsia="Times New Roman" w:hAnsi="Times New Roman"/>
          <w:sz w:val="17"/>
          <w:szCs w:val="17"/>
          <w:color w:val="auto"/>
        </w:rPr>
      </w:pPr>
    </w:p>
    <w:p>
      <w:pPr>
        <w:ind w:left="660" w:right="40" w:hanging="121"/>
        <w:spacing w:after="0" w:line="283" w:lineRule="auto"/>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products and product candidates of an acquired company, including difficulties associated with integrating new personnel;</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candidates and initiatives in pursuing such an acquisition or strategic partnership;</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ind w:left="660" w:hanging="121"/>
        <w:spacing w:after="0"/>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111" w:lineRule="exact"/>
        <w:rPr>
          <w:rFonts w:ascii="Times New Roman" w:cs="Times New Roman" w:eastAsia="Times New Roman" w:hAnsi="Times New Roman"/>
          <w:sz w:val="17"/>
          <w:szCs w:val="17"/>
          <w:color w:val="auto"/>
        </w:rPr>
      </w:pPr>
    </w:p>
    <w:p>
      <w:pPr>
        <w:ind w:left="660" w:right="320" w:hanging="121"/>
        <w:spacing w:after="0" w:line="283" w:lineRule="auto"/>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50" w:lineRule="exact"/>
        <w:rPr>
          <w:rFonts w:ascii="Times New Roman" w:cs="Times New Roman" w:eastAsia="Times New Roman" w:hAnsi="Times New Roman"/>
          <w:sz w:val="17"/>
          <w:szCs w:val="17"/>
          <w:color w:val="auto"/>
        </w:rPr>
      </w:pPr>
    </w:p>
    <w:p>
      <w:pPr>
        <w:ind w:left="660" w:right="340" w:hanging="121"/>
        <w:spacing w:after="0" w:line="283" w:lineRule="auto"/>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intellectual property, technology and/or products sufficient to meet our objectives or even to offset the associated transaction and maintenance costs.</w:t>
      </w:r>
    </w:p>
    <w:p>
      <w:pPr>
        <w:spacing w:after="0" w:line="50" w:lineRule="exact"/>
        <w:rPr>
          <w:sz w:val="20"/>
          <w:szCs w:val="20"/>
          <w:color w:val="auto"/>
        </w:rPr>
      </w:pPr>
    </w:p>
    <w:p>
      <w:pPr>
        <w:ind w:right="300" w:firstLine="542"/>
        <w:spacing w:after="0" w:line="283" w:lineRule="auto"/>
        <w:rPr>
          <w:sz w:val="20"/>
          <w:szCs w:val="20"/>
          <w:color w:val="auto"/>
        </w:rPr>
      </w:pPr>
      <w:r>
        <w:rPr>
          <w:rFonts w:ascii="Times New Roman" w:cs="Times New Roman" w:eastAsia="Times New Roman" w:hAnsi="Times New Roman"/>
          <w:sz w:val="17"/>
          <w:szCs w:val="17"/>
          <w:color w:val="auto"/>
        </w:rPr>
        <w:t>In addition, if we undertake such a transaction, we may incur large one-time expenses and acquire intangible assets that could result in significant future amortization expense.</w:t>
      </w:r>
    </w:p>
    <w:p>
      <w:pPr>
        <w:spacing w:after="0" w:line="14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used by our third-party research institution collaborators, CROs or other contractors or consultants, may fail or suffer a cybersecurity incident that could harm our business.</w:t>
      </w:r>
    </w:p>
    <w:p>
      <w:pPr>
        <w:spacing w:after="0" w:line="45"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with which we work,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73"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While we have developed systems and processes designed to protect the integrity, confidentiality and security of the confidential and personal information under our control, we cannot assure you that our security measures or those of the third parties we depend on will be effective in preventing cybersecurity incidents. There are many different and rapidly evolving cybercrime and hacking techniques, and we may be unable to anticipate attempted security breaches, identify them before our information is exploited, or react in a timely manner.</w:t>
      </w:r>
    </w:p>
    <w:p>
      <w:pPr>
        <w:spacing w:after="0" w:line="70"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Additionally, 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Although to our knowledge, we have not experienced a material system failure or cybersecurity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73"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Cybersecurity incidents and any unauthorized access or disclosure of our information or intellectual property could also compromise our intellectual property, expose sensitive business information, expose the personal information of our employees, require us to incur significant remediation costs, disrupt key business operations and divert attention of management and key information technology resources. Such incidents could also subject us to significant liability, harm our competitive position and delay the further development and commercialization of our product candidates.</w:t>
      </w:r>
    </w:p>
    <w:p>
      <w:pPr>
        <w:spacing w:after="0" w:line="70" w:lineRule="exact"/>
        <w:rPr>
          <w:sz w:val="20"/>
          <w:szCs w:val="20"/>
          <w:color w:val="auto"/>
        </w:rPr>
      </w:pPr>
    </w:p>
    <w:p>
      <w:pPr>
        <w:ind w:right="220" w:firstLine="542"/>
        <w:spacing w:after="0" w:line="261" w:lineRule="auto"/>
        <w:rPr>
          <w:sz w:val="20"/>
          <w:szCs w:val="20"/>
          <w:color w:val="auto"/>
        </w:rPr>
      </w:pPr>
      <w:r>
        <w:rPr>
          <w:rFonts w:ascii="Times New Roman" w:cs="Times New Roman" w:eastAsia="Times New Roman" w:hAnsi="Times New Roman"/>
          <w:sz w:val="17"/>
          <w:szCs w:val="17"/>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firstLine="542"/>
        <w:spacing w:after="0" w:line="254" w:lineRule="auto"/>
        <w:rPr>
          <w:sz w:val="20"/>
          <w:szCs w:val="20"/>
          <w:color w:val="auto"/>
        </w:rPr>
      </w:pPr>
      <w:r>
        <w:rPr>
          <w:rFonts w:ascii="Times New Roman" w:cs="Times New Roman" w:eastAsia="Times New Roman" w:hAnsi="Times New Roman"/>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5" w:lineRule="exact"/>
        <w:rPr>
          <w:sz w:val="20"/>
          <w:szCs w:val="20"/>
          <w:color w:val="auto"/>
        </w:rPr>
      </w:pPr>
    </w:p>
    <w:p>
      <w:pPr>
        <w:ind w:right="140" w:firstLine="542"/>
        <w:spacing w:after="0" w:line="261" w:lineRule="auto"/>
        <w:rPr>
          <w:sz w:val="20"/>
          <w:szCs w:val="20"/>
          <w:color w:val="auto"/>
        </w:rPr>
      </w:pPr>
      <w:r>
        <w:rPr>
          <w:rFonts w:ascii="Times New Roman" w:cs="Times New Roman" w:eastAsia="Times New Roman" w:hAnsi="Times New Roman"/>
          <w:sz w:val="17"/>
          <w:szCs w:val="17"/>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0" w:lineRule="exact"/>
        <w:rPr>
          <w:sz w:val="20"/>
          <w:szCs w:val="20"/>
          <w:color w:val="auto"/>
        </w:rPr>
      </w:pPr>
    </w:p>
    <w:p>
      <w:pPr>
        <w:ind w:right="160" w:firstLine="542"/>
        <w:spacing w:after="0" w:line="267" w:lineRule="auto"/>
        <w:rPr>
          <w:sz w:val="20"/>
          <w:szCs w:val="20"/>
          <w:color w:val="auto"/>
        </w:rPr>
      </w:pPr>
      <w:r>
        <w:rPr>
          <w:rFonts w:ascii="Times New Roman" w:cs="Times New Roman" w:eastAsia="Times New Roman" w:hAnsi="Times New Roman"/>
          <w:sz w:val="17"/>
          <w:szCs w:val="17"/>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0" w:firstLine="542"/>
        <w:spacing w:after="0" w:line="283" w:lineRule="auto"/>
        <w:rPr>
          <w:sz w:val="20"/>
          <w:szCs w:val="20"/>
          <w:color w:val="auto"/>
        </w:rPr>
      </w:pPr>
      <w:r>
        <w:rPr>
          <w:rFonts w:ascii="Times New Roman" w:cs="Times New Roman" w:eastAsia="Times New Roman" w:hAnsi="Times New Roman"/>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0" w:lineRule="exact"/>
        <w:rPr>
          <w:sz w:val="20"/>
          <w:szCs w:val="20"/>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non-U.S. economies and markets;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and changing regulatory requirements, pricing and reimbursement regimes in non-U.S. countries;</w:t>
      </w:r>
    </w:p>
    <w:p>
      <w:pPr>
        <w:spacing w:after="0" w:line="111" w:lineRule="exact"/>
        <w:rPr>
          <w:rFonts w:ascii="Times New Roman" w:cs="Times New Roman" w:eastAsia="Times New Roman" w:hAnsi="Times New Roman"/>
          <w:sz w:val="17"/>
          <w:szCs w:val="17"/>
          <w:color w:val="auto"/>
        </w:rPr>
      </w:pPr>
    </w:p>
    <w:p>
      <w:pPr>
        <w:ind w:left="660" w:right="520" w:hanging="121"/>
        <w:spacing w:after="0" w:line="283"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compliance with non-U.S. laws and regulations;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non-U.S. regulations and customs, tariffs and trade barriers;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non-U.S. currency exchange rates and currency controls;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or economic environment;</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import or export licensing requirements or other restrictive actions by U.S. or non-U.S. governments;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consequences from changes in tax laws;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United States;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under the FCPA or comparable foreign laws;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and terrorism or natural disasters.</w:t>
      </w:r>
    </w:p>
    <w:p>
      <w:pPr>
        <w:spacing w:after="0" w:line="111" w:lineRule="exact"/>
        <w:rPr>
          <w:sz w:val="20"/>
          <w:szCs w:val="20"/>
          <w:color w:val="auto"/>
        </w:rPr>
      </w:pPr>
    </w:p>
    <w:p>
      <w:pPr>
        <w:ind w:right="200" w:firstLine="542"/>
        <w:spacing w:after="0" w:line="283" w:lineRule="auto"/>
        <w:rPr>
          <w:sz w:val="20"/>
          <w:szCs w:val="20"/>
          <w:color w:val="auto"/>
        </w:rPr>
      </w:pPr>
      <w:r>
        <w:rPr>
          <w:rFonts w:ascii="Times New Roman" w:cs="Times New Roman" w:eastAsia="Times New Roman" w:hAnsi="Times New Roman"/>
          <w:sz w:val="17"/>
          <w:szCs w:val="17"/>
          <w:color w:val="auto"/>
        </w:rPr>
        <w:t>Following the result of a referendum in 2016, the United Kingdom, or UK, left the European Union, or EU, on January 31, 2020, commonly referred to as Brexit. Pursuant to the formal withdrawal arrangements agreed between the UK and the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3" w:name="page104"/>
    <w:bookmarkEnd w:id="103"/>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63" w:lineRule="exact"/>
        <w:rPr>
          <w:sz w:val="20"/>
          <w:szCs w:val="20"/>
          <w:color w:val="auto"/>
        </w:rPr>
      </w:pPr>
    </w:p>
    <w:p>
      <w:pPr>
        <w:ind w:right="40" w:firstLine="542"/>
        <w:spacing w:after="0" w:line="256" w:lineRule="auto"/>
        <w:rPr>
          <w:sz w:val="20"/>
          <w:szCs w:val="20"/>
          <w:color w:val="auto"/>
        </w:rPr>
      </w:pPr>
      <w:r>
        <w:rPr>
          <w:rFonts w:ascii="Times New Roman" w:cs="Times New Roman" w:eastAsia="Times New Roman" w:hAnsi="Times New Roman"/>
          <w:sz w:val="17"/>
          <w:szCs w:val="17"/>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would delay or prevent us from commercializing our product candidates in the UK or the EU and restrict our ability to generate revenue and achieve and sustain profitability.</w:t>
      </w:r>
    </w:p>
    <w:p>
      <w:pPr>
        <w:spacing w:after="0" w:line="74"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These and other risks associated with our planned international operations may materially adversely affect our ability to attain profitable operations.</w:t>
      </w:r>
    </w:p>
    <w:p>
      <w:pPr>
        <w:spacing w:after="0" w:line="20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62"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Our business could be materially and adversely affected by health epidemics in regions where we have concentrations of clinical trial sites or other business operations and could cause significant disruption in the operations of third 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 To date, we have observed minimal disruption resulting from the evolving effects of the COVID-19 pandemic, and we and our key clinical and manufacturing partners have been able to continue to advance our operations. during the pandemic towards achieving our “2022 Vision.”</w:t>
      </w:r>
    </w:p>
    <w:p>
      <w:pPr>
        <w:spacing w:after="0" w:line="76"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The COVID-19 pandemic continues to unfold and we will continue to monitor our operations in response. We continue to observe government recommendations and may elect to temporarily close our office and/or laboratory space to protect our employees.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w:t>
      </w:r>
    </w:p>
    <w:p>
      <w:pPr>
        <w:spacing w:after="0" w:line="70"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may and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ind w:right="400"/>
        <w:spacing w:after="0" w:line="267" w:lineRule="auto"/>
        <w:rPr>
          <w:sz w:val="20"/>
          <w:szCs w:val="20"/>
          <w:color w:val="auto"/>
        </w:rPr>
      </w:pPr>
      <w:r>
        <w:rPr>
          <w:rFonts w:ascii="Times New Roman" w:cs="Times New Roman" w:eastAsia="Times New Roman" w:hAnsi="Times New Roman"/>
          <w:sz w:val="17"/>
          <w:szCs w:val="17"/>
          <w:color w:val="auto"/>
        </w:rPr>
        <w:t>outbreak. To date, we are seeing low levels of patient missed visits (&lt;5%).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63" w:lineRule="exact"/>
        <w:rPr>
          <w:sz w:val="20"/>
          <w:szCs w:val="20"/>
          <w:color w:val="auto"/>
        </w:rPr>
      </w:pPr>
    </w:p>
    <w:p>
      <w:pPr>
        <w:ind w:right="480" w:firstLine="542"/>
        <w:spacing w:after="0" w:line="283" w:lineRule="auto"/>
        <w:rPr>
          <w:sz w:val="20"/>
          <w:szCs w:val="20"/>
          <w:color w:val="auto"/>
        </w:rPr>
      </w:pPr>
      <w:r>
        <w:rPr>
          <w:rFonts w:ascii="Times New Roman" w:cs="Times New Roman" w:eastAsia="Times New Roman" w:hAnsi="Times New Roman"/>
          <w:sz w:val="17"/>
          <w:szCs w:val="17"/>
          <w:color w:val="auto"/>
        </w:rPr>
        <w:t>The global outbreak of COVID-19 continues to rapidly evolve. The ultimate impact of the COVID-19 outbreak or a similar health epidemic is highly uncertain and subject to change.</w:t>
      </w:r>
    </w:p>
    <w:p>
      <w:pPr>
        <w:spacing w:after="0" w:line="5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in the U.S. and in other countries, business closures or business disruptions and the effectiveness of actions taken in the U.S. and in other countries to contain and treat the disease, including the effectiveness and timing of vaccine programs in the U.S. and worldwide. The COVID-19 pandemic may also have the effect of heightening many of the other risks described in this “Risk Factors” section.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As of December 31, 2020, the Company had $50.1 million of federal and $171.0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6"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Financial Condition and Capital Requirements</w:t>
      </w:r>
    </w:p>
    <w:p>
      <w:pPr>
        <w:spacing w:after="0" w:line="10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45"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5" w:name="page106"/>
    <w:bookmarkEnd w:id="105"/>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45" w:lineRule="exact"/>
        <w:rPr>
          <w:sz w:val="20"/>
          <w:szCs w:val="20"/>
          <w:color w:val="auto"/>
        </w:rPr>
      </w:pPr>
    </w:p>
    <w:p>
      <w:pPr>
        <w:ind w:right="360" w:firstLine="542"/>
        <w:spacing w:after="0" w:line="283" w:lineRule="auto"/>
        <w:rPr>
          <w:sz w:val="20"/>
          <w:szCs w:val="20"/>
          <w:color w:val="auto"/>
        </w:rPr>
      </w:pPr>
      <w:r>
        <w:rPr>
          <w:rFonts w:ascii="Times New Roman" w:cs="Times New Roman" w:eastAsia="Times New Roman" w:hAnsi="Times New Roman"/>
          <w:sz w:val="17"/>
          <w:szCs w:val="17"/>
          <w:color w:val="auto"/>
        </w:rPr>
        <w:t>We have incurred net losses in each reporting period since our inception, including net losses of $133.1 million, $47.4 million and $41.4 million for the years ended December 31, 2020, 2019 and 2018, respectively. As of December 31, 2020, we had an accumulated deficit of $291.2 million.</w:t>
      </w:r>
    </w:p>
    <w:p>
      <w:pPr>
        <w:spacing w:after="0" w:line="50" w:lineRule="exact"/>
        <w:rPr>
          <w:sz w:val="20"/>
          <w:szCs w:val="20"/>
          <w:color w:val="auto"/>
        </w:rPr>
      </w:pPr>
    </w:p>
    <w:p>
      <w:pPr>
        <w:ind w:right="40" w:firstLine="542"/>
        <w:spacing w:after="0" w:line="261" w:lineRule="auto"/>
        <w:rPr>
          <w:sz w:val="20"/>
          <w:szCs w:val="20"/>
          <w:color w:val="auto"/>
        </w:rPr>
      </w:pPr>
      <w:r>
        <w:rPr>
          <w:rFonts w:ascii="Times New Roman" w:cs="Times New Roman" w:eastAsia="Times New Roman" w:hAnsi="Times New Roman"/>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70" w:lineRule="exact"/>
        <w:rPr>
          <w:sz w:val="20"/>
          <w:szCs w:val="20"/>
          <w:color w:val="auto"/>
        </w:rPr>
      </w:pPr>
    </w:p>
    <w:p>
      <w:pPr>
        <w:ind w:right="120" w:firstLine="542"/>
        <w:spacing w:after="0" w:line="283" w:lineRule="auto"/>
        <w:rPr>
          <w:sz w:val="20"/>
          <w:szCs w:val="20"/>
          <w:color w:val="auto"/>
        </w:rPr>
      </w:pPr>
      <w:r>
        <w:rPr>
          <w:rFonts w:ascii="Times New Roman" w:cs="Times New Roman" w:eastAsia="Times New Roman" w:hAnsi="Times New Roman"/>
          <w:sz w:val="17"/>
          <w:szCs w:val="17"/>
          <w:color w:val="auto"/>
        </w:rPr>
        <w:t>We expect to continue to incur significant and increasingly higher expenses and operating losses for the foreseeable future. We anticipate that our expenses will increase substantially if and as we:</w:t>
      </w:r>
    </w:p>
    <w:p>
      <w:pPr>
        <w:spacing w:after="0" w:line="50" w:lineRule="exact"/>
        <w:rPr>
          <w:sz w:val="20"/>
          <w:szCs w:val="20"/>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progress our current and any future product candidates through preclinical and clinical development;</w:t>
      </w:r>
    </w:p>
    <w:p>
      <w:pPr>
        <w:spacing w:after="0" w:line="111" w:lineRule="exact"/>
        <w:rPr>
          <w:rFonts w:ascii="Times New Roman" w:cs="Times New Roman" w:eastAsia="Times New Roman" w:hAnsi="Times New Roman"/>
          <w:sz w:val="17"/>
          <w:szCs w:val="17"/>
          <w:color w:val="auto"/>
        </w:rPr>
      </w:pPr>
    </w:p>
    <w:p>
      <w:pPr>
        <w:ind w:left="660" w:right="660" w:hanging="121"/>
        <w:spacing w:after="0" w:line="283"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with our contract manufacturers to scale up the manufacturing processes for our product candidates or, in the future, establish and operate a manufacturing facility;</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our research and discovery activities;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the development of our ABC Platform;</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and conduct additional preclinical, clinical or other studies for our current and any future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 add additional contract manufacturers or suppliers;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and marketing authorizations for our product candidates, including KSI-301;</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sales, marketing and distribution infrastructure to commercialize any products for which we obtain approval;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product candidates, intellectual property and technologies;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milestone, royalty or other payments due under any current or future collaboration or license agreements;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maintain, expand, protect and enforce our intellectual property portfolio;</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hire and retain qualified personnel;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any delays or encounter other issues related to our operations;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the requirements and demands of being a public company;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defend against any product liability claims or other lawsuits related to our products.</w:t>
      </w:r>
    </w:p>
    <w:p>
      <w:pPr>
        <w:spacing w:after="0" w:line="111" w:lineRule="exact"/>
        <w:rPr>
          <w:sz w:val="20"/>
          <w:szCs w:val="20"/>
          <w:color w:val="auto"/>
        </w:rPr>
      </w:pPr>
    </w:p>
    <w:p>
      <w:pPr>
        <w:ind w:right="100" w:firstLine="542"/>
        <w:spacing w:after="0" w:line="283" w:lineRule="auto"/>
        <w:rPr>
          <w:sz w:val="20"/>
          <w:szCs w:val="20"/>
          <w:color w:val="auto"/>
        </w:rPr>
      </w:pPr>
      <w:r>
        <w:rPr>
          <w:rFonts w:ascii="Times New Roman" w:cs="Times New Roman" w:eastAsia="Times New Roman" w:hAnsi="Times New Roman"/>
          <w:sz w:val="17"/>
          <w:szCs w:val="17"/>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4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45" w:lineRule="exact"/>
        <w:rPr>
          <w:sz w:val="20"/>
          <w:szCs w:val="20"/>
          <w:color w:val="auto"/>
        </w:rPr>
      </w:pPr>
    </w:p>
    <w:p>
      <w:pPr>
        <w:ind w:firstLine="542"/>
        <w:spacing w:after="0" w:line="267" w:lineRule="auto"/>
        <w:rPr>
          <w:sz w:val="20"/>
          <w:szCs w:val="20"/>
          <w:color w:val="auto"/>
        </w:rPr>
      </w:pPr>
      <w:r>
        <w:rPr>
          <w:rFonts w:ascii="Times New Roman" w:cs="Times New Roman" w:eastAsia="Times New Roman" w:hAnsi="Times New Roman"/>
          <w:sz w:val="17"/>
          <w:szCs w:val="17"/>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ability to generate revenue and achieve profitability depends significantly on many factors, including:</w:t>
      </w:r>
    </w:p>
    <w:p>
      <w:pPr>
        <w:spacing w:after="0" w:line="111" w:lineRule="exact"/>
        <w:rPr>
          <w:sz w:val="20"/>
          <w:szCs w:val="20"/>
          <w:color w:val="auto"/>
        </w:rPr>
      </w:pPr>
    </w:p>
    <w:p>
      <w:pPr>
        <w:ind w:left="660" w:hanging="121"/>
        <w:spacing w:after="0"/>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completing research and preclinical and clinical development of our product candidates;</w:t>
      </w:r>
    </w:p>
    <w:p>
      <w:pPr>
        <w:spacing w:after="0" w:line="111" w:lineRule="exact"/>
        <w:rPr>
          <w:rFonts w:ascii="Times New Roman" w:cs="Times New Roman" w:eastAsia="Times New Roman" w:hAnsi="Times New Roman"/>
          <w:sz w:val="17"/>
          <w:szCs w:val="17"/>
          <w:color w:val="auto"/>
        </w:rPr>
      </w:pPr>
    </w:p>
    <w:p>
      <w:pPr>
        <w:ind w:left="660" w:right="80" w:hanging="121"/>
        <w:spacing w:after="0" w:line="283"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approvals and marketing authorizations for product candidates for which we successfully complete clinical development and clinical trials;</w:t>
      </w:r>
    </w:p>
    <w:p>
      <w:pPr>
        <w:spacing w:after="0" w:line="50" w:lineRule="exact"/>
        <w:rPr>
          <w:rFonts w:ascii="Times New Roman" w:cs="Times New Roman" w:eastAsia="Times New Roman" w:hAnsi="Times New Roman"/>
          <w:sz w:val="17"/>
          <w:szCs w:val="17"/>
          <w:color w:val="auto"/>
        </w:rPr>
      </w:pPr>
    </w:p>
    <w:p>
      <w:pPr>
        <w:ind w:left="660" w:right="240" w:hanging="121"/>
        <w:spacing w:after="0" w:line="267"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06" w:name="page107"/>
    <w:bookmarkEnd w:id="106"/>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assessing, acquiring and/or developing new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arrangements into which we may enter;</w:t>
      </w:r>
    </w:p>
    <w:p>
      <w:pPr>
        <w:spacing w:after="0" w:line="111" w:lineRule="exact"/>
        <w:rPr>
          <w:rFonts w:ascii="Times New Roman" w:cs="Times New Roman" w:eastAsia="Times New Roman" w:hAnsi="Times New Roman"/>
          <w:sz w:val="17"/>
          <w:szCs w:val="17"/>
          <w:color w:val="auto"/>
        </w:rPr>
      </w:pPr>
    </w:p>
    <w:p>
      <w:pPr>
        <w:ind w:left="660" w:right="280" w:hanging="121"/>
        <w:spacing w:after="0" w:line="283" w:lineRule="auto"/>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50" w:lineRule="exact"/>
        <w:rPr>
          <w:rFonts w:ascii="Times New Roman" w:cs="Times New Roman" w:eastAsia="Times New Roman" w:hAnsi="Times New Roman"/>
          <w:sz w:val="17"/>
          <w:szCs w:val="17"/>
          <w:color w:val="auto"/>
        </w:rPr>
      </w:pPr>
    </w:p>
    <w:p>
      <w:pPr>
        <w:ind w:left="660" w:right="640" w:hanging="121"/>
        <w:spacing w:after="0" w:line="283" w:lineRule="auto"/>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an adequate price for our product candidates, both in the United States and in foreign countries where our products are commercialized;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adequate reimbursement for our product candidates from payors;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 acceptance of our product candidates as viable treatment options;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expanding and enforcing our portfolio of intellectual property rights, including patents, trade secrets and know-how;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hiring and retaining qualified personnel.</w:t>
      </w:r>
    </w:p>
    <w:p>
      <w:pPr>
        <w:spacing w:after="0" w:line="111" w:lineRule="exact"/>
        <w:rPr>
          <w:sz w:val="20"/>
          <w:szCs w:val="20"/>
          <w:color w:val="auto"/>
        </w:rPr>
      </w:pPr>
    </w:p>
    <w:p>
      <w:pPr>
        <w:ind w:right="40" w:firstLine="542"/>
        <w:spacing w:after="0" w:line="257"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73" w:lineRule="exact"/>
        <w:rPr>
          <w:sz w:val="20"/>
          <w:szCs w:val="20"/>
          <w:color w:val="auto"/>
        </w:rPr>
      </w:pPr>
    </w:p>
    <w:p>
      <w:pPr>
        <w:ind w:right="80" w:firstLine="542"/>
        <w:spacing w:after="0" w:line="256" w:lineRule="auto"/>
        <w:rPr>
          <w:sz w:val="20"/>
          <w:szCs w:val="20"/>
          <w:color w:val="auto"/>
        </w:rPr>
      </w:pPr>
      <w:r>
        <w:rPr>
          <w:rFonts w:ascii="Times New Roman" w:cs="Times New Roman" w:eastAsia="Times New Roman" w:hAnsi="Times New Roman"/>
          <w:sz w:val="17"/>
          <w:szCs w:val="17"/>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74" w:lineRule="exact"/>
        <w:rPr>
          <w:sz w:val="20"/>
          <w:szCs w:val="20"/>
          <w:color w:val="auto"/>
        </w:rPr>
      </w:pPr>
    </w:p>
    <w:p>
      <w:pPr>
        <w:ind w:right="320" w:firstLine="542"/>
        <w:spacing w:after="0" w:line="267" w:lineRule="auto"/>
        <w:rPr>
          <w:sz w:val="20"/>
          <w:szCs w:val="20"/>
          <w:color w:val="auto"/>
        </w:rPr>
      </w:pPr>
      <w:r>
        <w:rPr>
          <w:rFonts w:ascii="Times New Roman" w:cs="Times New Roman" w:eastAsia="Times New Roman" w:hAnsi="Times New Roman"/>
          <w:sz w:val="17"/>
          <w:szCs w:val="17"/>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obtain additional financing, we may be unable to complete the development and, if approved, commercialization of our product candidates.</w:t>
      </w:r>
    </w:p>
    <w:p>
      <w:pPr>
        <w:spacing w:after="0" w:line="117"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70"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As of December 31, 2020, we had cash, cash equivalents and marketable securities of $969.0 million. 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0"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We currently have no committed source of additional capital. If adequate capital is not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7" w:name="page108"/>
    <w:bookmarkEnd w:id="107"/>
    <w:p>
      <w:pPr>
        <w:ind w:right="160"/>
        <w:spacing w:after="0" w:line="267" w:lineRule="auto"/>
        <w:rPr>
          <w:sz w:val="20"/>
          <w:szCs w:val="20"/>
          <w:color w:val="auto"/>
        </w:rPr>
      </w:pPr>
      <w:r>
        <w:rPr>
          <w:rFonts w:ascii="Times New Roman" w:cs="Times New Roman" w:eastAsia="Times New Roman" w:hAnsi="Times New Roman"/>
          <w:sz w:val="17"/>
          <w:szCs w:val="17"/>
          <w:color w:val="auto"/>
        </w:rPr>
        <w:t>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ind w:right="20"/>
        <w:spacing w:after="0" w:line="254" w:lineRule="auto"/>
        <w:rPr>
          <w:sz w:val="20"/>
          <w:szCs w:val="20"/>
          <w:color w:val="auto"/>
        </w:rPr>
      </w:pPr>
      <w:r>
        <w:rPr>
          <w:rFonts w:ascii="Times New Roman" w:cs="Times New Roman" w:eastAsia="Times New Roman" w:hAnsi="Times New Roman"/>
          <w:sz w:val="17"/>
          <w:szCs w:val="17"/>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20" w:firstLine="542"/>
        <w:spacing w:after="0" w:line="283" w:lineRule="auto"/>
        <w:rPr>
          <w:sz w:val="20"/>
          <w:szCs w:val="20"/>
          <w:color w:val="auto"/>
        </w:rPr>
      </w:pPr>
      <w:r>
        <w:rPr>
          <w:rFonts w:ascii="Times New Roman" w:cs="Times New Roman" w:eastAsia="Times New Roman" w:hAnsi="Times New Roman"/>
          <w:sz w:val="17"/>
          <w:szCs w:val="17"/>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50" w:lineRule="exact"/>
        <w:rPr>
          <w:sz w:val="20"/>
          <w:szCs w:val="20"/>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existing or new competitive products or technologies;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clinical trials for our current product candidates and any future product candidates that we may develop;</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or termination of collaborations for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product candidates;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develop our ABC Platform;</w:t>
      </w:r>
    </w:p>
    <w:p>
      <w:pPr>
        <w:spacing w:after="0" w:line="111" w:lineRule="exact"/>
        <w:rPr>
          <w:rFonts w:ascii="Times New Roman" w:cs="Times New Roman" w:eastAsia="Times New Roman" w:hAnsi="Times New Roman"/>
          <w:sz w:val="17"/>
          <w:szCs w:val="17"/>
          <w:color w:val="auto"/>
        </w:rPr>
      </w:pPr>
    </w:p>
    <w:p>
      <w:pPr>
        <w:ind w:left="660" w:right="580" w:hanging="121"/>
        <w:spacing w:after="0" w:line="283"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clinical trials or regulatory approvals of product candidates of our competitors, or announcements about new research programs or product candidates of our competitors;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of litigation;</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research programs, product candidates that we may develop;</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develop additional product candidates or products;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our insiders, or other stockholders;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expiration of market standoff or lock-up agreements;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ind w:left="660" w:hanging="121"/>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those of companies that are perceived to be similar to us;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or recommendations by securities analysts, if any, that cover our stock;</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111" w:lineRule="exact"/>
        <w:rPr>
          <w:rFonts w:ascii="Times New Roman" w:cs="Times New Roman" w:eastAsia="Times New Roman" w:hAnsi="Times New Roman"/>
          <w:sz w:val="17"/>
          <w:szCs w:val="17"/>
          <w:color w:val="auto"/>
        </w:rPr>
      </w:pPr>
    </w:p>
    <w:p>
      <w:pPr>
        <w:ind w:left="660" w:right="540" w:hanging="121"/>
        <w:spacing w:after="0" w:line="283" w:lineRule="auto"/>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fluctuations attributable to the ongoing COVID-19 pandemic and other unforeseeable circumstances; and</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pacing w:after="0" w:line="111" w:lineRule="exact"/>
        <w:rPr>
          <w:sz w:val="20"/>
          <w:szCs w:val="20"/>
          <w:color w:val="auto"/>
        </w:rPr>
      </w:pPr>
    </w:p>
    <w:p>
      <w:pPr>
        <w:ind w:right="80" w:firstLine="542"/>
        <w:spacing w:after="0" w:line="257" w:lineRule="auto"/>
        <w:rPr>
          <w:sz w:val="20"/>
          <w:szCs w:val="20"/>
          <w:color w:val="auto"/>
        </w:rPr>
      </w:pPr>
      <w:r>
        <w:rPr>
          <w:rFonts w:ascii="Times New Roman" w:cs="Times New Roman" w:eastAsia="Times New Roman" w:hAnsi="Times New Roman"/>
          <w:sz w:val="17"/>
          <w:szCs w:val="17"/>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9"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 to our technologies or product candidates.</w:t>
      </w:r>
    </w:p>
    <w:p>
      <w:pPr>
        <w:spacing w:after="0" w:line="45" w:lineRule="exact"/>
        <w:rPr>
          <w:sz w:val="20"/>
          <w:szCs w:val="20"/>
          <w:color w:val="auto"/>
        </w:rPr>
      </w:pPr>
    </w:p>
    <w:p>
      <w:pPr>
        <w:ind w:right="80" w:firstLine="542"/>
        <w:spacing w:after="0" w:line="254" w:lineRule="auto"/>
        <w:rPr>
          <w:sz w:val="20"/>
          <w:szCs w:val="20"/>
          <w:color w:val="auto"/>
        </w:rPr>
      </w:pPr>
      <w:r>
        <w:rPr>
          <w:rFonts w:ascii="Times New Roman" w:cs="Times New Roman" w:eastAsia="Times New Roman" w:hAnsi="Times New Roman"/>
          <w:sz w:val="17"/>
          <w:szCs w:val="17"/>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4" w:lineRule="exact"/>
        <w:rPr>
          <w:sz w:val="20"/>
          <w:szCs w:val="20"/>
          <w:color w:val="auto"/>
        </w:rPr>
      </w:pPr>
    </w:p>
    <w:p>
      <w:pPr>
        <w:ind w:right="7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4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6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firstLine="542"/>
        <w:spacing w:after="0" w:line="261"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0" w:lineRule="exact"/>
        <w:rPr>
          <w:sz w:val="20"/>
          <w:szCs w:val="20"/>
          <w:color w:val="auto"/>
        </w:rPr>
      </w:pPr>
    </w:p>
    <w:p>
      <w:pPr>
        <w:ind w:left="660" w:hanging="121"/>
        <w:spacing w:after="0"/>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be filled only by a majority of directors then in office, even though less than a quorum;</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cumulative voting in the election of directors;</w:t>
      </w:r>
    </w:p>
    <w:p>
      <w:pPr>
        <w:spacing w:after="0" w:line="111" w:lineRule="exact"/>
        <w:rPr>
          <w:rFonts w:ascii="Times New Roman" w:cs="Times New Roman" w:eastAsia="Times New Roman" w:hAnsi="Times New Roman"/>
          <w:sz w:val="17"/>
          <w:szCs w:val="17"/>
          <w:color w:val="auto"/>
        </w:rPr>
      </w:pPr>
    </w:p>
    <w:p>
      <w:pPr>
        <w:ind w:left="660" w:right="20" w:hanging="121"/>
        <w:spacing w:after="0" w:line="283" w:lineRule="auto"/>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shares of preferred stock and determine the price and other terms of those shares, including preferences and voting rights, without stockholder approval;</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of directors with the exclusive right to elect a director to fill a vacancy or newly created directorship;</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ind w:left="660" w:hanging="121"/>
        <w:spacing w:after="0"/>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stockholders to only take actions at a duly called annual or special meeting and not by written consent;</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stockholders from calling a special meeting of stockholders;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stockholders give advance notice to nominate directors or submit proposals for consideration at stockholder meetings;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by a majority vote, to amend the bylaws;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affirmative vote of at least 66 2/3% or more of the outstanding shares of common stock to amend many of the provisions described above.</w:t>
      </w:r>
    </w:p>
    <w:p>
      <w:pPr>
        <w:spacing w:after="0" w:line="111" w:lineRule="exact"/>
        <w:rPr>
          <w:sz w:val="20"/>
          <w:szCs w:val="20"/>
          <w:color w:val="auto"/>
        </w:rPr>
      </w:pPr>
    </w:p>
    <w:p>
      <w:pPr>
        <w:jc w:val="both"/>
        <w:ind w:firstLine="542"/>
        <w:spacing w:after="0" w:line="261" w:lineRule="auto"/>
        <w:rPr>
          <w:sz w:val="20"/>
          <w:szCs w:val="20"/>
          <w:color w:val="auto"/>
        </w:rPr>
      </w:pPr>
      <w:r>
        <w:rPr>
          <w:rFonts w:ascii="Times New Roman" w:cs="Times New Roman" w:eastAsia="Times New Roman" w:hAnsi="Times New Roman"/>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0" w:lineRule="exact"/>
        <w:rPr>
          <w:sz w:val="20"/>
          <w:szCs w:val="20"/>
          <w:color w:val="auto"/>
        </w:rPr>
      </w:pPr>
    </w:p>
    <w:p>
      <w:pPr>
        <w:jc w:val="both"/>
        <w:ind w:right="180" w:firstLine="542"/>
        <w:spacing w:after="0" w:line="267" w:lineRule="auto"/>
        <w:rPr>
          <w:sz w:val="20"/>
          <w:szCs w:val="20"/>
          <w:color w:val="auto"/>
        </w:rPr>
      </w:pPr>
      <w:r>
        <w:rPr>
          <w:rFonts w:ascii="Times New Roman" w:cs="Times New Roman" w:eastAsia="Times New Roman" w:hAnsi="Times New Roman"/>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59"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bylaws provide that the Court of Chancery of the State of Delaware will be the exclusive forum for:</w:t>
      </w:r>
    </w:p>
    <w:p>
      <w:pPr>
        <w:spacing w:after="0" w:line="111" w:lineRule="exact"/>
        <w:rPr>
          <w:sz w:val="20"/>
          <w:szCs w:val="20"/>
          <w:color w:val="auto"/>
        </w:rPr>
      </w:pPr>
    </w:p>
    <w:p>
      <w:pPr>
        <w:ind w:left="660" w:hanging="121"/>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our behalf;</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of breach of fiduciary duty;</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under the DGCL, our certificate of incorporation, or our bylaws;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that is governed by the internal-affairs doctrine.</w:t>
      </w:r>
    </w:p>
    <w:p>
      <w:pPr>
        <w:spacing w:after="0" w:line="111" w:lineRule="exact"/>
        <w:rPr>
          <w:sz w:val="20"/>
          <w:szCs w:val="20"/>
          <w:color w:val="auto"/>
        </w:rPr>
      </w:pPr>
    </w:p>
    <w:p>
      <w:pPr>
        <w:ind w:right="260" w:firstLine="542"/>
        <w:spacing w:after="0" w:line="283" w:lineRule="auto"/>
        <w:rPr>
          <w:sz w:val="20"/>
          <w:szCs w:val="20"/>
          <w:color w:val="auto"/>
        </w:rPr>
      </w:pPr>
      <w:r>
        <w:rPr>
          <w:rFonts w:ascii="Times New Roman" w:cs="Times New Roman" w:eastAsia="Times New Roman" w:hAnsi="Times New Roman"/>
          <w:sz w:val="17"/>
          <w:szCs w:val="17"/>
          <w:color w:val="auto"/>
        </w:rPr>
        <w:t>Our bylaws further provide that the U.S. federal district courts will be the exclusive forum for resolving any complaint asserting a cause of action arising under the Securities Act of 1933, as amended.</w:t>
      </w:r>
    </w:p>
    <w:p>
      <w:pPr>
        <w:spacing w:after="0" w:line="50" w:lineRule="exact"/>
        <w:rPr>
          <w:sz w:val="20"/>
          <w:szCs w:val="20"/>
          <w:color w:val="auto"/>
        </w:rPr>
      </w:pPr>
    </w:p>
    <w:p>
      <w:pPr>
        <w:ind w:right="20" w:firstLine="542"/>
        <w:spacing w:after="0" w:line="255" w:lineRule="auto"/>
        <w:rPr>
          <w:sz w:val="20"/>
          <w:szCs w:val="20"/>
          <w:color w:val="auto"/>
        </w:rPr>
      </w:pPr>
      <w:r>
        <w:rPr>
          <w:rFonts w:ascii="Times New Roman" w:cs="Times New Roman" w:eastAsia="Times New Roman" w:hAnsi="Times New Roman"/>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09"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firstLine="542"/>
        <w:spacing w:after="0" w:line="255"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6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2" w:lineRule="exact"/>
        <w:rPr>
          <w:sz w:val="20"/>
          <w:szCs w:val="20"/>
          <w:color w:val="auto"/>
        </w:rPr>
      </w:pPr>
    </w:p>
    <w:p>
      <w:pPr>
        <w:ind w:right="360" w:firstLine="542"/>
        <w:spacing w:after="0" w:line="283" w:lineRule="auto"/>
        <w:rPr>
          <w:sz w:val="20"/>
          <w:szCs w:val="20"/>
          <w:color w:val="auto"/>
        </w:rPr>
      </w:pPr>
      <w:r>
        <w:rPr>
          <w:rFonts w:ascii="Times New Roman" w:cs="Times New Roman" w:eastAsia="Times New Roman" w:hAnsi="Times New Roman"/>
          <w:sz w:val="17"/>
          <w:szCs w:val="17"/>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50" w:lineRule="exact"/>
        <w:rPr>
          <w:sz w:val="20"/>
          <w:szCs w:val="20"/>
          <w:color w:val="auto"/>
        </w:rPr>
      </w:pPr>
    </w:p>
    <w:p>
      <w:pPr>
        <w:ind w:right="60" w:firstLine="542"/>
        <w:spacing w:after="0" w:line="261" w:lineRule="auto"/>
        <w:rPr>
          <w:sz w:val="20"/>
          <w:szCs w:val="20"/>
          <w:color w:val="auto"/>
        </w:rPr>
      </w:pPr>
      <w:r>
        <w:rPr>
          <w:rFonts w:ascii="Times New Roman" w:cs="Times New Roman" w:eastAsia="Times New Roman" w:hAnsi="Times New Roman"/>
          <w:sz w:val="17"/>
          <w:szCs w:val="17"/>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70"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5"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Our corporate offices are located in Palo Alto, California, where we lease approximately 155,000 square feet of office, research and development, engineering and laboratory space pursuant to lease agreements commending in June 2020. The initial lease term for 1200 Page Mill Road is 6.5 years and 13 years for 1250 Page Mill Road.</w:t>
      </w:r>
    </w:p>
    <w:p>
      <w:pPr>
        <w:spacing w:after="0" w:line="63"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We continue to lease office and laboratory space at 2631 Hanover Street in Palo Alto, California, which commenced in January 2013. In March 2016, we executed a third lease amendment agreement that became effective March 31, 2016 and extended the lease term until October 31, 2023. The facilities in Palo Alto, California houses substantially all of our personnel.</w:t>
      </w:r>
    </w:p>
    <w:p>
      <w:pPr>
        <w:spacing w:after="0" w:line="63" w:lineRule="exact"/>
        <w:rPr>
          <w:sz w:val="20"/>
          <w:szCs w:val="20"/>
          <w:color w:val="auto"/>
        </w:rPr>
      </w:pPr>
    </w:p>
    <w:p>
      <w:pPr>
        <w:ind w:right="80" w:firstLine="542"/>
        <w:spacing w:after="0" w:line="283" w:lineRule="auto"/>
        <w:rPr>
          <w:sz w:val="20"/>
          <w:szCs w:val="20"/>
          <w:color w:val="auto"/>
        </w:rPr>
      </w:pPr>
      <w:r>
        <w:rPr>
          <w:rFonts w:ascii="Times New Roman" w:cs="Times New Roman" w:eastAsia="Times New Roman" w:hAnsi="Times New Roman"/>
          <w:sz w:val="17"/>
          <w:szCs w:val="17"/>
          <w:color w:val="auto"/>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5"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12" w:name="page113"/>
    <w:bookmarkEnd w:id="112"/>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Our common stock trades on the Nasdaq Global Market under the trading symbol “KOD”.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Common Stock</w:t>
      </w:r>
    </w:p>
    <w:p>
      <w:pPr>
        <w:spacing w:after="0" w:line="115"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As of February 19, 2021, there were approximately 29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anticipate paying cash dividends in the foreseeable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ITEM 6. SELECTED CONSOLIDATED FINANCIAL DATA</w:t>
      </w:r>
    </w:p>
    <w:p>
      <w:pPr>
        <w:spacing w:after="0" w:line="115" w:lineRule="exact"/>
        <w:rPr>
          <w:sz w:val="20"/>
          <w:szCs w:val="20"/>
          <w:color w:val="auto"/>
        </w:rPr>
      </w:pPr>
    </w:p>
    <w:p>
      <w:pPr>
        <w:jc w:val="both"/>
        <w:ind w:right="400" w:firstLine="542"/>
        <w:spacing w:after="0" w:line="267" w:lineRule="auto"/>
        <w:rPr>
          <w:sz w:val="20"/>
          <w:szCs w:val="20"/>
          <w:color w:val="auto"/>
        </w:rPr>
      </w:pPr>
      <w:r>
        <w:rPr>
          <w:rFonts w:ascii="Times New Roman" w:cs="Times New Roman" w:eastAsia="Times New Roman" w:hAnsi="Times New Roman"/>
          <w:sz w:val="17"/>
          <w:szCs w:val="17"/>
          <w:color w:val="auto"/>
        </w:rPr>
        <w:t>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 on Form 10-K. The selected financial data set forth below is derived from our audited consolidated financial statements and may not be indicative of future operating results.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2018</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9"/>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Data:</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107,389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18,793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22,022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28,618</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11,684</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136,007</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49,190</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26,374</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(136,007)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(49,190)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(26,374)</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(5,519)</w:t>
            </w:r>
          </w:p>
        </w:tc>
        <w:tc>
          <w:tcPr>
            <w:tcW w:w="2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7"/>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(4,688)</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(1,230)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(5,479)</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(133,096</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(27,936)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(2.77)</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(3.72)</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179"/>
        </w:trPr>
        <w:tc>
          <w:tcPr>
            <w:tcW w:w="5200" w:type="dxa"/>
            <w:vAlign w:val="bottom"/>
            <w:tcBorders>
              <w:top w:val="single" w:sz="8" w:color="CFF0FC"/>
            </w:tcBorders>
            <w:shd w:val="clear" w:color="auto" w:fill="CFF0FC"/>
          </w:tcPr>
          <w:p>
            <w:pPr>
              <w:spacing w:after="0" w:line="179" w:lineRule="exact"/>
              <w:rPr>
                <w:sz w:val="20"/>
                <w:szCs w:val="20"/>
                <w:color w:val="auto"/>
              </w:rPr>
            </w:pPr>
            <w:r>
              <w:rPr>
                <w:rFonts w:ascii="Times New Roman" w:cs="Times New Roman" w:eastAsia="Times New Roman" w:hAnsi="Times New Roman"/>
                <w:sz w:val="17"/>
                <w:szCs w:val="17"/>
                <w:color w:val="auto"/>
              </w:rPr>
              <w:t>Weighted-average shares outstanding used in</w:t>
            </w: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computing net loss per share attributable to</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common stockholders, 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45,741,845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37,853,616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14,976,515</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7,515,336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7,211,360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center"/>
              <w:ind w:left="735"/>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2019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2017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00" w:type="dxa"/>
            <w:vAlign w:val="bottom"/>
          </w:tcPr>
          <w:p>
            <w:pPr>
              <w:spacing w:after="0"/>
              <w:rPr>
                <w:sz w:val="19"/>
                <w:szCs w:val="19"/>
                <w:color w:val="auto"/>
              </w:rPr>
            </w:pPr>
          </w:p>
        </w:tc>
      </w:tr>
      <w:tr>
        <w:trPr>
          <w:trHeight w:val="210"/>
        </w:trPr>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2"/>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Consolidated Balance Sheet Data:</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marketable securities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968,974</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348,177</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88,254</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1,395</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9,622</w:t>
            </w:r>
          </w:p>
        </w:tc>
        <w:tc>
          <w:tcPr>
            <w:tcW w:w="10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940,583</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327,519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85,623</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7,682</w:t>
            </w:r>
          </w:p>
        </w:tc>
        <w:tc>
          <w:tcPr>
            <w:tcW w:w="100" w:type="dxa"/>
            <w:vAlign w:val="bottom"/>
            <w:shd w:val="clear" w:color="auto" w:fill="CFF0FC"/>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1,067,347</w:t>
            </w:r>
          </w:p>
        </w:tc>
        <w:tc>
          <w:tcPr>
            <w:tcW w:w="28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358,866</w:t>
            </w:r>
          </w:p>
        </w:tc>
        <w:tc>
          <w:tcPr>
            <w:tcW w:w="30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92,189</w:t>
            </w:r>
          </w:p>
        </w:tc>
        <w:tc>
          <w:tcPr>
            <w:tcW w:w="20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3,244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w:t>
            </w:r>
          </w:p>
        </w:tc>
        <w:tc>
          <w:tcPr>
            <w:tcW w:w="100" w:type="dxa"/>
            <w:vAlign w:val="bottom"/>
          </w:tcPr>
          <w:p>
            <w:pPr>
              <w:spacing w:after="0"/>
              <w:rPr>
                <w:sz w:val="18"/>
                <w:szCs w:val="18"/>
                <w:color w:val="auto"/>
              </w:rPr>
            </w:pP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206,596</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13,507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5,356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21,965</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shd w:val="clear" w:color="auto" w:fill="CFF0FC"/>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(158,131)</w:t>
            </w:r>
          </w:p>
        </w:tc>
        <w:tc>
          <w:tcPr>
            <w:tcW w:w="3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(110,766)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(69,323)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(41,387)</w:t>
            </w:r>
          </w:p>
        </w:tc>
      </w:tr>
      <w:tr>
        <w:trPr>
          <w:trHeight w:val="21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860,751</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345,359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86,833</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(68,738)</w:t>
            </w: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(41,083)</w:t>
            </w:r>
          </w:p>
        </w:tc>
      </w:tr>
      <w:tr>
        <w:trPr>
          <w:trHeight w:val="525"/>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109</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7"/>
        </w:trPr>
        <w:tc>
          <w:tcPr>
            <w:tcW w:w="4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1" w:lineRule="exact"/>
        <w:rPr>
          <w:sz w:val="20"/>
          <w:szCs w:val="20"/>
          <w:color w:val="auto"/>
        </w:rPr>
      </w:pPr>
    </w:p>
    <w:p>
      <w:pPr>
        <w:ind w:right="160" w:firstLine="542"/>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section titled “Selected Consolidated Financial Data” and our consolidated financial statements and the related notes included elsewhere in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5" w:lineRule="exact"/>
        <w:rPr>
          <w:sz w:val="20"/>
          <w:szCs w:val="20"/>
          <w:color w:val="auto"/>
        </w:rPr>
      </w:pPr>
    </w:p>
    <w:p>
      <w:pPr>
        <w:ind w:right="20" w:firstLine="542"/>
        <w:spacing w:after="0" w:line="256" w:lineRule="auto"/>
        <w:rPr>
          <w:sz w:val="20"/>
          <w:szCs w:val="20"/>
          <w:color w:val="auto"/>
        </w:rPr>
      </w:pPr>
      <w:r>
        <w:rPr>
          <w:rFonts w:ascii="Times New Roman" w:cs="Times New Roman" w:eastAsia="Times New Roman" w:hAnsi="Times New Roman"/>
          <w:sz w:val="17"/>
          <w:szCs w:val="17"/>
          <w:color w:val="auto"/>
        </w:rPr>
        <w:t>Kodiak Sciences (we or the Company) is a biopharmaceutical company committed to researching, developing and commercializing transformative therapeutics to treat high prevalence retinal diseases in the United States and additional international markets. We are bringing new science to the design and development of next generation retinal medicines. Our ABC Platform</w:t>
      </w:r>
      <w:r>
        <w:rPr>
          <w:rFonts w:ascii="Times New Roman" w:cs="Times New Roman" w:eastAsia="Times New Roman" w:hAnsi="Times New Roman"/>
          <w:sz w:val="14"/>
          <w:szCs w:val="14"/>
          <w:color w:val="auto"/>
        </w:rPr>
        <w:t>TM</w:t>
      </w:r>
      <w:r>
        <w:rPr>
          <w:rFonts w:ascii="Times New Roman" w:cs="Times New Roman" w:eastAsia="Times New Roman" w:hAnsi="Times New Roman"/>
          <w:sz w:val="17"/>
          <w:szCs w:val="17"/>
          <w:color w:val="auto"/>
        </w:rPr>
        <w:t xml:space="preserve"> uses molecular engineering to merge the fields of antibody-based and chemistry-based therapies and is at the core of Kodiak’s discovery engine. Our lead product candidate, KSI-301, is a novel anti-VEGF antibody biopolymer conjugate generating compelling data in treatment naïve patients with retinal vascular diseases. Our pivotal program is exploring KSI-301 in wAMD, DME, RVO and non-proliferative diabetic retinopathy. Our hope with KSI-301 is to meaningfully change the treatment paradigm for all patients with retinal vascular diseases. Our pipeline, including product candidates KSI-501 and KSI-601, aims to bring a similar ethos of drug development to other unmet needs in retina such as dry AMD and glaucoma.</w:t>
      </w:r>
    </w:p>
    <w:p>
      <w:pPr>
        <w:spacing w:after="0" w:line="74" w:lineRule="exact"/>
        <w:rPr>
          <w:sz w:val="20"/>
          <w:szCs w:val="20"/>
          <w:color w:val="auto"/>
        </w:rPr>
      </w:pPr>
    </w:p>
    <w:p>
      <w:pPr>
        <w:jc w:val="both"/>
        <w:ind w:right="120" w:firstLine="542"/>
        <w:spacing w:after="0" w:line="267" w:lineRule="auto"/>
        <w:rPr>
          <w:sz w:val="20"/>
          <w:szCs w:val="20"/>
          <w:color w:val="auto"/>
        </w:rPr>
      </w:pPr>
      <w:r>
        <w:rPr>
          <w:rFonts w:ascii="Times New Roman" w:cs="Times New Roman" w:eastAsia="Times New Roman" w:hAnsi="Times New Roman"/>
          <w:sz w:val="17"/>
          <w:szCs w:val="17"/>
          <w:color w:val="auto"/>
        </w:rPr>
        <w:t>Our goal is to prevent and treat the major causes of blindness by developing next-generation therapeutics for chronic, high-prevalence retinal diseases. Our overall objective is to develop our product candidates, seek FDA and worldwide health authority marketing authorization approvals, and ultimately commercialize our product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KSI-301</w:t>
      </w:r>
    </w:p>
    <w:p>
      <w:pPr>
        <w:spacing w:after="0" w:line="115" w:lineRule="exact"/>
        <w:rPr>
          <w:sz w:val="20"/>
          <w:szCs w:val="20"/>
          <w:color w:val="auto"/>
        </w:rPr>
      </w:pPr>
    </w:p>
    <w:p>
      <w:pPr>
        <w:ind w:right="80" w:firstLine="542"/>
        <w:spacing w:after="0" w:line="254" w:lineRule="auto"/>
        <w:rPr>
          <w:sz w:val="20"/>
          <w:szCs w:val="20"/>
          <w:color w:val="auto"/>
        </w:rPr>
      </w:pPr>
      <w:r>
        <w:rPr>
          <w:rFonts w:ascii="Times New Roman" w:cs="Times New Roman" w:eastAsia="Times New Roman" w:hAnsi="Times New Roman"/>
          <w:sz w:val="17"/>
          <w:szCs w:val="17"/>
          <w:color w:val="auto"/>
        </w:rPr>
        <w:t>Kodiak's lead product candidate, KSI-301, is a novel anti-VEGF antibody biopolymer conjugate being developed for the treatment of retinal vascular diseases including age-related macular degeneration, a leading cause of blindness in elderly patients, and diabetic eye diseases, a leading cause of blindness in working-age patients. We continue to observe promising safety, efficacy and clinical durability data through 52-weeks in our ongoing Phase 1b study of KSI-301 in treatment-naïve patients with wet AMD, DME or RVO. Based on the encouraging data from our Phase 1b study, we have expanded the KSI-301 clinical pivotal program in the third quarter of 2020, and we have entered into the manufacturing-related commitments necessary for KSI-301’s commercial scale-up and BLA submission. We successfully recruited patients into both of our paired pivotal studies in DME (GLEAM and GLIMMER) and into our pivotal study in RVO (BEACON) in the third quarter of 2020. The pivotal study for wet AMD (DAZZLE) began recruiting in the third quarter of 2019 and completed patient enrollment in the fourth quarter of 2020. Approximately 2,000 KSI-301 injections have been administered to approximately 500 patients, representing approximately 350 patient-years of exposure. We believe the intersection of these clinical and manufacturing activities remain on track per our “2022 Vision” to submit a single BLA for wet AMD, DME and RVO in calendar year 2022.</w:t>
      </w:r>
    </w:p>
    <w:p>
      <w:pPr>
        <w:spacing w:after="0" w:line="78" w:lineRule="exact"/>
        <w:rPr>
          <w:sz w:val="20"/>
          <w:szCs w:val="20"/>
          <w:color w:val="auto"/>
        </w:rPr>
      </w:pPr>
    </w:p>
    <w:p>
      <w:pPr>
        <w:ind w:right="60" w:firstLine="542"/>
        <w:spacing w:after="0" w:line="283" w:lineRule="auto"/>
        <w:rPr>
          <w:sz w:val="20"/>
          <w:szCs w:val="20"/>
          <w:color w:val="auto"/>
        </w:rPr>
      </w:pPr>
      <w:r>
        <w:rPr>
          <w:rFonts w:ascii="Times New Roman" w:cs="Times New Roman" w:eastAsia="Times New Roman" w:hAnsi="Times New Roman"/>
          <w:sz w:val="17"/>
          <w:szCs w:val="17"/>
          <w:color w:val="auto"/>
        </w:rPr>
        <w:t>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Pre-Clinical Pipeline</w:t>
      </w:r>
    </w:p>
    <w:p>
      <w:pPr>
        <w:spacing w:after="0" w:line="115" w:lineRule="exact"/>
        <w:rPr>
          <w:sz w:val="20"/>
          <w:szCs w:val="20"/>
          <w:color w:val="auto"/>
        </w:rPr>
      </w:pPr>
    </w:p>
    <w:p>
      <w:pPr>
        <w:jc w:val="both"/>
        <w:ind w:firstLine="542"/>
        <w:spacing w:after="0" w:line="261" w:lineRule="auto"/>
        <w:rPr>
          <w:sz w:val="20"/>
          <w:szCs w:val="20"/>
          <w:color w:val="auto"/>
        </w:rPr>
      </w:pPr>
      <w:r>
        <w:rPr>
          <w:rFonts w:ascii="Times New Roman" w:cs="Times New Roman" w:eastAsia="Times New Roman" w:hAnsi="Times New Roman"/>
          <w:sz w:val="17"/>
          <w:szCs w:val="17"/>
          <w:color w:val="auto"/>
        </w:rPr>
        <w:t>Kodiak has leveraged its ABC Platform to build a pipeline of product candidates in various stages of development including KSI-501, our bispecific anti-IL-6/VEGF biopolymer conjugate for the treatment of neovascular retinal diseases with an inflammatory component, and we are expanding our early research pipeline to include ABC Platform based triplet inhibitors for multifactorial retinal diseases such as dry AMD and glaucoma. The ABC Platform and KSI-301 were developed at Kodiak, and we own worldwide rights to these assets.</w:t>
      </w:r>
    </w:p>
    <w:p>
      <w:pPr>
        <w:spacing w:after="0" w:line="70" w:lineRule="exact"/>
        <w:rPr>
          <w:sz w:val="20"/>
          <w:szCs w:val="20"/>
          <w:color w:val="auto"/>
        </w:rPr>
      </w:pPr>
    </w:p>
    <w:p>
      <w:pPr>
        <w:ind w:right="160" w:firstLine="542"/>
        <w:spacing w:after="0" w:line="283" w:lineRule="auto"/>
        <w:rPr>
          <w:sz w:val="20"/>
          <w:szCs w:val="20"/>
          <w:color w:val="auto"/>
        </w:rPr>
      </w:pPr>
      <w:r>
        <w:rPr>
          <w:rFonts w:ascii="Times New Roman" w:cs="Times New Roman" w:eastAsia="Times New Roman" w:hAnsi="Times New Roman"/>
          <w:sz w:val="17"/>
          <w:szCs w:val="17"/>
          <w:color w:val="auto"/>
        </w:rPr>
        <w:t>Further details of our ongoing KSI-301 Phase 1b trial, our accelerating development strategy, our manufacturing-related commitments, and our pipeline of retinal medicines based on the ABC Platform are described in the “Business” section above.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115"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70" w:lineRule="exact"/>
        <w:rPr>
          <w:sz w:val="20"/>
          <w:szCs w:val="20"/>
          <w:color w:val="auto"/>
        </w:rPr>
      </w:pPr>
    </w:p>
    <w:p>
      <w:pPr>
        <w:ind w:right="280" w:firstLine="542"/>
        <w:spacing w:after="0" w:line="283" w:lineRule="auto"/>
        <w:rPr>
          <w:sz w:val="20"/>
          <w:szCs w:val="20"/>
          <w:color w:val="auto"/>
        </w:rPr>
      </w:pPr>
      <w:r>
        <w:rPr>
          <w:rFonts w:ascii="Times New Roman" w:cs="Times New Roman" w:eastAsia="Times New Roman" w:hAnsi="Times New Roman"/>
          <w:sz w:val="17"/>
          <w:szCs w:val="17"/>
          <w:color w:val="auto"/>
        </w:rPr>
        <w:t>We have funded our operations primarily through the sale and issuance of equity securities. In October 2018, we completed our initial public offering, or IPO. In December 2019, we completed a follow-on offering. In November 2020, we completed a second follow-on offering.</w:t>
      </w:r>
    </w:p>
    <w:p>
      <w:pPr>
        <w:spacing w:after="0" w:line="50" w:lineRule="exact"/>
        <w:rPr>
          <w:sz w:val="20"/>
          <w:szCs w:val="20"/>
          <w:color w:val="auto"/>
        </w:rPr>
      </w:pPr>
    </w:p>
    <w:p>
      <w:pPr>
        <w:ind w:right="140" w:firstLine="542"/>
        <w:spacing w:after="0" w:line="257" w:lineRule="auto"/>
        <w:rPr>
          <w:sz w:val="20"/>
          <w:szCs w:val="20"/>
          <w:color w:val="auto"/>
        </w:rPr>
      </w:pPr>
      <w:r>
        <w:rPr>
          <w:rFonts w:ascii="Times New Roman" w:cs="Times New Roman" w:eastAsia="Times New Roman" w:hAnsi="Times New Roman"/>
          <w:sz w:val="17"/>
          <w:szCs w:val="17"/>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$133.1 million, $47.4 million and $41.4 million for the years ended December 31, 2020, 2019 and 2018, respectively. As of December 31, 2020, we had an accumulated deficit of $291.2 million.</w:t>
      </w:r>
    </w:p>
    <w:p>
      <w:pPr>
        <w:spacing w:after="0" w:line="73" w:lineRule="exact"/>
        <w:rPr>
          <w:sz w:val="20"/>
          <w:szCs w:val="20"/>
          <w:color w:val="auto"/>
        </w:rPr>
      </w:pPr>
    </w:p>
    <w:p>
      <w:pPr>
        <w:ind w:right="20" w:firstLine="542"/>
        <w:spacing w:after="0" w:line="257" w:lineRule="auto"/>
        <w:rPr>
          <w:sz w:val="20"/>
          <w:szCs w:val="20"/>
          <w:color w:val="auto"/>
        </w:rPr>
      </w:pPr>
      <w:r>
        <w:rPr>
          <w:rFonts w:ascii="Times New Roman" w:cs="Times New Roman" w:eastAsia="Times New Roman" w:hAnsi="Times New Roman"/>
          <w:sz w:val="17"/>
          <w:szCs w:val="17"/>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NPDR or delay our efforts to advance and expand our product pipeline.</w:t>
      </w:r>
    </w:p>
    <w:p>
      <w:pPr>
        <w:spacing w:after="0" w:line="73"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In November 2020, we filed an automatic shelf registration statement (File No. 333-250109), which became effective upon filing. The shelf registration statement allows us to issue certain securities, including shares of our common stock, from time to time. In November 2020, we completed a follow-on offering pursuant to the automatic shelf registration and issued and sold 5,972,222 shares of the Company’s common stock, including the underwriters’ full exercise of their over-allotment option, at a price to the public of $108.00 per share under our shelf registration statement. The gross proceeds from this offering were $645.0 million, resulting in aggregate net proceeds of $612.0 million after deducting underwriting discounts and commissions and other offering costs.</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of December 31, 2020, we had cash, cash equivalents and marketable securities of $969.0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Operating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5" w:lineRule="exact"/>
        <w:rPr>
          <w:sz w:val="20"/>
          <w:szCs w:val="20"/>
          <w:color w:val="auto"/>
        </w:rPr>
      </w:pPr>
    </w:p>
    <w:p>
      <w:pPr>
        <w:ind w:right="60" w:firstLine="542"/>
        <w:spacing w:after="0" w:line="255" w:lineRule="auto"/>
        <w:rPr>
          <w:sz w:val="20"/>
          <w:szCs w:val="20"/>
          <w:color w:val="auto"/>
        </w:rPr>
      </w:pPr>
      <w:r>
        <w:rPr>
          <w:rFonts w:ascii="Times New Roman" w:cs="Times New Roman" w:eastAsia="Times New Roman" w:hAnsi="Times New Roman"/>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16" w:name="page117"/>
    <w:bookmarkEnd w:id="116"/>
    <w:p>
      <w:pPr>
        <w:ind w:firstLine="542"/>
        <w:spacing w:after="0" w:line="256" w:lineRule="auto"/>
        <w:rPr>
          <w:sz w:val="20"/>
          <w:szCs w:val="20"/>
          <w:color w:val="auto"/>
        </w:rPr>
      </w:pPr>
      <w:r>
        <w:rPr>
          <w:rFonts w:ascii="Times New Roman" w:cs="Times New Roman" w:eastAsia="Times New Roman" w:hAnsi="Times New Roman"/>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5" w:lineRule="exact"/>
        <w:rPr>
          <w:sz w:val="20"/>
          <w:szCs w:val="20"/>
          <w:color w:val="auto"/>
        </w:rPr>
      </w:pPr>
    </w:p>
    <w:p>
      <w:pPr>
        <w:jc w:val="both"/>
        <w:ind w:firstLine="542"/>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63" w:lineRule="exact"/>
        <w:rPr>
          <w:sz w:val="20"/>
          <w:szCs w:val="20"/>
          <w:color w:val="auto"/>
        </w:rPr>
      </w:pPr>
    </w:p>
    <w:p>
      <w:pPr>
        <w:jc w:val="both"/>
        <w:ind w:right="460" w:firstLine="542"/>
        <w:spacing w:after="0" w:line="261"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Interest income consists primarily of interest income earned on our cash, cash equivalents and marketable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15" w:lineRule="exact"/>
        <w:rPr>
          <w:sz w:val="20"/>
          <w:szCs w:val="20"/>
          <w:color w:val="auto"/>
        </w:rPr>
      </w:pPr>
    </w:p>
    <w:p>
      <w:pPr>
        <w:ind w:right="140" w:firstLine="542"/>
        <w:spacing w:after="0" w:line="283" w:lineRule="auto"/>
        <w:rPr>
          <w:sz w:val="20"/>
          <w:szCs w:val="20"/>
          <w:color w:val="auto"/>
        </w:rPr>
      </w:pPr>
      <w:r>
        <w:rPr>
          <w:rFonts w:ascii="Times New Roman" w:cs="Times New Roman" w:eastAsia="Times New Roman" w:hAnsi="Times New Roman"/>
          <w:sz w:val="17"/>
          <w:szCs w:val="17"/>
          <w:color w:val="auto"/>
        </w:rPr>
        <w:t>Other income (expense), net consists primarily of accretion income and amortization expense on marketable debt securities net of amortized issuance costs from the liability related to the future sale of royalties to BBA in 2019.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4"/>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2020 vs 2019</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2018</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Dollar</w:t>
            </w:r>
          </w:p>
        </w:tc>
        <w:tc>
          <w:tcPr>
            <w:tcW w:w="8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9"/>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107,389</w:t>
            </w:r>
          </w:p>
        </w:tc>
        <w:tc>
          <w:tcPr>
            <w:tcW w:w="12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37,506</w:t>
            </w:r>
          </w:p>
        </w:tc>
        <w:tc>
          <w:tcPr>
            <w:tcW w:w="12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69,883</w:t>
            </w: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16,934</w:t>
            </w: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(86,817)</w:t>
            </w: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17"/>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1"/>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(includes $nil, $nil and $3,030</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attributable to related parties for the years ended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 2020, 2019 and 2018, respectively)</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(5,519)</w:t>
            </w:r>
          </w:p>
        </w:tc>
        <w:tc>
          <w:tcPr>
            <w:tcW w:w="1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income (expense), net (includes $49, $nil, and</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$2,736 expenses attributable to related parties for</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the years ended December 31, 2020, 2019, and</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2018, respectively)</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(4,688)</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(231)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 (includes $1,587</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attributable to related parties for the year ended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 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(5,479)</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32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(133,096</w:t>
            </w:r>
          </w:p>
        </w:tc>
        <w:tc>
          <w:tcPr>
            <w:tcW w:w="12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(85,731)</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Percentage is not meaningful</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Research and development expenses increased $69.9 million, or 186%, from the year ended December 31, 2019 to the year ended December 31, 2020.</w:t>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2020 vs 2019</w:t>
            </w:r>
          </w:p>
        </w:tc>
      </w:tr>
      <w:tr>
        <w:trPr>
          <w:trHeight w:val="210"/>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0"/>
        </w:trPr>
        <w:tc>
          <w:tcPr>
            <w:tcW w:w="5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 xml:space="preserve">ABC Platform external expenses </w:t>
            </w:r>
            <w:r>
              <w:rPr>
                <w:rFonts w:ascii="Times New Roman" w:cs="Times New Roman" w:eastAsia="Times New Roman" w:hAnsi="Times New Roman"/>
                <w:sz w:val="14"/>
                <w:szCs w:val="14"/>
                <w:color w:val="auto"/>
              </w:rPr>
              <w:t>(1)</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2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5,147</w:t>
            </w:r>
          </w:p>
        </w:tc>
        <w:tc>
          <w:tcPr>
            <w:tcW w:w="100" w:type="dxa"/>
            <w:vAlign w:val="bottom"/>
            <w:shd w:val="clear" w:color="auto" w:fill="CFF0FC"/>
          </w:tcPr>
          <w:p>
            <w:pPr>
              <w:spacing w:after="0"/>
              <w:rPr>
                <w:sz w:val="18"/>
                <w:szCs w:val="18"/>
                <w:color w:val="auto"/>
              </w:rPr>
            </w:pPr>
          </w:p>
        </w:tc>
      </w:tr>
      <w:tr>
        <w:trPr>
          <w:trHeight w:val="21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KSI-301 program external expenses </w:t>
            </w:r>
            <w:r>
              <w:rPr>
                <w:rFonts w:ascii="Times New Roman" w:cs="Times New Roman" w:eastAsia="Times New Roman" w:hAnsi="Times New Roman"/>
                <w:sz w:val="14"/>
                <w:szCs w:val="14"/>
                <w:color w:val="auto"/>
              </w:rPr>
              <w:t>(2)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39,278</w:t>
            </w:r>
          </w:p>
        </w:tc>
        <w:tc>
          <w:tcPr>
            <w:tcW w:w="100" w:type="dxa"/>
            <w:vAlign w:val="bottom"/>
          </w:tcPr>
          <w:p>
            <w:pPr>
              <w:spacing w:after="0"/>
              <w:rPr>
                <w:sz w:val="18"/>
                <w:szCs w:val="18"/>
                <w:color w:val="auto"/>
              </w:rPr>
            </w:pPr>
          </w:p>
        </w:tc>
      </w:tr>
      <w:tr>
        <w:trPr>
          <w:trHeight w:val="21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 xml:space="preserve">KSI-501 program external expenses </w:t>
            </w: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FF0FC"/>
          </w:tcPr>
          <w:p>
            <w:pPr>
              <w:spacing w:after="0"/>
              <w:rPr>
                <w:sz w:val="18"/>
                <w:szCs w:val="18"/>
                <w:color w:val="auto"/>
              </w:rPr>
            </w:pPr>
          </w:p>
        </w:tc>
      </w:tr>
      <w:tr>
        <w:trPr>
          <w:trHeight w:val="21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Payroll and personnel expenses </w:t>
            </w:r>
            <w:r>
              <w:rPr>
                <w:rFonts w:ascii="Times New Roman" w:cs="Times New Roman" w:eastAsia="Times New Roman" w:hAnsi="Times New Roman"/>
                <w:sz w:val="14"/>
                <w:szCs w:val="14"/>
                <w:color w:val="auto"/>
              </w:rPr>
              <w:t>(4)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18,456</w:t>
            </w:r>
          </w:p>
        </w:tc>
        <w:tc>
          <w:tcPr>
            <w:tcW w:w="100" w:type="dxa"/>
            <w:vAlign w:val="bottom"/>
          </w:tcPr>
          <w:p>
            <w:pPr>
              <w:spacing w:after="0"/>
              <w:rPr>
                <w:sz w:val="18"/>
                <w:szCs w:val="18"/>
                <w:color w:val="auto"/>
              </w:rPr>
            </w:pPr>
          </w:p>
        </w:tc>
      </w:tr>
      <w:tr>
        <w:trPr>
          <w:trHeight w:val="21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 xml:space="preserve">Other research and development expenses </w:t>
            </w:r>
            <w:r>
              <w:rPr>
                <w:rFonts w:ascii="Times New Roman" w:cs="Times New Roman" w:eastAsia="Times New Roman" w:hAnsi="Times New Roman"/>
                <w:sz w:val="14"/>
                <w:szCs w:val="14"/>
                <w:color w:val="auto"/>
              </w:rPr>
              <w:t>(5)</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2,837</w:t>
            </w:r>
          </w:p>
        </w:tc>
        <w:tc>
          <w:tcPr>
            <w:tcW w:w="2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6,617</w:t>
            </w:r>
          </w:p>
        </w:tc>
        <w:tc>
          <w:tcPr>
            <w:tcW w:w="100" w:type="dxa"/>
            <w:vAlign w:val="bottom"/>
            <w:shd w:val="clear" w:color="auto" w:fill="CFF0FC"/>
          </w:tcPr>
          <w:p>
            <w:pPr>
              <w:spacing w:after="0"/>
              <w:rPr>
                <w:sz w:val="18"/>
                <w:szCs w:val="18"/>
                <w:color w:val="auto"/>
              </w:rPr>
            </w:pPr>
          </w:p>
        </w:tc>
      </w:tr>
      <w:tr>
        <w:trPr>
          <w:trHeight w:val="210"/>
        </w:trPr>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107,389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37,506</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69,883</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540" w:right="320" w:hanging="538"/>
        <w:spacing w:after="0" w:line="261" w:lineRule="auto"/>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ABC Platform external expenses primarily relates to manufacturing of biopolymer intermediate drug substance which can be used with multiple product candidates. These expenses are primarily for services provided by CMOs.</w:t>
      </w:r>
    </w:p>
    <w:p>
      <w:pPr>
        <w:spacing w:after="0" w:line="1" w:lineRule="exact"/>
        <w:rPr>
          <w:rFonts w:ascii="Times New Roman" w:cs="Times New Roman" w:eastAsia="Times New Roman" w:hAnsi="Times New Roman"/>
          <w:sz w:val="17"/>
          <w:szCs w:val="17"/>
          <w:color w:val="auto"/>
        </w:rPr>
      </w:pPr>
    </w:p>
    <w:p>
      <w:pPr>
        <w:ind w:left="540" w:right="300" w:hanging="538"/>
        <w:spacing w:after="0" w:line="250" w:lineRule="auto"/>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KSI-301 program external expenses relate to development of KSI-301, including manufacturing and clinical trial costs. These expenses are primarily for services provided by CMOs and CROs.</w:t>
      </w:r>
    </w:p>
    <w:p>
      <w:pPr>
        <w:spacing w:after="0" w:line="1" w:lineRule="exact"/>
        <w:rPr>
          <w:rFonts w:ascii="Times New Roman" w:cs="Times New Roman" w:eastAsia="Times New Roman" w:hAnsi="Times New Roman"/>
          <w:sz w:val="17"/>
          <w:szCs w:val="17"/>
          <w:color w:val="auto"/>
        </w:rPr>
      </w:pPr>
    </w:p>
    <w:p>
      <w:pPr>
        <w:ind w:left="540" w:hanging="538"/>
        <w:spacing w:after="0"/>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KSI-501 program external expenses relate to research and development of KSI-501.</w:t>
      </w:r>
    </w:p>
    <w:p>
      <w:pPr>
        <w:spacing w:after="0" w:line="8" w:lineRule="exact"/>
        <w:rPr>
          <w:rFonts w:ascii="Times New Roman" w:cs="Times New Roman" w:eastAsia="Times New Roman" w:hAnsi="Times New Roman"/>
          <w:sz w:val="17"/>
          <w:szCs w:val="17"/>
          <w:color w:val="auto"/>
        </w:rPr>
      </w:pPr>
    </w:p>
    <w:p>
      <w:pPr>
        <w:ind w:left="540" w:right="100" w:hanging="538"/>
        <w:spacing w:after="0" w:line="250" w:lineRule="auto"/>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Times New Roman" w:cs="Times New Roman" w:eastAsia="Times New Roman" w:hAnsi="Times New Roman"/>
          <w:sz w:val="17"/>
          <w:szCs w:val="17"/>
          <w:color w:val="auto"/>
        </w:rPr>
      </w:pPr>
    </w:p>
    <w:p>
      <w:pPr>
        <w:ind w:left="540" w:hanging="538"/>
        <w:spacing w:after="0"/>
        <w:tabs>
          <w:tab w:leader="none" w:pos="5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research and development expenses includes direct costs related to research and development activities other than those listed above.</w:t>
      </w:r>
    </w:p>
    <w:p>
      <w:pPr>
        <w:spacing w:after="0" w:line="94" w:lineRule="exact"/>
        <w:rPr>
          <w:sz w:val="20"/>
          <w:szCs w:val="20"/>
          <w:color w:val="auto"/>
        </w:rPr>
      </w:pPr>
    </w:p>
    <w:p>
      <w:pPr>
        <w:ind w:right="120" w:firstLine="542"/>
        <w:spacing w:after="0" w:line="283" w:lineRule="auto"/>
        <w:rPr>
          <w:sz w:val="20"/>
          <w:szCs w:val="20"/>
          <w:color w:val="auto"/>
        </w:rPr>
      </w:pPr>
      <w:r>
        <w:rPr>
          <w:rFonts w:ascii="Times New Roman" w:cs="Times New Roman" w:eastAsia="Times New Roman" w:hAnsi="Times New Roman"/>
          <w:sz w:val="17"/>
          <w:szCs w:val="17"/>
          <w:color w:val="auto"/>
        </w:rPr>
        <w:t>ABC Platform external expenses increased $5.1 million during the year ended December 31, 2020 as compared to 2019. The increase was primarily driven by manufacturing runs to support our product candidate pipeline.</w:t>
      </w:r>
    </w:p>
    <w:p>
      <w:pPr>
        <w:spacing w:after="0" w:line="50" w:lineRule="exact"/>
        <w:rPr>
          <w:sz w:val="20"/>
          <w:szCs w:val="20"/>
          <w:color w:val="auto"/>
        </w:rPr>
      </w:pPr>
    </w:p>
    <w:p>
      <w:pPr>
        <w:ind w:right="20" w:firstLine="542"/>
        <w:spacing w:after="0" w:line="261" w:lineRule="auto"/>
        <w:rPr>
          <w:sz w:val="20"/>
          <w:szCs w:val="20"/>
          <w:color w:val="auto"/>
        </w:rPr>
      </w:pPr>
      <w:r>
        <w:rPr>
          <w:rFonts w:ascii="Times New Roman" w:cs="Times New Roman" w:eastAsia="Times New Roman" w:hAnsi="Times New Roman"/>
          <w:sz w:val="17"/>
          <w:szCs w:val="17"/>
          <w:color w:val="auto"/>
        </w:rPr>
        <w:t>KSI-301 program external expenses increased $39.3 million during the year ended December 31, 2020 as compared to 2019, primarily due to clinical trial costs to support ongoing trials, as well as manufacturing activities for KSI-301. Our pivotal Phase 2b/3 clinical study in wAMD (DAZZLE) dosed the first patient in October 2019, and patient recruitment completed in the fourth quarter of 2020. We initiated two pivotal Phase 3 clinical studies in DME (GLEAM and GLIMMER) and one pivotal Phase 3 clinical study in RVO (BEACON) in the third quarter of 2020.</w:t>
      </w:r>
    </w:p>
    <w:p>
      <w:pPr>
        <w:spacing w:after="0" w:line="70"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KSI-501 program external expenses increased $0.4 million during the year ended December 31, 2020 as compared to 2019, due to ongoing research and development of KSI-501.</w:t>
      </w:r>
    </w:p>
    <w:p>
      <w:pPr>
        <w:spacing w:after="0" w:line="50"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Payroll and personnel expenses increased $18.5 million during the year ended December 31, 2020 as compared to 2019, due to increased headcount and stock-based compensation expense.</w:t>
      </w:r>
    </w:p>
    <w:p>
      <w:pPr>
        <w:spacing w:after="0" w:line="50" w:lineRule="exact"/>
        <w:rPr>
          <w:sz w:val="20"/>
          <w:szCs w:val="20"/>
          <w:color w:val="auto"/>
        </w:rPr>
      </w:pPr>
    </w:p>
    <w:p>
      <w:pPr>
        <w:ind w:right="240" w:firstLine="542"/>
        <w:spacing w:after="0" w:line="267" w:lineRule="auto"/>
        <w:rPr>
          <w:sz w:val="20"/>
          <w:szCs w:val="20"/>
          <w:color w:val="auto"/>
        </w:rPr>
      </w:pPr>
      <w:r>
        <w:rPr>
          <w:rFonts w:ascii="Times New Roman" w:cs="Times New Roman" w:eastAsia="Times New Roman" w:hAnsi="Times New Roman"/>
          <w:sz w:val="17"/>
          <w:szCs w:val="17"/>
          <w:color w:val="auto"/>
        </w:rPr>
        <w:t>Other research and development expenses increased $6.6 million during the year ended December 31, 2020 as compared to 2019, primarily due to the allocation of lease costs for Palo Alto and Switzerland. Our other research and development expenses may fluctuate in future periods as we elect to develop other product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5" w:lineRule="exact"/>
        <w:rPr>
          <w:sz w:val="20"/>
          <w:szCs w:val="20"/>
          <w:color w:val="auto"/>
        </w:rPr>
      </w:pPr>
    </w:p>
    <w:p>
      <w:pPr>
        <w:ind w:right="100" w:firstLine="542"/>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increased $16.9 million, or 145%, from the year ended December 31, 2020 as compared to 2019. The increase in general and administrative expenses was primarily driven by increased headcount and stock-based compensation expense as well as professional services related to consulting, legal and accounting, as well as the allocation of lease costs for Palo Alto.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15" w:lineRule="exact"/>
        <w:rPr>
          <w:sz w:val="20"/>
          <w:szCs w:val="20"/>
          <w:color w:val="auto"/>
        </w:rPr>
      </w:pPr>
    </w:p>
    <w:p>
      <w:pPr>
        <w:ind w:right="420" w:firstLine="542"/>
        <w:spacing w:after="0" w:line="283" w:lineRule="auto"/>
        <w:rPr>
          <w:sz w:val="20"/>
          <w:szCs w:val="20"/>
          <w:color w:val="auto"/>
        </w:rPr>
      </w:pPr>
      <w:r>
        <w:rPr>
          <w:rFonts w:ascii="Times New Roman" w:cs="Times New Roman" w:eastAsia="Times New Roman" w:hAnsi="Times New Roman"/>
          <w:sz w:val="17"/>
          <w:szCs w:val="17"/>
          <w:color w:val="auto"/>
        </w:rPr>
        <w:t>Interest income increased $1.3 million from the year ended December 31, 2020 as compared to 2019, which was mainly attributable to interest income earned on increased cash balances from our follow-on offering in December 2019 and November 2020.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15" w:lineRule="exact"/>
        <w:rPr>
          <w:sz w:val="20"/>
          <w:szCs w:val="20"/>
          <w:color w:val="auto"/>
        </w:rPr>
      </w:pPr>
    </w:p>
    <w:p>
      <w:pPr>
        <w:ind w:firstLine="542"/>
        <w:spacing w:after="0" w:line="283" w:lineRule="auto"/>
        <w:rPr>
          <w:sz w:val="20"/>
          <w:szCs w:val="20"/>
          <w:color w:val="auto"/>
        </w:rPr>
      </w:pPr>
      <w:r>
        <w:rPr>
          <w:rFonts w:ascii="Times New Roman" w:cs="Times New Roman" w:eastAsia="Times New Roman" w:hAnsi="Times New Roman"/>
          <w:sz w:val="17"/>
          <w:szCs w:val="17"/>
          <w:color w:val="auto"/>
        </w:rPr>
        <w:t>Other income (expense), net decreased $0.2 million from the year ended December 31, 2020 as compared to 2019, which was mainly attributable to issuance costs from the liability related to the future sale of royalties to BBA in December 2019.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Plan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17" w:lineRule="exact"/>
        <w:rPr>
          <w:sz w:val="20"/>
          <w:szCs w:val="20"/>
          <w:color w:val="auto"/>
        </w:rPr>
      </w:pPr>
    </w:p>
    <w:p>
      <w:pPr>
        <w:ind w:right="340" w:firstLine="542"/>
        <w:spacing w:after="0" w:line="283" w:lineRule="auto"/>
        <w:rPr>
          <w:sz w:val="20"/>
          <w:szCs w:val="20"/>
          <w:color w:val="auto"/>
        </w:rPr>
      </w:pPr>
      <w:r>
        <w:rPr>
          <w:rFonts w:ascii="Times New Roman" w:cs="Times New Roman" w:eastAsia="Times New Roman" w:hAnsi="Times New Roman"/>
          <w:sz w:val="17"/>
          <w:szCs w:val="17"/>
          <w:color w:val="auto"/>
        </w:rPr>
        <w:t>We have funded our operations primarily through the sale and issuance of common stock, redeemable convertible preferred stock, convertible notes and warrants. As of December 31, 2020, we had cash, cash equivalents and marketable securities of $969.0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IPO</w:t>
      </w:r>
    </w:p>
    <w:p>
      <w:pPr>
        <w:spacing w:after="0" w:line="117" w:lineRule="exact"/>
        <w:rPr>
          <w:sz w:val="20"/>
          <w:szCs w:val="20"/>
          <w:color w:val="auto"/>
        </w:rPr>
      </w:pPr>
    </w:p>
    <w:p>
      <w:pPr>
        <w:ind w:right="260" w:firstLine="542"/>
        <w:spacing w:after="0" w:line="267" w:lineRule="auto"/>
        <w:rPr>
          <w:sz w:val="20"/>
          <w:szCs w:val="20"/>
          <w:color w:val="auto"/>
        </w:rPr>
      </w:pPr>
      <w:r>
        <w:rPr>
          <w:rFonts w:ascii="Times New Roman" w:cs="Times New Roman" w:eastAsia="Times New Roman" w:hAnsi="Times New Roman"/>
          <w:sz w:val="17"/>
          <w:szCs w:val="17"/>
          <w:color w:val="auto"/>
        </w:rPr>
        <w:t>In connection with our IPO in 2018, we sold and issued 9,400,000 shares of common stock at a price to the public of $10.00 per share. The aggregate net proceeds from our IPO, inclusive of the partial over-allotment option exercise, were $83.5 million after deducting underwriting discounts and commissions and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Follow-On Offering</w:t>
      </w:r>
    </w:p>
    <w:p>
      <w:pPr>
        <w:spacing w:after="0" w:line="117"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In December 2019, we completed a follow-on offering pursuant to the shelf registration on Form S-3 and issued and sold 6,900,000 shares of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63"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In November 2020, we completed a follow-on offering pursuant to the shelf registration on Form S-3 and issued and sold 5,972,222 shares of common stock at a price to the public of $108.00 per share. The gross proceeds from this offering were $645.0 million, resulting in aggregate net proceeds of $612.0 million after deducting underwriting discounts and commissions and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Funding Requirements</w:t>
      </w:r>
    </w:p>
    <w:p>
      <w:pPr>
        <w:spacing w:after="0" w:line="117" w:lineRule="exact"/>
        <w:rPr>
          <w:sz w:val="20"/>
          <w:szCs w:val="20"/>
          <w:color w:val="auto"/>
        </w:rPr>
      </w:pPr>
    </w:p>
    <w:p>
      <w:pPr>
        <w:ind w:right="20" w:firstLine="542"/>
        <w:spacing w:after="0" w:line="267" w:lineRule="auto"/>
        <w:rPr>
          <w:sz w:val="20"/>
          <w:szCs w:val="20"/>
          <w:color w:val="auto"/>
        </w:rPr>
      </w:pPr>
      <w:r>
        <w:rPr>
          <w:rFonts w:ascii="Times New Roman" w:cs="Times New Roman" w:eastAsia="Times New Roman" w:hAnsi="Times New Roman"/>
          <w:sz w:val="17"/>
          <w:szCs w:val="17"/>
          <w:color w:val="auto"/>
        </w:rPr>
        <w:t>We have incurred net losses since our inception. For the years ended December 31, 2020, 2019 and 2018, we had net losses of $133.1 million, $47.4 million, and $41.4 million, respectively, and we expect to continue to incur additional losses in future periods. As of December 31, 2020, we had an accumulated deficit of $291.2 million.</w:t>
      </w:r>
    </w:p>
    <w:p>
      <w:pPr>
        <w:spacing w:after="0" w:line="63" w:lineRule="exact"/>
        <w:rPr>
          <w:sz w:val="20"/>
          <w:szCs w:val="20"/>
          <w:color w:val="auto"/>
        </w:rPr>
      </w:pPr>
    </w:p>
    <w:p>
      <w:pPr>
        <w:jc w:val="both"/>
        <w:ind w:right="360" w:firstLine="542"/>
        <w:spacing w:after="0" w:line="291" w:lineRule="auto"/>
        <w:rPr>
          <w:sz w:val="20"/>
          <w:szCs w:val="20"/>
          <w:color w:val="auto"/>
        </w:rPr>
      </w:pPr>
      <w:r>
        <w:rPr>
          <w:rFonts w:ascii="Times New Roman" w:cs="Times New Roman" w:eastAsia="Times New Roman" w:hAnsi="Times New Roman"/>
          <w:sz w:val="16"/>
          <w:szCs w:val="16"/>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46" w:lineRule="exact"/>
        <w:rPr>
          <w:sz w:val="20"/>
          <w:szCs w:val="20"/>
          <w:color w:val="auto"/>
        </w:rPr>
      </w:pPr>
    </w:p>
    <w:p>
      <w:pPr>
        <w:ind w:right="60" w:firstLine="542"/>
        <w:spacing w:after="0" w:line="257" w:lineRule="auto"/>
        <w:rPr>
          <w:sz w:val="20"/>
          <w:szCs w:val="20"/>
          <w:color w:val="auto"/>
        </w:rPr>
      </w:pPr>
      <w:r>
        <w:rPr>
          <w:rFonts w:ascii="Times New Roman" w:cs="Times New Roman" w:eastAsia="Times New Roman" w:hAnsi="Times New Roman"/>
          <w:sz w:val="17"/>
          <w:szCs w:val="17"/>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continue incurring additional costs associated with operating as a public company.</w:t>
      </w:r>
    </w:p>
    <w:p>
      <w:pPr>
        <w:spacing w:after="0" w:line="73" w:lineRule="exact"/>
        <w:rPr>
          <w:sz w:val="20"/>
          <w:szCs w:val="20"/>
          <w:color w:val="auto"/>
        </w:rPr>
      </w:pPr>
    </w:p>
    <w:p>
      <w:pPr>
        <w:ind w:right="220" w:firstLine="542"/>
        <w:spacing w:after="0" w:line="283" w:lineRule="auto"/>
        <w:rPr>
          <w:sz w:val="20"/>
          <w:szCs w:val="20"/>
          <w:color w:val="auto"/>
        </w:rPr>
      </w:pPr>
      <w:r>
        <w:rPr>
          <w:rFonts w:ascii="Times New Roman" w:cs="Times New Roman" w:eastAsia="Times New Roman" w:hAnsi="Times New Roman"/>
          <w:sz w:val="17"/>
          <w:szCs w:val="17"/>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50" w:lineRule="exact"/>
        <w:rPr>
          <w:sz w:val="20"/>
          <w:szCs w:val="20"/>
          <w:color w:val="auto"/>
        </w:rPr>
      </w:pPr>
    </w:p>
    <w:p>
      <w:pPr>
        <w:ind w:left="660" w:right="140" w:hanging="121"/>
        <w:spacing w:after="0" w:line="283" w:lineRule="auto"/>
        <w:tabs>
          <w:tab w:leader="none" w:pos="6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rate of progress and costs of our drug discovery, preclinical development activities, laboratory testing and clinical trials for our product candidates;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9" w:name="page120"/>
    <w:bookmarkEnd w:id="119"/>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clinical programs we decide to pursue;</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costs of manufacturing development and commercial manufacturing activities;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 candidates and technologies;</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timing and outcome of regulatory review of our product candidates;</w:t>
      </w:r>
    </w:p>
    <w:p>
      <w:pPr>
        <w:spacing w:after="0" w:line="111" w:lineRule="exact"/>
        <w:rPr>
          <w:rFonts w:ascii="Times New Roman" w:cs="Times New Roman" w:eastAsia="Times New Roman" w:hAnsi="Times New Roman"/>
          <w:sz w:val="17"/>
          <w:szCs w:val="17"/>
          <w:color w:val="auto"/>
        </w:rPr>
      </w:pPr>
    </w:p>
    <w:p>
      <w:pPr>
        <w:ind w:left="660" w:right="380" w:hanging="121"/>
        <w:spacing w:after="0" w:line="283"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on favorable terms, if at all;</w:t>
      </w:r>
    </w:p>
    <w:p>
      <w:pPr>
        <w:spacing w:after="0" w:line="111" w:lineRule="exact"/>
        <w:rPr>
          <w:rFonts w:ascii="Times New Roman" w:cs="Times New Roman" w:eastAsia="Times New Roman" w:hAnsi="Times New Roman"/>
          <w:sz w:val="17"/>
          <w:szCs w:val="17"/>
          <w:color w:val="auto"/>
        </w:rPr>
      </w:pPr>
    </w:p>
    <w:p>
      <w:pPr>
        <w:ind w:left="660" w:right="80" w:hanging="121"/>
        <w:spacing w:after="0" w:line="283" w:lineRule="auto"/>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enhance operational systems and our ability to attract, hire and retain qualified personnel, including personnel to support the development of our product candidates;</w:t>
      </w:r>
    </w:p>
    <w:p>
      <w:pPr>
        <w:spacing w:after="0" w:line="50"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being a public company; and</w:t>
      </w:r>
    </w:p>
    <w:p>
      <w:pPr>
        <w:spacing w:after="0" w:line="111" w:lineRule="exact"/>
        <w:rPr>
          <w:rFonts w:ascii="Times New Roman" w:cs="Times New Roman" w:eastAsia="Times New Roman" w:hAnsi="Times New Roman"/>
          <w:sz w:val="17"/>
          <w:szCs w:val="17"/>
          <w:color w:val="auto"/>
        </w:rPr>
      </w:pPr>
    </w:p>
    <w:p>
      <w:pPr>
        <w:ind w:left="660" w:hanging="121"/>
        <w:spacing w:after="0"/>
        <w:tabs>
          <w:tab w:leader="none" w:pos="6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associated with commercializing our product candidates, if they receive marketing approval.</w:t>
      </w:r>
    </w:p>
    <w:p>
      <w:pPr>
        <w:spacing w:after="0" w:line="111" w:lineRule="exact"/>
        <w:rPr>
          <w:sz w:val="20"/>
          <w:szCs w:val="20"/>
          <w:color w:val="auto"/>
        </w:rPr>
      </w:pPr>
    </w:p>
    <w:p>
      <w:pPr>
        <w:ind w:right="60" w:firstLine="542"/>
        <w:spacing w:after="0" w:line="255" w:lineRule="auto"/>
        <w:rPr>
          <w:sz w:val="20"/>
          <w:szCs w:val="20"/>
          <w:color w:val="auto"/>
        </w:rPr>
      </w:pPr>
      <w:r>
        <w:rPr>
          <w:rFonts w:ascii="Times New Roman" w:cs="Times New Roman" w:eastAsia="Times New Roman" w:hAnsi="Times New Roman"/>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73" w:lineRule="exact"/>
        <w:rPr>
          <w:sz w:val="20"/>
          <w:szCs w:val="20"/>
          <w:color w:val="auto"/>
        </w:rPr>
      </w:pPr>
    </w:p>
    <w:p>
      <w:pPr>
        <w:ind w:firstLine="542"/>
        <w:spacing w:after="0" w:line="259" w:lineRule="auto"/>
        <w:rPr>
          <w:sz w:val="20"/>
          <w:szCs w:val="20"/>
          <w:color w:val="auto"/>
        </w:rPr>
      </w:pPr>
      <w:r>
        <w:rPr>
          <w:rFonts w:ascii="Times New Roman" w:cs="Times New Roman" w:eastAsia="Times New Roman" w:hAnsi="Times New Roman"/>
          <w:sz w:val="17"/>
          <w:szCs w:val="17"/>
          <w:color w:val="auto"/>
        </w:rPr>
        <w:t>The significant uncertainties caused by the evolving effects of the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70" w:lineRule="exact"/>
        <w:rPr>
          <w:sz w:val="20"/>
          <w:szCs w:val="20"/>
          <w:color w:val="auto"/>
        </w:rPr>
      </w:pPr>
    </w:p>
    <w:p>
      <w:pPr>
        <w:ind w:right="160" w:firstLine="542"/>
        <w:spacing w:after="0" w:line="267" w:lineRule="auto"/>
        <w:rPr>
          <w:sz w:val="20"/>
          <w:szCs w:val="20"/>
          <w:color w:val="auto"/>
        </w:rPr>
      </w:pPr>
      <w:r>
        <w:rPr>
          <w:rFonts w:ascii="Times New Roman" w:cs="Times New Roman" w:eastAsia="Times New Roman" w:hAnsi="Times New Roman"/>
          <w:sz w:val="17"/>
          <w:szCs w:val="17"/>
          <w:color w:val="auto"/>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Statement of Cash Flows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sets forth the primary sources and uses of cash for each of the periods presented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(83,428)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(39,146)</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(29,031)</w:t>
            </w:r>
          </w:p>
        </w:tc>
      </w:tr>
      <w:tr>
        <w:trPr>
          <w:trHeight w:val="21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104,834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(136,998)</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(581)</w:t>
            </w:r>
          </w:p>
        </w:tc>
      </w:tr>
      <w:tr>
        <w:trPr>
          <w:trHeight w:val="21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717,377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299,687</w:t>
            </w:r>
          </w:p>
        </w:tc>
        <w:tc>
          <w:tcPr>
            <w:tcW w:w="16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116,471</w:t>
            </w:r>
          </w:p>
        </w:tc>
        <w:tc>
          <w:tcPr>
            <w:tcW w:w="100" w:type="dxa"/>
            <w:vAlign w:val="bottom"/>
          </w:tcPr>
          <w:p>
            <w:pPr>
              <w:spacing w:after="0"/>
              <w:rPr>
                <w:sz w:val="18"/>
                <w:szCs w:val="18"/>
                <w:color w:val="auto"/>
              </w:rPr>
            </w:pPr>
          </w:p>
        </w:tc>
      </w:tr>
      <w:tr>
        <w:trPr>
          <w:trHeight w:val="210"/>
        </w:trPr>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738,783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123,543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86,859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5" w:lineRule="exact"/>
        <w:rPr>
          <w:sz w:val="20"/>
          <w:szCs w:val="20"/>
          <w:color w:val="auto"/>
        </w:rPr>
      </w:pPr>
    </w:p>
    <w:p>
      <w:pPr>
        <w:jc w:val="both"/>
        <w:ind w:right="320" w:firstLine="542"/>
        <w:spacing w:after="0" w:line="267" w:lineRule="auto"/>
        <w:rPr>
          <w:sz w:val="20"/>
          <w:szCs w:val="20"/>
          <w:color w:val="auto"/>
        </w:rPr>
      </w:pPr>
      <w:r>
        <w:rPr>
          <w:rFonts w:ascii="Times New Roman" w:cs="Times New Roman" w:eastAsia="Times New Roman" w:hAnsi="Times New Roman"/>
          <w:sz w:val="17"/>
          <w:szCs w:val="17"/>
          <w:color w:val="auto"/>
        </w:rPr>
        <w:t>Net cash used in operating activities was $83.4 million for year ended December 31, 2020. Cash used in operating activities was primarily driven by the increase in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15" w:lineRule="exact"/>
        <w:rPr>
          <w:sz w:val="20"/>
          <w:szCs w:val="20"/>
          <w:color w:val="auto"/>
        </w:rPr>
      </w:pPr>
    </w:p>
    <w:p>
      <w:pPr>
        <w:ind w:right="80" w:firstLine="542"/>
        <w:spacing w:after="0" w:line="283" w:lineRule="auto"/>
        <w:rPr>
          <w:sz w:val="20"/>
          <w:szCs w:val="20"/>
          <w:color w:val="auto"/>
        </w:rPr>
      </w:pPr>
      <w:r>
        <w:rPr>
          <w:rFonts w:ascii="Times New Roman" w:cs="Times New Roman" w:eastAsia="Times New Roman" w:hAnsi="Times New Roman"/>
          <w:sz w:val="17"/>
          <w:szCs w:val="17"/>
          <w:color w:val="auto"/>
        </w:rPr>
        <w:t>Net cash provided by investing activities was $104.8 million for year ended December 31, 2020 and primarily related to purchases of marketable securities, net of maturities, and purchases of property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15" w:lineRule="exact"/>
        <w:rPr>
          <w:sz w:val="20"/>
          <w:szCs w:val="20"/>
          <w:color w:val="auto"/>
        </w:rPr>
      </w:pPr>
    </w:p>
    <w:p>
      <w:pPr>
        <w:ind w:right="320" w:firstLine="542"/>
        <w:spacing w:after="0" w:line="283" w:lineRule="auto"/>
        <w:rPr>
          <w:sz w:val="20"/>
          <w:szCs w:val="20"/>
          <w:color w:val="auto"/>
        </w:rPr>
      </w:pPr>
      <w:r>
        <w:rPr>
          <w:rFonts w:ascii="Times New Roman" w:cs="Times New Roman" w:eastAsia="Times New Roman" w:hAnsi="Times New Roman"/>
          <w:sz w:val="17"/>
          <w:szCs w:val="17"/>
          <w:color w:val="auto"/>
        </w:rPr>
        <w:t>Net cash provided by financing activities was $717.4 million for year ended December 31, 2020, which consisted primarily of the net proceeds from our follow-on offering, proceeds from sale of future royalties to BBA, and proceeds from the exercise of stock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our contractual obligations as of December 31, 2020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Payments Due by Period</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Times New Roman" w:cs="Times New Roman" w:eastAsia="Times New Roman" w:hAnsi="Times New Roman"/>
                <w:sz w:val="17"/>
                <w:szCs w:val="17"/>
                <w:b w:val="1"/>
                <w:bCs w:val="1"/>
                <w:color w:val="auto"/>
              </w:rPr>
              <w:t>Less than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35"/>
              <w:spacing w:after="0" w:line="189" w:lineRule="exact"/>
              <w:rPr>
                <w:sz w:val="20"/>
                <w:szCs w:val="20"/>
                <w:color w:val="auto"/>
              </w:rPr>
            </w:pPr>
            <w:r>
              <w:rPr>
                <w:rFonts w:ascii="Times New Roman" w:cs="Times New Roman" w:eastAsia="Times New Roman" w:hAnsi="Times New Roman"/>
                <w:sz w:val="17"/>
                <w:szCs w:val="17"/>
                <w:b w:val="1"/>
                <w:bCs w:val="1"/>
                <w:color w:val="auto"/>
              </w:rPr>
              <w:t>1 to 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5"/>
              <w:spacing w:after="0" w:line="189" w:lineRule="exact"/>
              <w:rPr>
                <w:sz w:val="20"/>
                <w:szCs w:val="20"/>
                <w:color w:val="auto"/>
              </w:rPr>
            </w:pPr>
            <w:r>
              <w:rPr>
                <w:rFonts w:ascii="Times New Roman" w:cs="Times New Roman" w:eastAsia="Times New Roman" w:hAnsi="Times New Roman"/>
                <w:sz w:val="17"/>
                <w:szCs w:val="17"/>
                <w:b w:val="1"/>
                <w:bCs w:val="1"/>
                <w:color w:val="auto"/>
              </w:rPr>
              <w:t>3 to 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7"/>
                <w:szCs w:val="17"/>
                <w:b w:val="1"/>
                <w:bCs w:val="1"/>
                <w:color w:val="auto"/>
                <w:w w:val="98"/>
              </w:rPr>
              <w:t>More than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 year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22,258</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30,512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71,462</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128,520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Manufacturing agreements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242,299</w:t>
            </w:r>
          </w:p>
        </w:tc>
        <w:tc>
          <w:tcPr>
            <w:tcW w:w="100" w:type="dxa"/>
            <w:vAlign w:val="bottom"/>
          </w:tcPr>
          <w:p>
            <w:pPr>
              <w:spacing w:after="0"/>
              <w:rPr>
                <w:sz w:val="18"/>
                <w:szCs w:val="18"/>
                <w:color w:val="auto"/>
              </w:rPr>
            </w:pPr>
          </w:p>
        </w:tc>
      </w:tr>
      <w:tr>
        <w:trPr>
          <w:trHeight w:val="21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Tenant improvement obligations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FF0FC"/>
          </w:tcPr>
          <w:p>
            <w:pPr>
              <w:spacing w:after="0"/>
              <w:rPr>
                <w:sz w:val="18"/>
                <w:szCs w:val="18"/>
                <w:color w:val="auto"/>
              </w:rPr>
            </w:pPr>
          </w:p>
        </w:tc>
      </w:tr>
      <w:tr>
        <w:trPr>
          <w:trHeight w:val="217"/>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agreements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87,376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73,291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66,883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144,036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371,586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For further information, refer to Note 7 of the Notes to Consolidated Financial Statements included in Part II, Item 8 of this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Use of Estimates</w:t>
      </w:r>
    </w:p>
    <w:p>
      <w:pPr>
        <w:spacing w:after="0" w:line="115" w:lineRule="exact"/>
        <w:rPr>
          <w:sz w:val="20"/>
          <w:szCs w:val="20"/>
          <w:color w:val="auto"/>
        </w:rPr>
      </w:pPr>
    </w:p>
    <w:p>
      <w:pPr>
        <w:ind w:right="200" w:firstLine="542"/>
        <w:spacing w:after="0" w:line="255"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The impact of the ongoing COVID-19 pandemic continues to evolve.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w:t>
      </w:r>
    </w:p>
    <w:p>
      <w:pPr>
        <w:spacing w:after="0" w:line="117" w:lineRule="exact"/>
        <w:rPr>
          <w:sz w:val="20"/>
          <w:szCs w:val="20"/>
          <w:color w:val="auto"/>
        </w:rPr>
      </w:pPr>
    </w:p>
    <w:p>
      <w:pPr>
        <w:ind w:right="40" w:firstLine="542"/>
        <w:spacing w:after="0" w:line="256" w:lineRule="auto"/>
        <w:rPr>
          <w:sz w:val="20"/>
          <w:szCs w:val="20"/>
          <w:color w:val="auto"/>
        </w:rPr>
      </w:pPr>
      <w:r>
        <w:rPr>
          <w:rFonts w:ascii="Times New Roman" w:cs="Times New Roman" w:eastAsia="Times New Roman" w:hAnsi="Times New Roman"/>
          <w:sz w:val="17"/>
          <w:szCs w:val="17"/>
          <w:color w:val="auto"/>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sheets.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89" w:lineRule="exact"/>
        <w:rPr>
          <w:sz w:val="20"/>
          <w:szCs w:val="20"/>
          <w:color w:val="auto"/>
        </w:rPr>
      </w:pPr>
    </w:p>
    <w:p>
      <w:pPr>
        <w:ind w:right="380" w:firstLine="542"/>
        <w:spacing w:after="0" w:line="237" w:lineRule="exact"/>
        <w:rPr>
          <w:sz w:val="20"/>
          <w:szCs w:val="20"/>
          <w:color w:val="auto"/>
        </w:rPr>
      </w:pPr>
      <w:r>
        <w:rPr>
          <w:rFonts w:ascii="Times New Roman" w:cs="Times New Roman" w:eastAsia="Times New Roman" w:hAnsi="Times New Roman"/>
          <w:sz w:val="17"/>
          <w:szCs w:val="17"/>
          <w:color w:val="auto"/>
        </w:rPr>
        <w:t>We measure and recognize compensation expense for all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made to employees, directors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based on estimated fair values of the awards on the grant date and recognized using the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method over the requisite service period.</w:t>
      </w:r>
    </w:p>
    <w:p>
      <w:pPr>
        <w:spacing w:after="0" w:line="39" w:lineRule="exact"/>
        <w:rPr>
          <w:sz w:val="20"/>
          <w:szCs w:val="20"/>
          <w:color w:val="auto"/>
        </w:rPr>
      </w:pPr>
    </w:p>
    <w:p>
      <w:pPr>
        <w:ind w:right="120" w:firstLine="542"/>
        <w:spacing w:after="0" w:line="216" w:lineRule="exact"/>
        <w:rPr>
          <w:sz w:val="20"/>
          <w:szCs w:val="20"/>
          <w:color w:val="auto"/>
        </w:rPr>
      </w:pPr>
      <w:r>
        <w:rPr>
          <w:rFonts w:ascii="Times New Roman" w:cs="Times New Roman" w:eastAsia="Times New Roman" w:hAnsi="Times New Roman"/>
          <w:sz w:val="17"/>
          <w:szCs w:val="17"/>
          <w:color w:val="auto"/>
        </w:rPr>
        <w:t>The fair value of options is estimated on the grant date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option valuation model. The calculation of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requires that we make certain assumptions and judgments about a number of complex and subjective variables used in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model, including the expected term, expected volatility of the underlying common stock and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 Our stock-based awards are subject to either service or performance-based vesting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ind w:right="520"/>
        <w:spacing w:after="0" w:line="283" w:lineRule="auto"/>
        <w:rPr>
          <w:sz w:val="20"/>
          <w:szCs w:val="20"/>
          <w:color w:val="auto"/>
        </w:rPr>
      </w:pPr>
      <w:r>
        <w:rPr>
          <w:rFonts w:ascii="Times New Roman" w:cs="Times New Roman" w:eastAsia="Times New Roman" w:hAnsi="Times New Roman"/>
          <w:sz w:val="17"/>
          <w:szCs w:val="17"/>
          <w:color w:val="auto"/>
        </w:rPr>
        <w:t>conditions. We evaluate whether achievement of the performance conditions is probable and record expense over the appropriate service period based on this assessment.</w:t>
      </w:r>
    </w:p>
    <w:p>
      <w:pPr>
        <w:spacing w:after="0" w:line="50" w:lineRule="exact"/>
        <w:rPr>
          <w:sz w:val="20"/>
          <w:szCs w:val="20"/>
          <w:color w:val="auto"/>
        </w:rPr>
      </w:pPr>
    </w:p>
    <w:p>
      <w:pPr>
        <w:ind w:right="180" w:firstLine="542"/>
        <w:spacing w:after="0" w:line="283" w:lineRule="auto"/>
        <w:rPr>
          <w:sz w:val="20"/>
          <w:szCs w:val="20"/>
          <w:color w:val="auto"/>
        </w:rPr>
      </w:pPr>
      <w:r>
        <w:rPr>
          <w:rFonts w:ascii="Times New Roman" w:cs="Times New Roman" w:eastAsia="Times New Roman" w:hAnsi="Times New Roman"/>
          <w:sz w:val="17"/>
          <w:szCs w:val="17"/>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7" w:lineRule="exact"/>
        <w:rPr>
          <w:sz w:val="20"/>
          <w:szCs w:val="20"/>
          <w:color w:val="auto"/>
        </w:rPr>
      </w:pPr>
    </w:p>
    <w:p>
      <w:pPr>
        <w:ind w:right="40" w:firstLine="542"/>
        <w:spacing w:after="0" w:line="259" w:lineRule="auto"/>
        <w:rPr>
          <w:sz w:val="20"/>
          <w:szCs w:val="20"/>
          <w:color w:val="auto"/>
        </w:rPr>
      </w:pPr>
      <w:r>
        <w:rPr>
          <w:rFonts w:ascii="Times New Roman" w:cs="Times New Roman" w:eastAsia="Times New Roman" w:hAnsi="Times New Roman"/>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or NOLs,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40" w:firstLine="542"/>
        <w:spacing w:after="0" w:line="267" w:lineRule="auto"/>
        <w:rPr>
          <w:sz w:val="20"/>
          <w:szCs w:val="20"/>
          <w:color w:val="auto"/>
        </w:rPr>
      </w:pPr>
      <w:r>
        <w:rPr>
          <w:rFonts w:ascii="Times New Roman" w:cs="Times New Roman" w:eastAsia="Times New Roman" w:hAnsi="Times New Roman"/>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w:t>
      </w:r>
    </w:p>
    <w:p>
      <w:pPr>
        <w:spacing w:after="0" w:line="63" w:lineRule="exact"/>
        <w:rPr>
          <w:sz w:val="20"/>
          <w:szCs w:val="20"/>
          <w:color w:val="auto"/>
        </w:rPr>
      </w:pPr>
    </w:p>
    <w:p>
      <w:pPr>
        <w:ind w:right="80" w:firstLine="542"/>
        <w:spacing w:after="0" w:line="259" w:lineRule="auto"/>
        <w:rPr>
          <w:sz w:val="20"/>
          <w:szCs w:val="20"/>
          <w:color w:val="auto"/>
        </w:rPr>
      </w:pPr>
      <w:r>
        <w:rPr>
          <w:rFonts w:ascii="Times New Roman" w:cs="Times New Roman" w:eastAsia="Times New Roman" w:hAnsi="Times New Roman"/>
          <w:sz w:val="17"/>
          <w:szCs w:val="17"/>
          <w:color w:val="auto"/>
        </w:rPr>
        <w:t>As of each balance sheet date, unresolved uncertain tax positions must be reassessed, and we will determine whether (1) the factors underlying the sustainability assertion have changed and (2) the amount of the recognized tax benefit is still appropriate. The recognition and measurement of tax benefits requires significant judgment. Judgments concerning the recognition and measurement of a tax benefit might change as new information becomes available.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70"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NOLs and tax credit carryforwards are subject to review and possible adjustment by the Internal Revenue Service, or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a Section 382 study through December 31, 2020 which concluded no such ownership change had occurred through December 31, 2020.</w:t>
      </w:r>
    </w:p>
    <w:p>
      <w:pPr>
        <w:spacing w:after="0" w:line="73" w:lineRule="exact"/>
        <w:rPr>
          <w:sz w:val="20"/>
          <w:szCs w:val="20"/>
          <w:color w:val="auto"/>
        </w:rPr>
      </w:pPr>
    </w:p>
    <w:p>
      <w:pPr>
        <w:ind w:right="120" w:firstLine="542"/>
        <w:spacing w:after="0" w:line="283" w:lineRule="auto"/>
        <w:rPr>
          <w:sz w:val="20"/>
          <w:szCs w:val="20"/>
          <w:color w:val="auto"/>
        </w:rPr>
      </w:pPr>
      <w:r>
        <w:rPr>
          <w:rFonts w:ascii="Times New Roman" w:cs="Times New Roman" w:eastAsia="Times New Roman" w:hAnsi="Times New Roman"/>
          <w:sz w:val="17"/>
          <w:szCs w:val="17"/>
          <w:color w:val="auto"/>
        </w:rPr>
        <w:t>As of December 31, 2020 and 2019, we had unrecognized tax benefits, all of which would affect income tax expense if recognized, before consideration of our valuation allowance. We do not expect that our uncertain tax positions will materially change in the next twelve months.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Since our inception, we have not engaged in any off-balance sheet arrangements, as defined in the rules and regulations of the SEC.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5" w:lineRule="exact"/>
        <w:rPr>
          <w:sz w:val="20"/>
          <w:szCs w:val="20"/>
          <w:color w:val="auto"/>
        </w:rPr>
      </w:pPr>
    </w:p>
    <w:p>
      <w:pPr>
        <w:ind w:right="160" w:firstLine="542"/>
        <w:spacing w:after="0" w:line="283"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discussed under Note 2 to our consolidated financial statements included in Part II, Item 8 of this Annual Report on Form 10-K.</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 ABOUT MARKET RISK</w:t>
      </w:r>
    </w:p>
    <w:p>
      <w:pPr>
        <w:spacing w:after="0" w:line="115" w:lineRule="exact"/>
        <w:rPr>
          <w:sz w:val="20"/>
          <w:szCs w:val="20"/>
          <w:color w:val="auto"/>
        </w:rPr>
      </w:pPr>
    </w:p>
    <w:p>
      <w:pPr>
        <w:ind w:firstLine="542"/>
        <w:spacing w:after="0" w:line="257" w:lineRule="auto"/>
        <w:rPr>
          <w:sz w:val="20"/>
          <w:szCs w:val="20"/>
          <w:color w:val="auto"/>
        </w:rPr>
      </w:pPr>
      <w:r>
        <w:rPr>
          <w:rFonts w:ascii="Times New Roman" w:cs="Times New Roman" w:eastAsia="Times New Roman" w:hAnsi="Times New Roman"/>
          <w:sz w:val="17"/>
          <w:szCs w:val="17"/>
          <w:color w:val="auto"/>
        </w:rPr>
        <w:t>We are exposed to market risk related to changes in interest rates. As of December 31, 2020, we had cash, cash equivalents and marketable securities of $969.0 million, primarily invested in money market funds. As of December 31, 2019, we had cash and cash equivalents of $348.2 million, primarily invested in money market funds, overnight repurchase agreements, U.S. treasury securities, commercial paper and corporate notes. Changes in the general level of interest rates can affect the fair value of our investment portfolio. If market interest rates were to increase immediately and uniformly by 100 basis points, or one percentage point, from levels at December 31, 2020, the net fair value of our interest-sensitive marketable securities would have resulted in a hypothetical decline of less than $0.1 million.</w:t>
      </w:r>
    </w:p>
    <w:p>
      <w:pPr>
        <w:spacing w:after="0" w:line="73" w:lineRule="exact"/>
        <w:rPr>
          <w:sz w:val="20"/>
          <w:szCs w:val="20"/>
          <w:color w:val="auto"/>
        </w:rPr>
      </w:pPr>
    </w:p>
    <w:p>
      <w:pPr>
        <w:ind w:right="360" w:firstLine="542"/>
        <w:spacing w:after="0" w:line="283" w:lineRule="auto"/>
        <w:rPr>
          <w:sz w:val="20"/>
          <w:szCs w:val="20"/>
          <w:color w:val="auto"/>
        </w:rPr>
      </w:pPr>
      <w:r>
        <w:rPr>
          <w:rFonts w:ascii="Times New Roman" w:cs="Times New Roman" w:eastAsia="Times New Roman" w:hAnsi="Times New Roman"/>
          <w:sz w:val="17"/>
          <w:szCs w:val="17"/>
          <w:color w:val="auto"/>
        </w:rPr>
        <w:t>We do not believe that other market risks, like foreign currency exchange rate risk, had a significant impact on our results of operations for any periods presented herein.</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6"/>
        </w:trPr>
        <w:tc>
          <w:tcPr>
            <w:tcW w:w="9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820" w:type="dxa"/>
            <w:vAlign w:val="bottom"/>
          </w:tcPr>
          <w:p>
            <w:pPr>
              <w:spacing w:after="0"/>
              <w:rPr>
                <w:sz w:val="19"/>
                <w:szCs w:val="19"/>
                <w:color w:val="auto"/>
              </w:rPr>
            </w:pPr>
          </w:p>
        </w:tc>
      </w:tr>
      <w:tr>
        <w:trPr>
          <w:trHeight w:val="613"/>
        </w:trPr>
        <w:tc>
          <w:tcPr>
            <w:tcW w:w="9420" w:type="dxa"/>
            <w:vAlign w:val="bottom"/>
          </w:tcPr>
          <w:p>
            <w:pPr>
              <w:ind w:left="340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820" w:type="dxa"/>
            <w:vAlign w:val="bottom"/>
          </w:tcPr>
          <w:p>
            <w:pPr>
              <w:spacing w:after="0"/>
              <w:rPr>
                <w:sz w:val="24"/>
                <w:szCs w:val="24"/>
                <w:color w:val="auto"/>
              </w:rPr>
            </w:pPr>
          </w:p>
        </w:tc>
      </w:tr>
      <w:tr>
        <w:trPr>
          <w:trHeight w:val="392"/>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25">
              <w:r>
                <w:rPr>
                  <w:rFonts w:ascii="Times New Roman" w:cs="Times New Roman" w:eastAsia="Times New Roman" w:hAnsi="Times New Roman"/>
                  <w:sz w:val="17"/>
                  <w:szCs w:val="17"/>
                  <w:u w:val="single" w:color="auto"/>
                  <w:color w:val="0000EE"/>
                </w:rPr>
                <w:t>Report of Independent Registered Public Accounting Firm</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4"/>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1820" w:type="dxa"/>
            <w:vAlign w:val="bottom"/>
          </w:tcPr>
          <w:p>
            <w:pPr>
              <w:spacing w:after="0"/>
              <w:rPr>
                <w:sz w:val="17"/>
                <w:szCs w:val="17"/>
                <w:color w:val="auto"/>
              </w:rPr>
            </w:pPr>
          </w:p>
        </w:tc>
      </w:tr>
      <w:tr>
        <w:trPr>
          <w:trHeight w:val="204"/>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27">
              <w:r>
                <w:rPr>
                  <w:rFonts w:ascii="Times New Roman" w:cs="Times New Roman" w:eastAsia="Times New Roman" w:hAnsi="Times New Roman"/>
                  <w:sz w:val="17"/>
                  <w:szCs w:val="17"/>
                  <w:u w:val="single" w:color="auto"/>
                  <w:color w:val="0000EE"/>
                </w:rPr>
                <w:t>Consolidated Balance Sheets</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4"/>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28">
              <w:r>
                <w:rPr>
                  <w:rFonts w:ascii="Times New Roman" w:cs="Times New Roman" w:eastAsia="Times New Roman" w:hAnsi="Times New Roman"/>
                  <w:sz w:val="17"/>
                  <w:szCs w:val="17"/>
                  <w:u w:val="single" w:color="auto"/>
                  <w:color w:val="0000EE"/>
                </w:rPr>
                <w:t>Consolidated Statements of Operations and Comprehensive Loss</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4"/>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29">
              <w:r>
                <w:rPr>
                  <w:rFonts w:ascii="Times New Roman" w:cs="Times New Roman" w:eastAsia="Times New Roman" w:hAnsi="Times New Roman"/>
                  <w:sz w:val="17"/>
                  <w:szCs w:val="17"/>
                  <w:u w:val="single" w:color="auto"/>
                  <w:color w:val="0000EE"/>
                </w:rPr>
                <w:t>Consolidated Statements of Redeemable Convertible Preferred Stock and Stockholders’ Equity (Deficit)</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4"/>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30">
              <w:r>
                <w:rPr>
                  <w:rFonts w:ascii="Times New Roman" w:cs="Times New Roman" w:eastAsia="Times New Roman" w:hAnsi="Times New Roman"/>
                  <w:sz w:val="17"/>
                  <w:szCs w:val="17"/>
                  <w:u w:val="single" w:color="auto"/>
                  <w:color w:val="0000EE"/>
                </w:rPr>
                <w:t>Consolidated Statements of Cash Flows</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2"/>
        </w:trPr>
        <w:tc>
          <w:tcPr>
            <w:tcW w:w="9420" w:type="dxa"/>
            <w:vAlign w:val="bottom"/>
          </w:tcPr>
          <w:p>
            <w:pPr>
              <w:spacing w:after="0"/>
              <w:rPr>
                <w:rFonts w:ascii="Times New Roman" w:cs="Times New Roman" w:eastAsia="Times New Roman" w:hAnsi="Times New Roman"/>
                <w:sz w:val="17"/>
                <w:szCs w:val="17"/>
                <w:u w:val="single" w:color="auto"/>
                <w:color w:val="0000EE"/>
              </w:rPr>
            </w:pPr>
            <w:hyperlink w:anchor="page131">
              <w:r>
                <w:rPr>
                  <w:rFonts w:ascii="Times New Roman" w:cs="Times New Roman" w:eastAsia="Times New Roman" w:hAnsi="Times New Roman"/>
                  <w:sz w:val="17"/>
                  <w:szCs w:val="17"/>
                  <w:u w:val="single" w:color="auto"/>
                  <w:color w:val="0000EE"/>
                </w:rPr>
                <w:t>Notes to Consolidated Financial Statements</w:t>
              </w:r>
            </w:hyperlink>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613"/>
        </w:trPr>
        <w:tc>
          <w:tcPr>
            <w:tcW w:w="942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119</w:t>
            </w:r>
          </w:p>
        </w:tc>
        <w:tc>
          <w:tcPr>
            <w:tcW w:w="1820" w:type="dxa"/>
            <w:vAlign w:val="bottom"/>
          </w:tcPr>
          <w:p>
            <w:pPr>
              <w:spacing w:after="0"/>
              <w:rPr>
                <w:sz w:val="24"/>
                <w:szCs w:val="24"/>
                <w:color w:val="auto"/>
              </w:rPr>
            </w:pPr>
          </w:p>
        </w:tc>
      </w:tr>
      <w:tr>
        <w:trPr>
          <w:trHeight w:val="107"/>
        </w:trPr>
        <w:tc>
          <w:tcPr>
            <w:tcW w:w="94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ind w:left="35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Kodiak Sciences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9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Kodiak Sciences Inc. and its subsidiaries (the “Company”) as of December 31, 2020 and 2019, and the related consolidated statements of operations and comprehensive loss, of redeemable convertible preferred stock and stockholders’ equity (deficit)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w:t>
      </w:r>
      <w:r>
        <w:rPr>
          <w:rFonts w:ascii="Times New Roman" w:cs="Times New Roman" w:eastAsia="Times New Roman" w:hAnsi="Times New Roman"/>
          <w:sz w:val="17"/>
          <w:szCs w:val="17"/>
          <w:color w:val="auto"/>
        </w:rPr>
        <w:t>(2013) issued by the Committee of Sponsoring Organizations of the Treadway Commission (COSO).</w:t>
      </w:r>
    </w:p>
    <w:p>
      <w:pPr>
        <w:spacing w:after="0" w:line="13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Accounting Principle</w:t>
      </w:r>
    </w:p>
    <w:p>
      <w:pPr>
        <w:spacing w:after="0" w:line="217" w:lineRule="exact"/>
        <w:rPr>
          <w:sz w:val="20"/>
          <w:szCs w:val="20"/>
          <w:color w:val="auto"/>
        </w:rPr>
      </w:pPr>
    </w:p>
    <w:p>
      <w:pPr>
        <w:ind w:right="1820"/>
        <w:spacing w:after="0" w:line="462" w:lineRule="auto"/>
        <w:rPr>
          <w:sz w:val="20"/>
          <w:szCs w:val="20"/>
          <w:color w:val="auto"/>
        </w:rPr>
      </w:pPr>
      <w:r>
        <w:rPr>
          <w:rFonts w:ascii="Times New Roman" w:cs="Times New Roman" w:eastAsia="Times New Roman" w:hAnsi="Times New Roman"/>
          <w:sz w:val="17"/>
          <w:szCs w:val="17"/>
          <w:color w:val="auto"/>
        </w:rPr>
        <w:t xml:space="preserve">As discussed in Note 2 to the consolidated financial statements, the Company changed the manner in which it accounts for leases in 2019. </w:t>
      </w:r>
      <w:r>
        <w:rPr>
          <w:rFonts w:ascii="Times New Roman" w:cs="Times New Roman" w:eastAsia="Times New Roman" w:hAnsi="Times New Roman"/>
          <w:sz w:val="17"/>
          <w:szCs w:val="17"/>
          <w:b w:val="1"/>
          <w:bCs w:val="1"/>
          <w:i w:val="1"/>
          <w:iCs w:val="1"/>
          <w:color w:val="auto"/>
        </w:rPr>
        <w:t>Basis for Opinions</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5" w:name="page126"/>
    <w:bookmarkEnd w:id="125"/>
    <w:p>
      <w:pPr>
        <w:ind w:right="180"/>
        <w:spacing w:after="0" w:line="283" w:lineRule="auto"/>
        <w:rPr>
          <w:sz w:val="20"/>
          <w:szCs w:val="20"/>
          <w:color w:val="auto"/>
        </w:rPr>
      </w:pPr>
      <w:r>
        <w:rPr>
          <w:rFonts w:ascii="Times New Roman" w:cs="Times New Roman" w:eastAsia="Times New Roman" w:hAnsi="Times New Roman"/>
          <w:sz w:val="17"/>
          <w:szCs w:val="17"/>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Accrued Clinical Trial and Related Costs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As described in Notes 2 and 4 to the consolidated financial statements, the Company recorded $11.1 million in accrued clinical trial and related costs as of December 31, 2020.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The principal considerations for our determination that performing procedures relating to accrued clinical trial and related costs is a critical audit matter are the judgment by management in evaluating the data used in developing the accrued clinical trial and related cost estimates, which in turn led to a high degree of auditor judgment and effort in performing procedures to evaluate audit evidence obtained related to </w:t>
      </w:r>
      <w:r>
        <w:rPr>
          <w:rFonts w:ascii="Times New Roman" w:cs="Times New Roman" w:eastAsia="Times New Roman" w:hAnsi="Times New Roman"/>
          <w:sz w:val="17"/>
          <w:szCs w:val="17"/>
          <w:color w:val="202124"/>
        </w:rPr>
        <w:t>patient enrollment, clinical site activations and services rendered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02124"/>
        </w:rPr>
        <w:t xml:space="preserve">outside service </w:t>
      </w:r>
      <w:r>
        <w:rPr>
          <w:rFonts w:ascii="Times New Roman" w:cs="Times New Roman" w:eastAsia="Times New Roman" w:hAnsi="Times New Roman"/>
          <w:sz w:val="17"/>
          <w:szCs w:val="17"/>
          <w:color w:val="000000"/>
        </w:rPr>
        <w:t>providers used by management in developing the estimates.</w:t>
      </w:r>
    </w:p>
    <w:p>
      <w:pPr>
        <w:spacing w:after="0" w:line="1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completeness and accuracy of clinical trial accruals, including controls relating to the reliability of data used in the development of the estimates. These procedures also included, among others, (1) testing management’s process for developing the estimated accrued clinical trial and related costs, (2) evaluating the appropriateness of the approach used by management to develop the estimates,</w:t>
      </w:r>
    </w:p>
    <w:p>
      <w:pPr>
        <w:spacing w:after="0" w:line="1" w:lineRule="exact"/>
        <w:rPr>
          <w:sz w:val="20"/>
          <w:szCs w:val="20"/>
          <w:color w:val="auto"/>
        </w:rPr>
      </w:pPr>
    </w:p>
    <w:p>
      <w:pPr>
        <w:ind w:right="60" w:firstLine="2"/>
        <w:spacing w:after="0" w:line="256" w:lineRule="auto"/>
        <w:tabs>
          <w:tab w:leader="none" w:pos="24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02124"/>
        </w:rPr>
        <w:t xml:space="preserve">testing the completeness and accuracy of the data used in developing the estimates, including data related to patient enrollment, clinical site activations and services rendered by outside service </w:t>
      </w:r>
      <w:r>
        <w:rPr>
          <w:rFonts w:ascii="Times New Roman" w:cs="Times New Roman" w:eastAsia="Times New Roman" w:hAnsi="Times New Roman"/>
          <w:sz w:val="17"/>
          <w:szCs w:val="17"/>
          <w:color w:val="000000"/>
        </w:rPr>
        <w:t>providers, (4) confirming clinical costs and contracted fees with the clinical vendors on a test basis, and (5) examining clinical</w:t>
      </w:r>
      <w:r>
        <w:rPr>
          <w:rFonts w:ascii="Times New Roman" w:cs="Times New Roman" w:eastAsia="Times New Roman" w:hAnsi="Times New Roman"/>
          <w:sz w:val="17"/>
          <w:szCs w:val="17"/>
          <w:color w:val="202124"/>
        </w:rPr>
        <w:t xml:space="preserve"> </w:t>
      </w:r>
      <w:r>
        <w:rPr>
          <w:rFonts w:ascii="Times New Roman" w:cs="Times New Roman" w:eastAsia="Times New Roman" w:hAnsi="Times New Roman"/>
          <w:sz w:val="17"/>
          <w:szCs w:val="17"/>
          <w:color w:val="000000"/>
        </w:rPr>
        <w:t>vendor contracts on a test basis to evaluate the completeness of costs considered in the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289" w:right="4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944,396</w:t>
            </w:r>
          </w:p>
        </w:tc>
        <w:tc>
          <w:tcPr>
            <w:tcW w:w="2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211,797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972,005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10,210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1,067,347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358,866</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8,646</w:t>
            </w:r>
          </w:p>
        </w:tc>
        <w:tc>
          <w:tcPr>
            <w:tcW w:w="280" w:type="dxa"/>
            <w:vAlign w:val="bottom"/>
          </w:tcPr>
          <w:p>
            <w:pPr>
              <w:spacing w:after="0"/>
              <w:rPr>
                <w:sz w:val="18"/>
                <w:szCs w:val="18"/>
                <w:color w:val="auto"/>
              </w:rPr>
            </w:pP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20,402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31,422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 net of current portion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Liability related to sale of future royalties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99,890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206,596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13,507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7)</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$0.0001 par value, 10,000,000 shares authorized;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0 shares issued and outstanding at December 31, 2020 and 2019</w:t>
            </w:r>
          </w:p>
        </w:tc>
        <w:tc>
          <w:tcPr>
            <w:tcW w:w="1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Common stock, $0.0001 par value, 490,000,000 shares authorized at</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December 31, 2020 and 2019; 51,112,302 and 44,413,404 shares</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issued and outstanding at December 31, 2020 and 2019, respectively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1,151,920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(291,227)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(158,131)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860,751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345,359</w:t>
            </w: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1,067,347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358,866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04"/>
        </w:trPr>
        <w:tc>
          <w:tcPr>
            <w:tcW w:w="5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107,389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11,684</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3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136,007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49,190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(49,190)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Interest expense (includes $nil, $nil and $3,030</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attributable to related parties for the years ended</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December 31, 2020, 2019 and 2018, respectively)</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(5,519)</w:t>
            </w:r>
          </w:p>
        </w:tc>
        <w:tc>
          <w:tcPr>
            <w:tcW w:w="0" w:type="dxa"/>
            <w:vAlign w:val="bottom"/>
          </w:tcPr>
          <w:p>
            <w:pPr>
              <w:spacing w:after="0"/>
              <w:rPr>
                <w:sz w:val="1"/>
                <w:szCs w:val="1"/>
                <w:color w:val="auto"/>
              </w:rPr>
            </w:pPr>
          </w:p>
        </w:tc>
      </w:tr>
      <w:tr>
        <w:trPr>
          <w:trHeight w:val="201"/>
        </w:trPr>
        <w:tc>
          <w:tcPr>
            <w:tcW w:w="5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income (expense), net (includes $49, $nil, and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$2,736 expenses attributable to related parties for</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years ended December 31, 2020, 2019, and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2018, respectively)</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(4,688)</w:t>
            </w:r>
          </w:p>
        </w:tc>
        <w:tc>
          <w:tcPr>
            <w:tcW w:w="0" w:type="dxa"/>
            <w:vAlign w:val="bottom"/>
          </w:tcPr>
          <w:p>
            <w:pPr>
              <w:spacing w:after="0"/>
              <w:rPr>
                <w:sz w:val="1"/>
                <w:szCs w:val="1"/>
                <w:color w:val="auto"/>
              </w:rPr>
            </w:pPr>
          </w:p>
        </w:tc>
      </w:tr>
      <w:tr>
        <w:trPr>
          <w:trHeight w:val="201"/>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Loss on extinguishment of debt (includes $1,587</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attributable to related parties for the year ended</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December 31, 2018)</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(5,479)</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(133,096)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(47,365)</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(41,443)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Weighted-average common shares outstanding used in</w:t>
            </w: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3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3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7"/>
                <w:szCs w:val="17"/>
                <w:color w:val="auto"/>
              </w:rPr>
              <w:t>computing net loss per common share, basic and diluted</w:t>
            </w:r>
          </w:p>
        </w:tc>
        <w:tc>
          <w:tcPr>
            <w:tcW w:w="1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45,741,845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37,853,616</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14,976,515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unrealized gains related to available-for-sale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7"/>
                <w:szCs w:val="17"/>
                <w:color w:val="auto"/>
              </w:rPr>
              <w:t>debt securities, net of tax</w:t>
            </w: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ectPr>
          <w:pgSz w:w="11900" w:h="16838" w:orient="portrait"/>
          <w:cols w:equalWidth="0" w:num="1">
            <w:col w:w="11180"/>
          </w:cols>
          <w:pgMar w:left="320" w:top="119" w:right="399" w:bottom="1440" w:gutter="0" w:footer="0" w:header="0"/>
        </w:sectPr>
      </w:pP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22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220" w:type="dxa"/>
            <w:vAlign w:val="bottom"/>
            <w:gridSpan w:val="3"/>
          </w:tcPr>
          <w:p>
            <w:pPr>
              <w:jc w:val="center"/>
              <w:ind w:left="392"/>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17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0" w:type="dxa"/>
            <w:vAlign w:val="bottom"/>
          </w:tcPr>
          <w:p>
            <w:pPr>
              <w:spacing w:after="0"/>
              <w:rPr>
                <w:sz w:val="1"/>
                <w:szCs w:val="1"/>
                <w:color w:val="auto"/>
              </w:rPr>
            </w:pPr>
          </w:p>
        </w:tc>
      </w:tr>
      <w:tr>
        <w:trPr>
          <w:trHeight w:val="146"/>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980" w:type="dxa"/>
            <w:vAlign w:val="bottom"/>
            <w:tcBorders>
              <w:top w:val="single" w:sz="8" w:color="auto"/>
            </w:tcBorders>
            <w:gridSpan w:val="2"/>
          </w:tcPr>
          <w:p>
            <w:pPr>
              <w:jc w:val="right"/>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top w:val="single" w:sz="8" w:color="auto"/>
            </w:tcBorders>
            <w:gridSpan w:val="2"/>
          </w:tcPr>
          <w:p>
            <w:pPr>
              <w:jc w:val="right"/>
              <w:ind w:right="72"/>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6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12,385,154</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50,017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preferred stock into common stock</w:t>
            </w:r>
          </w:p>
        </w:tc>
        <w:tc>
          <w:tcPr>
            <w:tcW w:w="98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(12,385,154)</w:t>
            </w:r>
          </w:p>
        </w:tc>
        <w:tc>
          <w:tcPr>
            <w:tcW w:w="240" w:type="dxa"/>
            <w:vAlign w:val="bottom"/>
          </w:tcPr>
          <w:p>
            <w:pPr>
              <w:spacing w:after="0"/>
              <w:rPr>
                <w:sz w:val="13"/>
                <w:szCs w:val="13"/>
                <w:color w:val="auto"/>
              </w:rPr>
            </w:pPr>
          </w:p>
        </w:tc>
        <w:tc>
          <w:tcPr>
            <w:tcW w:w="5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(50,017)</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340"/>
              <w:spacing w:after="0" w:line="141" w:lineRule="exact"/>
              <w:rPr>
                <w:sz w:val="20"/>
                <w:szCs w:val="20"/>
                <w:color w:val="auto"/>
              </w:rPr>
            </w:pPr>
            <w:r>
              <w:rPr>
                <w:rFonts w:ascii="Times New Roman" w:cs="Times New Roman" w:eastAsia="Times New Roman" w:hAnsi="Times New Roman"/>
                <w:sz w:val="14"/>
                <w:szCs w:val="14"/>
                <w:color w:val="auto"/>
              </w:rPr>
              <w:t>preferred stock warrants into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stock warrants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Conversion of 2017 and 2018 convertible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notes into common stock</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in conection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340"/>
              <w:spacing w:after="0" w:line="141" w:lineRule="exact"/>
              <w:rPr>
                <w:sz w:val="20"/>
                <w:szCs w:val="20"/>
                <w:color w:val="auto"/>
              </w:rPr>
            </w:pPr>
            <w:r>
              <w:rPr>
                <w:rFonts w:ascii="Times New Roman" w:cs="Times New Roman" w:eastAsia="Times New Roman" w:hAnsi="Times New Roman"/>
                <w:sz w:val="14"/>
                <w:szCs w:val="14"/>
                <w:color w:val="auto"/>
              </w:rPr>
              <w:t>with initial public offering,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offering costs of $10,542</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Balance at December 31, 2018</w:t>
            </w:r>
          </w:p>
        </w:tc>
        <w:tc>
          <w:tcPr>
            <w:tcW w:w="7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Vesting of restricted stock units,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taxes withheld</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340"/>
              <w:spacing w:after="0" w:line="141" w:lineRule="exact"/>
              <w:rPr>
                <w:sz w:val="20"/>
                <w:szCs w:val="20"/>
                <w:color w:val="auto"/>
              </w:rPr>
            </w:pPr>
            <w:r>
              <w:rPr>
                <w:rFonts w:ascii="Times New Roman" w:cs="Times New Roman" w:eastAsia="Times New Roman" w:hAnsi="Times New Roman"/>
                <w:sz w:val="14"/>
                <w:szCs w:val="14"/>
                <w:color w:val="auto"/>
              </w:rPr>
              <w:t>with follow-on offering,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offering costs of $19,784</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Balance at December 31, 2019</w:t>
            </w:r>
          </w:p>
        </w:tc>
        <w:tc>
          <w:tcPr>
            <w:tcW w:w="7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ind w:left="340"/>
              <w:spacing w:after="0" w:line="141" w:lineRule="exact"/>
              <w:rPr>
                <w:sz w:val="20"/>
                <w:szCs w:val="20"/>
                <w:color w:val="auto"/>
              </w:rPr>
            </w:pPr>
            <w:r>
              <w:rPr>
                <w:rFonts w:ascii="Times New Roman" w:cs="Times New Roman" w:eastAsia="Times New Roman" w:hAnsi="Times New Roman"/>
                <w:sz w:val="14"/>
                <w:szCs w:val="14"/>
                <w:color w:val="auto"/>
              </w:rPr>
              <w:t>with follow-on offering,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offering costs of $32,984</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356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Vesting of restricted stock units, net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340"/>
              <w:spacing w:after="0" w:line="153" w:lineRule="exact"/>
              <w:rPr>
                <w:sz w:val="20"/>
                <w:szCs w:val="20"/>
                <w:color w:val="auto"/>
              </w:rPr>
            </w:pPr>
            <w:r>
              <w:rPr>
                <w:rFonts w:ascii="Times New Roman" w:cs="Times New Roman" w:eastAsia="Times New Roman" w:hAnsi="Times New Roman"/>
                <w:sz w:val="14"/>
                <w:szCs w:val="14"/>
                <w:color w:val="auto"/>
              </w:rPr>
              <w:t>taxes withheld</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Balance at December 31, 2020</w:t>
            </w:r>
          </w:p>
        </w:tc>
        <w:tc>
          <w:tcPr>
            <w:tcW w:w="7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164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2"/>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70"/>
        </w:trPr>
        <w:tc>
          <w:tcPr>
            <w:tcW w:w="16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6"/>
        </w:trPr>
        <w:tc>
          <w:tcPr>
            <w:tcW w:w="740" w:type="dxa"/>
            <w:vAlign w:val="bottom"/>
          </w:tcPr>
          <w:p>
            <w:pPr>
              <w:jc w:val="right"/>
              <w:ind w:right="112"/>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2"/>
              <w:spacing w:after="0" w:line="146"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2"/>
              <w:spacing w:after="0" w:line="146"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20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7"/>
              </w:rPr>
              <w:t>(Deficit)</w:t>
            </w:r>
          </w:p>
        </w:tc>
        <w:tc>
          <w:tcPr>
            <w:tcW w:w="0" w:type="dxa"/>
            <w:vAlign w:val="bottom"/>
          </w:tcPr>
          <w:p>
            <w:pPr>
              <w:spacing w:after="0"/>
              <w:rPr>
                <w:sz w:val="1"/>
                <w:szCs w:val="1"/>
                <w:color w:val="auto"/>
              </w:rPr>
            </w:pPr>
          </w:p>
        </w:tc>
      </w:tr>
      <w:tr>
        <w:trPr>
          <w:trHeight w:val="168"/>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7,936,434</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12,385,154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6,932,969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83,458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83,459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2,756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2,756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(41,443)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(41,443)</w:t>
            </w:r>
          </w:p>
        </w:tc>
        <w:tc>
          <w:tcPr>
            <w:tcW w:w="0" w:type="dxa"/>
            <w:vAlign w:val="bottom"/>
          </w:tcPr>
          <w:p>
            <w:pPr>
              <w:spacing w:after="0"/>
              <w:rPr>
                <w:sz w:val="1"/>
                <w:szCs w:val="1"/>
                <w:color w:val="auto"/>
              </w:rPr>
            </w:pPr>
          </w:p>
        </w:tc>
      </w:tr>
      <w:tr>
        <w:trPr>
          <w:trHeight w:val="168"/>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36,829,857</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(110,766)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662,079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9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2"/>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297,615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297,616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6,110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6,110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13"/>
                <w:szCs w:val="13"/>
                <w:color w:val="auto"/>
              </w:rPr>
            </w:pP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(47,365)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(47,365)</w:t>
            </w:r>
          </w:p>
        </w:tc>
        <w:tc>
          <w:tcPr>
            <w:tcW w:w="0" w:type="dxa"/>
            <w:vAlign w:val="bottom"/>
          </w:tcPr>
          <w:p>
            <w:pPr>
              <w:spacing w:after="0"/>
              <w:rPr>
                <w:sz w:val="1"/>
                <w:szCs w:val="1"/>
                <w:color w:val="auto"/>
              </w:rPr>
            </w:pPr>
          </w:p>
        </w:tc>
      </w:tr>
      <w:tr>
        <w:trPr>
          <w:trHeight w:val="168"/>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44,413,404</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345,359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704,675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5,972,222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53"/>
        </w:trPr>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30,668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30,668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w w:val="99"/>
              </w:rPr>
              <w:t>43</w:t>
            </w:r>
          </w:p>
        </w:tc>
        <w:tc>
          <w:tcPr>
            <w:tcW w:w="200" w:type="dxa"/>
            <w:vAlign w:val="bottom"/>
          </w:tcPr>
          <w:p>
            <w:pPr>
              <w:spacing w:after="0"/>
              <w:rPr>
                <w:sz w:val="13"/>
                <w:szCs w:val="13"/>
                <w:color w:val="auto"/>
              </w:rPr>
            </w:pP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(133,096)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(133,096)</w:t>
            </w:r>
          </w:p>
        </w:tc>
        <w:tc>
          <w:tcPr>
            <w:tcW w:w="0" w:type="dxa"/>
            <w:vAlign w:val="bottom"/>
          </w:tcPr>
          <w:p>
            <w:pPr>
              <w:spacing w:after="0"/>
              <w:rPr>
                <w:sz w:val="1"/>
                <w:szCs w:val="1"/>
                <w:color w:val="auto"/>
              </w:rPr>
            </w:pPr>
          </w:p>
        </w:tc>
      </w:tr>
      <w:tr>
        <w:trPr>
          <w:trHeight w:val="146"/>
        </w:trPr>
        <w:tc>
          <w:tcPr>
            <w:tcW w:w="7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51,112,302</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w w:val="93"/>
              </w:rPr>
              <w:t>$ 1,151,920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2"/>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600"/>
              <w:spacing w:after="0" w:line="146" w:lineRule="exact"/>
              <w:rPr>
                <w:sz w:val="20"/>
                <w:szCs w:val="20"/>
                <w:color w:val="auto"/>
              </w:rPr>
            </w:pPr>
            <w:r>
              <w:rPr>
                <w:rFonts w:ascii="Times New Roman" w:cs="Times New Roman" w:eastAsia="Times New Roman" w:hAnsi="Times New Roman"/>
                <w:sz w:val="14"/>
                <w:szCs w:val="14"/>
                <w:color w:val="auto"/>
                <w:w w:val="99"/>
              </w:rPr>
              <w:t>53</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   (291,227</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$860,751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-4486275</wp:posOffset>
            </wp:positionV>
            <wp:extent cx="7139940" cy="4486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940" cy="448691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300" w:space="220"/>
            <w:col w:w="5660"/>
          </w:cols>
          <w:pgMar w:left="320" w:top="119"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(133,096)</w:t>
            </w:r>
          </w:p>
        </w:tc>
        <w:tc>
          <w:tcPr>
            <w:tcW w:w="260" w:type="dxa"/>
            <w:vAlign w:val="bottom"/>
            <w:gridSpan w:val="2"/>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(47,365)</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(41,443)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Depreciation</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477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538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8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4"/>
                <w:szCs w:val="14"/>
                <w:color w:val="auto"/>
              </w:rPr>
              <w:t>Non-cash interest expense and amortization of debt discount</w:t>
            </w: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and issuance cost</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8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auto"/>
              </w:rPr>
              <w:t>Change in fair value of redeemable convertible preferred</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stock warrant liability</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220"/>
              <w:spacing w:after="0" w:line="153" w:lineRule="exact"/>
              <w:rPr>
                <w:sz w:val="20"/>
                <w:szCs w:val="20"/>
                <w:color w:val="auto"/>
              </w:rPr>
            </w:pPr>
            <w:r>
              <w:rPr>
                <w:rFonts w:ascii="Times New Roman" w:cs="Times New Roman" w:eastAsia="Times New Roman" w:hAnsi="Times New Roman"/>
                <w:sz w:val="14"/>
                <w:szCs w:val="14"/>
                <w:color w:val="auto"/>
              </w:rPr>
              <w:t>Change in fair value of derivative instrument</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1,988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Extinguishment of debt</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5,479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220"/>
              <w:spacing w:after="0" w:line="153"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30,668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6,110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2,665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220"/>
              <w:spacing w:after="0" w:line="153" w:lineRule="exact"/>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3,731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373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Amortization of issuance costs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220"/>
              <w:spacing w:after="0" w:line="153"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440"/>
              <w:spacing w:after="0" w:line="153" w:lineRule="exact"/>
              <w:rPr>
                <w:sz w:val="20"/>
                <w:szCs w:val="20"/>
                <w:color w:val="auto"/>
              </w:rPr>
            </w:pPr>
            <w:r>
              <w:rPr>
                <w:rFonts w:ascii="Times New Roman" w:cs="Times New Roman" w:eastAsia="Times New Roman" w:hAnsi="Times New Roman"/>
                <w:sz w:val="14"/>
                <w:szCs w:val="14"/>
                <w:color w:val="auto"/>
              </w:rPr>
              <w:t>Prepaid expense and other current assets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(168)</w:t>
            </w:r>
          </w:p>
        </w:tc>
        <w:tc>
          <w:tcPr>
            <w:tcW w:w="16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(1,814)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(4,511)</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440"/>
              <w:spacing w:after="0" w:line="153" w:lineRule="exact"/>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5,224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1,569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(2,323)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11,748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4,932</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ind w:left="440"/>
              <w:spacing w:after="0" w:line="153" w:lineRule="exact"/>
              <w:rPr>
                <w:sz w:val="20"/>
                <w:szCs w:val="20"/>
                <w:color w:val="auto"/>
              </w:rPr>
            </w:pPr>
            <w:r>
              <w:rPr>
                <w:rFonts w:ascii="Times New Roman" w:cs="Times New Roman" w:eastAsia="Times New Roman" w:hAnsi="Times New Roman"/>
                <w:sz w:val="14"/>
                <w:szCs w:val="14"/>
                <w:color w:val="auto"/>
              </w:rPr>
              <w:t>Operating lease liability</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(383)</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color w:val="auto"/>
              </w:rPr>
              <w:t>Other liabilities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Borders>
              <w:bottom w:val="single" w:sz="8" w:color="CFF0FC"/>
            </w:tcBorders>
          </w:tcPr>
          <w:p>
            <w:pPr>
              <w:ind w:left="680"/>
              <w:spacing w:after="0" w:line="146"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(83,428)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(39,146)</w:t>
            </w:r>
          </w:p>
        </w:tc>
        <w:tc>
          <w:tcPr>
            <w:tcW w:w="2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(29,031)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(3,814)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(437)</w:t>
            </w:r>
          </w:p>
        </w:tc>
        <w:tc>
          <w:tcPr>
            <w:tcW w:w="16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Deposits on property and equipment</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(3,184)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(86,317)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(150,961)</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Maturities of marketable securities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198,149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14,400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Borders>
              <w:bottom w:val="single" w:sz="8" w:color="CFF0FC"/>
            </w:tcBorders>
          </w:tcPr>
          <w:p>
            <w:pPr>
              <w:ind w:left="680"/>
              <w:spacing w:after="0" w:line="146"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104,834</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(136,998)</w:t>
            </w:r>
          </w:p>
        </w:tc>
        <w:tc>
          <w:tcPr>
            <w:tcW w:w="2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Proceeds from issuance of common stock in connection with offering, net of offering costs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612,016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297,616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83,755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Proceeds from issuance of common stock upon option exercise</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6,248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2,287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Payments for restricted stock units, net of taxes withheld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Proceeds from issuance of convertible notes (includes $9,560 from</w:t>
            </w: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related parties for the years ended December 31, 2018)</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Debt issuance cost</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Proceeds from sale of future royalties, net of issuance costs</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99,643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Principal payments of capital lease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Principal payments of tenant improvement allowance payable</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Borders>
              <w:bottom w:val="single" w:sz="8" w:color="CFF0FC"/>
            </w:tcBorders>
          </w:tcPr>
          <w:p>
            <w:pPr>
              <w:ind w:left="680"/>
              <w:spacing w:after="0" w:line="146"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717,377</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299,687</w:t>
            </w:r>
          </w:p>
        </w:tc>
        <w:tc>
          <w:tcPr>
            <w:tcW w:w="26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116,471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738,783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123,543</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86,859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Borders>
              <w:bottom w:val="single" w:sz="8" w:color="CFF0FC"/>
            </w:tcBorders>
          </w:tcPr>
          <w:p>
            <w:pPr>
              <w:spacing w:after="0" w:line="153"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8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211,937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88,394</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1,535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Borders>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8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950,720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12"/>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211,937</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88,394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8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 consolidated balance sheets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gridSpan w:val="2"/>
            <w:shd w:val="clear" w:color="auto" w:fill="CFF0FC"/>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944,396</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211,797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88,254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Borders>
              <w:bottom w:val="single" w:sz="8" w:color="CFF0FC"/>
            </w:tcBorders>
          </w:tcPr>
          <w:p>
            <w:pPr>
              <w:spacing w:after="0" w:line="153" w:lineRule="exact"/>
              <w:rPr>
                <w:sz w:val="20"/>
                <w:szCs w:val="20"/>
                <w:color w:val="auto"/>
              </w:rPr>
            </w:pPr>
            <w:r>
              <w:rPr>
                <w:rFonts w:ascii="Times New Roman" w:cs="Times New Roman" w:eastAsia="Times New Roman" w:hAnsi="Times New Roman"/>
                <w:sz w:val="14"/>
                <w:szCs w:val="14"/>
                <w:color w:val="auto"/>
              </w:rPr>
              <w:t>Restricted cash</w:t>
            </w:r>
          </w:p>
        </w:tc>
        <w:tc>
          <w:tcPr>
            <w:tcW w:w="8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6,324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140</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Borders>
              <w:bottom w:val="single" w:sz="8" w:color="CFF0FC"/>
            </w:tcBorders>
            <w:shd w:val="clear" w:color="auto" w:fill="CFF0FC"/>
          </w:tcPr>
          <w:p>
            <w:pPr>
              <w:spacing w:after="0" w:line="146" w:lineRule="exact"/>
              <w:rPr>
                <w:sz w:val="20"/>
                <w:szCs w:val="20"/>
                <w:color w:val="auto"/>
              </w:rPr>
            </w:pPr>
            <w:r>
              <w:rPr>
                <w:rFonts w:ascii="Times New Roman" w:cs="Times New Roman" w:eastAsia="Times New Roman" w:hAnsi="Times New Roman"/>
                <w:sz w:val="14"/>
                <w:szCs w:val="14"/>
                <w:color w:val="auto"/>
              </w:rPr>
              <w:t>Cash, cash equivalents and restricted cash in consolidated balance sheets</w:t>
            </w:r>
          </w:p>
        </w:tc>
        <w:tc>
          <w:tcPr>
            <w:tcW w:w="8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950,720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12"/>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211,937</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88,394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gridSpan w:val="2"/>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3"/>
                <w:szCs w:val="13"/>
                <w:color w:val="auto"/>
              </w:rPr>
            </w:pPr>
          </w:p>
        </w:tc>
        <w:tc>
          <w:tcPr>
            <w:tcW w:w="260" w:type="dxa"/>
            <w:vAlign w:val="bottom"/>
            <w:gridSpan w:val="2"/>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Operating lease right-of-use asset obtained in exchange for</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0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75,614</w:t>
            </w:r>
          </w:p>
        </w:tc>
        <w:tc>
          <w:tcPr>
            <w:tcW w:w="160" w:type="dxa"/>
            <w:vAlign w:val="bottom"/>
          </w:tcPr>
          <w:p>
            <w:pPr>
              <w:spacing w:after="0"/>
              <w:rPr>
                <w:sz w:val="13"/>
                <w:szCs w:val="13"/>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6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Purchase of property and equipment under accounts payable</w:t>
            </w:r>
          </w:p>
        </w:tc>
        <w:tc>
          <w:tcPr>
            <w:tcW w:w="1040" w:type="dxa"/>
            <w:vAlign w:val="bottom"/>
            <w:gridSpan w:val="2"/>
            <w:shd w:val="clear" w:color="auto" w:fill="CFF0FC"/>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803</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Unpaid offering costs</w:t>
            </w:r>
          </w:p>
        </w:tc>
        <w:tc>
          <w:tcPr>
            <w:tcW w:w="1040" w:type="dxa"/>
            <w:vAlign w:val="bottom"/>
            <w:gridSpan w:val="2"/>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spacing w:after="0"/>
              <w:rPr>
                <w:sz w:val="13"/>
                <w:szCs w:val="13"/>
                <w:color w:val="auto"/>
              </w:rPr>
            </w:pPr>
          </w:p>
        </w:tc>
        <w:tc>
          <w:tcPr>
            <w:tcW w:w="260" w:type="dxa"/>
            <w:vAlign w:val="bottom"/>
            <w:gridSpan w:val="2"/>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459</w:t>
            </w:r>
          </w:p>
        </w:tc>
        <w:tc>
          <w:tcPr>
            <w:tcW w:w="26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Offering costs paid in restricted stock awards</w:t>
            </w:r>
          </w:p>
        </w:tc>
        <w:tc>
          <w:tcPr>
            <w:tcW w:w="1040" w:type="dxa"/>
            <w:vAlign w:val="bottom"/>
            <w:gridSpan w:val="2"/>
            <w:shd w:val="clear" w:color="auto" w:fill="CFF0FC"/>
          </w:tcPr>
          <w:p>
            <w:pPr>
              <w:jc w:val="right"/>
              <w:ind w:right="43"/>
              <w:spacing w:after="0" w:line="15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Derivative instrument related to convertible notes</w:t>
            </w:r>
          </w:p>
        </w:tc>
        <w:tc>
          <w:tcPr>
            <w:tcW w:w="10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w:t>
      </w:r>
    </w:p>
    <w:p>
      <w:pPr>
        <w:spacing w:after="0" w:line="115" w:lineRule="exact"/>
        <w:rPr>
          <w:sz w:val="20"/>
          <w:szCs w:val="20"/>
          <w:color w:val="auto"/>
        </w:rPr>
      </w:pPr>
    </w:p>
    <w:p>
      <w:pPr>
        <w:ind w:right="60" w:firstLine="546"/>
        <w:spacing w:after="0" w:line="283" w:lineRule="auto"/>
        <w:rPr>
          <w:sz w:val="20"/>
          <w:szCs w:val="20"/>
          <w:color w:val="auto"/>
        </w:rPr>
      </w:pPr>
      <w:r>
        <w:rPr>
          <w:rFonts w:ascii="Times New Roman" w:cs="Times New Roman" w:eastAsia="Times New Roman" w:hAnsi="Times New Roman"/>
          <w:sz w:val="17"/>
          <w:szCs w:val="17"/>
          <w:color w:val="auto"/>
        </w:rPr>
        <w:t>Kodiak Sciences Inc. (the “Company”) is a clinical stage biopharmaceutical company specializing in novel therapeutics to treat high-prevalence ophthalmic diseases. The Company devotes substantially all of its time and efforts to performing research and development, raising capital and recruiting personnel.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Initial Public Offering</w:t>
      </w:r>
    </w:p>
    <w:p>
      <w:pPr>
        <w:spacing w:after="0" w:line="117" w:lineRule="exact"/>
        <w:rPr>
          <w:sz w:val="20"/>
          <w:szCs w:val="20"/>
          <w:color w:val="auto"/>
        </w:rPr>
      </w:pPr>
    </w:p>
    <w:p>
      <w:pPr>
        <w:ind w:right="80" w:firstLine="546"/>
        <w:spacing w:after="0" w:line="267" w:lineRule="auto"/>
        <w:rPr>
          <w:sz w:val="20"/>
          <w:szCs w:val="20"/>
          <w:color w:val="auto"/>
        </w:rPr>
      </w:pPr>
      <w:r>
        <w:rPr>
          <w:rFonts w:ascii="Times New Roman" w:cs="Times New Roman" w:eastAsia="Times New Roman" w:hAnsi="Times New Roman"/>
          <w:sz w:val="17"/>
          <w:szCs w:val="17"/>
          <w:color w:val="auto"/>
        </w:rPr>
        <w:t>In 2018, the Company sold and issued 9,400,000 shares of common stock, including the underwriters’ full exercise of their over-allotment option, at a price to the public of $10.00 per share for gross proceeds of $94.0 million. The aggregate net proceeds to the Company from the IPO, inclusive of the partial over-allotment option exercise, were $83.5 million after deducting underwriting discounts and commissions and other offering costs.</w:t>
      </w:r>
    </w:p>
    <w:p>
      <w:pPr>
        <w:spacing w:after="0" w:line="63" w:lineRule="exact"/>
        <w:rPr>
          <w:sz w:val="20"/>
          <w:szCs w:val="20"/>
          <w:color w:val="auto"/>
        </w:rPr>
      </w:pPr>
    </w:p>
    <w:p>
      <w:pPr>
        <w:ind w:right="280" w:firstLine="546"/>
        <w:spacing w:after="0" w:line="259" w:lineRule="auto"/>
        <w:rPr>
          <w:sz w:val="20"/>
          <w:szCs w:val="20"/>
          <w:color w:val="auto"/>
        </w:rPr>
      </w:pPr>
      <w:r>
        <w:rPr>
          <w:rFonts w:ascii="Times New Roman" w:cs="Times New Roman" w:eastAsia="Times New Roman" w:hAnsi="Times New Roman"/>
          <w:sz w:val="17"/>
          <w:szCs w:val="17"/>
          <w:color w:val="auto"/>
        </w:rPr>
        <w:t>Upon the closing of the IPO, all convertible preferred shares then outstanding automatically converted into 12,385,154 shares of common stock, 500,000 redeemable convertible preferred stock warrants automatically converted into common stock warrants and 100,000 of such warrants were exercised immediately following the closing of the IPO. The 2017 convertible notes converted into 2,637,292 shares of common stock and the 2018 convertible notes converted into 4,295,677 shares of common stock upon closing of the IPO. In connection with the IPO, the Company amended and restated its certificate of incorporation and bylaws.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Follow-On Offering</w:t>
      </w:r>
    </w:p>
    <w:p>
      <w:pPr>
        <w:spacing w:after="0" w:line="117" w:lineRule="exact"/>
        <w:rPr>
          <w:sz w:val="20"/>
          <w:szCs w:val="20"/>
          <w:color w:val="auto"/>
        </w:rPr>
      </w:pPr>
    </w:p>
    <w:p>
      <w:pPr>
        <w:ind w:firstLine="546"/>
        <w:spacing w:after="0" w:line="267" w:lineRule="auto"/>
        <w:rPr>
          <w:sz w:val="20"/>
          <w:szCs w:val="20"/>
          <w:color w:val="auto"/>
        </w:rPr>
      </w:pPr>
      <w:r>
        <w:rPr>
          <w:rFonts w:ascii="Times New Roman" w:cs="Times New Roman" w:eastAsia="Times New Roman" w:hAnsi="Times New Roman"/>
          <w:sz w:val="17"/>
          <w:szCs w:val="17"/>
          <w:color w:val="auto"/>
        </w:rPr>
        <w:t>In December 2019, the Company sold and issued 6,900,000 shares of common stock, including the underwriters’ full exercise of their over-allotment option, at a price to the public of $46.00 per share for gross proceeds of $317.4 million. The aggregate net proceeds to the Company from the follow-on offering were $297.6 million after deducting underwriting discounts and commissions and other offering costs.</w:t>
      </w:r>
    </w:p>
    <w:p>
      <w:pPr>
        <w:spacing w:after="0" w:line="63" w:lineRule="exact"/>
        <w:rPr>
          <w:sz w:val="20"/>
          <w:szCs w:val="20"/>
          <w:color w:val="auto"/>
        </w:rPr>
      </w:pPr>
    </w:p>
    <w:p>
      <w:pPr>
        <w:ind w:right="220" w:firstLine="546"/>
        <w:spacing w:after="0" w:line="267" w:lineRule="auto"/>
        <w:rPr>
          <w:sz w:val="20"/>
          <w:szCs w:val="20"/>
          <w:color w:val="auto"/>
        </w:rPr>
      </w:pPr>
      <w:r>
        <w:rPr>
          <w:rFonts w:ascii="Times New Roman" w:cs="Times New Roman" w:eastAsia="Times New Roman" w:hAnsi="Times New Roman"/>
          <w:sz w:val="17"/>
          <w:szCs w:val="17"/>
          <w:color w:val="auto"/>
        </w:rPr>
        <w:t>In November 2020, the Company sold and issued 5,972,222 shares of common stock, including the underwriters’ full exercise of their over-allotment option, at a price to the public of $108.00 per share for gross proceeds of $645.0 million. The aggregate net proceeds to the Company from the follow-on offering were $612.0 million after deducting underwriting discounts and commissions and other offering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17" w:lineRule="exact"/>
        <w:rPr>
          <w:sz w:val="20"/>
          <w:szCs w:val="20"/>
          <w:color w:val="auto"/>
        </w:rPr>
      </w:pPr>
    </w:p>
    <w:p>
      <w:pPr>
        <w:ind w:firstLine="546"/>
        <w:spacing w:after="0" w:line="283"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(“US GAAP”).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Certain prior period amounts in the consolidated financial statements have been reclassified to conform to the current period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17" w:lineRule="exact"/>
        <w:rPr>
          <w:sz w:val="20"/>
          <w:szCs w:val="20"/>
          <w:color w:val="auto"/>
        </w:rPr>
      </w:pPr>
    </w:p>
    <w:p>
      <w:pPr>
        <w:ind w:right="120" w:firstLine="546"/>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include the Company’s accounts and the accounts of Kodiak Sciences Financing Corporation and Kodiak Sciences China, the Company’s direct wholly owned subsidiaries, incorporated in the United States and Cayman Islands, respectively, and Kodiak Sciences GmbH and Kodiak Sciences Valais GmbH, the Company’s indirect wholly owned subsidiaries, both incorporated in Switzerland. All intercompany accounts and transactions have been eliminated. The functional and reporting currency of the Company and its subsidiaries is the U.S. dollar. The aggregate foreign currency transaction loss included in determining net loss was $0.3 million, less than $0.1 million and $0.3 million for the years ended December 31, 2020, 2019 and 2018,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117" w:lineRule="exact"/>
        <w:rPr>
          <w:sz w:val="20"/>
          <w:szCs w:val="20"/>
          <w:color w:val="auto"/>
        </w:rPr>
      </w:pPr>
    </w:p>
    <w:p>
      <w:pPr>
        <w:ind w:right="200" w:firstLine="546"/>
        <w:spacing w:after="0" w:line="267" w:lineRule="auto"/>
        <w:rPr>
          <w:sz w:val="20"/>
          <w:szCs w:val="20"/>
          <w:color w:val="auto"/>
        </w:rPr>
      </w:pPr>
      <w:r>
        <w:rPr>
          <w:rFonts w:ascii="Times New Roman" w:cs="Times New Roman" w:eastAsia="Times New Roman" w:hAnsi="Times New Roman"/>
          <w:sz w:val="17"/>
          <w:szCs w:val="17"/>
          <w:color w:val="auto"/>
        </w:rPr>
        <w:t>The Company operates and manages its business as one reportable and operating segment, which is the business of research and development of drugs for ophthalmic diseases. The chief operating decision maker reviews financial information on an aggregate basis for purposes of allocating resources and evaluating financial performance.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7" w:lineRule="exact"/>
        <w:rPr>
          <w:sz w:val="20"/>
          <w:szCs w:val="20"/>
          <w:color w:val="auto"/>
        </w:rPr>
      </w:pPr>
    </w:p>
    <w:p>
      <w:pPr>
        <w:ind w:right="20" w:firstLine="546"/>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As events continue to unfold and additional information becomes available, these estimates may change materially in future periods. Actual results could differ from those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and Uncertainties</w:t>
      </w:r>
    </w:p>
    <w:p>
      <w:pPr>
        <w:spacing w:after="0" w:line="117" w:lineRule="exact"/>
        <w:rPr>
          <w:sz w:val="20"/>
          <w:szCs w:val="20"/>
          <w:color w:val="auto"/>
        </w:rPr>
      </w:pPr>
    </w:p>
    <w:p>
      <w:pPr>
        <w:ind w:right="40" w:firstLine="546"/>
        <w:spacing w:after="0" w:line="255" w:lineRule="auto"/>
        <w:rPr>
          <w:sz w:val="20"/>
          <w:szCs w:val="20"/>
          <w:color w:val="auto"/>
        </w:rPr>
      </w:pPr>
      <w:r>
        <w:rPr>
          <w:rFonts w:ascii="Times New Roman" w:cs="Times New Roman" w:eastAsia="Times New Roman" w:hAnsi="Times New Roman"/>
          <w:sz w:val="17"/>
          <w:szCs w:val="17"/>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76" w:lineRule="exact"/>
        <w:rPr>
          <w:sz w:val="20"/>
          <w:szCs w:val="20"/>
          <w:color w:val="auto"/>
        </w:rPr>
      </w:pPr>
    </w:p>
    <w:p>
      <w:pPr>
        <w:ind w:right="20" w:firstLine="546"/>
        <w:spacing w:after="0" w:line="256" w:lineRule="auto"/>
        <w:rPr>
          <w:sz w:val="20"/>
          <w:szCs w:val="20"/>
          <w:color w:val="auto"/>
        </w:rPr>
      </w:pPr>
      <w:r>
        <w:rPr>
          <w:rFonts w:ascii="Times New Roman" w:cs="Times New Roman" w:eastAsia="Times New Roman" w:hAnsi="Times New Roman"/>
          <w:sz w:val="17"/>
          <w:szCs w:val="17"/>
          <w:color w:val="auto"/>
        </w:rPr>
        <w:t>The Company’s future results of operations involve a number of risks and uncertainties common to clinical-stage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74" w:lineRule="exact"/>
        <w:rPr>
          <w:sz w:val="20"/>
          <w:szCs w:val="20"/>
          <w:color w:val="auto"/>
        </w:rPr>
      </w:pPr>
    </w:p>
    <w:p>
      <w:pPr>
        <w:ind w:right="140" w:firstLine="546"/>
        <w:spacing w:after="0" w:line="261" w:lineRule="auto"/>
        <w:rPr>
          <w:sz w:val="20"/>
          <w:szCs w:val="20"/>
          <w:color w:val="auto"/>
        </w:rPr>
      </w:pPr>
      <w:r>
        <w:rPr>
          <w:rFonts w:ascii="Times New Roman" w:cs="Times New Roman" w:eastAsia="Times New Roman" w:hAnsi="Times New Roman"/>
          <w:sz w:val="17"/>
          <w:szCs w:val="17"/>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70" w:lineRule="exact"/>
        <w:rPr>
          <w:sz w:val="20"/>
          <w:szCs w:val="20"/>
          <w:color w:val="auto"/>
        </w:rPr>
      </w:pPr>
    </w:p>
    <w:p>
      <w:pPr>
        <w:ind w:right="60" w:firstLine="546"/>
        <w:spacing w:after="0" w:line="267" w:lineRule="auto"/>
        <w:rPr>
          <w:sz w:val="20"/>
          <w:szCs w:val="20"/>
          <w:color w:val="auto"/>
        </w:rPr>
      </w:pPr>
      <w:r>
        <w:rPr>
          <w:rFonts w:ascii="Times New Roman" w:cs="Times New Roman" w:eastAsia="Times New Roman" w:hAnsi="Times New Roman"/>
          <w:sz w:val="17"/>
          <w:szCs w:val="17"/>
          <w:color w:val="auto"/>
        </w:rPr>
        <w:t>The Company expects to incur substantial operating losses for the next several years and will need to obtain additional financing in order to complete clinical trials and launch and commercialize any product candidates for which it receives regulatory approval. There can be no assurance that such financing will be available or will be on terms acceptable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17" w:lineRule="exact"/>
        <w:rPr>
          <w:sz w:val="20"/>
          <w:szCs w:val="20"/>
          <w:color w:val="auto"/>
        </w:rPr>
      </w:pPr>
    </w:p>
    <w:p>
      <w:pPr>
        <w:ind w:firstLine="546"/>
        <w:spacing w:after="0" w:line="26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a concentration of credit risk consist of cash, cash equivalents and marketable securities. As of December 31, 2020 and 2019, cash, cash equivalents and marketable securities were invested primarily in money market funds, overnight repurchase agreements, U.S. treasury securities, commercial paper and corporate notes through highly rated financial institutions. Investments are restricted, in accordance with the Company’s investment policy, to a concentration limit per issuer or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Company considers all highly liquid investments with stated maturities of three months or less at the date of purchase to be cash equivalents.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117" w:lineRule="exact"/>
        <w:rPr>
          <w:sz w:val="20"/>
          <w:szCs w:val="20"/>
          <w:color w:val="auto"/>
        </w:rPr>
      </w:pPr>
    </w:p>
    <w:p>
      <w:pPr>
        <w:ind w:firstLine="546"/>
        <w:spacing w:after="0" w:line="257" w:lineRule="auto"/>
        <w:rPr>
          <w:sz w:val="20"/>
          <w:szCs w:val="20"/>
          <w:color w:val="auto"/>
        </w:rPr>
      </w:pPr>
      <w:r>
        <w:rPr>
          <w:rFonts w:ascii="Times New Roman" w:cs="Times New Roman" w:eastAsia="Times New Roman" w:hAnsi="Times New Roman"/>
          <w:sz w:val="17"/>
          <w:szCs w:val="17"/>
          <w:color w:val="auto"/>
        </w:rPr>
        <w:t>The Company invests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consist of U.S. treasury securities, commercial paper, and corporate bonds. Marketable securities are carried at fair value with the unrealized gains and losses included in other comprehensive income (loss) as a component of stockholders’ equity until realized. Any premium or discount arising at purchase of marketable debt securities is amortized and/or accreted to other income (expense), net over the life of the instrument. Realized gains and losses are determined using the specific identification method and are included in other income (expense), net.</w:t>
      </w:r>
    </w:p>
    <w:p>
      <w:pPr>
        <w:spacing w:after="0" w:line="73" w:lineRule="exact"/>
        <w:rPr>
          <w:sz w:val="20"/>
          <w:szCs w:val="20"/>
          <w:color w:val="auto"/>
        </w:rPr>
      </w:pPr>
    </w:p>
    <w:p>
      <w:pPr>
        <w:ind w:firstLine="546"/>
        <w:spacing w:after="0" w:line="283" w:lineRule="auto"/>
        <w:rPr>
          <w:sz w:val="20"/>
          <w:szCs w:val="20"/>
          <w:color w:val="auto"/>
        </w:rPr>
      </w:pPr>
      <w:r>
        <w:rPr>
          <w:rFonts w:ascii="Times New Roman" w:cs="Times New Roman" w:eastAsia="Times New Roman" w:hAnsi="Times New Roman"/>
          <w:sz w:val="17"/>
          <w:szCs w:val="17"/>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7" w:lineRule="exact"/>
        <w:rPr>
          <w:sz w:val="20"/>
          <w:szCs w:val="20"/>
          <w:color w:val="auto"/>
        </w:rPr>
      </w:pPr>
    </w:p>
    <w:p>
      <w:pPr>
        <w:ind w:right="200" w:firstLine="546"/>
        <w:spacing w:after="0" w:line="283" w:lineRule="auto"/>
        <w:rPr>
          <w:sz w:val="20"/>
          <w:szCs w:val="20"/>
          <w:color w:val="auto"/>
        </w:rPr>
      </w:pPr>
      <w:r>
        <w:rPr>
          <w:rFonts w:ascii="Times New Roman" w:cs="Times New Roman" w:eastAsia="Times New Roman" w:hAnsi="Times New Roman"/>
          <w:sz w:val="17"/>
          <w:szCs w:val="17"/>
          <w:color w:val="auto"/>
        </w:rPr>
        <w:t>As of December 31, 2020, and 2019, the Company had $6.3 million and $0.1 million, respectively, of long-term restricted cash deposited with a financial institution. The entire amount is held in separate bank accounts to support letter of credit agreements related to the Company’s U.S. corporate offices.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13" w:lineRule="exact"/>
        <w:rPr>
          <w:sz w:val="20"/>
          <w:szCs w:val="20"/>
          <w:color w:val="auto"/>
        </w:rPr>
      </w:pPr>
    </w:p>
    <w:p>
      <w:pPr>
        <w:ind w:right="40" w:firstLine="546"/>
        <w:spacing w:after="0" w:line="260" w:lineRule="auto"/>
        <w:rPr>
          <w:sz w:val="20"/>
          <w:szCs w:val="20"/>
          <w:color w:val="auto"/>
        </w:rPr>
      </w:pPr>
      <w:r>
        <w:rPr>
          <w:rFonts w:ascii="Times New Roman" w:cs="Times New Roman" w:eastAsia="Times New Roman" w:hAnsi="Times New Roman"/>
          <w:sz w:val="17"/>
          <w:szCs w:val="17"/>
          <w:color w:val="auto"/>
        </w:rPr>
        <w:t xml:space="preserve">Accounting Standards Codification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69" w:lineRule="exact"/>
        <w:rPr>
          <w:sz w:val="20"/>
          <w:szCs w:val="20"/>
          <w:color w:val="auto"/>
        </w:rPr>
      </w:pPr>
    </w:p>
    <w:p>
      <w:pPr>
        <w:ind w:right="20" w:firstLine="546"/>
        <w:spacing w:after="0" w:line="267" w:lineRule="auto"/>
        <w:rPr>
          <w:sz w:val="20"/>
          <w:szCs w:val="20"/>
          <w:color w:val="auto"/>
        </w:rPr>
      </w:pPr>
      <w:r>
        <w:rPr>
          <w:rFonts w:ascii="Times New Roman" w:cs="Times New Roman" w:eastAsia="Times New Roman" w:hAnsi="Times New Roman"/>
          <w:sz w:val="17"/>
          <w:szCs w:val="17"/>
          <w:color w:val="auto"/>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—Observable inputs, such as quoted prices in active markets for identical assets or liabilities at the measurement date.</w:t>
      </w:r>
    </w:p>
    <w:p>
      <w:pPr>
        <w:spacing w:after="0" w:line="111" w:lineRule="exact"/>
        <w:rPr>
          <w:sz w:val="20"/>
          <w:szCs w:val="20"/>
          <w:color w:val="auto"/>
        </w:rPr>
      </w:pPr>
    </w:p>
    <w:p>
      <w:pPr>
        <w:ind w:right="220" w:firstLine="546"/>
        <w:spacing w:after="0" w:line="288"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inputs that are observable or can be corroborated by observable market data for substantially the full term of the assets or liabilities.</w:t>
      </w:r>
    </w:p>
    <w:p>
      <w:pPr>
        <w:spacing w:after="0" w:line="42" w:lineRule="exact"/>
        <w:rPr>
          <w:sz w:val="20"/>
          <w:szCs w:val="20"/>
          <w:color w:val="auto"/>
        </w:rPr>
      </w:pPr>
    </w:p>
    <w:p>
      <w:pPr>
        <w:ind w:right="540" w:firstLine="546"/>
        <w:spacing w:after="0" w:line="28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—Unobservable inputs which reflect management’s best estimate of what market participants would use in pricing the asset or liability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measurement date. Consideration is given to the risk inherent in the valuation technique and inputs to the model.</w:t>
      </w:r>
    </w:p>
    <w:p>
      <w:pPr>
        <w:spacing w:after="0" w:line="46" w:lineRule="exact"/>
        <w:rPr>
          <w:sz w:val="20"/>
          <w:szCs w:val="20"/>
          <w:color w:val="auto"/>
        </w:rPr>
      </w:pPr>
    </w:p>
    <w:p>
      <w:pPr>
        <w:ind w:right="120" w:firstLine="546"/>
        <w:spacing w:after="0" w:line="267" w:lineRule="auto"/>
        <w:rPr>
          <w:sz w:val="20"/>
          <w:szCs w:val="20"/>
          <w:color w:val="auto"/>
        </w:rPr>
      </w:pPr>
      <w:r>
        <w:rPr>
          <w:rFonts w:ascii="Times New Roman" w:cs="Times New Roman" w:eastAsia="Times New Roman" w:hAnsi="Times New Roman"/>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63" w:lineRule="exact"/>
        <w:rPr>
          <w:sz w:val="20"/>
          <w:szCs w:val="20"/>
          <w:color w:val="auto"/>
        </w:rPr>
      </w:pPr>
    </w:p>
    <w:p>
      <w:pPr>
        <w:ind w:right="140" w:firstLine="546"/>
        <w:spacing w:after="0" w:line="283"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consisting of cash and cash equivalents, prepaid expenses and other current assets, accounts payable and accrued liabilities and other current liabilities, approximate fair value due to their relatively short maturities.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7" w:lineRule="exact"/>
        <w:rPr>
          <w:sz w:val="20"/>
          <w:szCs w:val="20"/>
          <w:color w:val="auto"/>
        </w:rPr>
      </w:pPr>
    </w:p>
    <w:p>
      <w:pPr>
        <w:ind w:firstLine="546"/>
        <w:spacing w:after="0" w:line="257" w:lineRule="auto"/>
        <w:rPr>
          <w:sz w:val="20"/>
          <w:szCs w:val="20"/>
          <w:color w:val="auto"/>
        </w:rPr>
      </w:pPr>
      <w:r>
        <w:rPr>
          <w:rFonts w:ascii="Times New Roman" w:cs="Times New Roman" w:eastAsia="Times New Roman" w:hAnsi="Times New Roman"/>
          <w:sz w:val="17"/>
          <w:szCs w:val="17"/>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17" w:lineRule="exact"/>
        <w:rPr>
          <w:sz w:val="20"/>
          <w:szCs w:val="20"/>
          <w:color w:val="auto"/>
        </w:rPr>
      </w:pPr>
    </w:p>
    <w:p>
      <w:pPr>
        <w:ind w:right="80" w:firstLine="546"/>
        <w:spacing w:after="0" w:line="25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for acquired assets. Depreciation is computed using the straight-line method over the estimated useful lives of assets, which is generally four years for laboratory equipment, three years for computer equipment and office equipment, five years for computer software and five to seven years for furniture and fixtures.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17" w:lineRule="exact"/>
        <w:rPr>
          <w:sz w:val="20"/>
          <w:szCs w:val="20"/>
          <w:color w:val="auto"/>
        </w:rPr>
      </w:pPr>
    </w:p>
    <w:p>
      <w:pPr>
        <w:ind w:right="100" w:firstLine="546"/>
        <w:spacing w:after="0" w:line="259" w:lineRule="auto"/>
        <w:rPr>
          <w:sz w:val="20"/>
          <w:szCs w:val="20"/>
          <w:color w:val="auto"/>
        </w:rPr>
      </w:pPr>
      <w:r>
        <w:rPr>
          <w:rFonts w:ascii="Times New Roman" w:cs="Times New Roman" w:eastAsia="Times New Roman" w:hAnsi="Times New Roman"/>
          <w:sz w:val="17"/>
          <w:szCs w:val="17"/>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measured by the amount by which the carrying amount of the assets exceeds the projected discounted future net cash flows arising from the assets. There have been no such impairments of long-lived assets in the years ended December 31, 2020 and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17" w:lineRule="exact"/>
        <w:rPr>
          <w:sz w:val="20"/>
          <w:szCs w:val="20"/>
          <w:color w:val="auto"/>
        </w:rPr>
      </w:pPr>
    </w:p>
    <w:p>
      <w:pPr>
        <w:ind w:right="340" w:firstLine="546"/>
        <w:spacing w:after="0" w:line="267" w:lineRule="auto"/>
        <w:rPr>
          <w:sz w:val="20"/>
          <w:szCs w:val="20"/>
          <w:color w:val="auto"/>
        </w:rPr>
      </w:pPr>
      <w:r>
        <w:rPr>
          <w:rFonts w:ascii="Times New Roman" w:cs="Times New Roman" w:eastAsia="Times New Roman" w:hAnsi="Times New Roman"/>
          <w:sz w:val="17"/>
          <w:szCs w:val="17"/>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equipment, depreciation and utilities.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w:t>
      </w:r>
    </w:p>
    <w:p>
      <w:pPr>
        <w:spacing w:after="0" w:line="117" w:lineRule="exact"/>
        <w:rPr>
          <w:sz w:val="20"/>
          <w:szCs w:val="20"/>
          <w:color w:val="auto"/>
        </w:rPr>
      </w:pPr>
    </w:p>
    <w:p>
      <w:pPr>
        <w:ind w:firstLine="546"/>
        <w:spacing w:after="0" w:line="255" w:lineRule="auto"/>
        <w:rPr>
          <w:sz w:val="20"/>
          <w:szCs w:val="20"/>
          <w:color w:val="auto"/>
        </w:rPr>
      </w:pPr>
      <w:r>
        <w:rPr>
          <w:rFonts w:ascii="Times New Roman" w:cs="Times New Roman" w:eastAsia="Times New Roman" w:hAnsi="Times New Roman"/>
          <w:sz w:val="17"/>
          <w:szCs w:val="17"/>
          <w:color w:val="auto"/>
        </w:rPr>
        <w:t>The Company has entered into various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3" w:lineRule="exact"/>
        <w:rPr>
          <w:sz w:val="20"/>
          <w:szCs w:val="20"/>
          <w:color w:val="auto"/>
        </w:rPr>
      </w:pPr>
    </w:p>
    <w:p>
      <w:pPr>
        <w:ind w:right="20" w:firstLine="546"/>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the provisions of ASC 718, </w:t>
      </w:r>
      <w:r>
        <w:rPr>
          <w:rFonts w:ascii="Times New Roman" w:cs="Times New Roman" w:eastAsia="Times New Roman" w:hAnsi="Times New Roman"/>
          <w:sz w:val="17"/>
          <w:szCs w:val="17"/>
          <w:i w:val="1"/>
          <w:iCs w:val="1"/>
          <w:color w:val="auto"/>
        </w:rPr>
        <w:t>Compensation-Stock</w:t>
      </w:r>
      <w:r>
        <w:rPr>
          <w:rFonts w:ascii="Times New Roman" w:cs="Times New Roman" w:eastAsia="Times New Roman" w:hAnsi="Times New Roman"/>
          <w:sz w:val="17"/>
          <w:szCs w:val="17"/>
          <w:color w:val="auto"/>
        </w:rPr>
        <w:t xml:space="preserve"> Compensation.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which requires the input of subjective assumptions, including (i) the expected stock price volatility, (ii) the calculation of expected term of the award, (iii) the risk-free interest rate, and (iv) expected dividends. The expense is recorded on a straight-line basis over the requisite service period, which is generally the vesting period, for the entire award. The Company accounts for forfeitures as they occur.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4" w:lineRule="exact"/>
        <w:rPr>
          <w:sz w:val="20"/>
          <w:szCs w:val="20"/>
          <w:color w:val="auto"/>
        </w:rPr>
      </w:pPr>
    </w:p>
    <w:p>
      <w:pPr>
        <w:ind w:right="200" w:firstLine="546"/>
        <w:spacing w:after="0" w:line="260" w:lineRule="auto"/>
        <w:rPr>
          <w:sz w:val="20"/>
          <w:szCs w:val="20"/>
          <w:color w:val="auto"/>
        </w:rPr>
      </w:pPr>
      <w:r>
        <w:rPr>
          <w:rFonts w:ascii="Times New Roman" w:cs="Times New Roman" w:eastAsia="Times New Roman" w:hAnsi="Times New Roman"/>
          <w:sz w:val="17"/>
          <w:szCs w:val="17"/>
          <w:color w:val="auto"/>
        </w:rPr>
        <w:t xml:space="preserve">Prior to the adoption of Accounting Standards Update ("ASU") No. 2018-07, </w:t>
      </w:r>
      <w:r>
        <w:rPr>
          <w:rFonts w:ascii="Times New Roman" w:cs="Times New Roman" w:eastAsia="Times New Roman" w:hAnsi="Times New Roman"/>
          <w:sz w:val="17"/>
          <w:szCs w:val="17"/>
          <w:i w:val="1"/>
          <w:iCs w:val="1"/>
          <w:color w:val="auto"/>
        </w:rPr>
        <w:t>Compensation - Stock Compensation (Topic 718):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Nonemployee Share-Based Payment Accounting </w:t>
      </w:r>
      <w:r>
        <w:rPr>
          <w:rFonts w:ascii="Times New Roman" w:cs="Times New Roman" w:eastAsia="Times New Roman" w:hAnsi="Times New Roman"/>
          <w:sz w:val="17"/>
          <w:szCs w:val="17"/>
          <w:color w:val="auto"/>
        </w:rPr>
        <w:t>("ASU 2018-07"), the measurement date for non-employee awards was generally the date the services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resulting in financial reporting period adjustments to stock-based compensation during the vesting terms for changes in the fair value of the awards. After adoption of ASU 2018-07 as of January 1, 2019, the measurement date for non-employee awards is the date of grant without changes in the fair value of the award.</w:t>
      </w:r>
    </w:p>
    <w:p>
      <w:pPr>
        <w:spacing w:after="0" w:line="69" w:lineRule="exact"/>
        <w:rPr>
          <w:sz w:val="20"/>
          <w:szCs w:val="20"/>
          <w:color w:val="auto"/>
        </w:rPr>
      </w:pPr>
    </w:p>
    <w:p>
      <w:pPr>
        <w:jc w:val="both"/>
        <w:ind w:right="220" w:firstLine="546"/>
        <w:spacing w:after="0" w:line="267" w:lineRule="auto"/>
        <w:rPr>
          <w:sz w:val="20"/>
          <w:szCs w:val="20"/>
          <w:color w:val="auto"/>
        </w:rPr>
      </w:pPr>
      <w:r>
        <w:rPr>
          <w:rFonts w:ascii="Times New Roman" w:cs="Times New Roman" w:eastAsia="Times New Roman" w:hAnsi="Times New Roman"/>
          <w:sz w:val="17"/>
          <w:szCs w:val="17"/>
          <w:color w:val="auto"/>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7" w:lineRule="exact"/>
        <w:rPr>
          <w:sz w:val="20"/>
          <w:szCs w:val="20"/>
          <w:color w:val="auto"/>
        </w:rPr>
      </w:pPr>
    </w:p>
    <w:p>
      <w:pPr>
        <w:ind w:right="160" w:firstLine="546"/>
        <w:spacing w:after="0" w:line="259"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70" w:lineRule="exact"/>
        <w:rPr>
          <w:sz w:val="20"/>
          <w:szCs w:val="20"/>
          <w:color w:val="auto"/>
        </w:rPr>
      </w:pPr>
    </w:p>
    <w:p>
      <w:pPr>
        <w:ind w:right="100" w:firstLine="546"/>
        <w:spacing w:after="0" w:line="259" w:lineRule="auto"/>
        <w:rPr>
          <w:sz w:val="20"/>
          <w:szCs w:val="20"/>
          <w:color w:val="auto"/>
        </w:rPr>
      </w:pPr>
      <w:r>
        <w:rPr>
          <w:rFonts w:ascii="Times New Roman" w:cs="Times New Roman" w:eastAsia="Times New Roman" w:hAnsi="Times New Roman"/>
          <w:sz w:val="17"/>
          <w:szCs w:val="17"/>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17" w:lineRule="exact"/>
        <w:rPr>
          <w:sz w:val="20"/>
          <w:szCs w:val="20"/>
          <w:color w:val="auto"/>
        </w:rPr>
      </w:pPr>
    </w:p>
    <w:p>
      <w:pPr>
        <w:ind w:right="260" w:firstLine="546"/>
        <w:spacing w:after="0" w:line="283" w:lineRule="auto"/>
        <w:rPr>
          <w:sz w:val="20"/>
          <w:szCs w:val="20"/>
          <w:color w:val="auto"/>
        </w:rPr>
      </w:pPr>
      <w:r>
        <w:rPr>
          <w:rFonts w:ascii="Times New Roman" w:cs="Times New Roman" w:eastAsia="Times New Roman" w:hAnsi="Times New Roman"/>
          <w:sz w:val="17"/>
          <w:szCs w:val="17"/>
          <w:color w:val="auto"/>
        </w:rPr>
        <w:t>Comprehensive loss is composed of net loss and other comprehensive income (loss). Other comprehensive income (loss) consists primarily of unrealized gains and losses on debt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Sale of Future Royalties</w:t>
      </w:r>
    </w:p>
    <w:p>
      <w:pPr>
        <w:spacing w:after="0" w:line="117" w:lineRule="exact"/>
        <w:rPr>
          <w:sz w:val="20"/>
          <w:szCs w:val="20"/>
          <w:color w:val="auto"/>
        </w:rPr>
      </w:pPr>
    </w:p>
    <w:p>
      <w:pPr>
        <w:ind w:firstLine="546"/>
        <w:spacing w:after="0" w:line="255" w:lineRule="auto"/>
        <w:rPr>
          <w:sz w:val="20"/>
          <w:szCs w:val="20"/>
          <w:color w:val="auto"/>
        </w:rPr>
      </w:pPr>
      <w:r>
        <w:rPr>
          <w:rFonts w:ascii="Times New Roman" w:cs="Times New Roman" w:eastAsia="Times New Roman" w:hAnsi="Times New Roman"/>
          <w:sz w:val="17"/>
          <w:szCs w:val="17"/>
          <w:color w:val="auto"/>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KSI-301, the Company’s anti-VEGF antibody biopolymer conjugate therapy, in exchange for $225.0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Refer to Note 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Losses – Available-for-Sale Debt Securities</w:t>
      </w:r>
    </w:p>
    <w:p>
      <w:pPr>
        <w:spacing w:after="0" w:line="117" w:lineRule="exact"/>
        <w:rPr>
          <w:sz w:val="20"/>
          <w:szCs w:val="20"/>
          <w:color w:val="auto"/>
        </w:rPr>
      </w:pPr>
    </w:p>
    <w:p>
      <w:pPr>
        <w:ind w:right="40" w:firstLine="546"/>
        <w:spacing w:after="0" w:line="283" w:lineRule="auto"/>
        <w:rPr>
          <w:sz w:val="20"/>
          <w:szCs w:val="20"/>
          <w:color w:val="auto"/>
        </w:rPr>
      </w:pPr>
      <w:r>
        <w:rPr>
          <w:rFonts w:ascii="Times New Roman" w:cs="Times New Roman" w:eastAsia="Times New Roman" w:hAnsi="Times New Roman"/>
          <w:sz w:val="17"/>
          <w:szCs w:val="17"/>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50" w:lineRule="exact"/>
        <w:rPr>
          <w:sz w:val="20"/>
          <w:szCs w:val="20"/>
          <w:color w:val="auto"/>
        </w:rPr>
      </w:pPr>
    </w:p>
    <w:p>
      <w:pPr>
        <w:ind w:firstLine="546"/>
        <w:spacing w:after="0" w:line="257" w:lineRule="auto"/>
        <w:rPr>
          <w:sz w:val="20"/>
          <w:szCs w:val="20"/>
          <w:color w:val="auto"/>
        </w:rPr>
      </w:pPr>
      <w:r>
        <w:rPr>
          <w:rFonts w:ascii="Times New Roman" w:cs="Times New Roman" w:eastAsia="Times New Roman" w:hAnsi="Times New Roman"/>
          <w:sz w:val="17"/>
          <w:szCs w:val="17"/>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 Attributable to Common Stockholders</w:t>
      </w:r>
    </w:p>
    <w:p>
      <w:pPr>
        <w:spacing w:after="0" w:line="117" w:lineRule="exact"/>
        <w:rPr>
          <w:sz w:val="20"/>
          <w:szCs w:val="20"/>
          <w:color w:val="auto"/>
        </w:rPr>
      </w:pPr>
    </w:p>
    <w:p>
      <w:pPr>
        <w:ind w:right="60" w:firstLine="546"/>
        <w:spacing w:after="0" w:line="255" w:lineRule="auto"/>
        <w:rPr>
          <w:sz w:val="20"/>
          <w:szCs w:val="20"/>
          <w:color w:val="auto"/>
        </w:rPr>
      </w:pPr>
      <w:r>
        <w:rPr>
          <w:rFonts w:ascii="Times New Roman" w:cs="Times New Roman" w:eastAsia="Times New Roman" w:hAnsi="Times New Roman"/>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the redeemable convertible preferred stock, preferred stock warrants, convertible notes,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Since the Company has reported net loss for all periods presented, diluted net loss per share is the same as basic net loss per common share for those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7" w:lineRule="exact"/>
        <w:rPr>
          <w:sz w:val="20"/>
          <w:szCs w:val="20"/>
          <w:color w:val="auto"/>
        </w:rPr>
      </w:pPr>
    </w:p>
    <w:p>
      <w:pPr>
        <w:ind w:firstLine="546"/>
        <w:spacing w:after="0" w:line="283"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under its ASC or other standard setting bodies, and adopted by the Company as of the specified effective date, unless otherwise discussed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111" w:lineRule="exact"/>
        <w:rPr>
          <w:sz w:val="20"/>
          <w:szCs w:val="20"/>
          <w:color w:val="auto"/>
        </w:rPr>
      </w:pPr>
    </w:p>
    <w:p>
      <w:pPr>
        <w:ind w:firstLine="546"/>
        <w:spacing w:after="0" w:line="277" w:lineRule="auto"/>
        <w:rPr>
          <w:sz w:val="20"/>
          <w:szCs w:val="20"/>
          <w:color w:val="auto"/>
        </w:rPr>
      </w:pPr>
      <w:r>
        <w:rPr>
          <w:rFonts w:ascii="Times New Roman" w:cs="Times New Roman" w:eastAsia="Times New Roman" w:hAnsi="Times New Roman"/>
          <w:sz w:val="16"/>
          <w:szCs w:val="16"/>
          <w:color w:val="auto"/>
        </w:rPr>
        <w:t xml:space="preserve">In February 2016, the FASB issued ASU 2016-02, </w:t>
      </w:r>
      <w:r>
        <w:rPr>
          <w:rFonts w:ascii="Times New Roman" w:cs="Times New Roman" w:eastAsia="Times New Roman" w:hAnsi="Times New Roman"/>
          <w:sz w:val="16"/>
          <w:szCs w:val="16"/>
          <w:i w:val="1"/>
          <w:iCs w:val="1"/>
          <w:color w:val="auto"/>
        </w:rPr>
        <w:t>Leases (Topic 842)</w:t>
      </w:r>
      <w:r>
        <w:rPr>
          <w:rFonts w:ascii="Times New Roman" w:cs="Times New Roman" w:eastAsia="Times New Roman" w:hAnsi="Times New Roman"/>
          <w:sz w:val="16"/>
          <w:szCs w:val="16"/>
          <w:color w:val="auto"/>
        </w:rPr>
        <w:t>, which set out the principles for the recognition, measurement, presentation and disclosure of leases for both parties to a contract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lessees and lessors). In July 2018, the FASB issued ASU 2018-10, </w:t>
      </w:r>
      <w:r>
        <w:rPr>
          <w:rFonts w:ascii="Times New Roman" w:cs="Times New Roman" w:eastAsia="Times New Roman" w:hAnsi="Times New Roman"/>
          <w:sz w:val="16"/>
          <w:szCs w:val="16"/>
          <w:i w:val="1"/>
          <w:iCs w:val="1"/>
          <w:color w:val="auto"/>
        </w:rPr>
        <w:t>Leases (Topic 842), Codification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Improvements</w:t>
      </w:r>
      <w:r>
        <w:rPr>
          <w:rFonts w:ascii="Times New Roman" w:cs="Times New Roman" w:eastAsia="Times New Roman" w:hAnsi="Times New Roman"/>
          <w:sz w:val="16"/>
          <w:szCs w:val="16"/>
          <w:color w:val="auto"/>
        </w:rPr>
        <w:t>, and ASU 2018-11,</w:t>
      </w:r>
      <w:r>
        <w:rPr>
          <w:rFonts w:ascii="Times New Roman" w:cs="Times New Roman" w:eastAsia="Times New Roman" w:hAnsi="Times New Roman"/>
          <w:sz w:val="16"/>
          <w:szCs w:val="16"/>
          <w:i w:val="1"/>
          <w:iCs w:val="1"/>
          <w:color w:val="auto"/>
        </w:rPr>
        <w:t xml:space="preserve"> Leases (Topic 842), Targeted Improvements</w:t>
      </w:r>
      <w:r>
        <w:rPr>
          <w:rFonts w:ascii="Times New Roman" w:cs="Times New Roman" w:eastAsia="Times New Roman" w:hAnsi="Times New Roman"/>
          <w:sz w:val="16"/>
          <w:szCs w:val="16"/>
          <w:color w:val="auto"/>
        </w:rPr>
        <w:t>. ASU 2018-10 clarified certain provisions and corrected unintended applications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guidance such as the application of implicit rate, lessee reassessment of lease classification, and certain transition adjustments that should be recognized to earnings rather than to stockholders' equity. ASU 2018-11 provided an alternative transition method and practical expedient for separating contract components for the adoption of Topic 842. ASU 2016-02, ASU 2018-10, and ASU 2018-11 (collectively, "the new lease standards") superseded the previous leases standard, ASC 840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right="40" w:firstLine="546"/>
        <w:spacing w:after="0" w:line="257" w:lineRule="auto"/>
        <w:rPr>
          <w:sz w:val="20"/>
          <w:szCs w:val="20"/>
          <w:color w:val="auto"/>
        </w:rPr>
      </w:pPr>
      <w:r>
        <w:rPr>
          <w:rFonts w:ascii="Times New Roman" w:cs="Times New Roman" w:eastAsia="Times New Roman" w:hAnsi="Times New Roman"/>
          <w:sz w:val="17"/>
          <w:szCs w:val="17"/>
          <w:color w:val="auto"/>
        </w:rPr>
        <w:t>The Company adopted ASC 842 effective January 1, 2019 using the modified retrospective approach to recognize a cumulative-effect adjustment on the effective date and to not adjust financial information and disclosures required under the new lease standards for comparative prior periods. The Company did not elect for the package of practical expedients and assessed all contracts at the transition date. The Company did not utilize the practical expedient which allows the use of hindsight in determining lease term and assessing impairment in right-of-use assets. The Company elected to apply the practical expedient and accounted for each lease component and related non-lease component as one single component. The Company elected the practical expedient not to recognize leases with terms of one year or less on the balance sheet.</w:t>
      </w:r>
    </w:p>
    <w:p>
      <w:pPr>
        <w:spacing w:after="0" w:line="73" w:lineRule="exact"/>
        <w:rPr>
          <w:sz w:val="20"/>
          <w:szCs w:val="20"/>
          <w:color w:val="auto"/>
        </w:rPr>
      </w:pPr>
    </w:p>
    <w:p>
      <w:pPr>
        <w:ind w:right="60" w:firstLine="546"/>
        <w:spacing w:after="0" w:line="261" w:lineRule="auto"/>
        <w:rPr>
          <w:sz w:val="20"/>
          <w:szCs w:val="20"/>
          <w:color w:val="auto"/>
        </w:rPr>
      </w:pPr>
      <w:r>
        <w:rPr>
          <w:rFonts w:ascii="Times New Roman" w:cs="Times New Roman" w:eastAsia="Times New Roman" w:hAnsi="Times New Roman"/>
          <w:sz w:val="17"/>
          <w:szCs w:val="17"/>
          <w:color w:val="auto"/>
        </w:rPr>
        <w:t>The adoption of the new lease standards on January 1, 2019 resulted in the initial recognition of right-of-use asset of $2.2 million and operating lease liability of $2.3 million and derecognition of noncurrent deferred liabilities of $0.2 million related to the operating lease for the Company’s office and laboratory space in Palo Alto, California on the consolidated balance sheets with no material impact to the consolidated statements of operations, stockholders’ equity or cash flows. Refer to Note 7.</w:t>
      </w:r>
    </w:p>
    <w:p>
      <w:pPr>
        <w:spacing w:after="0" w:line="66" w:lineRule="exact"/>
        <w:rPr>
          <w:sz w:val="20"/>
          <w:szCs w:val="20"/>
          <w:color w:val="auto"/>
        </w:rPr>
      </w:pPr>
    </w:p>
    <w:p>
      <w:pPr>
        <w:ind w:right="20" w:firstLine="546"/>
        <w:spacing w:after="0" w:line="260"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 - Credit Losses (Topic 362): Measurement of Credit Losses on Financial Statements</w:t>
      </w:r>
      <w:r>
        <w:rPr>
          <w:rFonts w:ascii="Times New Roman" w:cs="Times New Roman" w:eastAsia="Times New Roman" w:hAnsi="Times New Roman"/>
          <w:sz w:val="17"/>
          <w:szCs w:val="17"/>
          <w:color w:val="auto"/>
        </w:rPr>
        <w:t xml:space="preserve"> and ASU 2018-19, </w:t>
      </w:r>
      <w:r>
        <w:rPr>
          <w:rFonts w:ascii="Times New Roman" w:cs="Times New Roman" w:eastAsia="Times New Roman" w:hAnsi="Times New Roman"/>
          <w:sz w:val="17"/>
          <w:szCs w:val="17"/>
          <w:i w:val="1"/>
          <w:iCs w:val="1"/>
          <w:color w:val="auto"/>
        </w:rPr>
        <w:t>Codification Improvements to Topic 326, Financial Instruments—Credit Losses</w:t>
      </w:r>
      <w:r>
        <w:rPr>
          <w:rFonts w:ascii="Times New Roman" w:cs="Times New Roman" w:eastAsia="Times New Roman" w:hAnsi="Times New Roman"/>
          <w:sz w:val="17"/>
          <w:szCs w:val="17"/>
          <w:color w:val="auto"/>
        </w:rPr>
        <w:t>, which intends to improve financial reporting by requiring earlier recognition of credit losses on certain financial assets, such as available-for-sale debt securities. The Company assessed the impact of ASU 2016-13 on its available-for-sale debt securities and determined there were no credit losses within the portfolio requiring an allowance upon adoption. The Company adopted this new guidance as of January 1, 2020, which did not impact its consolidated financial statements and related disclosures.</w:t>
      </w:r>
    </w:p>
    <w:p>
      <w:pPr>
        <w:spacing w:after="0" w:line="65" w:lineRule="exact"/>
        <w:rPr>
          <w:sz w:val="20"/>
          <w:szCs w:val="20"/>
          <w:color w:val="auto"/>
        </w:rPr>
      </w:pPr>
    </w:p>
    <w:p>
      <w:pPr>
        <w:ind w:right="60" w:firstLine="546"/>
        <w:spacing w:after="0" w:line="260"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Disclosure Framework - Changes to the Disclosure Requirements for Fair Value Measurements</w:t>
      </w:r>
      <w:r>
        <w:rPr>
          <w:rFonts w:ascii="Times New Roman" w:cs="Times New Roman" w:eastAsia="Times New Roman" w:hAnsi="Times New Roman"/>
          <w:sz w:val="17"/>
          <w:szCs w:val="17"/>
          <w:color w:val="auto"/>
        </w:rPr>
        <w:t>, which eliminates, adds and modifies certain disclosure requirements for fair value measurements as part of the FASB’s disclosure framework project. Among the changes, entities will no longer be required to disclose the amount of and reasons for transfers between Levels 1 and 2 of the fair value hierarchy but will be required to disclose the range and weighted average used to develop significant unobservable inputs for Level 3 fair value measurements. The Company adopted this new guidance as of January 1, 2020, which did not impact its consolidated financial statements and related disclosures.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4" w:lineRule="exact"/>
        <w:rPr>
          <w:sz w:val="20"/>
          <w:szCs w:val="20"/>
          <w:color w:val="auto"/>
        </w:rPr>
      </w:pPr>
    </w:p>
    <w:p>
      <w:pPr>
        <w:ind w:right="60" w:firstLine="546"/>
        <w:spacing w:after="0" w:line="263" w:lineRule="auto"/>
        <w:rPr>
          <w:sz w:val="20"/>
          <w:szCs w:val="20"/>
          <w:color w:val="auto"/>
        </w:rPr>
      </w:pPr>
      <w:r>
        <w:rPr>
          <w:rFonts w:ascii="Times New Roman" w:cs="Times New Roman" w:eastAsia="Times New Roman" w:hAnsi="Times New Roman"/>
          <w:sz w:val="17"/>
          <w:szCs w:val="17"/>
          <w:color w:val="auto"/>
        </w:rPr>
        <w:t xml:space="preserve">In August 2018, the FASB issued ASU 2018-15, </w:t>
      </w:r>
      <w:r>
        <w:rPr>
          <w:rFonts w:ascii="Times New Roman" w:cs="Times New Roman" w:eastAsia="Times New Roman" w:hAnsi="Times New Roman"/>
          <w:sz w:val="17"/>
          <w:szCs w:val="17"/>
          <w:i w:val="1"/>
          <w:iCs w:val="1"/>
          <w:color w:val="auto"/>
        </w:rPr>
        <w:t>Intangibles-Goodwill and Other-Internal-Use Software (Subtopic 350-40): 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Implementation Costs Incurred in a Cloud Computing Arrangement That Is a Service Contract, </w:t>
      </w:r>
      <w:r>
        <w:rPr>
          <w:rFonts w:ascii="Times New Roman" w:cs="Times New Roman" w:eastAsia="Times New Roman" w:hAnsi="Times New Roman"/>
          <w:sz w:val="17"/>
          <w:szCs w:val="17"/>
          <w:color w:val="auto"/>
        </w:rPr>
        <w:t>which clarifies the accounting for implementation, set-up,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upfront costs incurred in cloud computing arrangements. The Company adopted this new guidance as of January 1, 2020, which did not impact its consolidated financial statements and related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Accounting Pronouncements Not Yet Adopted</w:t>
      </w:r>
    </w:p>
    <w:p>
      <w:pPr>
        <w:spacing w:after="0" w:line="111" w:lineRule="exact"/>
        <w:rPr>
          <w:sz w:val="20"/>
          <w:szCs w:val="20"/>
          <w:color w:val="auto"/>
        </w:rPr>
      </w:pPr>
    </w:p>
    <w:p>
      <w:pPr>
        <w:ind w:right="20" w:firstLine="546"/>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xml:space="preserve"> ("ASU 2019-12"), which is intended to simplify the accounting for income taxes. ASU 2019-12 removes certain exceptions to the general principles in Topic 740. This guidance is effective for fiscal years beginning after December 15, 2020, including interim periods therein, and early adoption is permitted. The Company has early adopted ASU 2019-12 in 2020; the effect was not material on the Company’s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 Property and Equipment, net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7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Property and equipment, net consists of the following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Leasehold improvement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2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Computer hardware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(2,170)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(1,771)</w:t>
            </w:r>
          </w:p>
        </w:tc>
        <w:tc>
          <w:tcPr>
            <w:tcW w:w="0" w:type="dxa"/>
            <w:vAlign w:val="bottom"/>
          </w:tcPr>
          <w:p>
            <w:pPr>
              <w:spacing w:after="0"/>
              <w:rPr>
                <w:sz w:val="1"/>
                <w:szCs w:val="1"/>
                <w:color w:val="auto"/>
              </w:rPr>
            </w:pPr>
          </w:p>
        </w:tc>
      </w:tr>
      <w:tr>
        <w:trPr>
          <w:trHeight w:val="210"/>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20" w:firstLine="546"/>
        <w:spacing w:after="0" w:line="283" w:lineRule="auto"/>
        <w:rPr>
          <w:sz w:val="20"/>
          <w:szCs w:val="20"/>
          <w:color w:val="auto"/>
        </w:rPr>
      </w:pPr>
      <w:r>
        <w:rPr>
          <w:rFonts w:ascii="Times New Roman" w:cs="Times New Roman" w:eastAsia="Times New Roman" w:hAnsi="Times New Roman"/>
          <w:sz w:val="17"/>
          <w:szCs w:val="17"/>
          <w:color w:val="auto"/>
        </w:rPr>
        <w:t>All property and equipment are maintained in the United States and Switzerland. Depreciation expense, including depreciation of assets under capital leases, was $0.5 million, $0.5 million and $0.5 million for the years ended December 31, 2020, 2019 and 2018,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Accrued Liabilities and Other Current Liabilities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Accrued liabilities and other current liabilities consist of the following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FF0FC"/>
            </w:tcBorders>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clinical trial and related costs</w:t>
            </w:r>
          </w:p>
        </w:tc>
        <w:tc>
          <w:tcPr>
            <w:tcW w:w="36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11,119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3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Accrued legal fees</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professional fees</w:t>
            </w:r>
          </w:p>
        </w:tc>
        <w:tc>
          <w:tcPr>
            <w:tcW w:w="3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Accrued other liabilities</w:t>
            </w:r>
          </w:p>
        </w:tc>
        <w:tc>
          <w:tcPr>
            <w:tcW w:w="36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36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20,402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00" w:type="dxa"/>
            <w:vAlign w:val="bottom"/>
            <w:vMerge w:val="restart"/>
          </w:tcPr>
          <w:p>
            <w:pPr>
              <w:jc w:val="right"/>
              <w:ind w:right="1895"/>
              <w:spacing w:after="0"/>
              <w:rPr>
                <w:sz w:val="20"/>
                <w:szCs w:val="20"/>
                <w:color w:val="auto"/>
              </w:rPr>
            </w:pPr>
            <w:r>
              <w:rPr>
                <w:rFonts w:ascii="Times New Roman" w:cs="Times New Roman" w:eastAsia="Times New Roman" w:hAnsi="Times New Roman"/>
                <w:sz w:val="17"/>
                <w:szCs w:val="17"/>
                <w:color w:val="auto"/>
              </w:rPr>
              <w:t>132</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1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4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tables present the Company’s fair value hierarchy for assets and liabilities measured at fair value on a recurring basis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0"/>
          </w:tcPr>
          <w:p>
            <w:pPr>
              <w:jc w:val="right"/>
              <w:ind w:right="7"/>
              <w:spacing w:after="0"/>
              <w:rPr>
                <w:sz w:val="20"/>
                <w:szCs w:val="20"/>
                <w:color w:val="auto"/>
              </w:rPr>
            </w:pPr>
            <w:r>
              <w:rPr>
                <w:rFonts w:ascii="Times New Roman" w:cs="Times New Roman" w:eastAsia="Times New Roman" w:hAnsi="Times New Roman"/>
                <w:sz w:val="17"/>
                <w:szCs w:val="17"/>
                <w:b w:val="1"/>
                <w:bCs w:val="1"/>
                <w:color w:val="auto"/>
              </w:rPr>
              <w:t>Fair Value Measurements at December 31, 2020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Money market funds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917,485</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6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917,485</w:t>
            </w:r>
          </w:p>
        </w:tc>
        <w:tc>
          <w:tcPr>
            <w:tcW w:w="100" w:type="dxa"/>
            <w:vAlign w:val="bottom"/>
          </w:tcPr>
          <w:p>
            <w:pPr>
              <w:spacing w:after="0"/>
              <w:rPr>
                <w:sz w:val="18"/>
                <w:szCs w:val="18"/>
                <w:color w:val="auto"/>
              </w:rPr>
            </w:pPr>
          </w:p>
        </w:tc>
      </w:tr>
      <w:tr>
        <w:trPr>
          <w:trHeight w:val="21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 treasury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10,006</w:t>
            </w:r>
          </w:p>
        </w:tc>
        <w:tc>
          <w:tcPr>
            <w:tcW w:w="100" w:type="dxa"/>
            <w:vAlign w:val="bottom"/>
          </w:tcPr>
          <w:p>
            <w:pPr>
              <w:spacing w:after="0"/>
              <w:rPr>
                <w:sz w:val="18"/>
                <w:szCs w:val="18"/>
                <w:color w:val="auto"/>
              </w:rPr>
            </w:pPr>
          </w:p>
        </w:tc>
      </w:tr>
      <w:tr>
        <w:trPr>
          <w:trHeight w:val="217"/>
        </w:trPr>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Corporate notes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14,572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14,572</w:t>
            </w:r>
          </w:p>
        </w:tc>
        <w:tc>
          <w:tcPr>
            <w:tcW w:w="100" w:type="dxa"/>
            <w:vAlign w:val="bottom"/>
            <w:shd w:val="clear" w:color="auto" w:fill="CFF0FC"/>
          </w:tcPr>
          <w:p>
            <w:pPr>
              <w:spacing w:after="0"/>
              <w:rPr>
                <w:sz w:val="18"/>
                <w:szCs w:val="18"/>
                <w:color w:val="auto"/>
              </w:rPr>
            </w:pPr>
          </w:p>
        </w:tc>
      </w:tr>
      <w:tr>
        <w:trPr>
          <w:trHeight w:val="210"/>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917,485</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942,063</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at December 31, 2019</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Money market funds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155,276</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155,276</w:t>
            </w:r>
          </w:p>
        </w:tc>
        <w:tc>
          <w:tcPr>
            <w:tcW w:w="100" w:type="dxa"/>
            <w:vAlign w:val="bottom"/>
          </w:tcPr>
          <w:p>
            <w:pPr>
              <w:spacing w:after="0"/>
              <w:rPr>
                <w:sz w:val="18"/>
                <w:szCs w:val="18"/>
                <w:color w:val="auto"/>
              </w:rPr>
            </w:pPr>
          </w:p>
        </w:tc>
      </w:tr>
      <w:tr>
        <w:trPr>
          <w:trHeight w:val="217"/>
        </w:trPr>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Repurchase agreement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FF0FC"/>
          </w:tcPr>
          <w:p>
            <w:pPr>
              <w:spacing w:after="0"/>
              <w:rPr>
                <w:sz w:val="18"/>
                <w:szCs w:val="18"/>
                <w:color w:val="auto"/>
              </w:rPr>
            </w:pPr>
          </w:p>
        </w:tc>
      </w:tr>
      <w:tr>
        <w:trPr>
          <w:trHeight w:val="217"/>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100" w:type="dxa"/>
            <w:vAlign w:val="bottom"/>
          </w:tcPr>
          <w:p>
            <w:pPr>
              <w:spacing w:after="0"/>
              <w:rPr>
                <w:sz w:val="18"/>
                <w:szCs w:val="18"/>
                <w:color w:val="auto"/>
              </w:rPr>
            </w:pPr>
          </w:p>
        </w:tc>
      </w:tr>
      <w:tr>
        <w:trPr>
          <w:trHeight w:val="21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 treasury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50,185</w:t>
            </w:r>
          </w:p>
        </w:tc>
        <w:tc>
          <w:tcPr>
            <w:tcW w:w="100" w:type="dxa"/>
            <w:vAlign w:val="bottom"/>
          </w:tcPr>
          <w:p>
            <w:pPr>
              <w:spacing w:after="0"/>
              <w:rPr>
                <w:sz w:val="18"/>
                <w:szCs w:val="18"/>
                <w:color w:val="auto"/>
              </w:rPr>
            </w:pPr>
          </w:p>
        </w:tc>
      </w:tr>
      <w:tr>
        <w:trPr>
          <w:trHeight w:val="217"/>
        </w:trPr>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34,533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34,533</w:t>
            </w:r>
          </w:p>
        </w:tc>
        <w:tc>
          <w:tcPr>
            <w:tcW w:w="100" w:type="dxa"/>
            <w:vAlign w:val="bottom"/>
            <w:shd w:val="clear" w:color="auto" w:fill="CFF0FC"/>
          </w:tcPr>
          <w:p>
            <w:pPr>
              <w:spacing w:after="0"/>
              <w:rPr>
                <w:sz w:val="18"/>
                <w:szCs w:val="18"/>
                <w:color w:val="auto"/>
              </w:rPr>
            </w:pPr>
          </w:p>
        </w:tc>
      </w:tr>
      <w:tr>
        <w:trPr>
          <w:trHeight w:val="217"/>
        </w:trPr>
        <w:tc>
          <w:tcPr>
            <w:tcW w:w="58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Corporate notes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51,662</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51,662</w:t>
            </w:r>
          </w:p>
        </w:tc>
        <w:tc>
          <w:tcPr>
            <w:tcW w:w="100" w:type="dxa"/>
            <w:vAlign w:val="bottom"/>
            <w:tcBorders>
              <w:bottom w:val="single" w:sz="8" w:color="CFF0FC"/>
            </w:tcBorders>
          </w:tcPr>
          <w:p>
            <w:pPr>
              <w:spacing w:after="0"/>
              <w:rPr>
                <w:sz w:val="18"/>
                <w:szCs w:val="18"/>
                <w:color w:val="auto"/>
              </w:rPr>
            </w:pPr>
          </w:p>
        </w:tc>
      </w:tr>
      <w:tr>
        <w:trPr>
          <w:trHeight w:val="210"/>
        </w:trPr>
        <w:tc>
          <w:tcPr>
            <w:tcW w:w="5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205,276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142,367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100" w:firstLine="546"/>
        <w:spacing w:after="0" w:line="282" w:lineRule="auto"/>
        <w:rPr>
          <w:sz w:val="20"/>
          <w:szCs w:val="20"/>
          <w:color w:val="auto"/>
        </w:rPr>
      </w:pPr>
      <w:r>
        <w:rPr>
          <w:rFonts w:ascii="Times New Roman" w:cs="Times New Roman" w:eastAsia="Times New Roman" w:hAnsi="Times New Roman"/>
          <w:sz w:val="17"/>
          <w:szCs w:val="17"/>
          <w:color w:val="auto"/>
        </w:rPr>
        <w:t>As of December 31, 2020, the fair value of the liability related to sale of future royalties is based on our current estimates of future royalties expected to be paid to BBA, which are considered Level 3 inputs. Refer to Note 14. There were no liabilities measured at fair value on a recurring and non-recurring basis as of December 31, 2019. There were no transfers of assets or liabilities between the fair value measurement levels during the years ended December 31, 2020 and 2019.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Marketable Securities</w:t>
      </w:r>
    </w:p>
    <w:p>
      <w:pPr>
        <w:spacing w:after="0" w:line="115" w:lineRule="exact"/>
        <w:rPr>
          <w:sz w:val="20"/>
          <w:szCs w:val="20"/>
          <w:color w:val="auto"/>
        </w:rPr>
      </w:pPr>
    </w:p>
    <w:p>
      <w:pPr>
        <w:jc w:val="both"/>
        <w:ind w:right="260" w:firstLine="546"/>
        <w:spacing w:after="0" w:line="267" w:lineRule="auto"/>
        <w:rPr>
          <w:sz w:val="20"/>
          <w:szCs w:val="20"/>
          <w:color w:val="auto"/>
        </w:rPr>
      </w:pPr>
      <w:r>
        <w:rPr>
          <w:rFonts w:ascii="Times New Roman" w:cs="Times New Roman" w:eastAsia="Times New Roman" w:hAnsi="Times New Roman"/>
          <w:sz w:val="17"/>
          <w:szCs w:val="17"/>
          <w:color w:val="auto"/>
        </w:rPr>
        <w:t>The marketable securities are classified as available-for-sale and consist of U.S. treasury securities,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the marketable securities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7"/>
                <w:szCs w:val="17"/>
                <w:b w:val="1"/>
                <w:bCs w:val="1"/>
                <w:color w:val="auto"/>
              </w:rPr>
              <w:t>December 31, 2020</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7"/>
                <w:szCs w:val="17"/>
                <w:b w:val="1"/>
                <w:bCs w:val="1"/>
                <w:color w:val="auto"/>
                <w:w w:val="98"/>
              </w:rPr>
              <w:t>Unrealized</w:t>
            </w:r>
          </w:p>
        </w:tc>
        <w:tc>
          <w:tcPr>
            <w:tcW w:w="120" w:type="dxa"/>
            <w:vAlign w:val="bottom"/>
          </w:tcPr>
          <w:p>
            <w:pPr>
              <w:spacing w:after="0"/>
              <w:rPr>
                <w:sz w:val="16"/>
                <w:szCs w:val="16"/>
                <w:color w:val="auto"/>
              </w:rPr>
            </w:pPr>
          </w:p>
        </w:tc>
        <w:tc>
          <w:tcPr>
            <w:tcW w:w="1020" w:type="dxa"/>
            <w:vAlign w:val="bottom"/>
          </w:tcPr>
          <w:p>
            <w:pPr>
              <w:jc w:val="center"/>
              <w:ind w:right="55"/>
              <w:spacing w:after="0" w:line="18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5"/>
              <w:spacing w:after="0" w:line="189" w:lineRule="exact"/>
              <w:rPr>
                <w:sz w:val="20"/>
                <w:szCs w:val="20"/>
                <w:color w:val="auto"/>
              </w:rPr>
            </w:pPr>
            <w:r>
              <w:rPr>
                <w:rFonts w:ascii="Times New Roman" w:cs="Times New Roman" w:eastAsia="Times New Roman" w:hAnsi="Times New Roman"/>
                <w:sz w:val="17"/>
                <w:szCs w:val="17"/>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0"/>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9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Corporate notes</w:t>
            </w:r>
          </w:p>
        </w:tc>
        <w:tc>
          <w:tcPr>
            <w:tcW w:w="19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14,522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marketable securities, current</w:t>
            </w:r>
          </w:p>
        </w:tc>
        <w:tc>
          <w:tcPr>
            <w:tcW w:w="1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24,525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9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9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December 31, 2019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55"/>
              <w:spacing w:after="0" w:line="189"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Corporate notes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marketable securities, current</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gridSpan w:val="2"/>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124,678</w:t>
            </w:r>
          </w:p>
        </w:tc>
        <w:tc>
          <w:tcPr>
            <w:tcW w:w="2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vMerge w:val="continue"/>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Corporate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marketable securities, noncurrent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80" w:firstLine="546"/>
        <w:spacing w:after="0" w:line="259" w:lineRule="auto"/>
        <w:rPr>
          <w:sz w:val="20"/>
          <w:szCs w:val="20"/>
          <w:color w:val="auto"/>
        </w:rPr>
      </w:pPr>
      <w:r>
        <w:rPr>
          <w:rFonts w:ascii="Times New Roman" w:cs="Times New Roman" w:eastAsia="Times New Roman" w:hAnsi="Times New Roman"/>
          <w:sz w:val="17"/>
          <w:szCs w:val="17"/>
          <w:color w:val="auto"/>
        </w:rPr>
        <w:t>All marketable securities held at December 31, 2020 had effective maturities of less than one year. There were no realized gains or losses recognized on the sale or maturity of available-for-sale debt securities during the year ended December 31, 2020 and as a result, the Company did not reclassify any amounts out of accumulated comprehensive loss. No marketable securities with unrealized losses as of December 31, 2020. All marketable securities with unrealized losses as of December 31, 2019 have been in a loss position for less than twelve months and the loss is not material. These marketable securities were not considered to be other-than-temporarily impaired.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Palo Alto, California Leases</w:t>
      </w:r>
    </w:p>
    <w:p>
      <w:pPr>
        <w:spacing w:after="0" w:line="117" w:lineRule="exact"/>
        <w:rPr>
          <w:sz w:val="20"/>
          <w:szCs w:val="20"/>
          <w:color w:val="auto"/>
        </w:rPr>
      </w:pPr>
    </w:p>
    <w:p>
      <w:pPr>
        <w:ind w:right="40" w:firstLine="546"/>
        <w:spacing w:after="0" w:line="254" w:lineRule="auto"/>
        <w:rPr>
          <w:sz w:val="20"/>
          <w:szCs w:val="20"/>
          <w:color w:val="auto"/>
        </w:rPr>
      </w:pPr>
      <w:r>
        <w:rPr>
          <w:rFonts w:ascii="Times New Roman" w:cs="Times New Roman" w:eastAsia="Times New Roman" w:hAnsi="Times New Roman"/>
          <w:sz w:val="17"/>
          <w:szCs w:val="17"/>
          <w:color w:val="auto"/>
        </w:rPr>
        <w:t>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Landlord will provide a tenant improvement allowance of approximately $1.2 million and $10.6 million for each building, respectively.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The cash collateralizing the letter of credit is classified as restricted cash on the Company’s consolidated balance sheets. Under ASC 842, the Company classified these leases as operating leases and recorded right-of-use assets and lease liabilities on the lease commencement date.</w:t>
      </w:r>
    </w:p>
    <w:p>
      <w:pPr>
        <w:spacing w:after="0" w:line="75" w:lineRule="exact"/>
        <w:rPr>
          <w:sz w:val="20"/>
          <w:szCs w:val="20"/>
          <w:color w:val="auto"/>
        </w:rPr>
      </w:pPr>
    </w:p>
    <w:p>
      <w:pPr>
        <w:ind w:right="160" w:firstLine="546"/>
        <w:spacing w:after="0" w:line="267" w:lineRule="auto"/>
        <w:rPr>
          <w:sz w:val="20"/>
          <w:szCs w:val="20"/>
          <w:color w:val="auto"/>
        </w:rPr>
      </w:pPr>
      <w:r>
        <w:rPr>
          <w:rFonts w:ascii="Times New Roman" w:cs="Times New Roman" w:eastAsia="Times New Roman" w:hAnsi="Times New Roman"/>
          <w:sz w:val="17"/>
          <w:szCs w:val="17"/>
          <w:color w:val="auto"/>
        </w:rPr>
        <w:t>The Company continues to lease office and laboratory space at 2631 Hanover Street in Palo Alto, California. The Company entered into a lease agreement in January 2013 which was amended in March 2016 and extended the lease term until October 2023. The Company classified this lease as an operating lease and recorded a right-of-use asset and lease liability on January 1, 2019 and recognized rent expense on a straight-line basis throughout the remaining lease term.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Switzerland Lease</w:t>
      </w:r>
    </w:p>
    <w:p>
      <w:pPr>
        <w:spacing w:after="0" w:line="117" w:lineRule="exact"/>
        <w:rPr>
          <w:sz w:val="20"/>
          <w:szCs w:val="20"/>
          <w:color w:val="auto"/>
        </w:rPr>
      </w:pPr>
    </w:p>
    <w:p>
      <w:pPr>
        <w:ind w:right="40" w:firstLine="546"/>
        <w:spacing w:after="0" w:line="261" w:lineRule="auto"/>
        <w:rPr>
          <w:sz w:val="20"/>
          <w:szCs w:val="20"/>
          <w:color w:val="auto"/>
        </w:rPr>
      </w:pPr>
      <w:r>
        <w:rPr>
          <w:rFonts w:ascii="Times New Roman" w:cs="Times New Roman" w:eastAsia="Times New Roman" w:hAnsi="Times New Roman"/>
          <w:sz w:val="17"/>
          <w:szCs w:val="17"/>
          <w:color w:val="auto"/>
        </w:rPr>
        <w:t>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 thousand Swiss Francs plus certain operating expenses and taxes. Under ASC 842, the Company classified these leases as operating leases and recorded right-of-use assets and lease liabilities on the lease commencement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4"/>
        </w:trPr>
        <w:tc>
          <w:tcPr>
            <w:tcW w:w="8160" w:type="dxa"/>
            <w:vAlign w:val="bottom"/>
          </w:tcPr>
          <w:p>
            <w:pPr>
              <w:jc w:val="center"/>
              <w:ind w:left="2995"/>
              <w:spacing w:after="0"/>
              <w:rPr>
                <w:sz w:val="20"/>
                <w:szCs w:val="20"/>
                <w:color w:val="auto"/>
              </w:rPr>
            </w:pPr>
            <w:r>
              <w:rPr>
                <w:rFonts w:ascii="Times New Roman" w:cs="Times New Roman" w:eastAsia="Times New Roman" w:hAnsi="Times New Roman"/>
                <w:sz w:val="17"/>
                <w:szCs w:val="17"/>
                <w:b w:val="1"/>
                <w:bCs w:val="1"/>
                <w:color w:val="auto"/>
              </w:rPr>
              <w:t>Kodiak Sciences Inc.</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160" w:type="dxa"/>
            <w:vAlign w:val="bottom"/>
          </w:tcPr>
          <w:p>
            <w:pPr>
              <w:jc w:val="center"/>
              <w:ind w:left="299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8160" w:type="dxa"/>
            <w:vAlign w:val="bottom"/>
          </w:tcPr>
          <w:p>
            <w:pPr>
              <w:jc w:val="center"/>
              <w:ind w:left="3015"/>
              <w:spacing w:after="0"/>
              <w:rPr>
                <w:sz w:val="20"/>
                <w:szCs w:val="20"/>
                <w:color w:val="auto"/>
              </w:rPr>
            </w:pPr>
            <w:r>
              <w:rPr>
                <w:rFonts w:ascii="Times New Roman" w:cs="Times New Roman" w:eastAsia="Times New Roman" w:hAnsi="Times New Roman"/>
                <w:sz w:val="17"/>
                <w:szCs w:val="17"/>
                <w:b w:val="1"/>
                <w:bCs w:val="1"/>
                <w:color w:val="auto"/>
                <w:w w:val="99"/>
              </w:rPr>
              <w:t>(in thousands, except share and per share data)</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11"/>
        </w:trPr>
        <w:tc>
          <w:tcPr>
            <w:tcW w:w="81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maturities of the operating lease liabilities as of December 31, 2020 were as follows (in thousands):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8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5"/>
        </w:trPr>
        <w:tc>
          <w:tcPr>
            <w:tcW w:w="8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December 31, 2020</w:t>
            </w:r>
          </w:p>
        </w:tc>
      </w:tr>
      <w:tr>
        <w:trPr>
          <w:trHeight w:val="210"/>
        </w:trPr>
        <w:tc>
          <w:tcPr>
            <w:tcW w:w="8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2021</w:t>
            </w:r>
          </w:p>
        </w:tc>
        <w:tc>
          <w:tcPr>
            <w:tcW w:w="5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w:t>
            </w:r>
          </w:p>
        </w:tc>
        <w:tc>
          <w:tcPr>
            <w:tcW w:w="100" w:type="dxa"/>
            <w:vAlign w:val="bottom"/>
          </w:tcPr>
          <w:p>
            <w:pPr>
              <w:spacing w:after="0"/>
              <w:rPr>
                <w:sz w:val="18"/>
                <w:szCs w:val="18"/>
                <w:color w:val="auto"/>
              </w:rPr>
            </w:pPr>
          </w:p>
        </w:tc>
      </w:tr>
      <w:tr>
        <w:trPr>
          <w:trHeight w:val="217"/>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14,598</w:t>
            </w:r>
          </w:p>
        </w:tc>
        <w:tc>
          <w:tcPr>
            <w:tcW w:w="100" w:type="dxa"/>
            <w:vAlign w:val="bottom"/>
            <w:shd w:val="clear" w:color="auto" w:fill="CFF0FC"/>
          </w:tcPr>
          <w:p>
            <w:pPr>
              <w:spacing w:after="0"/>
              <w:rPr>
                <w:sz w:val="18"/>
                <w:szCs w:val="18"/>
                <w:color w:val="auto"/>
              </w:rPr>
            </w:pPr>
          </w:p>
        </w:tc>
      </w:tr>
      <w:tr>
        <w:trPr>
          <w:trHeight w:val="217"/>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15,037</w:t>
            </w:r>
          </w:p>
        </w:tc>
        <w:tc>
          <w:tcPr>
            <w:tcW w:w="100" w:type="dxa"/>
            <w:vAlign w:val="bottom"/>
          </w:tcPr>
          <w:p>
            <w:pPr>
              <w:spacing w:after="0"/>
              <w:rPr>
                <w:sz w:val="18"/>
                <w:szCs w:val="18"/>
                <w:color w:val="auto"/>
              </w:rPr>
            </w:pPr>
          </w:p>
        </w:tc>
      </w:tr>
      <w:tr>
        <w:trPr>
          <w:trHeight w:val="217"/>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15,475</w:t>
            </w:r>
          </w:p>
        </w:tc>
        <w:tc>
          <w:tcPr>
            <w:tcW w:w="100" w:type="dxa"/>
            <w:vAlign w:val="bottom"/>
            <w:shd w:val="clear" w:color="auto" w:fill="CFF0FC"/>
          </w:tcPr>
          <w:p>
            <w:pPr>
              <w:spacing w:after="0"/>
              <w:rPr>
                <w:sz w:val="18"/>
                <w:szCs w:val="18"/>
                <w:color w:val="auto"/>
              </w:rPr>
            </w:pPr>
          </w:p>
        </w:tc>
      </w:tr>
      <w:tr>
        <w:trPr>
          <w:trHeight w:val="217"/>
        </w:trPr>
        <w:tc>
          <w:tcPr>
            <w:tcW w:w="8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5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71,462</w:t>
            </w:r>
          </w:p>
        </w:tc>
        <w:tc>
          <w:tcPr>
            <w:tcW w:w="100" w:type="dxa"/>
            <w:vAlign w:val="bottom"/>
            <w:tcBorders>
              <w:bottom w:val="single" w:sz="8" w:color="CFF0FC"/>
            </w:tcBorders>
          </w:tcPr>
          <w:p>
            <w:pPr>
              <w:spacing w:after="0"/>
              <w:rPr>
                <w:sz w:val="18"/>
                <w:szCs w:val="18"/>
                <w:color w:val="auto"/>
              </w:rPr>
            </w:pPr>
          </w:p>
        </w:tc>
      </w:tr>
      <w:tr>
        <w:trPr>
          <w:trHeight w:val="210"/>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128,520</w:t>
            </w:r>
          </w:p>
        </w:tc>
        <w:tc>
          <w:tcPr>
            <w:tcW w:w="100" w:type="dxa"/>
            <w:vAlign w:val="bottom"/>
            <w:shd w:val="clear" w:color="auto" w:fill="CFF0FC"/>
          </w:tcPr>
          <w:p>
            <w:pPr>
              <w:spacing w:after="0"/>
              <w:rPr>
                <w:sz w:val="18"/>
                <w:szCs w:val="18"/>
                <w:color w:val="auto"/>
              </w:rPr>
            </w:pPr>
          </w:p>
        </w:tc>
      </w:tr>
      <w:tr>
        <w:trPr>
          <w:trHeight w:val="217"/>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(51,118)</w:t>
            </w:r>
          </w:p>
        </w:tc>
      </w:tr>
      <w:tr>
        <w:trPr>
          <w:trHeight w:val="210"/>
        </w:trPr>
        <w:tc>
          <w:tcPr>
            <w:tcW w:w="8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77,402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320" w:firstLine="546"/>
        <w:spacing w:after="0" w:line="283" w:lineRule="auto"/>
        <w:rPr>
          <w:sz w:val="20"/>
          <w:szCs w:val="20"/>
          <w:color w:val="auto"/>
        </w:rPr>
      </w:pPr>
      <w:r>
        <w:rPr>
          <w:rFonts w:ascii="Times New Roman" w:cs="Times New Roman" w:eastAsia="Times New Roman" w:hAnsi="Times New Roman"/>
          <w:sz w:val="17"/>
          <w:szCs w:val="17"/>
          <w:color w:val="auto"/>
        </w:rPr>
        <w:t>The minimum lease payments above do not include any related common area maintenance charges or real estate taxes. The weighted-average remaining lease terms and weighted-average discount rates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40" w:type="dxa"/>
            <w:vAlign w:val="bottom"/>
          </w:tcPr>
          <w:p>
            <w:pPr>
              <w:spacing w:after="0"/>
              <w:rPr>
                <w:sz w:val="17"/>
                <w:szCs w:val="17"/>
                <w:color w:val="auto"/>
              </w:rPr>
            </w:pPr>
          </w:p>
        </w:tc>
        <w:tc>
          <w:tcPr>
            <w:tcW w:w="1460" w:type="dxa"/>
            <w:vAlign w:val="bottom"/>
          </w:tcPr>
          <w:p>
            <w:pPr>
              <w:jc w:val="center"/>
              <w:ind w:left="2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860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60" w:type="dxa"/>
            <w:vAlign w:val="bottom"/>
          </w:tcPr>
          <w:p>
            <w:pPr>
              <w:spacing w:after="0"/>
              <w:rPr>
                <w:sz w:val="19"/>
                <w:szCs w:val="19"/>
                <w:color w:val="auto"/>
              </w:rPr>
            </w:pPr>
          </w:p>
        </w:tc>
      </w:tr>
      <w:tr>
        <w:trPr>
          <w:trHeight w:val="210"/>
        </w:trPr>
        <w:tc>
          <w:tcPr>
            <w:tcW w:w="7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4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w w:val="93"/>
              </w:rPr>
              <w:t>9.5</w:t>
            </w:r>
          </w:p>
        </w:tc>
        <w:tc>
          <w:tcPr>
            <w:tcW w:w="38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7"/>
                <w:szCs w:val="17"/>
                <w:color w:val="auto"/>
                <w:w w:val="93"/>
              </w:rPr>
              <w:t>3.8</w:t>
            </w:r>
          </w:p>
        </w:tc>
        <w:tc>
          <w:tcPr>
            <w:tcW w:w="160" w:type="dxa"/>
            <w:vAlign w:val="bottom"/>
            <w:tcBorders>
              <w:top w:val="single" w:sz="8" w:color="CFF0FC"/>
            </w:tcBorders>
            <w:shd w:val="clear" w:color="auto" w:fill="CFF0FC"/>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6.7%</w:t>
            </w:r>
          </w:p>
        </w:tc>
        <w:tc>
          <w:tcPr>
            <w:tcW w:w="19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8.5%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Embedded lease</w:t>
      </w:r>
    </w:p>
    <w:p>
      <w:pPr>
        <w:spacing w:after="0" w:line="117" w:lineRule="exact"/>
        <w:rPr>
          <w:sz w:val="20"/>
          <w:szCs w:val="20"/>
          <w:color w:val="auto"/>
        </w:rPr>
      </w:pPr>
    </w:p>
    <w:p>
      <w:pPr>
        <w:ind w:firstLine="546"/>
        <w:spacing w:after="0" w:line="256" w:lineRule="auto"/>
        <w:rPr>
          <w:sz w:val="20"/>
          <w:szCs w:val="20"/>
          <w:color w:val="auto"/>
        </w:rPr>
      </w:pPr>
      <w:r>
        <w:rPr>
          <w:rFonts w:ascii="Times New Roman" w:cs="Times New Roman" w:eastAsia="Times New Roman" w:hAnsi="Times New Roman"/>
          <w:sz w:val="17"/>
          <w:szCs w:val="17"/>
          <w:color w:val="auto"/>
        </w:rPr>
        <w:t>In August 2020, the Company and its subsidiary Kodiak Sciences GmbH entered into a manufacturing agreement with a contract manufacturing organization for the clinical and commercial supply of drug substance for KSI-301, the Company’s proprietary therapeutic candidate for the treatment and prevention of retinal vascular diseases. A custom-built manufacturing suite is planned to be completed and dedicated to the manufacture of the Company’s drug substance with an estimated capital contribution of 40 million Swiss Francs from the Company. Construction of the manufacturing suite is targeted for completion in 2021. The Company will be required to pay annual suite fees of 12 million Swiss Francs for 2021 and 16 million Swiss Francs for each year thereafter, which covers the manufacturing fees for a specified number of batches, and the Company may pay for additional batches to be manufactured. The manufacturing agreement has an initial term of eight years, and the Company has the right to extend the term up to a total of 16 years.</w:t>
      </w:r>
    </w:p>
    <w:p>
      <w:pPr>
        <w:spacing w:after="0" w:line="74" w:lineRule="exact"/>
        <w:rPr>
          <w:sz w:val="20"/>
          <w:szCs w:val="20"/>
          <w:color w:val="auto"/>
        </w:rPr>
      </w:pPr>
    </w:p>
    <w:p>
      <w:pPr>
        <w:jc w:val="both"/>
        <w:ind w:right="140" w:firstLine="546"/>
        <w:spacing w:after="0" w:line="267" w:lineRule="auto"/>
        <w:rPr>
          <w:sz w:val="20"/>
          <w:szCs w:val="20"/>
          <w:color w:val="auto"/>
        </w:rPr>
      </w:pPr>
      <w:r>
        <w:rPr>
          <w:rFonts w:ascii="Times New Roman" w:cs="Times New Roman" w:eastAsia="Times New Roman" w:hAnsi="Times New Roman"/>
          <w:sz w:val="17"/>
          <w:szCs w:val="17"/>
          <w:color w:val="auto"/>
        </w:rPr>
        <w:t>The Company concluded that this agreement contains an embedded lease as the custom-built manufacturing suite will be dedicated for the Company’s use. As of December 31, 2020, the Company did not have control of this manufacturing space and therefore, did not record a right-of-use asset and corresponding lease liability. These commitments are not included in the above table.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Agreement</w:t>
      </w:r>
    </w:p>
    <w:p>
      <w:pPr>
        <w:spacing w:after="0" w:line="117" w:lineRule="exact"/>
        <w:rPr>
          <w:sz w:val="20"/>
          <w:szCs w:val="20"/>
          <w:color w:val="auto"/>
        </w:rPr>
      </w:pPr>
    </w:p>
    <w:p>
      <w:pPr>
        <w:ind w:right="180" w:firstLine="546"/>
        <w:spacing w:after="0" w:line="254" w:lineRule="auto"/>
        <w:rPr>
          <w:sz w:val="20"/>
          <w:szCs w:val="20"/>
          <w:color w:val="auto"/>
        </w:rPr>
      </w:pPr>
      <w:r>
        <w:rPr>
          <w:rFonts w:ascii="Times New Roman" w:cs="Times New Roman" w:eastAsia="Times New Roman" w:hAnsi="Times New Roman"/>
          <w:sz w:val="17"/>
          <w:szCs w:val="17"/>
          <w:color w:val="auto"/>
        </w:rPr>
        <w:t>The Company has entered into service agreements with Lonza AG and its affiliates (“Lonza”), pursuant to which Lonza agreed to perform activities in connection with the manufacturing process of certain compounds. Such agreements, and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Under these agreements, the total amount of contractual obligations, over a period of ten years, are cancellable and subject to varying levels of cancellation fees, were $242.3 million and $4.7 million, including accrued amounts, as of December 31, 2020 and 2019, respectively. Purchases under this agreement for the years ended December 31, 2020, 2019 and 2018 were $16.8 million, $7.9 million and $2.8 million, respectively. As of December 31, 2020, the Company had not incurred any cancellation fees for the work performed by Lonza.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Funding Commitments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8" w:lineRule="exact"/>
        <w:rPr>
          <w:sz w:val="20"/>
          <w:szCs w:val="20"/>
          <w:color w:val="auto"/>
        </w:rPr>
      </w:pPr>
    </w:p>
    <w:p>
      <w:pPr>
        <w:ind w:right="20" w:firstLine="546"/>
        <w:spacing w:after="0" w:line="259"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As of December 31, 2020 and 2019, the total amount of noncancellable purchase commitments, including potential cancellation fees were $0.5 million and $0.7 million, respectively.</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Company is also party to a cancellable assignment and license agreement that would require the Company to make milestone payments of up to</w:t>
      </w:r>
    </w:p>
    <w:p>
      <w:pPr>
        <w:spacing w:after="0" w:line="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$33.2 million and royalty payments on net sales of products utilizing KSI-201 and related technology. Such milestones and royalties are dependent on future activity or product sales and are not estimable.</w:t>
      </w:r>
    </w:p>
    <w:p>
      <w:pPr>
        <w:spacing w:after="0" w:line="69" w:lineRule="exact"/>
        <w:rPr>
          <w:sz w:val="20"/>
          <w:szCs w:val="20"/>
          <w:color w:val="auto"/>
        </w:rPr>
      </w:pPr>
    </w:p>
    <w:p>
      <w:pPr>
        <w:ind w:right="300" w:firstLine="546"/>
        <w:spacing w:after="0" w:line="283" w:lineRule="auto"/>
        <w:rPr>
          <w:sz w:val="20"/>
          <w:szCs w:val="20"/>
          <w:color w:val="auto"/>
        </w:rPr>
      </w:pPr>
      <w:r>
        <w:rPr>
          <w:rFonts w:ascii="Times New Roman" w:cs="Times New Roman" w:eastAsia="Times New Roman" w:hAnsi="Times New Roman"/>
          <w:sz w:val="17"/>
          <w:szCs w:val="17"/>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Tenant Improvement Allowance Payable</w:t>
      </w:r>
    </w:p>
    <w:p>
      <w:pPr>
        <w:spacing w:after="0" w:line="117" w:lineRule="exact"/>
        <w:rPr>
          <w:sz w:val="20"/>
          <w:szCs w:val="20"/>
          <w:color w:val="auto"/>
        </w:rPr>
      </w:pPr>
    </w:p>
    <w:p>
      <w:pPr>
        <w:ind w:right="180" w:firstLine="546"/>
        <w:spacing w:after="0" w:line="267" w:lineRule="auto"/>
        <w:rPr>
          <w:sz w:val="20"/>
          <w:szCs w:val="20"/>
          <w:color w:val="auto"/>
        </w:rPr>
      </w:pPr>
      <w:r>
        <w:rPr>
          <w:rFonts w:ascii="Times New Roman" w:cs="Times New Roman" w:eastAsia="Times New Roman" w:hAnsi="Times New Roman"/>
          <w:sz w:val="17"/>
          <w:szCs w:val="17"/>
          <w:color w:val="auto"/>
        </w:rPr>
        <w:t>In May 2013, the Company entered into a tenant improvement allowance agreement with its landlord. The agreement allowed the Company to draw down $0.3 million for tenant improvements related to the office lease over the period from the execution of the agreement to October 2018. The interest rate is 8% per year over the lease period. This tenant improvement allowance was repaid in October 2018.</w:t>
      </w:r>
    </w:p>
    <w:p>
      <w:pPr>
        <w:spacing w:after="0" w:line="63" w:lineRule="exact"/>
        <w:rPr>
          <w:sz w:val="20"/>
          <w:szCs w:val="20"/>
          <w:color w:val="auto"/>
        </w:rPr>
      </w:pPr>
    </w:p>
    <w:p>
      <w:pPr>
        <w:ind w:right="160" w:firstLine="546"/>
        <w:spacing w:after="0" w:line="267" w:lineRule="auto"/>
        <w:rPr>
          <w:sz w:val="20"/>
          <w:szCs w:val="20"/>
          <w:color w:val="auto"/>
        </w:rPr>
      </w:pPr>
      <w:r>
        <w:rPr>
          <w:rFonts w:ascii="Times New Roman" w:cs="Times New Roman" w:eastAsia="Times New Roman" w:hAnsi="Times New Roman"/>
          <w:sz w:val="17"/>
          <w:szCs w:val="17"/>
          <w:color w:val="auto"/>
        </w:rPr>
        <w:t>In March 2016, the Company entered into a lease amendment, under which the Company is allowed to draw down an additional allowance of $0.4 million for tenant improvements related to the office lease over the period from the execution of the agreement to October 2023. The interest rate is 8% per year over 10 years. Principal and interest are payable on the first day of every month.</w:t>
      </w:r>
    </w:p>
    <w:p>
      <w:pPr>
        <w:spacing w:after="0" w:line="63" w:lineRule="exact"/>
        <w:rPr>
          <w:sz w:val="20"/>
          <w:szCs w:val="20"/>
          <w:color w:val="auto"/>
        </w:rPr>
      </w:pPr>
    </w:p>
    <w:p>
      <w:pPr>
        <w:jc w:val="both"/>
        <w:ind w:right="200" w:firstLine="546"/>
        <w:spacing w:after="0" w:line="267" w:lineRule="auto"/>
        <w:rPr>
          <w:sz w:val="20"/>
          <w:szCs w:val="20"/>
          <w:color w:val="auto"/>
        </w:rPr>
      </w:pPr>
      <w:r>
        <w:rPr>
          <w:rFonts w:ascii="Times New Roman" w:cs="Times New Roman" w:eastAsia="Times New Roman" w:hAnsi="Times New Roman"/>
          <w:sz w:val="17"/>
          <w:szCs w:val="17"/>
          <w:color w:val="auto"/>
        </w:rPr>
        <w:t>As of December 31, 2020 and 2019, the current portion of the tenant improvement allowance payable in accrued and other current liabilities was less than $0.1 million and less than $0.1 million, respectively. As of December 31, 2020 and 2019, the non-current portion of the tenant improvement allowance payable in other liabilities was $0.3 million and $0.3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17" w:lineRule="exact"/>
        <w:rPr>
          <w:sz w:val="20"/>
          <w:szCs w:val="20"/>
          <w:color w:val="auto"/>
        </w:rPr>
      </w:pPr>
    </w:p>
    <w:p>
      <w:pPr>
        <w:ind w:firstLine="546"/>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17" w:lineRule="exact"/>
        <w:rPr>
          <w:sz w:val="20"/>
          <w:szCs w:val="20"/>
          <w:color w:val="auto"/>
        </w:rPr>
      </w:pPr>
    </w:p>
    <w:p>
      <w:pPr>
        <w:ind w:firstLine="546"/>
        <w:spacing w:after="0" w:line="257" w:lineRule="auto"/>
        <w:rPr>
          <w:sz w:val="20"/>
          <w:szCs w:val="20"/>
          <w:color w:val="auto"/>
        </w:rPr>
      </w:pPr>
      <w:r>
        <w:rPr>
          <w:rFonts w:ascii="Times New Roman" w:cs="Times New Roman" w:eastAsia="Times New Roman" w:hAnsi="Times New Roman"/>
          <w:sz w:val="17"/>
          <w:szCs w:val="17"/>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Income Taxes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provision (benefit) for income taxes consists of the following (in thousands):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04"/>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0" w:type="dxa"/>
            <w:vAlign w:val="bottom"/>
          </w:tcPr>
          <w:p>
            <w:pPr>
              <w:spacing w:after="0"/>
              <w:rPr>
                <w:sz w:val="1"/>
                <w:szCs w:val="1"/>
                <w:color w:val="auto"/>
              </w:rPr>
            </w:pPr>
          </w:p>
        </w:tc>
      </w:tr>
      <w:tr>
        <w:trPr>
          <w:trHeight w:val="225"/>
        </w:trPr>
        <w:tc>
          <w:tcPr>
            <w:tcW w:w="6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Federal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6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 current</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Deferred: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Federal</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Total deferred</w:t>
            </w:r>
          </w:p>
        </w:tc>
        <w:tc>
          <w:tcPr>
            <w:tcW w:w="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The components of loss before income taxes were as follows (in thousands):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0" w:type="dxa"/>
            <w:vAlign w:val="bottom"/>
          </w:tcPr>
          <w:p>
            <w:pPr>
              <w:spacing w:after="0"/>
              <w:rPr>
                <w:sz w:val="1"/>
                <w:szCs w:val="1"/>
                <w:color w:val="auto"/>
              </w:rPr>
            </w:pPr>
          </w:p>
        </w:tc>
      </w:tr>
      <w:tr>
        <w:trPr>
          <w:trHeight w:val="204"/>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(17,273)</w:t>
            </w:r>
          </w:p>
        </w:tc>
        <w:tc>
          <w:tcPr>
            <w:tcW w:w="16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(115,809)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(24,170)</w:t>
            </w:r>
          </w:p>
        </w:tc>
        <w:tc>
          <w:tcPr>
            <w:tcW w:w="0" w:type="dxa"/>
            <w:vAlign w:val="bottom"/>
          </w:tcPr>
          <w:p>
            <w:pPr>
              <w:spacing w:after="0"/>
              <w:rPr>
                <w:sz w:val="1"/>
                <w:szCs w:val="1"/>
                <w:color w:val="auto"/>
              </w:rPr>
            </w:pPr>
          </w:p>
        </w:tc>
      </w:tr>
      <w:tr>
        <w:trPr>
          <w:trHeight w:val="210"/>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loss before income taxes</w:t>
            </w: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(133,082)</w:t>
            </w:r>
          </w:p>
        </w:tc>
        <w:tc>
          <w:tcPr>
            <w:tcW w:w="1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(47,365)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1240" w:type="dxa"/>
            <w:vAlign w:val="bottom"/>
            <w:gridSpan w:val="14"/>
          </w:tcPr>
          <w:p>
            <w:pPr>
              <w:ind w:left="54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components of the net deferred tax assets are as follows (in thousands):</w:t>
            </w:r>
          </w:p>
        </w:tc>
        <w:tc>
          <w:tcPr>
            <w:tcW w:w="0" w:type="dxa"/>
            <w:vAlign w:val="bottom"/>
          </w:tcPr>
          <w:p>
            <w:pPr>
              <w:spacing w:after="0"/>
              <w:rPr>
                <w:sz w:val="1"/>
                <w:szCs w:val="1"/>
                <w:color w:val="auto"/>
              </w:rPr>
            </w:pPr>
          </w:p>
        </w:tc>
      </w:tr>
      <w:tr>
        <w:trPr>
          <w:trHeight w:val="311"/>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18,523</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Intangible assets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12,088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8,405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22,276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Valuation allowance</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(62,005)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(37,249)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(21,394)</w:t>
            </w:r>
          </w:p>
        </w:tc>
        <w:tc>
          <w:tcPr>
            <w:tcW w:w="0" w:type="dxa"/>
            <w:vAlign w:val="bottom"/>
          </w:tcPr>
          <w:p>
            <w:pPr>
              <w:spacing w:after="0"/>
              <w:rPr>
                <w:sz w:val="1"/>
                <w:szCs w:val="1"/>
                <w:color w:val="auto"/>
              </w:rPr>
            </w:pPr>
          </w:p>
        </w:tc>
      </w:tr>
      <w:tr>
        <w:trPr>
          <w:trHeight w:val="210"/>
        </w:trPr>
        <w:tc>
          <w:tcPr>
            <w:tcW w:w="6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deferred tax assets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(21,234)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Capitalized legal fees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(21,236)</w:t>
            </w:r>
          </w:p>
        </w:tc>
        <w:tc>
          <w:tcPr>
            <w:tcW w:w="16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Total net deferred tax assets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20" w:firstLine="546"/>
        <w:spacing w:after="0" w:line="267" w:lineRule="auto"/>
        <w:rPr>
          <w:sz w:val="20"/>
          <w:szCs w:val="20"/>
          <w:color w:val="auto"/>
        </w:rPr>
      </w:pPr>
      <w:r>
        <w:rPr>
          <w:rFonts w:ascii="Times New Roman" w:cs="Times New Roman" w:eastAsia="Times New Roman" w:hAnsi="Times New Roman"/>
          <w:sz w:val="17"/>
          <w:szCs w:val="17"/>
          <w:color w:val="auto"/>
        </w:rPr>
        <w:t>The Company has recorded a full valuation allowance against its net deferred tax assets due to the uncertainty as to whether such assets will be realized. The net change in the total valuation allowance for the years ended December 31, 2020, 2019 and 2018 was an increase of approximately $24.8 million, $15.9 million and $8.2 million, respectively.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8" w:lineRule="exact"/>
        <w:rPr>
          <w:sz w:val="20"/>
          <w:szCs w:val="20"/>
          <w:color w:val="auto"/>
        </w:rPr>
      </w:pPr>
    </w:p>
    <w:p>
      <w:pPr>
        <w:ind w:firstLine="546"/>
        <w:spacing w:after="0" w:line="257" w:lineRule="auto"/>
        <w:rPr>
          <w:sz w:val="20"/>
          <w:szCs w:val="20"/>
          <w:color w:val="auto"/>
        </w:rPr>
      </w:pPr>
      <w:r>
        <w:rPr>
          <w:rFonts w:ascii="Times New Roman" w:cs="Times New Roman" w:eastAsia="Times New Roman" w:hAnsi="Times New Roman"/>
          <w:sz w:val="17"/>
          <w:szCs w:val="17"/>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completed a Section 382 study through December 31, 2020 which concluded no such ownership change had occurred through December 31, 2020.</w:t>
      </w:r>
    </w:p>
    <w:p>
      <w:pPr>
        <w:spacing w:after="0" w:line="73" w:lineRule="exact"/>
        <w:rPr>
          <w:sz w:val="20"/>
          <w:szCs w:val="20"/>
          <w:color w:val="auto"/>
        </w:rPr>
      </w:pPr>
    </w:p>
    <w:p>
      <w:pPr>
        <w:ind w:right="40" w:firstLine="546"/>
        <w:spacing w:after="0" w:line="267" w:lineRule="auto"/>
        <w:rPr>
          <w:sz w:val="20"/>
          <w:szCs w:val="20"/>
          <w:color w:val="auto"/>
        </w:rPr>
      </w:pPr>
      <w:r>
        <w:rPr>
          <w:rFonts w:ascii="Times New Roman" w:cs="Times New Roman" w:eastAsia="Times New Roman" w:hAnsi="Times New Roman"/>
          <w:sz w:val="17"/>
          <w:szCs w:val="17"/>
          <w:color w:val="auto"/>
        </w:rPr>
        <w:t>As of December 31, 2020, the Company had $50.1 million of federal and $171.0 million of state net operating loss available to offset future taxable income. A portion of the federal net operating loss carryforwards begin to expire in 2035 and the state net operating loss carryforwards begin to expire in 2035, if not utilized. $32.0 million of the federal net operating loss are not subject to expiration.</w:t>
      </w:r>
    </w:p>
    <w:p>
      <w:pPr>
        <w:spacing w:after="0" w:line="63" w:lineRule="exact"/>
        <w:rPr>
          <w:sz w:val="20"/>
          <w:szCs w:val="20"/>
          <w:color w:val="auto"/>
        </w:rPr>
      </w:pPr>
    </w:p>
    <w:p>
      <w:pPr>
        <w:jc w:val="both"/>
        <w:ind w:right="540" w:firstLine="546"/>
        <w:spacing w:after="0" w:line="315" w:lineRule="auto"/>
        <w:rPr>
          <w:sz w:val="20"/>
          <w:szCs w:val="20"/>
          <w:color w:val="auto"/>
        </w:rPr>
      </w:pPr>
      <w:r>
        <w:rPr>
          <w:rFonts w:ascii="Times New Roman" w:cs="Times New Roman" w:eastAsia="Times New Roman" w:hAnsi="Times New Roman"/>
          <w:sz w:val="16"/>
          <w:szCs w:val="16"/>
          <w:color w:val="auto"/>
        </w:rPr>
        <w:t>As of December 31, 2020, the Company also had federal and state research and development credit carryforwards of $10.2 million and $4.9 million, respectively. The federal research and development credit carryforwards expire beginning 2035. The California tax credit can be carried forward indefinitely.</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 reconciliation of the Company’s effective tax rate to the statutory U.S. federal rate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65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21.0%</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21.0%</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State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tax rate differential</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(7.9)</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(12.4)</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(17.3)</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(30.5)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Research tax credit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(0.1)</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Sale of future royalties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(9.4)</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Section 162(m)</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(1.2)</w:t>
            </w:r>
          </w:p>
        </w:tc>
        <w:tc>
          <w:tcPr>
            <w:tcW w:w="1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adjustments</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Extinguishment of convertible note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546"/>
        <w:spacing w:after="0" w:line="259" w:lineRule="auto"/>
        <w:rPr>
          <w:sz w:val="20"/>
          <w:szCs w:val="20"/>
          <w:color w:val="auto"/>
        </w:rPr>
      </w:pPr>
      <w:r>
        <w:rPr>
          <w:rFonts w:ascii="Times New Roman" w:cs="Times New Roman" w:eastAsia="Times New Roman" w:hAnsi="Times New Roman"/>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2020, 2019 and 2018, none of the unrecognized tax benefits would affect income tax expense with consideration of the valuation allowance. The Company does not anticipate the uncertain tax positions will materially change in the next 12 months. It is the Company's policy to include penalties and interest expense related to income taxes as a component of other expense, net as necessary.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beginning and ending unrecognized tax benefits amounts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6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Unrecognized tax benefits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FF0FC"/>
          </w:tcPr>
          <w:p>
            <w:pPr>
              <w:spacing w:after="0"/>
              <w:rPr>
                <w:sz w:val="18"/>
                <w:szCs w:val="18"/>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Increases related to prior year tax positions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17"/>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2,812</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Unrecognized tax benefits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160" w:firstLine="546"/>
        <w:spacing w:after="0" w:line="267"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Switzerland.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Preferred Stock</w:t>
      </w:r>
    </w:p>
    <w:p>
      <w:pPr>
        <w:spacing w:after="0" w:line="115" w:lineRule="exact"/>
        <w:rPr>
          <w:sz w:val="20"/>
          <w:szCs w:val="20"/>
          <w:color w:val="auto"/>
        </w:rPr>
      </w:pPr>
    </w:p>
    <w:p>
      <w:pPr>
        <w:ind w:right="20" w:firstLine="546"/>
        <w:spacing w:after="0" w:line="283" w:lineRule="auto"/>
        <w:rPr>
          <w:sz w:val="20"/>
          <w:szCs w:val="20"/>
          <w:color w:val="auto"/>
        </w:rPr>
      </w:pPr>
      <w:r>
        <w:rPr>
          <w:rFonts w:ascii="Times New Roman" w:cs="Times New Roman" w:eastAsia="Times New Roman" w:hAnsi="Times New Roman"/>
          <w:sz w:val="17"/>
          <w:szCs w:val="17"/>
          <w:color w:val="auto"/>
        </w:rPr>
        <w:t>As of December 31, 2020 and 2019, the Company’s certificate of incorporation, as amended and restated, authorized the Company to issue up to 10,000,000 shares of preferred stock at the par value of $0.0001 per share. As of December 31, 2020, there are no holders of the Company’s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Common Stock</w:t>
      </w:r>
    </w:p>
    <w:p>
      <w:pPr>
        <w:spacing w:after="0" w:line="115" w:lineRule="exact"/>
        <w:rPr>
          <w:sz w:val="20"/>
          <w:szCs w:val="20"/>
          <w:color w:val="auto"/>
        </w:rPr>
      </w:pPr>
    </w:p>
    <w:p>
      <w:pPr>
        <w:ind w:right="340" w:firstLine="546"/>
        <w:spacing w:after="0" w:line="267" w:lineRule="auto"/>
        <w:rPr>
          <w:sz w:val="20"/>
          <w:szCs w:val="20"/>
          <w:color w:val="auto"/>
        </w:rPr>
      </w:pPr>
      <w:r>
        <w:rPr>
          <w:rFonts w:ascii="Times New Roman" w:cs="Times New Roman" w:eastAsia="Times New Roman" w:hAnsi="Times New Roman"/>
          <w:sz w:val="17"/>
          <w:szCs w:val="17"/>
          <w:color w:val="auto"/>
        </w:rPr>
        <w:t>As of December 31, 2020 and 2019, the Company’s certificate of incorporation, as amended and restated,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The Company had reserved common stock for future issuances as follows: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1"/>
        </w:trPr>
        <w:tc>
          <w:tcPr>
            <w:tcW w:w="29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2900" w:type="dxa"/>
            <w:vAlign w:val="bottom"/>
            <w:tcBorders>
              <w:bottom w:val="single" w:sz="8" w:color="CFF0FC"/>
            </w:tcBorders>
          </w:tcPr>
          <w:p>
            <w:pPr>
              <w:spacing w:after="0"/>
              <w:rPr>
                <w:sz w:val="19"/>
                <w:szCs w:val="19"/>
                <w:color w:val="auto"/>
              </w:rPr>
            </w:pPr>
          </w:p>
        </w:tc>
        <w:tc>
          <w:tcPr>
            <w:tcW w:w="484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 of options outstanding and release of restricted shares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7,257,221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6,830,442</w:t>
            </w:r>
          </w:p>
        </w:tc>
        <w:tc>
          <w:tcPr>
            <w:tcW w:w="100" w:type="dxa"/>
            <w:vAlign w:val="bottom"/>
            <w:shd w:val="clear" w:color="auto" w:fill="CFF0FC"/>
          </w:tcPr>
          <w:p>
            <w:pPr>
              <w:spacing w:after="0"/>
              <w:rPr>
                <w:sz w:val="18"/>
                <w:szCs w:val="18"/>
                <w:color w:val="auto"/>
              </w:rPr>
            </w:pPr>
          </w:p>
        </w:tc>
      </w:tr>
      <w:tr>
        <w:trPr>
          <w:trHeight w:val="217"/>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common stock warrants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399,999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399,999</w:t>
            </w:r>
          </w:p>
        </w:tc>
        <w:tc>
          <w:tcPr>
            <w:tcW w:w="100" w:type="dxa"/>
            <w:vAlign w:val="bottom"/>
          </w:tcPr>
          <w:p>
            <w:pPr>
              <w:spacing w:after="0"/>
              <w:rPr>
                <w:sz w:val="18"/>
                <w:szCs w:val="18"/>
                <w:color w:val="auto"/>
              </w:rPr>
            </w:pPr>
          </w:p>
        </w:tc>
      </w:tr>
      <w:tr>
        <w:trPr>
          <w:trHeight w:val="217"/>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under the 2018</w:t>
            </w:r>
          </w:p>
        </w:tc>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Equity Incentive Plan</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2,742,183</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2,118,877</w:t>
            </w:r>
          </w:p>
        </w:tc>
        <w:tc>
          <w:tcPr>
            <w:tcW w:w="100" w:type="dxa"/>
            <w:vAlign w:val="bottom"/>
            <w:shd w:val="clear" w:color="auto" w:fill="CFF0FC"/>
          </w:tcPr>
          <w:p>
            <w:pPr>
              <w:spacing w:after="0"/>
              <w:rPr>
                <w:sz w:val="18"/>
                <w:szCs w:val="18"/>
                <w:color w:val="auto"/>
              </w:rPr>
            </w:pPr>
          </w:p>
        </w:tc>
      </w:tr>
      <w:tr>
        <w:trPr>
          <w:trHeight w:val="217"/>
        </w:trPr>
        <w:tc>
          <w:tcPr>
            <w:tcW w:w="2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Issuance of common stock under the 2018</w:t>
            </w:r>
          </w:p>
        </w:tc>
        <w:tc>
          <w:tcPr>
            <w:tcW w:w="4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Employee Share Purchase Plan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460,000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460,000</w:t>
            </w:r>
          </w:p>
        </w:tc>
        <w:tc>
          <w:tcPr>
            <w:tcW w:w="100" w:type="dxa"/>
            <w:vAlign w:val="bottom"/>
            <w:tcBorders>
              <w:bottom w:val="single" w:sz="8" w:color="CFF0FC"/>
            </w:tcBorders>
          </w:tcPr>
          <w:p>
            <w:pPr>
              <w:spacing w:after="0"/>
              <w:rPr>
                <w:sz w:val="18"/>
                <w:szCs w:val="18"/>
                <w:color w:val="auto"/>
              </w:rPr>
            </w:pPr>
          </w:p>
        </w:tc>
      </w:tr>
      <w:tr>
        <w:trPr>
          <w:trHeight w:val="210"/>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48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10,859,403</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9,809,318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Stock-Based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2018 Equity Incentive Plan</w:t>
      </w:r>
    </w:p>
    <w:p>
      <w:pPr>
        <w:spacing w:after="0" w:line="117" w:lineRule="exact"/>
        <w:rPr>
          <w:sz w:val="20"/>
          <w:szCs w:val="20"/>
          <w:color w:val="auto"/>
        </w:rPr>
      </w:pPr>
    </w:p>
    <w:p>
      <w:pPr>
        <w:ind w:right="40" w:firstLine="546"/>
        <w:spacing w:after="0" w:line="258" w:lineRule="auto"/>
        <w:rPr>
          <w:sz w:val="20"/>
          <w:szCs w:val="20"/>
          <w:color w:val="auto"/>
        </w:rPr>
      </w:pPr>
      <w:r>
        <w:rPr>
          <w:rFonts w:ascii="Times New Roman" w:cs="Times New Roman" w:eastAsia="Times New Roman" w:hAnsi="Times New Roman"/>
          <w:sz w:val="17"/>
          <w:szCs w:val="17"/>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restricted stock, restricted stock units (“RSUs”), stock appreciation rights, performance units and performance shares to employees, directors and consultants of the Company. The number of shares available for issuance will increase annually on the first day of each fiscal year beginning in 2019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or stock, then the term may not exceed five years and the exercise price must be equal to at least 110% of the fair market value of the common stock on the grant date. Options granted generally vest over four years.</w:t>
      </w:r>
    </w:p>
    <w:p>
      <w:pPr>
        <w:spacing w:after="0" w:line="76" w:lineRule="exact"/>
        <w:rPr>
          <w:sz w:val="20"/>
          <w:szCs w:val="20"/>
          <w:color w:val="auto"/>
        </w:rPr>
      </w:pPr>
    </w:p>
    <w:p>
      <w:pPr>
        <w:ind w:right="100" w:firstLine="546"/>
        <w:spacing w:after="0" w:line="283" w:lineRule="auto"/>
        <w:rPr>
          <w:sz w:val="20"/>
          <w:szCs w:val="20"/>
          <w:color w:val="auto"/>
        </w:rPr>
      </w:pPr>
      <w:r>
        <w:rPr>
          <w:rFonts w:ascii="Times New Roman" w:cs="Times New Roman" w:eastAsia="Times New Roman" w:hAnsi="Times New Roman"/>
          <w:sz w:val="17"/>
          <w:szCs w:val="17"/>
          <w:color w:val="auto"/>
        </w:rPr>
        <w:t>The number of shares available for issuance increased by 1,776,761 shares in 2020 and there were 2,742,183 shares available for grant under the 2018 Plan as of December 31,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Subject to Repurchase</w:t>
      </w:r>
    </w:p>
    <w:p>
      <w:pPr>
        <w:spacing w:after="0" w:line="117" w:lineRule="exact"/>
        <w:rPr>
          <w:sz w:val="20"/>
          <w:szCs w:val="20"/>
          <w:color w:val="auto"/>
        </w:rPr>
      </w:pPr>
    </w:p>
    <w:p>
      <w:pPr>
        <w:jc w:val="both"/>
        <w:ind w:right="420" w:firstLine="546"/>
        <w:spacing w:after="0" w:line="267" w:lineRule="auto"/>
        <w:rPr>
          <w:sz w:val="20"/>
          <w:szCs w:val="20"/>
          <w:color w:val="auto"/>
        </w:rPr>
      </w:pPr>
      <w:r>
        <w:rPr>
          <w:rFonts w:ascii="Times New Roman" w:cs="Times New Roman" w:eastAsia="Times New Roman" w:hAnsi="Times New Roman"/>
          <w:sz w:val="17"/>
          <w:szCs w:val="17"/>
          <w:color w:val="auto"/>
        </w:rPr>
        <w:t>The Company has a right of repurchase with respect to unvested shares issued upon early exercise of options at an amount equal to the lower of (1) 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63" w:lineRule="exact"/>
        <w:rPr>
          <w:sz w:val="20"/>
          <w:szCs w:val="20"/>
          <w:color w:val="auto"/>
        </w:rPr>
      </w:pPr>
    </w:p>
    <w:p>
      <w:pPr>
        <w:ind w:firstLine="546"/>
        <w:spacing w:after="0" w:line="261" w:lineRule="auto"/>
        <w:rPr>
          <w:sz w:val="20"/>
          <w:szCs w:val="20"/>
          <w:color w:val="auto"/>
        </w:rPr>
      </w:pPr>
      <w:r>
        <w:rPr>
          <w:rFonts w:ascii="Times New Roman" w:cs="Times New Roman" w:eastAsia="Times New Roman" w:hAnsi="Times New Roman"/>
          <w:sz w:val="17"/>
          <w:szCs w:val="17"/>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2020 and 2019, there are no early exercised stock options that remained subject to the Company’s right of repurchase.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Stock option activity under the 2018 Plan and 2015 Plan is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Intrinsic</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22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2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Outstanding at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6,671,542</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2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362,081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1,068,335</w:t>
            </w:r>
          </w:p>
        </w:tc>
        <w:tc>
          <w:tcPr>
            <w:tcW w:w="2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(704,675)</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(137,926)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6,897,276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841,704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Shares exercisable December 31, 2020</w:t>
            </w: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3,769,990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Vested and expected to vest December 31, 2020</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6,897,276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right="120" w:firstLine="546"/>
        <w:spacing w:after="0" w:line="267" w:lineRule="auto"/>
        <w:rPr>
          <w:sz w:val="20"/>
          <w:szCs w:val="20"/>
          <w:color w:val="auto"/>
        </w:rPr>
      </w:pPr>
      <w:r>
        <w:rPr>
          <w:rFonts w:ascii="Times New Roman" w:cs="Times New Roman" w:eastAsia="Times New Roman" w:hAnsi="Times New Roman"/>
          <w:sz w:val="17"/>
          <w:szCs w:val="17"/>
          <w:color w:val="auto"/>
        </w:rPr>
        <w:t>The weighted-average grant date fair value of the stock options granted for 2020, 2019 and 2018 was $32.44, $34.11 and $4.36 per share, respectively. The aggregate intrinsic value represents the value of the Company’s closing stock price on the last trading day of the period in excess of the weighted-average exercise price multiplied by the number of options outstanding or exercisable.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Options</w:t>
      </w:r>
    </w:p>
    <w:p>
      <w:pPr>
        <w:spacing w:after="0" w:line="117" w:lineRule="exact"/>
        <w:rPr>
          <w:sz w:val="20"/>
          <w:szCs w:val="20"/>
          <w:color w:val="auto"/>
        </w:rPr>
      </w:pPr>
    </w:p>
    <w:p>
      <w:pPr>
        <w:ind w:right="120" w:firstLine="546"/>
        <w:spacing w:after="0" w:line="267" w:lineRule="auto"/>
        <w:rPr>
          <w:sz w:val="20"/>
          <w:szCs w:val="20"/>
          <w:color w:val="auto"/>
        </w:rPr>
      </w:pPr>
      <w:r>
        <w:rPr>
          <w:rFonts w:ascii="Times New Roman" w:cs="Times New Roman" w:eastAsia="Times New Roman" w:hAnsi="Times New Roman"/>
          <w:sz w:val="17"/>
          <w:szCs w:val="17"/>
          <w:color w:val="auto"/>
        </w:rPr>
        <w:t>Prior to the Company’s IPO, the fair value of the shares of common stock underlying the stock options was determined by the board of directors with assistance from management and external appraisers as there has been no historical public market for the Company’s common stock. Subsequent to the Company’s IPO, the fair value of the Company’s common stock is determined based on its closing market price.</w:t>
      </w:r>
    </w:p>
    <w:p>
      <w:pPr>
        <w:spacing w:after="0" w:line="63" w:lineRule="exact"/>
        <w:rPr>
          <w:sz w:val="20"/>
          <w:szCs w:val="20"/>
          <w:color w:val="auto"/>
        </w:rPr>
      </w:pPr>
    </w:p>
    <w:p>
      <w:pPr>
        <w:ind w:right="240" w:firstLine="546"/>
        <w:spacing w:after="0" w:line="283" w:lineRule="auto"/>
        <w:rPr>
          <w:sz w:val="20"/>
          <w:szCs w:val="20"/>
          <w:color w:val="auto"/>
        </w:rPr>
      </w:pPr>
      <w:r>
        <w:rPr>
          <w:rFonts w:ascii="Times New Roman" w:cs="Times New Roman" w:eastAsia="Times New Roman" w:hAnsi="Times New Roman"/>
          <w:sz w:val="17"/>
          <w:szCs w:val="17"/>
          <w:color w:val="auto"/>
        </w:rPr>
        <w:t>The Company estimated the fair value of employee stock options using the Black-Scholes valuation model. The fair value of employee stock options was estimated using the following weighted-average assumptions: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4"/>
        </w:trPr>
        <w:tc>
          <w:tcPr>
            <w:tcW w:w="642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5"/>
        </w:trPr>
        <w:tc>
          <w:tcPr>
            <w:tcW w:w="64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3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80" w:type="dxa"/>
            <w:vAlign w:val="bottom"/>
            <w:tcBorders>
              <w:bottom w:val="single" w:sz="8" w:color="CFF0FC"/>
            </w:tcBorders>
          </w:tcPr>
          <w:p>
            <w:pPr>
              <w:spacing w:after="0"/>
              <w:rPr>
                <w:sz w:val="19"/>
                <w:szCs w:val="19"/>
                <w:color w:val="auto"/>
              </w:rPr>
            </w:pPr>
          </w:p>
        </w:tc>
      </w:tr>
      <w:tr>
        <w:trPr>
          <w:trHeight w:val="21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66%</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68%</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59%</w:t>
            </w:r>
          </w:p>
        </w:tc>
      </w:tr>
      <w:tr>
        <w:trPr>
          <w:trHeight w:val="217"/>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0.39%</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2.82%</w:t>
            </w:r>
          </w:p>
        </w:tc>
      </w:tr>
      <w:tr>
        <w:trPr>
          <w:trHeight w:val="217"/>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r>
      <w:tr>
        <w:trPr>
          <w:trHeight w:val="222"/>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80" w:type="dxa"/>
            <w:vAlign w:val="bottom"/>
          </w:tcPr>
          <w:p>
            <w:pPr>
              <w:spacing w:after="0"/>
              <w:rPr>
                <w:sz w:val="19"/>
                <w:szCs w:val="19"/>
                <w:color w:val="auto"/>
              </w:rPr>
            </w:pPr>
          </w:p>
        </w:tc>
      </w:tr>
    </w:tbl>
    <w:p>
      <w:pPr>
        <w:spacing w:after="0" w:line="90" w:lineRule="exact"/>
        <w:rPr>
          <w:sz w:val="20"/>
          <w:szCs w:val="20"/>
          <w:color w:val="auto"/>
        </w:rPr>
      </w:pPr>
    </w:p>
    <w:p>
      <w:pPr>
        <w:ind w:right="60" w:firstLine="546"/>
        <w:spacing w:after="0" w:line="260"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is calculated using the simplified method, which is available where there is insufficient historical data about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65" w:lineRule="exact"/>
        <w:rPr>
          <w:sz w:val="20"/>
          <w:szCs w:val="20"/>
          <w:color w:val="auto"/>
        </w:rPr>
      </w:pPr>
    </w:p>
    <w:p>
      <w:pPr>
        <w:ind w:right="20" w:firstLine="546"/>
        <w:spacing w:after="0" w:line="258" w:lineRule="auto"/>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As the Company does not have sufficient trading history for its common stock, our approach to estimating expected volatility is to phase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our own common stock trading history and supplement the remaining historical information with an average historical stock price volatility of a peer group of publicly traded companies to be representative of its expected future stock price volatility.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stock price becomes available.</w:t>
      </w:r>
    </w:p>
    <w:p>
      <w:pPr>
        <w:spacing w:after="0" w:line="68" w:lineRule="exact"/>
        <w:rPr>
          <w:sz w:val="20"/>
          <w:szCs w:val="20"/>
          <w:color w:val="auto"/>
        </w:rPr>
      </w:pPr>
    </w:p>
    <w:p>
      <w:pPr>
        <w:ind w:right="260" w:firstLine="546"/>
        <w:spacing w:after="0" w:line="288"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is based on the implied yield currently available on U.S. Treasury zero-coupon issues with a remaining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equivalent to the expected term of a stock award.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4" w:lineRule="exact"/>
        <w:rPr>
          <w:sz w:val="20"/>
          <w:szCs w:val="20"/>
          <w:color w:val="auto"/>
        </w:rPr>
      </w:pPr>
    </w:p>
    <w:p>
      <w:pPr>
        <w:ind w:right="620" w:firstLine="546"/>
        <w:spacing w:after="0" w:line="288" w:lineRule="auto"/>
        <w:rPr>
          <w:sz w:val="20"/>
          <w:szCs w:val="20"/>
          <w:color w:val="auto"/>
        </w:rPr>
      </w:pPr>
      <w:r>
        <w:rPr>
          <w:rFonts w:ascii="Times New Roman" w:cs="Times New Roman" w:eastAsia="Times New Roman" w:hAnsi="Times New Roman"/>
          <w:sz w:val="17"/>
          <w:szCs w:val="17"/>
          <w:i w:val="1"/>
          <w:iCs w:val="1"/>
          <w:color w:val="auto"/>
        </w:rPr>
        <w:t>Expected Dividend Rate</w:t>
      </w:r>
      <w:r>
        <w:rPr>
          <w:rFonts w:ascii="Times New Roman" w:cs="Times New Roman" w:eastAsia="Times New Roman" w:hAnsi="Times New Roman"/>
          <w:sz w:val="17"/>
          <w:szCs w:val="17"/>
          <w:color w:val="auto"/>
        </w:rPr>
        <w:t>. The Company has not paid and does not anticipate paying any dividends in the near future. Accordingly, the Company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the dividend yield to be zero.</w:t>
      </w:r>
    </w:p>
    <w:p>
      <w:pPr>
        <w:spacing w:after="0" w:line="46" w:lineRule="exact"/>
        <w:rPr>
          <w:sz w:val="20"/>
          <w:szCs w:val="20"/>
          <w:color w:val="auto"/>
        </w:rPr>
      </w:pPr>
    </w:p>
    <w:p>
      <w:pPr>
        <w:jc w:val="both"/>
        <w:ind w:right="20" w:firstLine="546"/>
        <w:spacing w:after="0" w:line="267" w:lineRule="auto"/>
        <w:rPr>
          <w:sz w:val="20"/>
          <w:szCs w:val="20"/>
          <w:color w:val="auto"/>
        </w:rPr>
      </w:pPr>
      <w:r>
        <w:rPr>
          <w:rFonts w:ascii="Times New Roman" w:cs="Times New Roman" w:eastAsia="Times New Roman" w:hAnsi="Times New Roman"/>
          <w:sz w:val="17"/>
          <w:szCs w:val="17"/>
          <w:color w:val="auto"/>
        </w:rPr>
        <w:t>The total fair value of employee options vested during the years ended December 31, 2020, 2019 and 2018 was $19.7 million, $4.6 million and $1.2 million, respectively. Stock-based compensation expense recognized during the years ended December 31, 2020, 2019 and 2018 for options granted to employees was $20.8 million, $5.7 million and $2.0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Stock Options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Company granted 41,500, 15,000 and 215,000 stock options to non-employees during the years ended December 31, 2020, 2019 and 2018, respectively.</w:t>
      </w:r>
    </w:p>
    <w:p>
      <w:pPr>
        <w:spacing w:after="0" w:line="111" w:lineRule="exact"/>
        <w:rPr>
          <w:sz w:val="20"/>
          <w:szCs w:val="20"/>
          <w:color w:val="auto"/>
        </w:rPr>
      </w:pPr>
    </w:p>
    <w:p>
      <w:pPr>
        <w:ind w:right="120" w:firstLine="546"/>
        <w:spacing w:after="0" w:line="267" w:lineRule="auto"/>
        <w:rPr>
          <w:sz w:val="20"/>
          <w:szCs w:val="20"/>
          <w:color w:val="auto"/>
        </w:rPr>
      </w:pPr>
      <w:r>
        <w:rPr>
          <w:rFonts w:ascii="Times New Roman" w:cs="Times New Roman" w:eastAsia="Times New Roman" w:hAnsi="Times New Roman"/>
          <w:sz w:val="17"/>
          <w:szCs w:val="17"/>
          <w:color w:val="auto"/>
        </w:rPr>
        <w:t>Subsequent to the adoption of ASU 2018-07 effective January 1, 2019, existing stock options granted to non-employees will no longer be revalued, and the estimated fair value of new stock options granted to non-employees will be calculated on the date of grant and not remeasured, similar to stock options granted to employees. The fair value of non-employee stock options was estimated using the following weighted-average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r>
      <w:tr>
        <w:trPr>
          <w:trHeight w:val="204"/>
        </w:trPr>
        <w:tc>
          <w:tcPr>
            <w:tcW w:w="65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65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60" w:type="dxa"/>
            <w:vAlign w:val="bottom"/>
            <w:tcBorders>
              <w:bottom w:val="single" w:sz="8" w:color="CFF0FC"/>
            </w:tcBorders>
          </w:tcPr>
          <w:p>
            <w:pPr>
              <w:spacing w:after="0"/>
              <w:rPr>
                <w:sz w:val="19"/>
                <w:szCs w:val="19"/>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67%</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73%</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68%</w:t>
            </w: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0.36%</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2.71%</w:t>
            </w:r>
          </w:p>
        </w:tc>
      </w:tr>
      <w:tr>
        <w:trPr>
          <w:trHeight w:val="21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r>
      <w:tr>
        <w:trPr>
          <w:trHeight w:val="222"/>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60" w:type="dxa"/>
            <w:vAlign w:val="bottom"/>
          </w:tcPr>
          <w:p>
            <w:pPr>
              <w:spacing w:after="0"/>
              <w:rPr>
                <w:sz w:val="19"/>
                <w:szCs w:val="19"/>
                <w:color w:val="auto"/>
              </w:rPr>
            </w:pPr>
          </w:p>
        </w:tc>
      </w:tr>
    </w:tbl>
    <w:p>
      <w:pPr>
        <w:spacing w:after="0" w:line="94" w:lineRule="exact"/>
        <w:rPr>
          <w:sz w:val="20"/>
          <w:szCs w:val="20"/>
          <w:color w:val="auto"/>
        </w:rPr>
      </w:pPr>
    </w:p>
    <w:p>
      <w:pPr>
        <w:ind w:right="180" w:firstLine="546"/>
        <w:spacing w:after="0" w:line="283" w:lineRule="auto"/>
        <w:rPr>
          <w:sz w:val="20"/>
          <w:szCs w:val="20"/>
          <w:color w:val="auto"/>
        </w:rPr>
      </w:pPr>
      <w:r>
        <w:rPr>
          <w:rFonts w:ascii="Times New Roman" w:cs="Times New Roman" w:eastAsia="Times New Roman" w:hAnsi="Times New Roman"/>
          <w:sz w:val="17"/>
          <w:szCs w:val="17"/>
          <w:color w:val="auto"/>
        </w:rPr>
        <w:t>Stock-based compensation expense recognized during the years ended December 31, 2020, 2019 and 2018 for options granted to non-employees was $0.7 million, $0.1 million and $0.4 million,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Shares</w:t>
      </w:r>
    </w:p>
    <w:p>
      <w:pPr>
        <w:spacing w:after="0" w:line="117" w:lineRule="exact"/>
        <w:rPr>
          <w:sz w:val="20"/>
          <w:szCs w:val="20"/>
          <w:color w:val="auto"/>
        </w:rPr>
      </w:pPr>
    </w:p>
    <w:p>
      <w:pPr>
        <w:ind w:right="700" w:firstLine="546"/>
        <w:spacing w:after="0" w:line="283" w:lineRule="auto"/>
        <w:rPr>
          <w:sz w:val="20"/>
          <w:szCs w:val="20"/>
          <w:color w:val="auto"/>
        </w:rPr>
      </w:pPr>
      <w:r>
        <w:rPr>
          <w:rFonts w:ascii="Times New Roman" w:cs="Times New Roman" w:eastAsia="Times New Roman" w:hAnsi="Times New Roman"/>
          <w:sz w:val="17"/>
          <w:szCs w:val="17"/>
          <w:color w:val="auto"/>
        </w:rPr>
        <w:t>Restricted share activity, including restricted stock awards (“RSAs”), restricted stock units (“RSUs”), and performance-based restricted stock units (“PSUs”), under the 2018 Plan and 2015 Plan is summarized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6740" w:type="dxa"/>
            <w:vAlign w:val="bottom"/>
          </w:tcPr>
          <w:p>
            <w:pPr>
              <w:spacing w:after="0"/>
              <w:rPr>
                <w:sz w:val="17"/>
                <w:szCs w:val="17"/>
                <w:color w:val="auto"/>
              </w:rPr>
            </w:pPr>
          </w:p>
        </w:tc>
        <w:tc>
          <w:tcPr>
            <w:tcW w:w="1440" w:type="dxa"/>
            <w:vAlign w:val="bottom"/>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6740" w:type="dxa"/>
            <w:vAlign w:val="bottom"/>
          </w:tcPr>
          <w:p>
            <w:pPr>
              <w:spacing w:after="0"/>
              <w:rPr>
                <w:sz w:val="17"/>
                <w:szCs w:val="17"/>
                <w:color w:val="auto"/>
              </w:rPr>
            </w:pPr>
          </w:p>
        </w:tc>
        <w:tc>
          <w:tcPr>
            <w:tcW w:w="1440" w:type="dxa"/>
            <w:vAlign w:val="bottom"/>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9"/>
              </w:rPr>
              <w:t>Restricted</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25"/>
        </w:trPr>
        <w:tc>
          <w:tcPr>
            <w:tcW w:w="6740" w:type="dxa"/>
            <w:vAlign w:val="bottom"/>
          </w:tcPr>
          <w:p>
            <w:pPr>
              <w:spacing w:after="0"/>
              <w:rPr>
                <w:sz w:val="19"/>
                <w:szCs w:val="19"/>
                <w:color w:val="auto"/>
              </w:rPr>
            </w:pP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r>
      <w:tr>
        <w:trPr>
          <w:trHeight w:val="210"/>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Unvested at December 31, 2019</w:t>
            </w:r>
          </w:p>
        </w:tc>
        <w:tc>
          <w:tcPr>
            <w:tcW w:w="14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160,747</w:t>
            </w: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236,045</w:t>
            </w:r>
          </w:p>
        </w:tc>
        <w:tc>
          <w:tcPr>
            <w:tcW w:w="360" w:type="dxa"/>
            <w:vAlign w:val="bottom"/>
          </w:tcPr>
          <w:p>
            <w:pPr>
              <w:spacing w:after="0"/>
              <w:rPr>
                <w:sz w:val="18"/>
                <w:szCs w:val="18"/>
                <w:color w:val="auto"/>
              </w:rPr>
            </w:pPr>
          </w:p>
        </w:tc>
        <w:tc>
          <w:tcPr>
            <w:tcW w:w="340" w:type="dxa"/>
            <w:vAlign w:val="bottom"/>
            <w:gridSpan w:val="2"/>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w:t>
            </w:r>
          </w:p>
        </w:tc>
        <w:tc>
          <w:tcPr>
            <w:tcW w:w="100" w:type="dxa"/>
            <w:vAlign w:val="bottom"/>
          </w:tcPr>
          <w:p>
            <w:pPr>
              <w:spacing w:after="0"/>
              <w:rPr>
                <w:sz w:val="18"/>
                <w:szCs w:val="18"/>
                <w:color w:val="auto"/>
              </w:rPr>
            </w:pPr>
          </w:p>
        </w:tc>
      </w:tr>
      <w:tr>
        <w:trPr>
          <w:trHeight w:val="217"/>
        </w:trPr>
        <w:tc>
          <w:tcPr>
            <w:tcW w:w="8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Vested</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(23,848)</w:t>
            </w:r>
          </w:p>
        </w:tc>
        <w:tc>
          <w:tcPr>
            <w:tcW w:w="340" w:type="dxa"/>
            <w:vAlign w:val="bottom"/>
            <w:gridSpan w:val="2"/>
            <w:shd w:val="clear" w:color="auto" w:fill="CFF0FC"/>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shd w:val="clear" w:color="auto" w:fill="CFF0FC"/>
          </w:tcPr>
          <w:p>
            <w:pPr>
              <w:spacing w:after="0"/>
              <w:rPr>
                <w:sz w:val="18"/>
                <w:szCs w:val="18"/>
                <w:color w:val="auto"/>
              </w:rPr>
            </w:pPr>
          </w:p>
        </w:tc>
      </w:tr>
      <w:tr>
        <w:trPr>
          <w:trHeight w:val="217"/>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withheld related to net share settlement of RSUs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(7,999)</w:t>
            </w:r>
          </w:p>
        </w:tc>
        <w:tc>
          <w:tcPr>
            <w:tcW w:w="340" w:type="dxa"/>
            <w:vAlign w:val="bottom"/>
            <w:gridSpan w:val="2"/>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8"/>
                <w:szCs w:val="18"/>
                <w:color w:val="auto"/>
              </w:rPr>
            </w:pPr>
          </w:p>
        </w:tc>
      </w:tr>
      <w:tr>
        <w:trPr>
          <w:trHeight w:val="217"/>
        </w:trPr>
        <w:tc>
          <w:tcPr>
            <w:tcW w:w="8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Canceled</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(5,000)</w:t>
            </w:r>
          </w:p>
        </w:tc>
        <w:tc>
          <w:tcPr>
            <w:tcW w:w="340" w:type="dxa"/>
            <w:vAlign w:val="bottom"/>
            <w:gridSpan w:val="2"/>
            <w:shd w:val="clear" w:color="auto" w:fill="CFF0FC"/>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72.46</w:t>
            </w:r>
          </w:p>
        </w:tc>
        <w:tc>
          <w:tcPr>
            <w:tcW w:w="100" w:type="dxa"/>
            <w:vAlign w:val="bottom"/>
            <w:shd w:val="clear" w:color="auto" w:fill="CFF0FC"/>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Unvested at December 31, 2020</w:t>
            </w:r>
          </w:p>
        </w:tc>
        <w:tc>
          <w:tcPr>
            <w:tcW w:w="1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359,945</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59.54</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p>
      <w:pPr>
        <w:spacing w:after="0" w:line="117" w:lineRule="exact"/>
        <w:rPr>
          <w:sz w:val="20"/>
          <w:szCs w:val="20"/>
          <w:color w:val="auto"/>
        </w:rPr>
      </w:pPr>
    </w:p>
    <w:p>
      <w:pPr>
        <w:ind w:right="240" w:firstLine="546"/>
        <w:spacing w:after="0" w:line="261" w:lineRule="auto"/>
        <w:rPr>
          <w:sz w:val="20"/>
          <w:szCs w:val="20"/>
          <w:color w:val="auto"/>
        </w:rPr>
      </w:pPr>
      <w:r>
        <w:rPr>
          <w:rFonts w:ascii="Times New Roman" w:cs="Times New Roman" w:eastAsia="Times New Roman" w:hAnsi="Times New Roman"/>
          <w:sz w:val="17"/>
          <w:szCs w:val="17"/>
          <w:color w:val="auto"/>
        </w:rPr>
        <w:t>Under the terms of the restricted stock agreements, the awards vest over four years, which is the requisite service period. Recipients of restricted stock awards generally have voting and dividend rights with respect to such shares upon grant without regard to vesting. Shares of restricted stock that do not vest are subject to forfeiture. The Company recognizes stock-based compensation expense for RSAs on a straight-line basis over the requisite service period for the entire award.</w:t>
      </w:r>
    </w:p>
    <w:p>
      <w:pPr>
        <w:spacing w:after="0" w:line="70" w:lineRule="exact"/>
        <w:rPr>
          <w:sz w:val="20"/>
          <w:szCs w:val="20"/>
          <w:color w:val="auto"/>
        </w:rPr>
      </w:pPr>
    </w:p>
    <w:p>
      <w:pPr>
        <w:ind w:right="80" w:firstLine="546"/>
        <w:spacing w:after="0" w:line="267" w:lineRule="auto"/>
        <w:rPr>
          <w:sz w:val="20"/>
          <w:szCs w:val="20"/>
          <w:color w:val="auto"/>
        </w:rPr>
      </w:pPr>
      <w:r>
        <w:rPr>
          <w:rFonts w:ascii="Times New Roman" w:cs="Times New Roman" w:eastAsia="Times New Roman" w:hAnsi="Times New Roman"/>
          <w:sz w:val="17"/>
          <w:szCs w:val="17"/>
          <w:color w:val="auto"/>
        </w:rPr>
        <w:t>The Company did not grant any RSA to employees in 2020. The total fair value of RSAs vested during the years ended December 31, 2020, 2019 and 2018 was $nil million, less than $0.1 million and $0.2 million, respectively. Stock-based compensation expense recognized during the years ended December 31, 2020, 2019 and 2018 for RSAs was $nil million, less than $0.1 million and $0.2 million, respectively.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RSUs will vest in four equal annual installments over four years, which is the requisite service period after that date.</w:t>
      </w:r>
    </w:p>
    <w:p>
      <w:pPr>
        <w:spacing w:after="0" w:line="111" w:lineRule="exact"/>
        <w:rPr>
          <w:sz w:val="20"/>
          <w:szCs w:val="20"/>
          <w:color w:val="auto"/>
        </w:rPr>
      </w:pPr>
    </w:p>
    <w:p>
      <w:pPr>
        <w:ind w:firstLine="546"/>
        <w:spacing w:after="0" w:line="267" w:lineRule="auto"/>
        <w:rPr>
          <w:sz w:val="20"/>
          <w:szCs w:val="20"/>
          <w:color w:val="auto"/>
        </w:rPr>
      </w:pPr>
      <w:r>
        <w:rPr>
          <w:rFonts w:ascii="Times New Roman" w:cs="Times New Roman" w:eastAsia="Times New Roman" w:hAnsi="Times New Roman"/>
          <w:sz w:val="17"/>
          <w:szCs w:val="17"/>
          <w:color w:val="auto"/>
        </w:rPr>
        <w:t>The Company granted 236,045 RSUs to employees in 2020. The total fair value of RSUs vested during the year ended December 31, 2020 and 2019 was $0.3 million and $0.3 million, respectively. Stock-based compensation expense recognized during the years ended December 31, 2020, 2019 and 2018 for RSUs was $1.9 million, $0.3 million, and less than $0.1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Stock Options and Restricted Stock Units</w:t>
      </w:r>
    </w:p>
    <w:p>
      <w:pPr>
        <w:spacing w:after="0" w:line="117" w:lineRule="exact"/>
        <w:rPr>
          <w:sz w:val="20"/>
          <w:szCs w:val="20"/>
          <w:color w:val="auto"/>
        </w:rPr>
      </w:pPr>
    </w:p>
    <w:p>
      <w:pPr>
        <w:jc w:val="both"/>
        <w:ind w:right="100" w:firstLine="546"/>
        <w:spacing w:after="0" w:line="267" w:lineRule="auto"/>
        <w:rPr>
          <w:sz w:val="20"/>
          <w:szCs w:val="20"/>
          <w:color w:val="auto"/>
        </w:rPr>
      </w:pPr>
      <w:r>
        <w:rPr>
          <w:rFonts w:ascii="Times New Roman" w:cs="Times New Roman" w:eastAsia="Times New Roman" w:hAnsi="Times New Roman"/>
          <w:sz w:val="17"/>
          <w:szCs w:val="17"/>
          <w:color w:val="auto"/>
        </w:rPr>
        <w:t>These performance-based equity awards will vest one-quarter upon the achievement of specific clinical development milestones. The remaining shares will then vest in three equal annual installments after that date. Performance-based stock options are recorded as expense beginning when vesting events are determined to be probable.</w:t>
      </w:r>
    </w:p>
    <w:p>
      <w:pPr>
        <w:spacing w:after="0" w:line="63" w:lineRule="exact"/>
        <w:rPr>
          <w:sz w:val="20"/>
          <w:szCs w:val="20"/>
          <w:color w:val="auto"/>
        </w:rPr>
      </w:pPr>
    </w:p>
    <w:p>
      <w:pPr>
        <w:ind w:right="60" w:firstLine="546"/>
        <w:spacing w:after="0" w:line="261" w:lineRule="auto"/>
        <w:rPr>
          <w:sz w:val="20"/>
          <w:szCs w:val="20"/>
          <w:color w:val="auto"/>
        </w:rPr>
      </w:pPr>
      <w:r>
        <w:rPr>
          <w:rFonts w:ascii="Times New Roman" w:cs="Times New Roman" w:eastAsia="Times New Roman" w:hAnsi="Times New Roman"/>
          <w:sz w:val="17"/>
          <w:szCs w:val="17"/>
          <w:color w:val="auto"/>
        </w:rPr>
        <w:t>The Company did not grant performance-based equity awards to employees in 2020. None of these performance-based equity awards vested during 2020 or 2019. The Company believes that the achievement of the requisite performance condition continues to be probable. Stock-based compensation expense recognized during the years ended December 31, 2020, 2019 and 2018 for the performance-based equity awards was $7.2 million, less than $0.1 million and $nil million, respectively.</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fair value of performance-based stock options was estimated using the following weighted-average assumptions: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40" w:type="dxa"/>
            <w:vAlign w:val="bottom"/>
          </w:tcPr>
          <w:p>
            <w:pPr>
              <w:spacing w:after="0"/>
              <w:rPr>
                <w:sz w:val="17"/>
                <w:szCs w:val="17"/>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r>
      <w:tr>
        <w:trPr>
          <w:trHeight w:val="204"/>
        </w:trPr>
        <w:tc>
          <w:tcPr>
            <w:tcW w:w="9540" w:type="dxa"/>
            <w:vAlign w:val="bottom"/>
          </w:tcPr>
          <w:p>
            <w:pPr>
              <w:spacing w:after="0"/>
              <w:rPr>
                <w:sz w:val="17"/>
                <w:szCs w:val="17"/>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95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60" w:type="dxa"/>
            <w:vAlign w:val="bottom"/>
            <w:tcBorders>
              <w:bottom w:val="single" w:sz="8" w:color="CFF0FC"/>
            </w:tcBorders>
          </w:tcPr>
          <w:p>
            <w:pPr>
              <w:spacing w:after="0"/>
              <w:rPr>
                <w:sz w:val="19"/>
                <w:szCs w:val="19"/>
                <w:color w:val="auto"/>
              </w:rPr>
            </w:pPr>
          </w:p>
        </w:tc>
      </w:tr>
      <w:tr>
        <w:trPr>
          <w:trHeight w:val="210"/>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r>
      <w:tr>
        <w:trPr>
          <w:trHeight w:val="217"/>
        </w:trPr>
        <w:tc>
          <w:tcPr>
            <w:tcW w:w="954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w:t>
            </w:r>
          </w:p>
        </w:tc>
      </w:tr>
      <w:tr>
        <w:trPr>
          <w:trHeight w:val="217"/>
        </w:trPr>
        <w:tc>
          <w:tcPr>
            <w:tcW w:w="9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r>
      <w:tr>
        <w:trPr>
          <w:trHeight w:val="222"/>
        </w:trPr>
        <w:tc>
          <w:tcPr>
            <w:tcW w:w="95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60" w:type="dxa"/>
            <w:vAlign w:val="bottom"/>
          </w:tcPr>
          <w:p>
            <w:pPr>
              <w:spacing w:after="0"/>
              <w:rPr>
                <w:sz w:val="19"/>
                <w:szCs w:val="19"/>
                <w:color w:val="auto"/>
              </w:rPr>
            </w:pPr>
          </w:p>
        </w:tc>
      </w:tr>
    </w:tbl>
    <w:p>
      <w:pPr>
        <w:spacing w:after="0" w:line="107" w:lineRule="exact"/>
        <w:rPr>
          <w:sz w:val="20"/>
          <w:szCs w:val="20"/>
          <w:color w:val="auto"/>
        </w:rPr>
      </w:pPr>
    </w:p>
    <w:p>
      <w:pPr>
        <w:jc w:val="both"/>
        <w:ind w:right="20" w:firstLine="546"/>
        <w:spacing w:after="0" w:line="283" w:lineRule="auto"/>
        <w:rPr>
          <w:sz w:val="20"/>
          <w:szCs w:val="20"/>
          <w:color w:val="auto"/>
        </w:rPr>
      </w:pPr>
      <w:r>
        <w:rPr>
          <w:rFonts w:ascii="Times New Roman" w:cs="Times New Roman" w:eastAsia="Times New Roman" w:hAnsi="Times New Roman"/>
          <w:sz w:val="17"/>
          <w:szCs w:val="17"/>
          <w:color w:val="auto"/>
        </w:rPr>
        <w:t>The weighted-average grant date fair value was $47.89 per share for performance-based stock options and $73.51 per share for performance-based 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2018 Employee Share Purchase Plan</w:t>
      </w:r>
    </w:p>
    <w:p>
      <w:pPr>
        <w:spacing w:after="0" w:line="117" w:lineRule="exact"/>
        <w:rPr>
          <w:sz w:val="20"/>
          <w:szCs w:val="20"/>
          <w:color w:val="auto"/>
        </w:rPr>
      </w:pPr>
    </w:p>
    <w:p>
      <w:pPr>
        <w:ind w:right="200" w:firstLine="546"/>
        <w:spacing w:after="0" w:line="267" w:lineRule="auto"/>
        <w:rPr>
          <w:sz w:val="20"/>
          <w:szCs w:val="20"/>
          <w:color w:val="auto"/>
        </w:rPr>
      </w:pPr>
      <w:r>
        <w:rPr>
          <w:rFonts w:ascii="Times New Roman" w:cs="Times New Roman" w:eastAsia="Times New Roman" w:hAnsi="Times New Roman"/>
          <w:sz w:val="17"/>
          <w:szCs w:val="17"/>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Stock-based compensation is classified in the consolidated statements of operations and comprehensive loss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r>
      <w:tr>
        <w:trPr>
          <w:trHeight w:val="204"/>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6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shd w:val="clear" w:color="auto" w:fill="CFF0FC"/>
          </w:tcPr>
          <w:p>
            <w:pPr>
              <w:spacing w:after="0"/>
              <w:rPr>
                <w:sz w:val="18"/>
                <w:szCs w:val="18"/>
                <w:color w:val="auto"/>
              </w:rPr>
            </w:pPr>
          </w:p>
        </w:tc>
      </w:tr>
      <w:tr>
        <w:trPr>
          <w:trHeight w:val="217"/>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80" w:firstLine="546"/>
        <w:spacing w:after="0" w:line="283" w:lineRule="auto"/>
        <w:rPr>
          <w:sz w:val="20"/>
          <w:szCs w:val="20"/>
          <w:color w:val="auto"/>
        </w:rPr>
      </w:pPr>
      <w:r>
        <w:rPr>
          <w:rFonts w:ascii="Times New Roman" w:cs="Times New Roman" w:eastAsia="Times New Roman" w:hAnsi="Times New Roman"/>
          <w:sz w:val="17"/>
          <w:szCs w:val="17"/>
          <w:color w:val="auto"/>
        </w:rPr>
        <w:t>As of December 31, 2020, the Company had $91.4 million of unrecognized compensation expense related to unvested stock options and unvested restricted stock awards and units that is expected to be recognized over a weighted-average period of 2.9 years.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Net Loss per Share Attributable to Common Stockholders</w:t>
      </w:r>
    </w:p>
    <w:p>
      <w:pPr>
        <w:spacing w:after="0" w:line="115" w:lineRule="exact"/>
        <w:rPr>
          <w:sz w:val="20"/>
          <w:szCs w:val="20"/>
          <w:color w:val="auto"/>
        </w:rPr>
      </w:pPr>
    </w:p>
    <w:p>
      <w:pPr>
        <w:ind w:right="120" w:firstLine="546"/>
        <w:spacing w:after="0" w:line="283"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r>
      <w:tr>
        <w:trPr>
          <w:trHeight w:val="204"/>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6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(133,096)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(47,365)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(41,443)</w:t>
            </w:r>
          </w:p>
        </w:tc>
      </w:tr>
      <w:tr>
        <w:trPr>
          <w:trHeight w:val="196"/>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7"/>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45,741,845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37,869,291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15,136,197</w:t>
            </w:r>
          </w:p>
        </w:tc>
        <w:tc>
          <w:tcPr>
            <w:tcW w:w="100" w:type="dxa"/>
            <w:vAlign w:val="bottom"/>
          </w:tcPr>
          <w:p>
            <w:pPr>
              <w:spacing w:after="0"/>
              <w:rPr>
                <w:sz w:val="18"/>
                <w:szCs w:val="18"/>
                <w:color w:val="auto"/>
              </w:rPr>
            </w:pPr>
          </w:p>
        </w:tc>
      </w:tr>
      <w:tr>
        <w:trPr>
          <w:trHeight w:val="201"/>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Less: weighted-average unvested restricted shares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and shares subject to repurchase</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(15,675)</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(159,682)</w:t>
            </w:r>
          </w:p>
        </w:tc>
      </w:tr>
      <w:tr>
        <w:trPr>
          <w:trHeight w:val="194"/>
        </w:trPr>
        <w:tc>
          <w:tcPr>
            <w:tcW w:w="6660" w:type="dxa"/>
            <w:vAlign w:val="bottom"/>
          </w:tcPr>
          <w:p>
            <w:pPr>
              <w:ind w:left="240"/>
              <w:spacing w:after="0" w:line="194" w:lineRule="exact"/>
              <w:rPr>
                <w:sz w:val="20"/>
                <w:szCs w:val="20"/>
                <w:color w:val="auto"/>
              </w:rPr>
            </w:pPr>
            <w:r>
              <w:rPr>
                <w:rFonts w:ascii="Times New Roman" w:cs="Times New Roman" w:eastAsia="Times New Roman" w:hAnsi="Times New Roman"/>
                <w:sz w:val="17"/>
                <w:szCs w:val="17"/>
                <w:color w:val="auto"/>
              </w:rPr>
              <w:t>Weighted-average shares outstanding used in</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6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computing net loss per share attributable to</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66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7"/>
                <w:szCs w:val="17"/>
                <w:color w:val="auto"/>
              </w:rPr>
              <w:t>common stockholders, basic and diluted</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45,741,845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37,853,616</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14,976,515</w:t>
            </w:r>
          </w:p>
        </w:tc>
        <w:tc>
          <w:tcPr>
            <w:tcW w:w="100" w:type="dxa"/>
            <w:vAlign w:val="bottom"/>
            <w:tcBorders>
              <w:bottom w:val="single" w:sz="8" w:color="CFF0FC"/>
            </w:tcBorders>
          </w:tcPr>
          <w:p>
            <w:pPr>
              <w:spacing w:after="0"/>
              <w:rPr>
                <w:sz w:val="22"/>
                <w:szCs w:val="22"/>
                <w:color w:val="auto"/>
              </w:rPr>
            </w:pPr>
          </w:p>
        </w:tc>
      </w:tr>
      <w:tr>
        <w:trPr>
          <w:trHeight w:val="179"/>
        </w:trPr>
        <w:tc>
          <w:tcPr>
            <w:tcW w:w="6660" w:type="dxa"/>
            <w:vAlign w:val="bottom"/>
            <w:shd w:val="clear" w:color="auto" w:fill="CFF0FC"/>
          </w:tcPr>
          <w:p>
            <w:pPr>
              <w:spacing w:after="0" w:line="179" w:lineRule="exact"/>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(2.91)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(2.77)</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9" w:lineRule="exact"/>
        <w:rPr>
          <w:sz w:val="20"/>
          <w:szCs w:val="20"/>
          <w:color w:val="auto"/>
        </w:rPr>
      </w:pPr>
    </w:p>
    <w:p>
      <w:pPr>
        <w:ind w:right="180" w:firstLine="546"/>
        <w:spacing w:after="0" w:line="283" w:lineRule="auto"/>
        <w:rPr>
          <w:sz w:val="20"/>
          <w:szCs w:val="20"/>
          <w:color w:val="auto"/>
        </w:rPr>
      </w:pPr>
      <w:r>
        <w:rPr>
          <w:rFonts w:ascii="Times New Roman" w:cs="Times New Roman" w:eastAsia="Times New Roman" w:hAnsi="Times New Roman"/>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8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04"/>
        </w:trPr>
        <w:tc>
          <w:tcPr>
            <w:tcW w:w="66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5"/>
        </w:trPr>
        <w:tc>
          <w:tcPr>
            <w:tcW w:w="66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Exercise of options outstanding</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6,897,276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6,671,542</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5,135,267</w:t>
            </w:r>
          </w:p>
        </w:tc>
        <w:tc>
          <w:tcPr>
            <w:tcW w:w="100" w:type="dxa"/>
            <w:vAlign w:val="bottom"/>
            <w:shd w:val="clear" w:color="auto" w:fill="CFF0FC"/>
          </w:tcPr>
          <w:p>
            <w:pPr>
              <w:spacing w:after="0"/>
              <w:rPr>
                <w:sz w:val="18"/>
                <w:szCs w:val="18"/>
                <w:color w:val="auto"/>
              </w:rPr>
            </w:pPr>
          </w:p>
        </w:tc>
      </w:tr>
      <w:tr>
        <w:trPr>
          <w:trHeight w:val="217"/>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Unvested restricted shares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359,945</w:t>
            </w:r>
          </w:p>
        </w:tc>
        <w:tc>
          <w:tcPr>
            <w:tcW w:w="2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160,747</w:t>
            </w:r>
          </w:p>
        </w:tc>
        <w:tc>
          <w:tcPr>
            <w:tcW w:w="2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50,450</w:t>
            </w:r>
          </w:p>
        </w:tc>
        <w:tc>
          <w:tcPr>
            <w:tcW w:w="100" w:type="dxa"/>
            <w:vAlign w:val="bottom"/>
            <w:tcBorders>
              <w:bottom w:val="single" w:sz="8" w:color="CFF0FC"/>
            </w:tcBorders>
          </w:tcPr>
          <w:p>
            <w:pPr>
              <w:spacing w:after="0"/>
              <w:rPr>
                <w:sz w:val="18"/>
                <w:szCs w:val="18"/>
                <w:color w:val="auto"/>
              </w:rPr>
            </w:pPr>
          </w:p>
        </w:tc>
      </w:tr>
      <w:tr>
        <w:trPr>
          <w:trHeight w:val="21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7,257,221</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6,832,289</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5,185,717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401(k) Plan</w:t>
      </w:r>
    </w:p>
    <w:p>
      <w:pPr>
        <w:spacing w:after="0" w:line="115" w:lineRule="exact"/>
        <w:rPr>
          <w:sz w:val="20"/>
          <w:szCs w:val="20"/>
          <w:color w:val="auto"/>
        </w:rPr>
      </w:pPr>
    </w:p>
    <w:p>
      <w:pPr>
        <w:ind w:right="140" w:firstLine="546"/>
        <w:spacing w:after="0" w:line="259" w:lineRule="auto"/>
        <w:rPr>
          <w:sz w:val="20"/>
          <w:szCs w:val="20"/>
          <w:color w:val="auto"/>
        </w:rPr>
      </w:pPr>
      <w:r>
        <w:rPr>
          <w:rFonts w:ascii="Times New Roman" w:cs="Times New Roman" w:eastAsia="Times New Roman" w:hAnsi="Times New Roman"/>
          <w:sz w:val="17"/>
          <w:szCs w:val="17"/>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50% of the individual maximum contribution limit allowed under the IRS rules. For the year ended December 31, 2020 and 2019, the expense related to the matching contributions was $0.6 million and $0.3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Liability related to Sale of Future Royalties</w:t>
      </w:r>
    </w:p>
    <w:p>
      <w:pPr>
        <w:spacing w:after="0" w:line="115" w:lineRule="exact"/>
        <w:rPr>
          <w:sz w:val="20"/>
          <w:szCs w:val="20"/>
          <w:color w:val="auto"/>
        </w:rPr>
      </w:pPr>
    </w:p>
    <w:p>
      <w:pPr>
        <w:ind w:right="80" w:firstLine="546"/>
        <w:spacing w:after="0" w:line="256" w:lineRule="auto"/>
        <w:rPr>
          <w:sz w:val="20"/>
          <w:szCs w:val="20"/>
          <w:color w:val="auto"/>
        </w:rPr>
      </w:pPr>
      <w:r>
        <w:rPr>
          <w:rFonts w:ascii="Times New Roman" w:cs="Times New Roman" w:eastAsia="Times New Roman" w:hAnsi="Times New Roman"/>
          <w:sz w:val="17"/>
          <w:szCs w:val="17"/>
          <w:color w:val="auto"/>
        </w:rPr>
        <w:t>On December 1, 2019, the Company and its subsidiary Kodiak Sciences GmbH entered into a funding agreement with BBA, which holds more than 5% of the Company’s stock, pursuant to which BBA purchased the right to receive a capped 4.5% royalty on future net sales of KSI-301,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74" w:lineRule="exact"/>
        <w:rPr>
          <w:sz w:val="20"/>
          <w:szCs w:val="20"/>
          <w:color w:val="auto"/>
        </w:rPr>
      </w:pPr>
    </w:p>
    <w:p>
      <w:pPr>
        <w:ind w:firstLine="546"/>
        <w:spacing w:after="0" w:line="267" w:lineRule="auto"/>
        <w:rPr>
          <w:sz w:val="20"/>
          <w:szCs w:val="20"/>
          <w:color w:val="auto"/>
        </w:rPr>
      </w:pPr>
      <w:r>
        <w:rPr>
          <w:rFonts w:ascii="Times New Roman" w:cs="Times New Roman" w:eastAsia="Times New Roman" w:hAnsi="Times New Roman"/>
          <w:sz w:val="17"/>
          <w:szCs w:val="17"/>
          <w:color w:val="auto"/>
        </w:rPr>
        <w:t>The closing of the funding agreement was subject to certain conditions and occurred in February 2020. The Company received $100.0 million of the funding on February 4, 2020. The remaining $125.0 million, subject to delivery of notice by the Company, payable upon enrollment of 50% of the patients in the RVO clinical program.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8" w:lineRule="exact"/>
        <w:rPr>
          <w:sz w:val="20"/>
          <w:szCs w:val="20"/>
          <w:color w:val="auto"/>
        </w:rPr>
      </w:pPr>
    </w:p>
    <w:p>
      <w:pPr>
        <w:ind w:right="140" w:firstLine="546"/>
        <w:spacing w:after="0" w:line="261" w:lineRule="auto"/>
        <w:rPr>
          <w:sz w:val="20"/>
          <w:szCs w:val="20"/>
          <w:color w:val="auto"/>
        </w:rPr>
      </w:pPr>
      <w:r>
        <w:rPr>
          <w:rFonts w:ascii="Times New Roman" w:cs="Times New Roman" w:eastAsia="Times New Roman" w:hAnsi="Times New Roman"/>
          <w:sz w:val="17"/>
          <w:szCs w:val="17"/>
          <w:color w:val="auto"/>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2020, royalty payments are not probable and estimable.</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For the year ended December 31, 2020, no interest expense was recognized for the liability related to the sale of future royalties.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Selected Quarterly Financial Data (unaudited)</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provides the selected quarterly financial information for the years, 2020 and 2019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3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500"/>
              <w:spacing w:after="0" w:line="189"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560"/>
              <w:spacing w:after="0" w:line="189" w:lineRule="exact"/>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440"/>
              <w:spacing w:after="0" w:line="189"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6"/>
                <w:szCs w:val="16"/>
                <w:color w:val="auto"/>
              </w:rPr>
            </w:pPr>
          </w:p>
        </w:tc>
        <w:tc>
          <w:tcPr>
            <w:tcW w:w="1300" w:type="dxa"/>
            <w:vAlign w:val="bottom"/>
          </w:tcPr>
          <w:p>
            <w:pPr>
              <w:jc w:val="right"/>
              <w:ind w:right="155"/>
              <w:spacing w:after="0" w:line="189"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6"/>
                <w:szCs w:val="16"/>
                <w:color w:val="auto"/>
              </w:rPr>
            </w:pPr>
          </w:p>
        </w:tc>
      </w:tr>
      <w:tr>
        <w:trPr>
          <w:trHeight w:val="225"/>
        </w:trPr>
        <w:tc>
          <w:tcPr>
            <w:tcW w:w="37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(36,663)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(46,842)</w:t>
            </w:r>
          </w:p>
        </w:tc>
        <w:tc>
          <w:tcPr>
            <w:tcW w:w="100" w:type="dxa"/>
            <w:vAlign w:val="bottom"/>
            <w:shd w:val="clear" w:color="auto" w:fill="CFF0FC"/>
          </w:tcPr>
          <w:p>
            <w:pPr>
              <w:spacing w:after="0"/>
              <w:rPr>
                <w:sz w:val="18"/>
                <w:szCs w:val="18"/>
                <w:color w:val="auto"/>
              </w:rPr>
            </w:pPr>
          </w:p>
        </w:tc>
      </w:tr>
      <w:tr>
        <w:trPr>
          <w:trHeight w:val="217"/>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(24,392)</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(36,122)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(46,583)</w:t>
            </w:r>
          </w:p>
        </w:tc>
      </w:tr>
      <w:tr>
        <w:trPr>
          <w:trHeight w:val="201"/>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per share attributable to common</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stockholders, basic and diluted</w:t>
            </w:r>
          </w:p>
        </w:tc>
        <w:tc>
          <w:tcPr>
            <w:tcW w:w="11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(0.54)</w:t>
            </w:r>
          </w:p>
        </w:tc>
        <w:tc>
          <w:tcPr>
            <w:tcW w:w="3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(0.58)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(0.97)</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3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500"/>
              <w:spacing w:after="0" w:line="189"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560"/>
              <w:spacing w:after="0" w:line="189" w:lineRule="exact"/>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440"/>
              <w:spacing w:after="0" w:line="189"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6"/>
                <w:szCs w:val="16"/>
                <w:color w:val="auto"/>
              </w:rPr>
            </w:pPr>
          </w:p>
        </w:tc>
        <w:tc>
          <w:tcPr>
            <w:tcW w:w="1300" w:type="dxa"/>
            <w:vAlign w:val="bottom"/>
          </w:tcPr>
          <w:p>
            <w:pPr>
              <w:jc w:val="right"/>
              <w:ind w:right="155"/>
              <w:spacing w:after="0" w:line="189"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6"/>
                <w:szCs w:val="16"/>
                <w:color w:val="auto"/>
              </w:rPr>
            </w:pPr>
          </w:p>
        </w:tc>
      </w:tr>
      <w:tr>
        <w:trPr>
          <w:trHeight w:val="225"/>
        </w:trPr>
        <w:tc>
          <w:tcPr>
            <w:tcW w:w="37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(16,184)</w:t>
            </w:r>
          </w:p>
        </w:tc>
        <w:tc>
          <w:tcPr>
            <w:tcW w:w="100" w:type="dxa"/>
            <w:vAlign w:val="bottom"/>
            <w:shd w:val="clear" w:color="auto" w:fill="CFF0FC"/>
          </w:tcPr>
          <w:p>
            <w:pPr>
              <w:spacing w:after="0"/>
              <w:rPr>
                <w:sz w:val="18"/>
                <w:szCs w:val="18"/>
                <w:color w:val="auto"/>
              </w:rPr>
            </w:pPr>
          </w:p>
        </w:tc>
      </w:tr>
      <w:tr>
        <w:trPr>
          <w:trHeight w:val="217"/>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(7,984)</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(15,616)</w:t>
            </w:r>
          </w:p>
        </w:tc>
      </w:tr>
      <w:tr>
        <w:trPr>
          <w:trHeight w:val="201"/>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per share attributable to common</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stockholders, basic and diluted</w:t>
            </w:r>
          </w:p>
        </w:tc>
        <w:tc>
          <w:tcPr>
            <w:tcW w:w="11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(0.21)</w:t>
            </w:r>
          </w:p>
        </w:tc>
        <w:tc>
          <w:tcPr>
            <w:tcW w:w="3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(0.33)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(0.40)</w:t>
            </w:r>
          </w:p>
        </w:tc>
      </w:tr>
      <w:tr>
        <w:trPr>
          <w:trHeight w:val="870"/>
        </w:trPr>
        <w:tc>
          <w:tcPr>
            <w:tcW w:w="3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7"/>
        </w:trPr>
        <w:tc>
          <w:tcPr>
            <w:tcW w:w="37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DISCLOSURES</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Evaluation of our Disclosure Controls and Procedures</w:t>
      </w:r>
    </w:p>
    <w:p>
      <w:pPr>
        <w:spacing w:after="0" w:line="115" w:lineRule="exact"/>
        <w:rPr>
          <w:sz w:val="20"/>
          <w:szCs w:val="20"/>
          <w:color w:val="auto"/>
        </w:rPr>
      </w:pPr>
    </w:p>
    <w:p>
      <w:pPr>
        <w:jc w:val="both"/>
        <w:ind w:right="280" w:firstLine="546"/>
        <w:spacing w:after="0" w:line="261"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60" w:firstLine="546"/>
        <w:spacing w:after="0" w:line="259" w:lineRule="auto"/>
        <w:rPr>
          <w:sz w:val="20"/>
          <w:szCs w:val="20"/>
          <w:color w:val="auto"/>
        </w:rPr>
      </w:pPr>
      <w:r>
        <w:rPr>
          <w:rFonts w:ascii="Times New Roman" w:cs="Times New Roman" w:eastAsia="Times New Roman" w:hAnsi="Times New Roman"/>
          <w:sz w:val="17"/>
          <w:szCs w:val="17"/>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2020. Based upon such evaluation, our principal executive officer and principal financial officer concluded that the design and operation of our disclosure controls and procedures were effective at a reasonable assurance level as of December 31, 2020.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15" w:lineRule="exact"/>
        <w:rPr>
          <w:sz w:val="20"/>
          <w:szCs w:val="20"/>
          <w:color w:val="auto"/>
        </w:rPr>
      </w:pPr>
    </w:p>
    <w:p>
      <w:pPr>
        <w:ind w:firstLine="546"/>
        <w:spacing w:after="0" w:line="25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Under the supervision of and with the participation of our principal executive officer and principal financial officer, our management assessed the effectiveness of our internal control over financial reporting as of December 31, 2020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2020.</w:t>
      </w:r>
    </w:p>
    <w:p>
      <w:pPr>
        <w:spacing w:after="0" w:line="70" w:lineRule="exact"/>
        <w:rPr>
          <w:sz w:val="20"/>
          <w:szCs w:val="20"/>
          <w:color w:val="auto"/>
        </w:rPr>
      </w:pPr>
    </w:p>
    <w:p>
      <w:pPr>
        <w:ind w:right="520" w:firstLine="546"/>
        <w:spacing w:after="0" w:line="283" w:lineRule="auto"/>
        <w:rPr>
          <w:sz w:val="20"/>
          <w:szCs w:val="20"/>
          <w:color w:val="auto"/>
        </w:rPr>
      </w:pPr>
      <w:r>
        <w:rPr>
          <w:rFonts w:ascii="Times New Roman" w:cs="Times New Roman" w:eastAsia="Times New Roman" w:hAnsi="Times New Roman"/>
          <w:sz w:val="17"/>
          <w:szCs w:val="17"/>
          <w:color w:val="auto"/>
        </w:rPr>
        <w:t>Our independent registered public accounting firm, PricewaterhouseCoopers LLP, has audited the effectiveness of our internal control over financial reporting as of December 31, 2020, as stated in their report included in Item 8 of this Annual Report on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the Effectiveness of Controls</w:t>
      </w:r>
    </w:p>
    <w:p>
      <w:pPr>
        <w:spacing w:after="0" w:line="115" w:lineRule="exact"/>
        <w:rPr>
          <w:sz w:val="20"/>
          <w:szCs w:val="20"/>
          <w:color w:val="auto"/>
        </w:rPr>
      </w:pPr>
    </w:p>
    <w:p>
      <w:pPr>
        <w:ind w:right="180" w:firstLine="546"/>
        <w:spacing w:after="0" w:line="267" w:lineRule="auto"/>
        <w:rPr>
          <w:sz w:val="20"/>
          <w:szCs w:val="20"/>
          <w:color w:val="auto"/>
        </w:rPr>
      </w:pPr>
      <w:r>
        <w:rPr>
          <w:rFonts w:ascii="Times New Roman" w:cs="Times New Roman" w:eastAsia="Times New Roman" w:hAnsi="Times New Roman"/>
          <w:sz w:val="17"/>
          <w:szCs w:val="17"/>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5" w:lineRule="exact"/>
        <w:rPr>
          <w:sz w:val="20"/>
          <w:szCs w:val="20"/>
          <w:color w:val="auto"/>
        </w:rPr>
      </w:pPr>
    </w:p>
    <w:p>
      <w:pPr>
        <w:ind w:right="320" w:firstLine="546"/>
        <w:spacing w:after="0" w:line="283"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during the quarter ended December 31, 2020, that has materially affected, or is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5" w:lineRule="exact"/>
        <w:rPr>
          <w:sz w:val="20"/>
          <w:szCs w:val="20"/>
          <w:color w:val="auto"/>
        </w:rPr>
      </w:pPr>
    </w:p>
    <w:p>
      <w:pPr>
        <w:ind w:right="20" w:firstLine="546"/>
        <w:spacing w:after="0" w:line="256" w:lineRule="auto"/>
        <w:rPr>
          <w:sz w:val="20"/>
          <w:szCs w:val="20"/>
          <w:color w:val="auto"/>
        </w:rPr>
      </w:pPr>
      <w:r>
        <w:rPr>
          <w:rFonts w:ascii="Times New Roman" w:cs="Times New Roman" w:eastAsia="Times New Roman" w:hAnsi="Times New Roman"/>
          <w:sz w:val="17"/>
          <w:szCs w:val="17"/>
          <w:color w:val="auto"/>
        </w:rPr>
        <w:t>We are currently party to an Investors’ Rights Agreement, dated September 8, 2015, as amended (the “Investors’ Rights Agreement”) which provides registration rights to entities affiliated with Felix Baker, a member of our board of directors, and Dr. Perlroth, our board chair and chief executive officer. The Investors’ Rights Agreement expires this year, and on March 1, 2021, we entered into a registration rights agreement (the “Registration Rights Agreement”) with 667, L.P., Baker Brothers Life Sciences, L.P. (collectively, the “Baker Entities”) and Victor Perlroth (together with the Baker Entities, the “Investors”) which is intended to supersede the expiring Investors’ Rights Agreement and pursuant to which the Investors are entitled to certain resale registration rights with respect to shares of common stock of the Company held by the Investors. The rights of the Investors under the Registration Rights Agreement will continue in effect for up to ten years.</w:t>
      </w:r>
    </w:p>
    <w:p>
      <w:pPr>
        <w:spacing w:after="0" w:line="74" w:lineRule="exact"/>
        <w:rPr>
          <w:sz w:val="20"/>
          <w:szCs w:val="20"/>
          <w:color w:val="auto"/>
        </w:rPr>
      </w:pPr>
    </w:p>
    <w:p>
      <w:pPr>
        <w:ind w:right="60" w:firstLine="546"/>
        <w:spacing w:after="0" w:line="283" w:lineRule="auto"/>
        <w:rPr>
          <w:sz w:val="20"/>
          <w:szCs w:val="20"/>
          <w:color w:val="auto"/>
        </w:rPr>
      </w:pPr>
      <w:r>
        <w:rPr>
          <w:rFonts w:ascii="Times New Roman" w:cs="Times New Roman" w:eastAsia="Times New Roman" w:hAnsi="Times New Roman"/>
          <w:sz w:val="17"/>
          <w:szCs w:val="17"/>
          <w:color w:val="auto"/>
        </w:rPr>
        <w:t>The foregoing is only a brief description of the terms of the Registration Rights Agreement and the transactions contemplated thereby, and is qualified in its entirety by reference to the Registration Rights Agreement that is filed as Exhibit 4.7.</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0" w:name="page151"/>
    <w:bookmarkEnd w:id="150"/>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15" w:lineRule="exact"/>
        <w:rPr>
          <w:sz w:val="20"/>
          <w:szCs w:val="20"/>
          <w:color w:val="auto"/>
        </w:rPr>
      </w:pPr>
    </w:p>
    <w:p>
      <w:pPr>
        <w:ind w:firstLine="546"/>
        <w:spacing w:after="0" w:line="267"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our definitive proxy statement to be filed with the SEC in connection with the Annual Meeting of Stockholders within 120 days after December 31, 2020, or the Proxy Statement, under the caption “Executive Officers” and “Board of Directors and Corporate Governance”, and is incorporated in this Annual Report on Form 10-K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5" w:lineRule="exact"/>
        <w:rPr>
          <w:sz w:val="20"/>
          <w:szCs w:val="20"/>
          <w:color w:val="auto"/>
        </w:rPr>
      </w:pPr>
    </w:p>
    <w:p>
      <w:pPr>
        <w:ind w:right="320" w:firstLine="546"/>
        <w:spacing w:after="0" w:line="283"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the Proxy Statement under the caption “Executive Compensation” and is incorporated in this Annual Report on Form 10-K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5" w:lineRule="exact"/>
        <w:rPr>
          <w:sz w:val="20"/>
          <w:szCs w:val="20"/>
          <w:color w:val="auto"/>
        </w:rPr>
      </w:pPr>
    </w:p>
    <w:p>
      <w:pPr>
        <w:ind w:right="220" w:firstLine="546"/>
        <w:spacing w:after="0" w:line="283"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the Proxy Statement under the caption “Security Ownership of Certain Beneficial Owners and Management” and is incorporated in this Annual Report on Form 10-K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PARTY TRANSACTIONS, AND DIRECTOR INDEPENDENCE</w:t>
      </w:r>
    </w:p>
    <w:p>
      <w:pPr>
        <w:spacing w:after="0" w:line="115" w:lineRule="exact"/>
        <w:rPr>
          <w:sz w:val="20"/>
          <w:szCs w:val="20"/>
          <w:color w:val="auto"/>
        </w:rPr>
      </w:pPr>
    </w:p>
    <w:p>
      <w:pPr>
        <w:ind w:right="80" w:firstLine="546"/>
        <w:spacing w:after="0" w:line="283"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the Proxy Statement under the caption “Related Person Transactions” and is incorporated in this Annual Report on Form 10-K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15" w:lineRule="exact"/>
        <w:rPr>
          <w:sz w:val="20"/>
          <w:szCs w:val="20"/>
          <w:color w:val="auto"/>
        </w:rPr>
      </w:pPr>
    </w:p>
    <w:p>
      <w:pPr>
        <w:ind w:right="140" w:firstLine="546"/>
        <w:spacing w:after="0" w:line="283"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51" w:name="page152"/>
    <w:bookmarkEnd w:id="15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15" w:lineRule="exact"/>
        <w:rPr>
          <w:sz w:val="20"/>
          <w:szCs w:val="20"/>
          <w:color w:val="auto"/>
        </w:rPr>
      </w:pPr>
    </w:p>
    <w:p>
      <w:pPr>
        <w:ind w:left="780" w:hanging="231"/>
        <w:spacing w:after="0"/>
        <w:tabs>
          <w:tab w:leader="none" w:pos="7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11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FINANCIAL STATEMENTS</w:t>
      </w:r>
    </w:p>
    <w:p>
      <w:pPr>
        <w:spacing w:after="0" w:line="11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are filed as part of this report under Item 8.</w:t>
      </w:r>
    </w:p>
    <w:p>
      <w:pPr>
        <w:spacing w:after="0" w:line="11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FINANCIAL STATEMENT SCHEDULES</w:t>
      </w:r>
    </w:p>
    <w:p>
      <w:pPr>
        <w:spacing w:after="0" w:line="111" w:lineRule="exact"/>
        <w:rPr>
          <w:sz w:val="20"/>
          <w:szCs w:val="20"/>
          <w:color w:val="auto"/>
        </w:rPr>
      </w:pPr>
    </w:p>
    <w:p>
      <w:pPr>
        <w:ind w:firstLine="546"/>
        <w:spacing w:after="0" w:line="283" w:lineRule="auto"/>
        <w:rPr>
          <w:sz w:val="20"/>
          <w:szCs w:val="20"/>
          <w:color w:val="auto"/>
        </w:rPr>
      </w:pPr>
      <w:r>
        <w:rPr>
          <w:rFonts w:ascii="Times New Roman" w:cs="Times New Roman" w:eastAsia="Times New Roman" w:hAnsi="Times New Roman"/>
          <w:sz w:val="17"/>
          <w:szCs w:val="17"/>
          <w:color w:val="auto"/>
        </w:rPr>
        <w:t>All schedules to the consolidated financial statements are omitted as the required information is either inapplicable or presented in the consolidated financial statements.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 EXHIBITS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1240"/>
          </w:cols>
          <w:pgMar w:left="320" w:top="324" w:right="339" w:bottom="1440" w:gutter="0" w:footer="0" w:header="0"/>
        </w:sect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40" w:type="dxa"/>
            <w:vAlign w:val="bottom"/>
            <w:gridSpan w:val="8"/>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Amended and Restated Certificate of Incorporation of Kodiak</w:t>
              </w:r>
            </w:hyperlink>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20" w:type="dxa"/>
            <w:vAlign w:val="bottom"/>
            <w:tcBorders>
              <w:top w:val="single" w:sz="8" w:color="0000EE"/>
            </w:tcBorders>
            <w:gridSpan w:val="9"/>
          </w:tcPr>
          <w:p>
            <w:pPr>
              <w:spacing w:after="0" w:line="185"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Sciences Inc.</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28">
              <w:r>
                <w:rPr>
                  <w:rFonts w:ascii="Times New Roman" w:cs="Times New Roman" w:eastAsia="Times New Roman" w:hAnsi="Times New Roman"/>
                  <w:sz w:val="17"/>
                  <w:szCs w:val="17"/>
                  <w:u w:val="single" w:color="auto"/>
                  <w:color w:val="0000EE"/>
                </w:rPr>
                <w:t>Amended and Restated Bylaws of Kodiak Sciences Inc.</w:t>
              </w:r>
            </w:hyperlink>
          </w:p>
        </w:tc>
        <w:tc>
          <w:tcPr>
            <w:tcW w:w="0" w:type="dxa"/>
            <w:vAlign w:val="bottom"/>
          </w:tcPr>
          <w:p>
            <w:pPr>
              <w:spacing w:after="0"/>
              <w:rPr>
                <w:sz w:val="1"/>
                <w:szCs w:val="1"/>
                <w:color w:val="auto"/>
              </w:rPr>
            </w:pPr>
          </w:p>
        </w:tc>
      </w:tr>
      <w:tr>
        <w:trPr>
          <w:trHeight w:val="345"/>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29">
              <w:r>
                <w:rPr>
                  <w:rFonts w:ascii="Times New Roman" w:cs="Times New Roman" w:eastAsia="Times New Roman" w:hAnsi="Times New Roman"/>
                  <w:sz w:val="17"/>
                  <w:szCs w:val="17"/>
                  <w:u w:val="single" w:color="auto"/>
                  <w:color w:val="0000EE"/>
                </w:rPr>
                <w:t>Form of Common Stock Certificate</w:t>
              </w:r>
            </w:hyperlink>
          </w:p>
        </w:tc>
        <w:tc>
          <w:tcPr>
            <w:tcW w:w="0" w:type="dxa"/>
            <w:vAlign w:val="bottom"/>
          </w:tcPr>
          <w:p>
            <w:pPr>
              <w:spacing w:after="0"/>
              <w:rPr>
                <w:sz w:val="1"/>
                <w:szCs w:val="1"/>
                <w:color w:val="auto"/>
              </w:rPr>
            </w:pPr>
          </w:p>
        </w:tc>
      </w:tr>
      <w:tr>
        <w:trPr>
          <w:trHeight w:val="306"/>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24"/>
                <w:szCs w:val="24"/>
                <w:color w:val="auto"/>
              </w:rPr>
            </w:pPr>
          </w:p>
        </w:tc>
        <w:tc>
          <w:tcPr>
            <w:tcW w:w="39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9"/>
              </w:rPr>
            </w:pPr>
            <w:hyperlink r:id="rId230">
              <w:r>
                <w:rPr>
                  <w:rFonts w:ascii="Times New Roman" w:cs="Times New Roman" w:eastAsia="Times New Roman" w:hAnsi="Times New Roman"/>
                  <w:sz w:val="17"/>
                  <w:szCs w:val="17"/>
                  <w:color w:val="0000EE"/>
                  <w:w w:val="99"/>
                </w:rPr>
                <w:t>Investors’ Rights Agreement, dated September 8, 2015, as</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60" w:type="dxa"/>
            <w:vAlign w:val="bottom"/>
            <w:gridSpan w:val="10"/>
          </w:tcPr>
          <w:p>
            <w:pPr>
              <w:spacing w:after="0" w:line="185"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amended, by and among the registrant and the investors and</w:t>
              </w:r>
            </w:hyperlink>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85" w:lineRule="exact"/>
              <w:rPr>
                <w:rFonts w:ascii="Times New Roman" w:cs="Times New Roman" w:eastAsia="Times New Roman" w:hAnsi="Times New Roman"/>
                <w:sz w:val="17"/>
                <w:szCs w:val="17"/>
                <w:color w:val="0000EE"/>
                <w:w w:val="99"/>
              </w:rPr>
            </w:pPr>
            <w:hyperlink r:id="rId230">
              <w:r>
                <w:rPr>
                  <w:rFonts w:ascii="Times New Roman" w:cs="Times New Roman" w:eastAsia="Times New Roman" w:hAnsi="Times New Roman"/>
                  <w:sz w:val="17"/>
                  <w:szCs w:val="17"/>
                  <w:color w:val="0000EE"/>
                  <w:w w:val="99"/>
                </w:rPr>
                <w:t>founders named therein</w:t>
              </w:r>
            </w:hyperlink>
          </w:p>
        </w:tc>
        <w:tc>
          <w:tcPr>
            <w:tcW w:w="2460" w:type="dxa"/>
            <w:vAlign w:val="bottom"/>
            <w:tcBorders>
              <w:top w:val="single" w:sz="8" w:color="0000EE"/>
            </w:tcBorders>
            <w:gridSpan w:val="5"/>
          </w:tcPr>
          <w:p>
            <w:pPr>
              <w:spacing w:after="0"/>
              <w:rPr>
                <w:sz w:val="16"/>
                <w:szCs w:val="16"/>
                <w:color w:val="auto"/>
              </w:rPr>
            </w:pPr>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4.5</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1">
              <w:r>
                <w:rPr>
                  <w:rFonts w:ascii="Times New Roman" w:cs="Times New Roman" w:eastAsia="Times New Roman" w:hAnsi="Times New Roman"/>
                  <w:sz w:val="17"/>
                  <w:szCs w:val="17"/>
                  <w:u w:val="single" w:color="auto"/>
                  <w:color w:val="0000EE"/>
                </w:rPr>
                <w:t>Form of Class B Share Warrant</w:t>
              </w:r>
            </w:hyperlink>
          </w:p>
        </w:tc>
        <w:tc>
          <w:tcPr>
            <w:tcW w:w="0" w:type="dxa"/>
            <w:vAlign w:val="bottom"/>
          </w:tcPr>
          <w:p>
            <w:pPr>
              <w:spacing w:after="0"/>
              <w:rPr>
                <w:sz w:val="1"/>
                <w:szCs w:val="1"/>
                <w:color w:val="auto"/>
              </w:rPr>
            </w:pPr>
          </w:p>
        </w:tc>
      </w:tr>
      <w:tr>
        <w:trPr>
          <w:trHeight w:val="345"/>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2">
              <w:r>
                <w:rPr>
                  <w:rFonts w:ascii="Times New Roman" w:cs="Times New Roman" w:eastAsia="Times New Roman" w:hAnsi="Times New Roman"/>
                  <w:sz w:val="17"/>
                  <w:szCs w:val="17"/>
                  <w:u w:val="single" w:color="auto"/>
                  <w:color w:val="0000EE"/>
                </w:rPr>
                <w:t>Description of Securities</w:t>
              </w:r>
            </w:hyperlink>
          </w:p>
        </w:tc>
        <w:tc>
          <w:tcPr>
            <w:tcW w:w="0" w:type="dxa"/>
            <w:vAlign w:val="bottom"/>
          </w:tcPr>
          <w:p>
            <w:pPr>
              <w:spacing w:after="0"/>
              <w:rPr>
                <w:sz w:val="1"/>
                <w:szCs w:val="1"/>
                <w:color w:val="auto"/>
              </w:rPr>
            </w:pPr>
          </w:p>
        </w:tc>
      </w:tr>
      <w:tr>
        <w:trPr>
          <w:trHeight w:val="306"/>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24"/>
                <w:szCs w:val="24"/>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Registration Rights Agreement, dated March 1, 2021, by and</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20" w:type="dxa"/>
            <w:vAlign w:val="bottom"/>
            <w:tcBorders>
              <w:top w:val="single" w:sz="8" w:color="0000EE"/>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w w:val="99"/>
              </w:rPr>
              <w:t>among the registrant and the investors named therein</w:t>
            </w:r>
          </w:p>
        </w:tc>
        <w:tc>
          <w:tcPr>
            <w:tcW w:w="540" w:type="dxa"/>
            <w:vAlign w:val="bottom"/>
            <w:tcBorders>
              <w:top w:val="single" w:sz="8" w:color="0000EE"/>
            </w:tcBorders>
            <w:gridSpan w:val="5"/>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3">
              <w:r>
                <w:rPr>
                  <w:rFonts w:ascii="Times New Roman" w:cs="Times New Roman" w:eastAsia="Times New Roman" w:hAnsi="Times New Roman"/>
                  <w:sz w:val="17"/>
                  <w:szCs w:val="17"/>
                  <w:u w:val="single" w:color="auto"/>
                  <w:color w:val="0000EE"/>
                </w:rPr>
                <w:t>Form of Director and Officer Indemnification Agreement</w:t>
              </w:r>
            </w:hyperlink>
          </w:p>
        </w:tc>
        <w:tc>
          <w:tcPr>
            <w:tcW w:w="0" w:type="dxa"/>
            <w:vAlign w:val="bottom"/>
          </w:tcPr>
          <w:p>
            <w:pPr>
              <w:spacing w:after="0"/>
              <w:rPr>
                <w:sz w:val="1"/>
                <w:szCs w:val="1"/>
                <w:color w:val="auto"/>
              </w:rPr>
            </w:pPr>
          </w:p>
        </w:tc>
      </w:tr>
      <w:tr>
        <w:trPr>
          <w:trHeight w:val="345"/>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10.2+</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4">
              <w:r>
                <w:rPr>
                  <w:rFonts w:ascii="Times New Roman" w:cs="Times New Roman" w:eastAsia="Times New Roman" w:hAnsi="Times New Roman"/>
                  <w:sz w:val="17"/>
                  <w:szCs w:val="17"/>
                  <w:u w:val="single" w:color="auto"/>
                  <w:color w:val="0000EE"/>
                </w:rPr>
                <w:t>2009 Options and Profits Interest Plan</w:t>
              </w:r>
            </w:hyperlink>
          </w:p>
        </w:tc>
        <w:tc>
          <w:tcPr>
            <w:tcW w:w="0" w:type="dxa"/>
            <w:vAlign w:val="bottom"/>
          </w:tcPr>
          <w:p>
            <w:pPr>
              <w:spacing w:after="0"/>
              <w:rPr>
                <w:sz w:val="1"/>
                <w:szCs w:val="1"/>
                <w:color w:val="auto"/>
              </w:rPr>
            </w:pPr>
          </w:p>
        </w:tc>
      </w:tr>
      <w:tr>
        <w:trPr>
          <w:trHeight w:val="345"/>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10.3+</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5">
              <w:r>
                <w:rPr>
                  <w:rFonts w:ascii="Times New Roman" w:cs="Times New Roman" w:eastAsia="Times New Roman" w:hAnsi="Times New Roman"/>
                  <w:sz w:val="17"/>
                  <w:szCs w:val="17"/>
                  <w:u w:val="single" w:color="auto"/>
                  <w:color w:val="0000EE"/>
                </w:rPr>
                <w:t>2015 Share Incentive Plan</w:t>
              </w:r>
            </w:hyperlink>
          </w:p>
        </w:tc>
        <w:tc>
          <w:tcPr>
            <w:tcW w:w="0" w:type="dxa"/>
            <w:vAlign w:val="bottom"/>
          </w:tcPr>
          <w:p>
            <w:pPr>
              <w:spacing w:after="0"/>
              <w:rPr>
                <w:sz w:val="1"/>
                <w:szCs w:val="1"/>
                <w:color w:val="auto"/>
              </w:rPr>
            </w:pPr>
          </w:p>
        </w:tc>
      </w:tr>
      <w:tr>
        <w:trPr>
          <w:trHeight w:val="306"/>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Form of Notice of Stock Option Grant and Stock Option</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6">
              <w:r>
                <w:rPr>
                  <w:rFonts w:ascii="Times New Roman" w:cs="Times New Roman" w:eastAsia="Times New Roman" w:hAnsi="Times New Roman"/>
                  <w:sz w:val="17"/>
                  <w:szCs w:val="17"/>
                  <w:u w:val="single" w:color="auto"/>
                  <w:color w:val="0000EE"/>
                </w:rPr>
                <w:t>Agreement under the 2009 Option and Profits Interest Plan</w:t>
              </w:r>
            </w:hyperlink>
          </w:p>
        </w:tc>
        <w:tc>
          <w:tcPr>
            <w:tcW w:w="0" w:type="dxa"/>
            <w:vAlign w:val="bottom"/>
          </w:tcPr>
          <w:p>
            <w:pPr>
              <w:spacing w:after="0"/>
              <w:rPr>
                <w:sz w:val="1"/>
                <w:szCs w:val="1"/>
                <w:color w:val="auto"/>
              </w:rPr>
            </w:pPr>
          </w:p>
        </w:tc>
      </w:tr>
      <w:tr>
        <w:trPr>
          <w:trHeight w:val="306"/>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Form of Notice of Stock Option Grant and Stock Option</w:t>
              </w:r>
            </w:hyperlink>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40" w:type="dxa"/>
            <w:vAlign w:val="bottom"/>
            <w:tcBorders>
              <w:top w:val="single" w:sz="8" w:color="0000EE"/>
            </w:tcBorders>
            <w:gridSpan w:val="4"/>
          </w:tcPr>
          <w:p>
            <w:pPr>
              <w:spacing w:after="0"/>
              <w:rPr>
                <w:rFonts w:ascii="Times New Roman" w:cs="Times New Roman" w:eastAsia="Times New Roman" w:hAnsi="Times New Roman"/>
                <w:sz w:val="17"/>
                <w:szCs w:val="17"/>
                <w:u w:val="single" w:color="auto"/>
                <w:color w:val="0000EE"/>
              </w:rPr>
            </w:pPr>
            <w:hyperlink r:id="rId237">
              <w:r>
                <w:rPr>
                  <w:rFonts w:ascii="Times New Roman" w:cs="Times New Roman" w:eastAsia="Times New Roman" w:hAnsi="Times New Roman"/>
                  <w:sz w:val="17"/>
                  <w:szCs w:val="17"/>
                  <w:u w:val="single" w:color="auto"/>
                  <w:color w:val="0000EE"/>
                </w:rPr>
                <w:t>Agreement under the 2015 Share Incentive Plan</w:t>
              </w:r>
            </w:hyperlink>
          </w:p>
        </w:tc>
        <w:tc>
          <w:tcPr>
            <w:tcW w:w="4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10.6+</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38">
              <w:r>
                <w:rPr>
                  <w:rFonts w:ascii="Times New Roman" w:cs="Times New Roman" w:eastAsia="Times New Roman" w:hAnsi="Times New Roman"/>
                  <w:sz w:val="17"/>
                  <w:szCs w:val="17"/>
                  <w:u w:val="single" w:color="auto"/>
                  <w:color w:val="0000EE"/>
                </w:rPr>
                <w:t>2018 Equity Incentive Plan</w:t>
              </w:r>
            </w:hyperlink>
          </w:p>
        </w:tc>
        <w:tc>
          <w:tcPr>
            <w:tcW w:w="0" w:type="dxa"/>
            <w:vAlign w:val="bottom"/>
          </w:tcPr>
          <w:p>
            <w:pPr>
              <w:spacing w:after="0"/>
              <w:rPr>
                <w:sz w:val="1"/>
                <w:szCs w:val="1"/>
                <w:color w:val="auto"/>
              </w:rPr>
            </w:pPr>
          </w:p>
        </w:tc>
      </w:tr>
      <w:tr>
        <w:trPr>
          <w:trHeight w:val="306"/>
        </w:trPr>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tcPr>
          <w:p>
            <w:pPr>
              <w:spacing w:after="0"/>
              <w:rPr>
                <w:sz w:val="24"/>
                <w:szCs w:val="24"/>
                <w:color w:val="auto"/>
              </w:rPr>
            </w:pPr>
          </w:p>
        </w:tc>
        <w:tc>
          <w:tcPr>
            <w:tcW w:w="4260" w:type="dxa"/>
            <w:vAlign w:val="bottom"/>
            <w:gridSpan w:val="10"/>
          </w:tcPr>
          <w:p>
            <w:pPr>
              <w:spacing w:after="0"/>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Form of Notice of Stock Option Grant and Stock Option</w:t>
              </w:r>
            </w:hyperlink>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40" w:type="dxa"/>
            <w:vAlign w:val="bottom"/>
            <w:tcBorders>
              <w:top w:val="single" w:sz="8" w:color="0000EE"/>
            </w:tcBorders>
            <w:gridSpan w:val="4"/>
          </w:tcPr>
          <w:p>
            <w:pPr>
              <w:spacing w:after="0"/>
              <w:rPr>
                <w:rFonts w:ascii="Times New Roman" w:cs="Times New Roman" w:eastAsia="Times New Roman" w:hAnsi="Times New Roman"/>
                <w:sz w:val="17"/>
                <w:szCs w:val="17"/>
                <w:u w:val="single" w:color="auto"/>
                <w:color w:val="0000EE"/>
              </w:rPr>
            </w:pPr>
            <w:hyperlink r:id="rId239">
              <w:r>
                <w:rPr>
                  <w:rFonts w:ascii="Times New Roman" w:cs="Times New Roman" w:eastAsia="Times New Roman" w:hAnsi="Times New Roman"/>
                  <w:sz w:val="17"/>
                  <w:szCs w:val="17"/>
                  <w:u w:val="single" w:color="auto"/>
                  <w:color w:val="0000EE"/>
                </w:rPr>
                <w:t>Agreement under the 2018 Equity Incentive Plan</w:t>
              </w:r>
            </w:hyperlink>
          </w:p>
        </w:tc>
        <w:tc>
          <w:tcPr>
            <w:tcW w:w="4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36182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4"/>
                <w:szCs w:val="14"/>
                <w:color w:val="auto"/>
              </w:rPr>
            </w:pPr>
          </w:p>
        </w:tc>
        <w:tc>
          <w:tcPr>
            <w:tcW w:w="17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6"/>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001-38682</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11/16/2018</w:t>
            </w:r>
          </w:p>
        </w:tc>
      </w:tr>
      <w:tr>
        <w:trPr>
          <w:trHeight w:val="549"/>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001-38682</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11/16/2018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9/24/2018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9/24/2018</w:t>
            </w:r>
          </w:p>
        </w:tc>
      </w:tr>
      <w:tr>
        <w:trPr>
          <w:trHeight w:val="75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10-K</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001-38682</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3/16/2020</w:t>
            </w:r>
          </w:p>
        </w:tc>
      </w:tr>
      <w:tr>
        <w:trPr>
          <w:trHeight w:val="89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9/24/2018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9/7/2018</w:t>
            </w:r>
          </w:p>
        </w:tc>
      </w:tr>
      <w:tr>
        <w:trPr>
          <w:trHeight w:val="549"/>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9/7/2018</w:t>
            </w:r>
          </w:p>
        </w:tc>
      </w:tr>
      <w:tr>
        <w:trPr>
          <w:trHeight w:val="549"/>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9/24/2018</w:t>
            </w:r>
          </w:p>
        </w:tc>
      </w:tr>
      <w:tr>
        <w:trPr>
          <w:trHeight w:val="345"/>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333-227237</w:t>
            </w:r>
          </w:p>
        </w:tc>
        <w:tc>
          <w:tcPr>
            <w:tcW w:w="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9/24/2018</w:t>
            </w:r>
          </w:p>
        </w:tc>
      </w:tr>
    </w:tbl>
    <w:p>
      <w:pPr>
        <w:spacing w:after="0" w:line="327" w:lineRule="exact"/>
        <w:rPr>
          <w:sz w:val="20"/>
          <w:szCs w:val="20"/>
          <w:color w:val="auto"/>
        </w:rPr>
      </w:pPr>
    </w:p>
    <w:p>
      <w:pPr>
        <w:sectPr>
          <w:pgSz w:w="11900" w:h="16838" w:orient="portrait"/>
          <w:cols w:equalWidth="0" w:num="2">
            <w:col w:w="5460" w:space="80"/>
            <w:col w:w="570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10.8+</w:t>
            </w:r>
          </w:p>
        </w:tc>
        <w:tc>
          <w:tcPr>
            <w:tcW w:w="42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w w:val="99"/>
              </w:rPr>
            </w:pPr>
            <w:hyperlink r:id="rId241">
              <w:r>
                <w:rPr>
                  <w:rFonts w:ascii="Times New Roman" w:cs="Times New Roman" w:eastAsia="Times New Roman" w:hAnsi="Times New Roman"/>
                  <w:sz w:val="17"/>
                  <w:szCs w:val="17"/>
                  <w:color w:val="0000EE"/>
                  <w:w w:val="99"/>
                </w:rPr>
                <w:t>Form of Notice of Restricted Stock Unit Grant and Terms and</w:t>
              </w:r>
            </w:hyperlink>
          </w:p>
        </w:tc>
        <w:tc>
          <w:tcPr>
            <w:tcW w:w="4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10.8</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184"/>
        </w:trPr>
        <w:tc>
          <w:tcPr>
            <w:tcW w:w="1200" w:type="dxa"/>
            <w:vAlign w:val="bottom"/>
          </w:tcPr>
          <w:p>
            <w:pPr>
              <w:spacing w:after="0"/>
              <w:rPr>
                <w:sz w:val="16"/>
                <w:szCs w:val="16"/>
                <w:color w:val="auto"/>
              </w:rPr>
            </w:pPr>
          </w:p>
        </w:tc>
        <w:tc>
          <w:tcPr>
            <w:tcW w:w="3940" w:type="dxa"/>
            <w:vAlign w:val="bottom"/>
            <w:tcBorders>
              <w:bottom w:val="single" w:sz="8" w:color="0000EE"/>
            </w:tcBorders>
            <w:gridSpan w:val="6"/>
          </w:tcPr>
          <w:p>
            <w:pPr>
              <w:spacing w:after="0" w:line="185" w:lineRule="exact"/>
              <w:rPr>
                <w:rFonts w:ascii="Times New Roman" w:cs="Times New Roman" w:eastAsia="Times New Roman" w:hAnsi="Times New Roman"/>
                <w:sz w:val="17"/>
                <w:szCs w:val="17"/>
                <w:color w:val="0000EE"/>
                <w:w w:val="99"/>
              </w:rPr>
            </w:pPr>
            <w:hyperlink r:id="rId241">
              <w:r>
                <w:rPr>
                  <w:rFonts w:ascii="Times New Roman" w:cs="Times New Roman" w:eastAsia="Times New Roman" w:hAnsi="Times New Roman"/>
                  <w:sz w:val="17"/>
                  <w:szCs w:val="17"/>
                  <w:color w:val="0000EE"/>
                  <w:w w:val="99"/>
                </w:rPr>
                <w:t>Conditions of Restricted Stock Unit Grant under the 2018</w:t>
              </w:r>
            </w:hyperlink>
          </w:p>
        </w:tc>
        <w:tc>
          <w:tcPr>
            <w:tcW w:w="320" w:type="dxa"/>
            <w:vAlign w:val="bottom"/>
            <w:gridSpan w:val="4"/>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4"/>
        </w:trPr>
        <w:tc>
          <w:tcPr>
            <w:tcW w:w="1200" w:type="dxa"/>
            <w:vAlign w:val="bottom"/>
          </w:tcPr>
          <w:p>
            <w:pPr>
              <w:spacing w:after="0"/>
              <w:rPr>
                <w:sz w:val="16"/>
                <w:szCs w:val="16"/>
                <w:color w:val="auto"/>
              </w:rPr>
            </w:pPr>
          </w:p>
        </w:tc>
        <w:tc>
          <w:tcPr>
            <w:tcW w:w="1480" w:type="dxa"/>
            <w:vAlign w:val="bottom"/>
            <w:tcBorders>
              <w:bottom w:val="single" w:sz="8" w:color="0000EE"/>
            </w:tcBorders>
            <w:gridSpan w:val="3"/>
          </w:tcPr>
          <w:p>
            <w:pPr>
              <w:spacing w:after="0" w:line="185" w:lineRule="exact"/>
              <w:rPr>
                <w:rFonts w:ascii="Times New Roman" w:cs="Times New Roman" w:eastAsia="Times New Roman" w:hAnsi="Times New Roman"/>
                <w:sz w:val="17"/>
                <w:szCs w:val="17"/>
                <w:color w:val="0000EE"/>
                <w:w w:val="99"/>
              </w:rPr>
            </w:pPr>
            <w:hyperlink r:id="rId241">
              <w:r>
                <w:rPr>
                  <w:rFonts w:ascii="Times New Roman" w:cs="Times New Roman" w:eastAsia="Times New Roman" w:hAnsi="Times New Roman"/>
                  <w:sz w:val="17"/>
                  <w:szCs w:val="17"/>
                  <w:color w:val="0000EE"/>
                  <w:w w:val="99"/>
                </w:rPr>
                <w:t>Equity Incentive Plan</w:t>
              </w:r>
            </w:hyperlink>
          </w:p>
        </w:tc>
        <w:tc>
          <w:tcPr>
            <w:tcW w:w="2780" w:type="dxa"/>
            <w:vAlign w:val="bottom"/>
            <w:gridSpan w:val="7"/>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64"/>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10.9+</w:t>
            </w:r>
          </w:p>
        </w:tc>
        <w:tc>
          <w:tcPr>
            <w:tcW w:w="4260" w:type="dxa"/>
            <w:vAlign w:val="bottom"/>
            <w:gridSpan w:val="10"/>
          </w:tcPr>
          <w:p>
            <w:pPr>
              <w:spacing w:after="0"/>
              <w:rPr>
                <w:rFonts w:ascii="Times New Roman" w:cs="Times New Roman" w:eastAsia="Times New Roman" w:hAnsi="Times New Roman"/>
                <w:sz w:val="17"/>
                <w:szCs w:val="17"/>
                <w:u w:val="single" w:color="auto"/>
                <w:color w:val="0000EE"/>
              </w:rPr>
            </w:pPr>
            <w:hyperlink r:id="rId242">
              <w:r>
                <w:rPr>
                  <w:rFonts w:ascii="Times New Roman" w:cs="Times New Roman" w:eastAsia="Times New Roman" w:hAnsi="Times New Roman"/>
                  <w:sz w:val="17"/>
                  <w:szCs w:val="17"/>
                  <w:u w:val="single" w:color="auto"/>
                  <w:color w:val="0000EE"/>
                </w:rPr>
                <w:t>2018 Employee Stock Purchase Plan</w:t>
              </w:r>
            </w:hyperlink>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10.9</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306"/>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10.10+</w:t>
            </w:r>
          </w:p>
        </w:tc>
        <w:tc>
          <w:tcPr>
            <w:tcW w:w="406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9"/>
              </w:rPr>
            </w:pPr>
            <w:hyperlink r:id="rId243">
              <w:r>
                <w:rPr>
                  <w:rFonts w:ascii="Times New Roman" w:cs="Times New Roman" w:eastAsia="Times New Roman" w:hAnsi="Times New Roman"/>
                  <w:sz w:val="17"/>
                  <w:szCs w:val="17"/>
                  <w:color w:val="0000EE"/>
                  <w:w w:val="99"/>
                </w:rPr>
                <w:t>Form of Subscription Agreement under the 2018 Employee</w:t>
              </w:r>
            </w:hyperlink>
          </w:p>
        </w:tc>
        <w:tc>
          <w:tcPr>
            <w:tcW w:w="200" w:type="dxa"/>
            <w:vAlign w:val="bottom"/>
            <w:gridSpan w:val="3"/>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10.10</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184"/>
        </w:trPr>
        <w:tc>
          <w:tcPr>
            <w:tcW w:w="1200" w:type="dxa"/>
            <w:vAlign w:val="bottom"/>
          </w:tcPr>
          <w:p>
            <w:pPr>
              <w:spacing w:after="0"/>
              <w:rPr>
                <w:sz w:val="16"/>
                <w:szCs w:val="16"/>
                <w:color w:val="auto"/>
              </w:rPr>
            </w:pPr>
          </w:p>
        </w:tc>
        <w:tc>
          <w:tcPr>
            <w:tcW w:w="1400" w:type="dxa"/>
            <w:vAlign w:val="bottom"/>
            <w:tcBorders>
              <w:bottom w:val="single" w:sz="8" w:color="0000EE"/>
            </w:tcBorders>
            <w:gridSpan w:val="2"/>
          </w:tcPr>
          <w:p>
            <w:pPr>
              <w:spacing w:after="0" w:line="185" w:lineRule="exact"/>
              <w:rPr>
                <w:rFonts w:ascii="Times New Roman" w:cs="Times New Roman" w:eastAsia="Times New Roman" w:hAnsi="Times New Roman"/>
                <w:sz w:val="17"/>
                <w:szCs w:val="17"/>
                <w:color w:val="0000EE"/>
                <w:w w:val="99"/>
              </w:rPr>
            </w:pPr>
            <w:hyperlink r:id="rId243">
              <w:r>
                <w:rPr>
                  <w:rFonts w:ascii="Times New Roman" w:cs="Times New Roman" w:eastAsia="Times New Roman" w:hAnsi="Times New Roman"/>
                  <w:sz w:val="17"/>
                  <w:szCs w:val="17"/>
                  <w:color w:val="0000EE"/>
                  <w:w w:val="99"/>
                </w:rPr>
                <w:t>Stock Purchase Plan</w:t>
              </w:r>
            </w:hyperlink>
          </w:p>
        </w:tc>
        <w:tc>
          <w:tcPr>
            <w:tcW w:w="2860" w:type="dxa"/>
            <w:vAlign w:val="bottom"/>
            <w:gridSpan w:val="8"/>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25"/>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10.11+</w:t>
            </w:r>
          </w:p>
        </w:tc>
        <w:tc>
          <w:tcPr>
            <w:tcW w:w="4260" w:type="dxa"/>
            <w:vAlign w:val="bottom"/>
            <w:gridSpan w:val="10"/>
          </w:tcPr>
          <w:p>
            <w:pPr>
              <w:spacing w:after="0"/>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Executive Employment Agreement, effective as of September</w:t>
              </w:r>
            </w:hyperlink>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10.11</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224"/>
        </w:trPr>
        <w:tc>
          <w:tcPr>
            <w:tcW w:w="1200" w:type="dxa"/>
            <w:vAlign w:val="bottom"/>
          </w:tcPr>
          <w:p>
            <w:pPr>
              <w:spacing w:after="0"/>
              <w:rPr>
                <w:sz w:val="19"/>
                <w:szCs w:val="19"/>
                <w:color w:val="auto"/>
              </w:rPr>
            </w:pPr>
          </w:p>
        </w:tc>
        <w:tc>
          <w:tcPr>
            <w:tcW w:w="4220" w:type="dxa"/>
            <w:vAlign w:val="bottom"/>
            <w:tcBorders>
              <w:top w:val="single" w:sz="8" w:color="0000EE"/>
            </w:tcBorders>
            <w:gridSpan w:val="9"/>
          </w:tcPr>
          <w:p>
            <w:pPr>
              <w:spacing w:after="0"/>
              <w:rPr>
                <w:rFonts w:ascii="Times New Roman" w:cs="Times New Roman" w:eastAsia="Times New Roman" w:hAnsi="Times New Roman"/>
                <w:sz w:val="17"/>
                <w:szCs w:val="17"/>
                <w:u w:val="single" w:color="auto"/>
                <w:color w:val="0000EE"/>
              </w:rPr>
            </w:pPr>
            <w:hyperlink r:id="rId244">
              <w:r>
                <w:rPr>
                  <w:rFonts w:ascii="Times New Roman" w:cs="Times New Roman" w:eastAsia="Times New Roman" w:hAnsi="Times New Roman"/>
                  <w:sz w:val="17"/>
                  <w:szCs w:val="17"/>
                  <w:u w:val="single" w:color="auto"/>
                  <w:color w:val="0000EE"/>
                </w:rPr>
                <w:t>6, 2018, between the Registrant and Victor Perlroth</w:t>
              </w:r>
            </w:hyperlink>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06"/>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10.12+</w:t>
            </w:r>
          </w:p>
        </w:tc>
        <w:tc>
          <w:tcPr>
            <w:tcW w:w="41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r:id="rId245">
              <w:r>
                <w:rPr>
                  <w:rFonts w:ascii="Times New Roman" w:cs="Times New Roman" w:eastAsia="Times New Roman" w:hAnsi="Times New Roman"/>
                  <w:sz w:val="17"/>
                  <w:szCs w:val="17"/>
                  <w:color w:val="0000EE"/>
                  <w:w w:val="99"/>
                </w:rPr>
                <w:t>Amended Executive Employment Agreement, effective as of</w:t>
              </w:r>
            </w:hyperlink>
          </w:p>
        </w:tc>
        <w:tc>
          <w:tcPr>
            <w:tcW w:w="100" w:type="dxa"/>
            <w:vAlign w:val="bottom"/>
            <w:gridSpan w:val="2"/>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10.12</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184"/>
        </w:trPr>
        <w:tc>
          <w:tcPr>
            <w:tcW w:w="1200" w:type="dxa"/>
            <w:vAlign w:val="bottom"/>
          </w:tcPr>
          <w:p>
            <w:pPr>
              <w:spacing w:after="0"/>
              <w:rPr>
                <w:sz w:val="16"/>
                <w:szCs w:val="16"/>
                <w:color w:val="auto"/>
              </w:rPr>
            </w:pPr>
          </w:p>
        </w:tc>
        <w:tc>
          <w:tcPr>
            <w:tcW w:w="4260" w:type="dxa"/>
            <w:vAlign w:val="bottom"/>
            <w:gridSpan w:val="10"/>
          </w:tcPr>
          <w:p>
            <w:pPr>
              <w:spacing w:after="0" w:line="185"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September 6, 2018, between the Registrant and John</w:t>
              </w:r>
            </w:hyperlink>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4"/>
        </w:trPr>
        <w:tc>
          <w:tcPr>
            <w:tcW w:w="120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85" w:lineRule="exact"/>
              <w:rPr>
                <w:rFonts w:ascii="Times New Roman" w:cs="Times New Roman" w:eastAsia="Times New Roman" w:hAnsi="Times New Roman"/>
                <w:sz w:val="17"/>
                <w:szCs w:val="17"/>
                <w:color w:val="0000EE"/>
                <w:w w:val="98"/>
              </w:rPr>
            </w:pPr>
            <w:hyperlink r:id="rId245">
              <w:r>
                <w:rPr>
                  <w:rFonts w:ascii="Times New Roman" w:cs="Times New Roman" w:eastAsia="Times New Roman" w:hAnsi="Times New Roman"/>
                  <w:sz w:val="17"/>
                  <w:szCs w:val="17"/>
                  <w:color w:val="0000EE"/>
                  <w:w w:val="98"/>
                </w:rPr>
                <w:t>Borgeson</w:t>
              </w:r>
            </w:hyperlink>
          </w:p>
        </w:tc>
        <w:tc>
          <w:tcPr>
            <w:tcW w:w="2920" w:type="dxa"/>
            <w:vAlign w:val="bottom"/>
            <w:tcBorders>
              <w:top w:val="single" w:sz="8" w:color="0000EE"/>
            </w:tcBorders>
            <w:gridSpan w:val="4"/>
          </w:tcPr>
          <w:p>
            <w:pPr>
              <w:spacing w:after="0"/>
              <w:rPr>
                <w:sz w:val="16"/>
                <w:szCs w:val="16"/>
                <w:color w:val="auto"/>
              </w:rPr>
            </w:pPr>
          </w:p>
        </w:tc>
        <w:tc>
          <w:tcPr>
            <w:tcW w:w="680" w:type="dxa"/>
            <w:vAlign w:val="bottom"/>
            <w:gridSpan w:val="5"/>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25"/>
        </w:trPr>
        <w:tc>
          <w:tcPr>
            <w:tcW w:w="1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10.13+</w:t>
            </w:r>
          </w:p>
        </w:tc>
        <w:tc>
          <w:tcPr>
            <w:tcW w:w="4260" w:type="dxa"/>
            <w:vAlign w:val="bottom"/>
            <w:gridSpan w:val="10"/>
          </w:tcPr>
          <w:p>
            <w:pPr>
              <w:spacing w:after="0"/>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Executive Employment Agreement, effective as of September</w:t>
              </w:r>
            </w:hyperlink>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S-1/A</w:t>
            </w: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333-227237</w:t>
            </w:r>
          </w:p>
        </w:tc>
        <w:tc>
          <w:tcPr>
            <w:tcW w:w="1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10.13</w:t>
            </w: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9/24/2018</w:t>
            </w:r>
          </w:p>
        </w:tc>
      </w:tr>
      <w:tr>
        <w:trPr>
          <w:trHeight w:val="184"/>
        </w:trPr>
        <w:tc>
          <w:tcPr>
            <w:tcW w:w="1200" w:type="dxa"/>
            <w:vAlign w:val="bottom"/>
          </w:tcPr>
          <w:p>
            <w:pPr>
              <w:spacing w:after="0"/>
              <w:rPr>
                <w:sz w:val="16"/>
                <w:szCs w:val="16"/>
                <w:color w:val="auto"/>
              </w:rPr>
            </w:pPr>
          </w:p>
        </w:tc>
        <w:tc>
          <w:tcPr>
            <w:tcW w:w="4220" w:type="dxa"/>
            <w:vAlign w:val="bottom"/>
            <w:tcBorders>
              <w:top w:val="single" w:sz="8" w:color="0000EE"/>
            </w:tcBorders>
            <w:gridSpan w:val="9"/>
          </w:tcPr>
          <w:p>
            <w:pPr>
              <w:spacing w:after="0" w:line="185"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6, 2018, between the Registrant and Jason Ehrlich</w:t>
              </w:r>
            </w:hyperlink>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428"/>
        </w:trPr>
        <w:tc>
          <w:tcPr>
            <w:tcW w:w="12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148</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7"/>
        </w:trPr>
        <w:tc>
          <w:tcPr>
            <w:tcW w:w="1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53" w:name="page154"/>
    <w:bookmarkEnd w:id="153"/>
    <w:tbl>
      <w:tblPr>
        <w:tblLayout w:type="fixed"/>
        <w:tblInd w:w="80" w:type="dxa"/>
        <w:tblCellMar>
          <w:top w:w="0" w:type="dxa"/>
          <w:left w:w="0" w:type="dxa"/>
          <w:bottom w:w="0" w:type="dxa"/>
          <w:right w:w="0" w:type="dxa"/>
        </w:tblCellMar>
      </w:tblPr>
      <w:tr>
        <w:trPr>
          <w:trHeight w:val="19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416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w w:val="99"/>
              </w:rPr>
            </w:pPr>
            <w:hyperlink r:id="rId249">
              <w:r>
                <w:rPr>
                  <w:rFonts w:ascii="Times New Roman" w:cs="Times New Roman" w:eastAsia="Times New Roman" w:hAnsi="Times New Roman"/>
                  <w:sz w:val="17"/>
                  <w:szCs w:val="17"/>
                  <w:color w:val="0000EE"/>
                  <w:w w:val="99"/>
                </w:rPr>
                <w:t>Amended Executive Employment Agreement, effective as of</w:t>
              </w:r>
            </w:hyperlink>
          </w:p>
        </w:tc>
      </w:tr>
      <w:tr>
        <w:trPr>
          <w:trHeight w:val="224"/>
        </w:trPr>
        <w:tc>
          <w:tcPr>
            <w:tcW w:w="1120" w:type="dxa"/>
            <w:vAlign w:val="bottom"/>
          </w:tcPr>
          <w:p>
            <w:pPr>
              <w:spacing w:after="0"/>
              <w:rPr>
                <w:sz w:val="19"/>
                <w:szCs w:val="19"/>
                <w:color w:val="auto"/>
              </w:rPr>
            </w:pP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r:id="rId249">
              <w:r>
                <w:rPr>
                  <w:rFonts w:ascii="Times New Roman" w:cs="Times New Roman" w:eastAsia="Times New Roman" w:hAnsi="Times New Roman"/>
                  <w:sz w:val="17"/>
                  <w:szCs w:val="17"/>
                  <w:u w:val="single" w:color="auto"/>
                  <w:color w:val="0000EE"/>
                </w:rPr>
                <w:t>September 6, 2018, between the Registrant and Hong Liang</w:t>
              </w:r>
            </w:hyperlink>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r:id="rId250">
              <w:r>
                <w:rPr>
                  <w:rFonts w:ascii="Times New Roman" w:cs="Times New Roman" w:eastAsia="Times New Roman" w:hAnsi="Times New Roman"/>
                  <w:sz w:val="17"/>
                  <w:szCs w:val="17"/>
                  <w:u w:val="single" w:color="auto"/>
                  <w:color w:val="0000EE"/>
                </w:rPr>
                <w:t>Executive Incentive Compensation Plan</w:t>
              </w:r>
            </w:hyperlink>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r:id="rId251">
              <w:r>
                <w:rPr>
                  <w:rFonts w:ascii="Times New Roman" w:cs="Times New Roman" w:eastAsia="Times New Roman" w:hAnsi="Times New Roman"/>
                  <w:sz w:val="17"/>
                  <w:szCs w:val="17"/>
                  <w:u w:val="single" w:color="auto"/>
                  <w:color w:val="0000EE"/>
                </w:rPr>
                <w:t>Outside Director Compensation Policy</w:t>
              </w:r>
            </w:hyperlink>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4160" w:type="dxa"/>
            <w:vAlign w:val="bottom"/>
            <w:gridSpan w:val="18"/>
          </w:tcPr>
          <w:p>
            <w:pPr>
              <w:spacing w:after="0"/>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Funding Agreement, dated as of December 1, 2019, between</w:t>
              </w:r>
            </w:hyperlink>
          </w:p>
        </w:tc>
      </w:tr>
      <w:tr>
        <w:trPr>
          <w:trHeight w:val="184"/>
        </w:trPr>
        <w:tc>
          <w:tcPr>
            <w:tcW w:w="1120" w:type="dxa"/>
            <w:vAlign w:val="bottom"/>
          </w:tcPr>
          <w:p>
            <w:pPr>
              <w:spacing w:after="0"/>
              <w:rPr>
                <w:sz w:val="16"/>
                <w:szCs w:val="16"/>
                <w:color w:val="auto"/>
              </w:rPr>
            </w:pPr>
          </w:p>
        </w:tc>
        <w:tc>
          <w:tcPr>
            <w:tcW w:w="3920" w:type="dxa"/>
            <w:vAlign w:val="bottom"/>
            <w:tcBorders>
              <w:top w:val="single" w:sz="8" w:color="0000EE"/>
              <w:bottom w:val="single" w:sz="8" w:color="0000EE"/>
            </w:tcBorders>
            <w:gridSpan w:val="10"/>
          </w:tcPr>
          <w:p>
            <w:pPr>
              <w:spacing w:after="0" w:line="185" w:lineRule="exact"/>
              <w:rPr>
                <w:rFonts w:ascii="Times New Roman" w:cs="Times New Roman" w:eastAsia="Times New Roman" w:hAnsi="Times New Roman"/>
                <w:sz w:val="17"/>
                <w:szCs w:val="17"/>
                <w:color w:val="0000EE"/>
                <w:w w:val="99"/>
              </w:rPr>
            </w:pPr>
            <w:hyperlink r:id="rId252">
              <w:r>
                <w:rPr>
                  <w:rFonts w:ascii="Times New Roman" w:cs="Times New Roman" w:eastAsia="Times New Roman" w:hAnsi="Times New Roman"/>
                  <w:sz w:val="17"/>
                  <w:szCs w:val="17"/>
                  <w:color w:val="0000EE"/>
                  <w:w w:val="99"/>
                </w:rPr>
                <w:t>Kodiak Sciences Inc., Kodiak Sciences GmbH and Baker</w:t>
              </w:r>
            </w:hyperlink>
          </w:p>
        </w:tc>
        <w:tc>
          <w:tcPr>
            <w:tcW w:w="220" w:type="dxa"/>
            <w:vAlign w:val="bottom"/>
            <w:tcBorders>
              <w:top w:val="single" w:sz="8" w:color="0000EE"/>
            </w:tcBorders>
            <w:gridSpan w:val="7"/>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60" w:type="dxa"/>
            <w:vAlign w:val="bottom"/>
            <w:gridSpan w:val="18"/>
          </w:tcPr>
          <w:p>
            <w:pPr>
              <w:spacing w:after="0" w:line="185" w:lineRule="exact"/>
              <w:rPr>
                <w:rFonts w:ascii="Times New Roman" w:cs="Times New Roman" w:eastAsia="Times New Roman" w:hAnsi="Times New Roman"/>
                <w:sz w:val="17"/>
                <w:szCs w:val="17"/>
                <w:color w:val="0000EE"/>
              </w:rPr>
            </w:pPr>
            <w:hyperlink r:id="rId252">
              <w:r>
                <w:rPr>
                  <w:rFonts w:ascii="Times New Roman" w:cs="Times New Roman" w:eastAsia="Times New Roman" w:hAnsi="Times New Roman"/>
                  <w:sz w:val="17"/>
                  <w:szCs w:val="17"/>
                  <w:color w:val="0000EE"/>
                </w:rPr>
                <w:t>Bros. Advisors, LP</w:t>
              </w:r>
            </w:hyperlink>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40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253">
              <w:r>
                <w:rPr>
                  <w:rFonts w:ascii="Times New Roman" w:cs="Times New Roman" w:eastAsia="Times New Roman" w:hAnsi="Times New Roman"/>
                  <w:sz w:val="17"/>
                  <w:szCs w:val="17"/>
                  <w:color w:val="0000EE"/>
                  <w:w w:val="99"/>
                </w:rPr>
                <w:t>Lease Agreement for 1200 Page Mill Road, Building 3, by</w:t>
              </w:r>
            </w:hyperlink>
          </w:p>
        </w:tc>
        <w:tc>
          <w:tcPr>
            <w:tcW w:w="160" w:type="dxa"/>
            <w:vAlign w:val="bottom"/>
            <w:gridSpan w:val="6"/>
          </w:tcPr>
          <w:p>
            <w:pPr>
              <w:spacing w:after="0"/>
              <w:rPr>
                <w:sz w:val="24"/>
                <w:szCs w:val="24"/>
                <w:color w:val="auto"/>
              </w:rPr>
            </w:pPr>
          </w:p>
        </w:tc>
      </w:tr>
      <w:tr>
        <w:trPr>
          <w:trHeight w:val="184"/>
        </w:trPr>
        <w:tc>
          <w:tcPr>
            <w:tcW w:w="1120" w:type="dxa"/>
            <w:vAlign w:val="bottom"/>
          </w:tcPr>
          <w:p>
            <w:pPr>
              <w:spacing w:after="0"/>
              <w:rPr>
                <w:sz w:val="16"/>
                <w:szCs w:val="16"/>
                <w:color w:val="auto"/>
              </w:rPr>
            </w:pPr>
          </w:p>
        </w:tc>
        <w:tc>
          <w:tcPr>
            <w:tcW w:w="3640" w:type="dxa"/>
            <w:vAlign w:val="bottom"/>
            <w:tcBorders>
              <w:bottom w:val="single" w:sz="8" w:color="0000EE"/>
            </w:tcBorders>
            <w:gridSpan w:val="8"/>
          </w:tcPr>
          <w:p>
            <w:pPr>
              <w:spacing w:after="0" w:line="185" w:lineRule="exact"/>
              <w:rPr>
                <w:rFonts w:ascii="Times New Roman" w:cs="Times New Roman" w:eastAsia="Times New Roman" w:hAnsi="Times New Roman"/>
                <w:sz w:val="17"/>
                <w:szCs w:val="17"/>
                <w:color w:val="0000EE"/>
                <w:w w:val="99"/>
              </w:rPr>
            </w:pPr>
            <w:hyperlink r:id="rId253">
              <w:r>
                <w:rPr>
                  <w:rFonts w:ascii="Times New Roman" w:cs="Times New Roman" w:eastAsia="Times New Roman" w:hAnsi="Times New Roman"/>
                  <w:sz w:val="17"/>
                  <w:szCs w:val="17"/>
                  <w:color w:val="0000EE"/>
                  <w:w w:val="99"/>
                </w:rPr>
                <w:t>and between the Registrant and 1050 Page Mill Road</w:t>
              </w:r>
            </w:hyperlink>
          </w:p>
        </w:tc>
        <w:tc>
          <w:tcPr>
            <w:tcW w:w="520" w:type="dxa"/>
            <w:vAlign w:val="bottom"/>
            <w:gridSpan w:val="10"/>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2460" w:type="dxa"/>
            <w:vAlign w:val="bottom"/>
            <w:tcBorders>
              <w:bottom w:val="single" w:sz="8" w:color="0000EE"/>
            </w:tcBorders>
            <w:gridSpan w:val="5"/>
          </w:tcPr>
          <w:p>
            <w:pPr>
              <w:spacing w:after="0" w:line="185"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Property, LLC, dated June 19, 2020</w:t>
              </w:r>
            </w:hyperlink>
          </w:p>
        </w:tc>
        <w:tc>
          <w:tcPr>
            <w:tcW w:w="1700" w:type="dxa"/>
            <w:vAlign w:val="bottom"/>
            <w:gridSpan w:val="13"/>
          </w:tcPr>
          <w:p>
            <w:pPr>
              <w:spacing w:after="0"/>
              <w:rPr>
                <w:sz w:val="16"/>
                <w:szCs w:val="16"/>
                <w:color w:val="auto"/>
              </w:rPr>
            </w:pPr>
          </w:p>
        </w:tc>
      </w:tr>
      <w:tr>
        <w:trPr>
          <w:trHeight w:val="19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40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254">
              <w:r>
                <w:rPr>
                  <w:rFonts w:ascii="Times New Roman" w:cs="Times New Roman" w:eastAsia="Times New Roman" w:hAnsi="Times New Roman"/>
                  <w:sz w:val="17"/>
                  <w:szCs w:val="17"/>
                  <w:color w:val="0000EE"/>
                  <w:w w:val="99"/>
                </w:rPr>
                <w:t>Lease Agreement for 1250 Page Mill Road, Building 4, by</w:t>
              </w:r>
            </w:hyperlink>
          </w:p>
        </w:tc>
        <w:tc>
          <w:tcPr>
            <w:tcW w:w="160" w:type="dxa"/>
            <w:vAlign w:val="bottom"/>
            <w:gridSpan w:val="6"/>
          </w:tcPr>
          <w:p>
            <w:pPr>
              <w:spacing w:after="0"/>
              <w:rPr>
                <w:sz w:val="17"/>
                <w:szCs w:val="17"/>
                <w:color w:val="auto"/>
              </w:rPr>
            </w:pPr>
          </w:p>
        </w:tc>
      </w:tr>
      <w:tr>
        <w:trPr>
          <w:trHeight w:val="184"/>
        </w:trPr>
        <w:tc>
          <w:tcPr>
            <w:tcW w:w="1120" w:type="dxa"/>
            <w:vAlign w:val="bottom"/>
          </w:tcPr>
          <w:p>
            <w:pPr>
              <w:spacing w:after="0"/>
              <w:rPr>
                <w:sz w:val="16"/>
                <w:szCs w:val="16"/>
                <w:color w:val="auto"/>
              </w:rPr>
            </w:pPr>
          </w:p>
        </w:tc>
        <w:tc>
          <w:tcPr>
            <w:tcW w:w="3640" w:type="dxa"/>
            <w:vAlign w:val="bottom"/>
            <w:tcBorders>
              <w:bottom w:val="single" w:sz="8" w:color="0000EE"/>
            </w:tcBorders>
            <w:gridSpan w:val="8"/>
          </w:tcPr>
          <w:p>
            <w:pPr>
              <w:spacing w:after="0" w:line="185" w:lineRule="exact"/>
              <w:rPr>
                <w:rFonts w:ascii="Times New Roman" w:cs="Times New Roman" w:eastAsia="Times New Roman" w:hAnsi="Times New Roman"/>
                <w:sz w:val="17"/>
                <w:szCs w:val="17"/>
                <w:color w:val="0000EE"/>
                <w:w w:val="99"/>
              </w:rPr>
            </w:pPr>
            <w:hyperlink r:id="rId254">
              <w:r>
                <w:rPr>
                  <w:rFonts w:ascii="Times New Roman" w:cs="Times New Roman" w:eastAsia="Times New Roman" w:hAnsi="Times New Roman"/>
                  <w:sz w:val="17"/>
                  <w:szCs w:val="17"/>
                  <w:color w:val="0000EE"/>
                  <w:w w:val="99"/>
                </w:rPr>
                <w:t>and between the Registrant and 1050 Page Mill Road</w:t>
              </w:r>
            </w:hyperlink>
          </w:p>
        </w:tc>
        <w:tc>
          <w:tcPr>
            <w:tcW w:w="520" w:type="dxa"/>
            <w:vAlign w:val="bottom"/>
            <w:gridSpan w:val="10"/>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2440" w:type="dxa"/>
            <w:vAlign w:val="bottom"/>
            <w:tcBorders>
              <w:bottom w:val="single" w:sz="8" w:color="0000EE"/>
            </w:tcBorders>
            <w:gridSpan w:val="4"/>
          </w:tcPr>
          <w:p>
            <w:pPr>
              <w:spacing w:after="0" w:line="185" w:lineRule="exact"/>
              <w:rPr>
                <w:rFonts w:ascii="Times New Roman" w:cs="Times New Roman" w:eastAsia="Times New Roman" w:hAnsi="Times New Roman"/>
                <w:sz w:val="17"/>
                <w:szCs w:val="17"/>
                <w:color w:val="0000EE"/>
                <w:w w:val="99"/>
              </w:rPr>
            </w:pPr>
            <w:hyperlink r:id="rId254">
              <w:r>
                <w:rPr>
                  <w:rFonts w:ascii="Times New Roman" w:cs="Times New Roman" w:eastAsia="Times New Roman" w:hAnsi="Times New Roman"/>
                  <w:sz w:val="17"/>
                  <w:szCs w:val="17"/>
                  <w:color w:val="0000EE"/>
                  <w:w w:val="99"/>
                </w:rPr>
                <w:t>Property, LLC, dated June 19, 2020</w:t>
              </w:r>
            </w:hyperlink>
          </w:p>
        </w:tc>
        <w:tc>
          <w:tcPr>
            <w:tcW w:w="1720" w:type="dxa"/>
            <w:vAlign w:val="bottom"/>
            <w:gridSpan w:val="14"/>
          </w:tcPr>
          <w:p>
            <w:pPr>
              <w:spacing w:after="0"/>
              <w:rPr>
                <w:sz w:val="16"/>
                <w:szCs w:val="16"/>
                <w:color w:val="auto"/>
              </w:rPr>
            </w:pPr>
          </w:p>
        </w:tc>
      </w:tr>
      <w:tr>
        <w:trPr>
          <w:trHeight w:val="236"/>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w:anchor="page172">
              <w:r>
                <w:rPr>
                  <w:rFonts w:ascii="Times New Roman" w:cs="Times New Roman" w:eastAsia="Times New Roman" w:hAnsi="Times New Roman"/>
                  <w:sz w:val="17"/>
                  <w:szCs w:val="17"/>
                  <w:u w:val="single" w:color="auto"/>
                  <w:color w:val="0000EE"/>
                </w:rPr>
                <w:t>Consent of Independent Registered Public Accounting Firm</w:t>
              </w:r>
            </w:hyperlink>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w:anchor="page156">
              <w:r>
                <w:rPr>
                  <w:rFonts w:ascii="Times New Roman" w:cs="Times New Roman" w:eastAsia="Times New Roman" w:hAnsi="Times New Roman"/>
                  <w:sz w:val="17"/>
                  <w:szCs w:val="17"/>
                  <w:u w:val="single" w:color="auto"/>
                  <w:color w:val="0000EE"/>
                </w:rPr>
                <w:t>Power of Attorney (included in signature page)</w:t>
              </w:r>
            </w:hyperlink>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37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w w:val="99"/>
              </w:rPr>
            </w:pPr>
            <w:hyperlink w:anchor="page173">
              <w:r>
                <w:rPr>
                  <w:rFonts w:ascii="Times New Roman" w:cs="Times New Roman" w:eastAsia="Times New Roman" w:hAnsi="Times New Roman"/>
                  <w:sz w:val="17"/>
                  <w:szCs w:val="17"/>
                  <w:color w:val="0000EE"/>
                  <w:w w:val="99"/>
                </w:rPr>
                <w:t>Certification of Principal Executive Officer Pursuant to</w:t>
              </w:r>
            </w:hyperlink>
          </w:p>
        </w:tc>
        <w:tc>
          <w:tcPr>
            <w:tcW w:w="380" w:type="dxa"/>
            <w:vAlign w:val="bottom"/>
            <w:gridSpan w:val="9"/>
          </w:tcPr>
          <w:p>
            <w:pPr>
              <w:spacing w:after="0"/>
              <w:rPr>
                <w:sz w:val="24"/>
                <w:szCs w:val="24"/>
                <w:color w:val="auto"/>
              </w:rPr>
            </w:pPr>
          </w:p>
        </w:tc>
      </w:tr>
      <w:tr>
        <w:trPr>
          <w:trHeight w:val="184"/>
        </w:trPr>
        <w:tc>
          <w:tcPr>
            <w:tcW w:w="1120" w:type="dxa"/>
            <w:vAlign w:val="bottom"/>
          </w:tcPr>
          <w:p>
            <w:pPr>
              <w:spacing w:after="0"/>
              <w:rPr>
                <w:sz w:val="16"/>
                <w:szCs w:val="16"/>
                <w:color w:val="auto"/>
              </w:rPr>
            </w:pPr>
          </w:p>
        </w:tc>
        <w:tc>
          <w:tcPr>
            <w:tcW w:w="3500" w:type="dxa"/>
            <w:vAlign w:val="bottom"/>
            <w:tcBorders>
              <w:bottom w:val="single" w:sz="8" w:color="0000EE"/>
            </w:tcBorders>
            <w:gridSpan w:val="6"/>
          </w:tcPr>
          <w:p>
            <w:pPr>
              <w:spacing w:after="0" w:line="185" w:lineRule="exact"/>
              <w:rPr>
                <w:rFonts w:ascii="Times New Roman" w:cs="Times New Roman" w:eastAsia="Times New Roman" w:hAnsi="Times New Roman"/>
                <w:sz w:val="17"/>
                <w:szCs w:val="17"/>
                <w:color w:val="0000EE"/>
                <w:w w:val="99"/>
              </w:rPr>
            </w:pPr>
            <w:hyperlink w:anchor="page173">
              <w:r>
                <w:rPr>
                  <w:rFonts w:ascii="Times New Roman" w:cs="Times New Roman" w:eastAsia="Times New Roman" w:hAnsi="Times New Roman"/>
                  <w:sz w:val="17"/>
                  <w:szCs w:val="17"/>
                  <w:color w:val="0000EE"/>
                  <w:w w:val="99"/>
                </w:rPr>
                <w:t>Rules 13a-14(a) and 15d-14(a) under the Securities</w:t>
              </w:r>
            </w:hyperlink>
          </w:p>
        </w:tc>
        <w:tc>
          <w:tcPr>
            <w:tcW w:w="660" w:type="dxa"/>
            <w:vAlign w:val="bottom"/>
            <w:gridSpan w:val="12"/>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060" w:type="dxa"/>
            <w:vAlign w:val="bottom"/>
            <w:tcBorders>
              <w:bottom w:val="single" w:sz="8" w:color="0000EE"/>
            </w:tcBorders>
            <w:gridSpan w:val="14"/>
          </w:tcPr>
          <w:p>
            <w:pPr>
              <w:spacing w:after="0" w:line="185" w:lineRule="exact"/>
              <w:rPr>
                <w:rFonts w:ascii="Times New Roman" w:cs="Times New Roman" w:eastAsia="Times New Roman" w:hAnsi="Times New Roman"/>
                <w:sz w:val="17"/>
                <w:szCs w:val="17"/>
                <w:color w:val="0000EE"/>
                <w:w w:val="99"/>
              </w:rPr>
            </w:pPr>
            <w:hyperlink w:anchor="page173">
              <w:r>
                <w:rPr>
                  <w:rFonts w:ascii="Times New Roman" w:cs="Times New Roman" w:eastAsia="Times New Roman" w:hAnsi="Times New Roman"/>
                  <w:sz w:val="17"/>
                  <w:szCs w:val="17"/>
                  <w:color w:val="0000EE"/>
                  <w:w w:val="99"/>
                </w:rPr>
                <w:t>Exchange Act of 1934, as Adopted Pursuant to Section 302</w:t>
              </w:r>
            </w:hyperlink>
          </w:p>
        </w:tc>
        <w:tc>
          <w:tcPr>
            <w:tcW w:w="100" w:type="dxa"/>
            <w:vAlign w:val="bottom"/>
            <w:gridSpan w:val="4"/>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60" w:type="dxa"/>
            <w:vAlign w:val="bottom"/>
            <w:gridSpan w:val="18"/>
          </w:tcPr>
          <w:p>
            <w:pPr>
              <w:spacing w:after="0" w:line="185" w:lineRule="exact"/>
              <w:rPr>
                <w:rFonts w:ascii="Times New Roman" w:cs="Times New Roman" w:eastAsia="Times New Roman" w:hAnsi="Times New Roman"/>
                <w:sz w:val="17"/>
                <w:szCs w:val="17"/>
                <w:color w:val="0000EE"/>
              </w:rPr>
            </w:pPr>
            <w:hyperlink w:anchor="page173">
              <w:r>
                <w:rPr>
                  <w:rFonts w:ascii="Times New Roman" w:cs="Times New Roman" w:eastAsia="Times New Roman" w:hAnsi="Times New Roman"/>
                  <w:sz w:val="17"/>
                  <w:szCs w:val="17"/>
                  <w:color w:val="0000EE"/>
                </w:rPr>
                <w:t>of the Sarbanes-Oxley Act of 2002.</w:t>
              </w:r>
            </w:hyperlink>
          </w:p>
        </w:tc>
      </w:tr>
      <w:tr>
        <w:trPr>
          <w:trHeight w:val="20"/>
        </w:trPr>
        <w:tc>
          <w:tcPr>
            <w:tcW w:w="112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04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174">
              <w:r>
                <w:rPr>
                  <w:rFonts w:ascii="Times New Roman" w:cs="Times New Roman" w:eastAsia="Times New Roman" w:hAnsi="Times New Roman"/>
                  <w:sz w:val="17"/>
                  <w:szCs w:val="17"/>
                  <w:color w:val="0000EE"/>
                  <w:w w:val="99"/>
                </w:rPr>
                <w:t>Certification of Principal Financial and Accounting Officer</w:t>
              </w:r>
            </w:hyperlink>
          </w:p>
        </w:tc>
        <w:tc>
          <w:tcPr>
            <w:tcW w:w="120" w:type="dxa"/>
            <w:vAlign w:val="bottom"/>
            <w:gridSpan w:val="5"/>
          </w:tcPr>
          <w:p>
            <w:pPr>
              <w:spacing w:after="0"/>
              <w:rPr>
                <w:sz w:val="24"/>
                <w:szCs w:val="24"/>
                <w:color w:val="auto"/>
              </w:rPr>
            </w:pPr>
          </w:p>
        </w:tc>
      </w:tr>
      <w:tr>
        <w:trPr>
          <w:trHeight w:val="184"/>
        </w:trPr>
        <w:tc>
          <w:tcPr>
            <w:tcW w:w="1120" w:type="dxa"/>
            <w:vAlign w:val="bottom"/>
          </w:tcPr>
          <w:p>
            <w:pPr>
              <w:spacing w:after="0"/>
              <w:rPr>
                <w:sz w:val="16"/>
                <w:szCs w:val="16"/>
                <w:color w:val="auto"/>
              </w:rPr>
            </w:pPr>
          </w:p>
        </w:tc>
        <w:tc>
          <w:tcPr>
            <w:tcW w:w="3600" w:type="dxa"/>
            <w:vAlign w:val="bottom"/>
            <w:tcBorders>
              <w:bottom w:val="single" w:sz="8" w:color="0000EE"/>
            </w:tcBorders>
            <w:gridSpan w:val="7"/>
          </w:tcPr>
          <w:p>
            <w:pPr>
              <w:spacing w:after="0" w:line="185" w:lineRule="exact"/>
              <w:rPr>
                <w:rFonts w:ascii="Times New Roman" w:cs="Times New Roman" w:eastAsia="Times New Roman" w:hAnsi="Times New Roman"/>
                <w:sz w:val="17"/>
                <w:szCs w:val="17"/>
                <w:color w:val="0000EE"/>
                <w:w w:val="99"/>
              </w:rPr>
            </w:pPr>
            <w:hyperlink w:anchor="page174">
              <w:r>
                <w:rPr>
                  <w:rFonts w:ascii="Times New Roman" w:cs="Times New Roman" w:eastAsia="Times New Roman" w:hAnsi="Times New Roman"/>
                  <w:sz w:val="17"/>
                  <w:szCs w:val="17"/>
                  <w:color w:val="0000EE"/>
                  <w:w w:val="99"/>
                </w:rPr>
                <w:t>Pursuant to Rules 13a-14(a) and 15d-14(a) under the</w:t>
              </w:r>
            </w:hyperlink>
          </w:p>
        </w:tc>
        <w:tc>
          <w:tcPr>
            <w:tcW w:w="560" w:type="dxa"/>
            <w:vAlign w:val="bottom"/>
            <w:gridSpan w:val="11"/>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3920" w:type="dxa"/>
            <w:vAlign w:val="bottom"/>
            <w:tcBorders>
              <w:bottom w:val="single" w:sz="8" w:color="0000EE"/>
            </w:tcBorders>
            <w:gridSpan w:val="10"/>
          </w:tcPr>
          <w:p>
            <w:pPr>
              <w:spacing w:after="0" w:line="185" w:lineRule="exact"/>
              <w:rPr>
                <w:rFonts w:ascii="Times New Roman" w:cs="Times New Roman" w:eastAsia="Times New Roman" w:hAnsi="Times New Roman"/>
                <w:sz w:val="17"/>
                <w:szCs w:val="17"/>
                <w:color w:val="0000EE"/>
                <w:w w:val="99"/>
              </w:rPr>
            </w:pPr>
            <w:hyperlink w:anchor="page174">
              <w:r>
                <w:rPr>
                  <w:rFonts w:ascii="Times New Roman" w:cs="Times New Roman" w:eastAsia="Times New Roman" w:hAnsi="Times New Roman"/>
                  <w:sz w:val="17"/>
                  <w:szCs w:val="17"/>
                  <w:color w:val="0000EE"/>
                  <w:w w:val="99"/>
                </w:rPr>
                <w:t>Securities Exchange Act of 1934, as Adopted Pursuant to</w:t>
              </w:r>
            </w:hyperlink>
          </w:p>
        </w:tc>
        <w:tc>
          <w:tcPr>
            <w:tcW w:w="240" w:type="dxa"/>
            <w:vAlign w:val="bottom"/>
            <w:gridSpan w:val="8"/>
          </w:tcPr>
          <w:p>
            <w:pPr>
              <w:spacing w:after="0"/>
              <w:rPr>
                <w:sz w:val="16"/>
                <w:szCs w:val="16"/>
                <w:color w:val="auto"/>
              </w:rPr>
            </w:pPr>
          </w:p>
        </w:tc>
      </w:tr>
      <w:tr>
        <w:trPr>
          <w:trHeight w:val="224"/>
        </w:trPr>
        <w:tc>
          <w:tcPr>
            <w:tcW w:w="1120" w:type="dxa"/>
            <w:vAlign w:val="bottom"/>
          </w:tcPr>
          <w:p>
            <w:pPr>
              <w:spacing w:after="0"/>
              <w:rPr>
                <w:sz w:val="19"/>
                <w:szCs w:val="19"/>
                <w:color w:val="auto"/>
              </w:rPr>
            </w:pP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w:anchor="page174">
              <w:r>
                <w:rPr>
                  <w:rFonts w:ascii="Times New Roman" w:cs="Times New Roman" w:eastAsia="Times New Roman" w:hAnsi="Times New Roman"/>
                  <w:sz w:val="17"/>
                  <w:szCs w:val="17"/>
                  <w:u w:val="single" w:color="auto"/>
                  <w:color w:val="0000EE"/>
                </w:rPr>
                <w:t>Section 302 of the Sarbanes-Oxley Act of 2002.</w:t>
              </w:r>
            </w:hyperlink>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160" w:type="dxa"/>
            <w:vAlign w:val="bottom"/>
            <w:gridSpan w:val="18"/>
          </w:tcPr>
          <w:p>
            <w:pPr>
              <w:spacing w:after="0"/>
              <w:rPr>
                <w:rFonts w:ascii="Times New Roman" w:cs="Times New Roman" w:eastAsia="Times New Roman" w:hAnsi="Times New Roman"/>
                <w:sz w:val="17"/>
                <w:szCs w:val="17"/>
                <w:color w:val="0000EE"/>
              </w:rPr>
            </w:pPr>
            <w:hyperlink w:anchor="page175">
              <w:r>
                <w:rPr>
                  <w:rFonts w:ascii="Times New Roman" w:cs="Times New Roman" w:eastAsia="Times New Roman" w:hAnsi="Times New Roman"/>
                  <w:sz w:val="17"/>
                  <w:szCs w:val="17"/>
                  <w:color w:val="0000EE"/>
                </w:rPr>
                <w:t>Certification of Principal Executive Officer Pursuant to 18</w:t>
              </w:r>
            </w:hyperlink>
          </w:p>
        </w:tc>
      </w:tr>
      <w:tr>
        <w:trPr>
          <w:trHeight w:val="20"/>
        </w:trPr>
        <w:tc>
          <w:tcPr>
            <w:tcW w:w="112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4"/>
        </w:trPr>
        <w:tc>
          <w:tcPr>
            <w:tcW w:w="1120" w:type="dxa"/>
            <w:vAlign w:val="bottom"/>
          </w:tcPr>
          <w:p>
            <w:pPr>
              <w:spacing w:after="0"/>
              <w:rPr>
                <w:sz w:val="16"/>
                <w:szCs w:val="16"/>
                <w:color w:val="auto"/>
              </w:rPr>
            </w:pPr>
          </w:p>
        </w:tc>
        <w:tc>
          <w:tcPr>
            <w:tcW w:w="412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w:anchor="page175">
              <w:r>
                <w:rPr>
                  <w:rFonts w:ascii="Times New Roman" w:cs="Times New Roman" w:eastAsia="Times New Roman" w:hAnsi="Times New Roman"/>
                  <w:sz w:val="17"/>
                  <w:szCs w:val="17"/>
                  <w:color w:val="0000EE"/>
                </w:rPr>
                <w:t>U.S.C. Section 1350, as Adopted Pursuant to Section 906 of</w:t>
              </w:r>
            </w:hyperlink>
          </w:p>
        </w:tc>
        <w:tc>
          <w:tcPr>
            <w:tcW w:w="40" w:type="dxa"/>
            <w:vAlign w:val="bottom"/>
            <w:gridSpan w:val="2"/>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2240" w:type="dxa"/>
            <w:vAlign w:val="bottom"/>
            <w:tcBorders>
              <w:bottom w:val="single" w:sz="8" w:color="0000EE"/>
            </w:tcBorders>
            <w:gridSpan w:val="2"/>
          </w:tcPr>
          <w:p>
            <w:pPr>
              <w:spacing w:after="0" w:line="185" w:lineRule="exact"/>
              <w:rPr>
                <w:rFonts w:ascii="Times New Roman" w:cs="Times New Roman" w:eastAsia="Times New Roman" w:hAnsi="Times New Roman"/>
                <w:sz w:val="17"/>
                <w:szCs w:val="17"/>
                <w:color w:val="0000EE"/>
                <w:w w:val="99"/>
              </w:rPr>
            </w:pPr>
            <w:hyperlink w:anchor="page175">
              <w:r>
                <w:rPr>
                  <w:rFonts w:ascii="Times New Roman" w:cs="Times New Roman" w:eastAsia="Times New Roman" w:hAnsi="Times New Roman"/>
                  <w:sz w:val="17"/>
                  <w:szCs w:val="17"/>
                  <w:color w:val="0000EE"/>
                  <w:w w:val="99"/>
                </w:rPr>
                <w:t>the Sarbanes-Oxley Act of 2002.</w:t>
              </w:r>
            </w:hyperlink>
          </w:p>
        </w:tc>
        <w:tc>
          <w:tcPr>
            <w:tcW w:w="1920" w:type="dxa"/>
            <w:vAlign w:val="bottom"/>
            <w:gridSpan w:val="16"/>
          </w:tcPr>
          <w:p>
            <w:pPr>
              <w:spacing w:after="0"/>
              <w:rPr>
                <w:sz w:val="16"/>
                <w:szCs w:val="16"/>
                <w:color w:val="auto"/>
              </w:rPr>
            </w:pPr>
          </w:p>
        </w:tc>
      </w:tr>
      <w:tr>
        <w:trPr>
          <w:trHeight w:val="32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404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176">
              <w:r>
                <w:rPr>
                  <w:rFonts w:ascii="Times New Roman" w:cs="Times New Roman" w:eastAsia="Times New Roman" w:hAnsi="Times New Roman"/>
                  <w:sz w:val="17"/>
                  <w:szCs w:val="17"/>
                  <w:color w:val="0000EE"/>
                  <w:w w:val="99"/>
                </w:rPr>
                <w:t>Certification of Principal Financial and Accounting Officer</w:t>
              </w:r>
            </w:hyperlink>
          </w:p>
        </w:tc>
        <w:tc>
          <w:tcPr>
            <w:tcW w:w="120" w:type="dxa"/>
            <w:vAlign w:val="bottom"/>
            <w:gridSpan w:val="5"/>
          </w:tcPr>
          <w:p>
            <w:pPr>
              <w:spacing w:after="0"/>
              <w:rPr>
                <w:sz w:val="24"/>
                <w:szCs w:val="24"/>
                <w:color w:val="auto"/>
              </w:rPr>
            </w:pPr>
          </w:p>
        </w:tc>
      </w:tr>
      <w:tr>
        <w:trPr>
          <w:trHeight w:val="184"/>
        </w:trPr>
        <w:tc>
          <w:tcPr>
            <w:tcW w:w="1120" w:type="dxa"/>
            <w:vAlign w:val="bottom"/>
          </w:tcPr>
          <w:p>
            <w:pPr>
              <w:spacing w:after="0"/>
              <w:rPr>
                <w:sz w:val="16"/>
                <w:szCs w:val="16"/>
                <w:color w:val="auto"/>
              </w:rPr>
            </w:pPr>
          </w:p>
        </w:tc>
        <w:tc>
          <w:tcPr>
            <w:tcW w:w="4100" w:type="dxa"/>
            <w:vAlign w:val="bottom"/>
            <w:tcBorders>
              <w:bottom w:val="single" w:sz="8" w:color="0000EE"/>
            </w:tcBorders>
            <w:gridSpan w:val="15"/>
          </w:tcPr>
          <w:p>
            <w:pPr>
              <w:spacing w:after="0" w:line="185" w:lineRule="exact"/>
              <w:rPr>
                <w:rFonts w:ascii="Times New Roman" w:cs="Times New Roman" w:eastAsia="Times New Roman" w:hAnsi="Times New Roman"/>
                <w:sz w:val="17"/>
                <w:szCs w:val="17"/>
                <w:color w:val="0000EE"/>
                <w:w w:val="99"/>
              </w:rPr>
            </w:pPr>
            <w:hyperlink w:anchor="page176">
              <w:r>
                <w:rPr>
                  <w:rFonts w:ascii="Times New Roman" w:cs="Times New Roman" w:eastAsia="Times New Roman" w:hAnsi="Times New Roman"/>
                  <w:sz w:val="17"/>
                  <w:szCs w:val="17"/>
                  <w:color w:val="0000EE"/>
                  <w:w w:val="99"/>
                </w:rPr>
                <w:t>Pursuant to 18 U.S.C. Section 1350, as Adopted Pursuant to</w:t>
              </w:r>
            </w:hyperlink>
          </w:p>
        </w:tc>
        <w:tc>
          <w:tcPr>
            <w:tcW w:w="60" w:type="dxa"/>
            <w:vAlign w:val="bottom"/>
            <w:gridSpan w:val="3"/>
          </w:tcPr>
          <w:p>
            <w:pPr>
              <w:spacing w:after="0"/>
              <w:rPr>
                <w:sz w:val="16"/>
                <w:szCs w:val="16"/>
                <w:color w:val="auto"/>
              </w:rPr>
            </w:pPr>
          </w:p>
        </w:tc>
      </w:tr>
      <w:tr>
        <w:trPr>
          <w:trHeight w:val="224"/>
        </w:trPr>
        <w:tc>
          <w:tcPr>
            <w:tcW w:w="1120" w:type="dxa"/>
            <w:vAlign w:val="bottom"/>
          </w:tcPr>
          <w:p>
            <w:pPr>
              <w:spacing w:after="0"/>
              <w:rPr>
                <w:sz w:val="19"/>
                <w:szCs w:val="19"/>
                <w:color w:val="auto"/>
              </w:rPr>
            </w:pPr>
          </w:p>
        </w:tc>
        <w:tc>
          <w:tcPr>
            <w:tcW w:w="4160" w:type="dxa"/>
            <w:vAlign w:val="bottom"/>
            <w:gridSpan w:val="18"/>
          </w:tcPr>
          <w:p>
            <w:pPr>
              <w:spacing w:after="0"/>
              <w:rPr>
                <w:rFonts w:ascii="Times New Roman" w:cs="Times New Roman" w:eastAsia="Times New Roman" w:hAnsi="Times New Roman"/>
                <w:sz w:val="17"/>
                <w:szCs w:val="17"/>
                <w:u w:val="single" w:color="auto"/>
                <w:color w:val="0000EE"/>
              </w:rPr>
            </w:pPr>
            <w:hyperlink w:anchor="page176">
              <w:r>
                <w:rPr>
                  <w:rFonts w:ascii="Times New Roman" w:cs="Times New Roman" w:eastAsia="Times New Roman" w:hAnsi="Times New Roman"/>
                  <w:sz w:val="17"/>
                  <w:szCs w:val="17"/>
                  <w:u w:val="single" w:color="auto"/>
                  <w:color w:val="0000EE"/>
                </w:rPr>
                <w:t>Section 906 of the Sarbanes-Oxley Act of 2002.</w:t>
              </w:r>
            </w:hyperlink>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333-227237</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9/24/2018</w:t>
            </w:r>
          </w:p>
        </w:tc>
      </w:tr>
      <w:tr>
        <w:trPr>
          <w:trHeight w:val="549"/>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333-227237</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9/24/2018</w:t>
            </w:r>
          </w:p>
        </w:tc>
      </w:tr>
      <w:tr>
        <w:trPr>
          <w:trHeight w:val="34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333-227237</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9/24/2018</w:t>
            </w:r>
          </w:p>
        </w:tc>
      </w:tr>
      <w:tr>
        <w:trPr>
          <w:trHeight w:val="345"/>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001-38682</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12/2/2019</w:t>
            </w:r>
          </w:p>
        </w:tc>
      </w:tr>
      <w:tr>
        <w:trPr>
          <w:trHeight w:val="754"/>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001-38682</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8/10/2020</w:t>
            </w:r>
          </w:p>
        </w:tc>
      </w:tr>
      <w:tr>
        <w:trPr>
          <w:trHeight w:val="626"/>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001-38682</w:t>
            </w:r>
          </w:p>
        </w:tc>
        <w:tc>
          <w:tcPr>
            <w:tcW w:w="1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8/10/2020</w:t>
            </w:r>
          </w:p>
        </w:tc>
      </w:tr>
    </w:tbl>
    <w:p>
      <w:pPr>
        <w:spacing w:after="0" w:line="4530" w:lineRule="exact"/>
        <w:rPr>
          <w:sz w:val="20"/>
          <w:szCs w:val="20"/>
          <w:color w:val="auto"/>
        </w:rPr>
      </w:pPr>
    </w:p>
    <w:p>
      <w:pPr>
        <w:sectPr>
          <w:pgSz w:w="11900" w:h="16838" w:orient="portrait"/>
          <w:cols w:equalWidth="0" w:num="2">
            <w:col w:w="5360" w:space="220"/>
            <w:col w:w="5000"/>
          </w:cols>
          <w:pgMar w:left="320" w:top="455" w:right="999" w:bottom="1440" w:gutter="0" w:footer="0" w:header="0"/>
        </w:sect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22"/>
        </w:trPr>
        <w:tc>
          <w:tcPr>
            <w:tcW w:w="920" w:type="dxa"/>
            <w:vAlign w:val="bottom"/>
          </w:tcPr>
          <w:p>
            <w:pPr>
              <w:spacing w:after="0"/>
              <w:rPr>
                <w:sz w:val="19"/>
                <w:szCs w:val="19"/>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Document</w:t>
            </w:r>
          </w:p>
        </w:tc>
      </w:tr>
      <w:tr>
        <w:trPr>
          <w:trHeight w:val="3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22"/>
        </w:trPr>
        <w:tc>
          <w:tcPr>
            <w:tcW w:w="920" w:type="dxa"/>
            <w:vAlign w:val="bottom"/>
          </w:tcPr>
          <w:p>
            <w:pPr>
              <w:spacing w:after="0"/>
              <w:rPr>
                <w:sz w:val="19"/>
                <w:szCs w:val="19"/>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Document</w:t>
            </w:r>
          </w:p>
        </w:tc>
      </w:tr>
      <w:tr>
        <w:trPr>
          <w:trHeight w:val="3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22"/>
        </w:trPr>
        <w:tc>
          <w:tcPr>
            <w:tcW w:w="920" w:type="dxa"/>
            <w:vAlign w:val="bottom"/>
          </w:tcPr>
          <w:p>
            <w:pPr>
              <w:spacing w:after="0"/>
              <w:rPr>
                <w:sz w:val="19"/>
                <w:szCs w:val="19"/>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Document</w:t>
            </w:r>
          </w:p>
        </w:tc>
      </w:tr>
      <w:tr>
        <w:trPr>
          <w:trHeight w:val="3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Inline XBRL Taxonomy Extension Presentation Linkbase</w:t>
            </w:r>
          </w:p>
        </w:tc>
      </w:tr>
      <w:tr>
        <w:trPr>
          <w:trHeight w:val="222"/>
        </w:trPr>
        <w:tc>
          <w:tcPr>
            <w:tcW w:w="920" w:type="dxa"/>
            <w:vAlign w:val="bottom"/>
          </w:tcPr>
          <w:p>
            <w:pPr>
              <w:spacing w:after="0"/>
              <w:rPr>
                <w:sz w:val="19"/>
                <w:szCs w:val="19"/>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Document</w:t>
            </w:r>
          </w:p>
        </w:tc>
      </w:tr>
    </w:tbl>
    <w:p>
      <w:pPr>
        <w:spacing w:after="0" w:line="200" w:lineRule="exact"/>
        <w:rPr>
          <w:sz w:val="20"/>
          <w:szCs w:val="20"/>
          <w:color w:val="auto"/>
        </w:rPr>
      </w:pPr>
    </w:p>
    <w:p>
      <w:pPr>
        <w:spacing w:after="0" w:line="204" w:lineRule="exact"/>
        <w:rPr>
          <w:sz w:val="20"/>
          <w:szCs w:val="20"/>
          <w:color w:val="auto"/>
        </w:rPr>
      </w:pPr>
    </w:p>
    <w:p>
      <w:pPr>
        <w:jc w:val="right"/>
        <w:ind w:right="4820"/>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580"/>
          </w:cols>
          <w:pgMar w:left="320" w:top="455" w:right="999" w:bottom="1440" w:gutter="0" w:footer="0" w:header="0"/>
          <w:type w:val="continuous"/>
        </w:sectPr>
      </w:pPr>
    </w:p>
    <w:bookmarkStart w:id="154" w:name="page155"/>
    <w:bookmarkEnd w:id="154"/>
    <w:p>
      <w:pPr>
        <w:ind w:left="1200" w:right="5820" w:hanging="1198"/>
        <w:spacing w:after="0" w:line="283" w:lineRule="auto"/>
        <w:tabs>
          <w:tab w:leader="none" w:pos="12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511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324" w:lineRule="exact"/>
        <w:rPr>
          <w:sz w:val="20"/>
          <w:szCs w:val="20"/>
          <w:color w:val="auto"/>
        </w:rPr>
      </w:pPr>
    </w:p>
    <w:p>
      <w:pPr>
        <w:ind w:left="540" w:hanging="538"/>
        <w:spacing w:after="0"/>
        <w:tabs>
          <w:tab w:leader="none" w:pos="5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47" w:lineRule="exact"/>
        <w:rPr>
          <w:sz w:val="20"/>
          <w:szCs w:val="20"/>
          <w:color w:val="auto"/>
        </w:rPr>
      </w:pPr>
    </w:p>
    <w:p>
      <w:pPr>
        <w:ind w:left="540" w:hanging="538"/>
        <w:spacing w:after="0"/>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47" w:lineRule="exact"/>
        <w:rPr>
          <w:sz w:val="20"/>
          <w:szCs w:val="20"/>
          <w:color w:val="auto"/>
        </w:rPr>
      </w:pPr>
    </w:p>
    <w:p>
      <w:pPr>
        <w:jc w:val="both"/>
        <w:ind w:left="540" w:hanging="538"/>
        <w:spacing w:after="0" w:line="261" w:lineRule="auto"/>
        <w:tabs>
          <w:tab w:leader="none" w:pos="5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Exhibits 32.1 and 32.2 are deemed “furnished” and not deemed “filed” for purposes of Section 18 of the Securities Exchange Act of 1934 and are not to be incorporated by reference into any filing of Kodiak Sciences Inc.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3994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20"/>
          </w:cols>
          <w:pgMar w:left="320" w:top="340" w:right="45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5" w:lineRule="exact"/>
        <w:rPr>
          <w:sz w:val="20"/>
          <w:szCs w:val="20"/>
          <w:color w:val="auto"/>
        </w:rPr>
      </w:pPr>
    </w:p>
    <w:p>
      <w:pPr>
        <w:ind w:right="360" w:firstLine="546"/>
        <w:spacing w:after="0" w:line="28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KODIAK SCIENCES INC.</w:t>
      </w:r>
    </w:p>
    <w:p>
      <w:pPr>
        <w:spacing w:after="0" w:line="239" w:lineRule="exact"/>
        <w:rPr>
          <w:sz w:val="20"/>
          <w:szCs w:val="20"/>
          <w:color w:val="auto"/>
        </w:rPr>
      </w:pPr>
    </w:p>
    <w:p>
      <w:pPr>
        <w:ind w:left="1860"/>
        <w:spacing w:after="0"/>
        <w:tabs>
          <w:tab w:leader="none" w:pos="5200" w:val="left"/>
        </w:tabs>
        <w:rPr>
          <w:sz w:val="20"/>
          <w:szCs w:val="20"/>
          <w:color w:val="auto"/>
        </w:rPr>
      </w:pPr>
      <w:r>
        <w:rPr>
          <w:rFonts w:ascii="Times New Roman" w:cs="Times New Roman" w:eastAsia="Times New Roman" w:hAnsi="Times New Roman"/>
          <w:sz w:val="17"/>
          <w:szCs w:val="17"/>
          <w:color w:val="auto"/>
        </w:rPr>
        <w:t>Date: March 1, 2021</w:t>
      </w:r>
      <w:r>
        <w:rPr>
          <w:sz w:val="20"/>
          <w:szCs w:val="20"/>
          <w:color w:val="auto"/>
        </w:rPr>
        <w:tab/>
      </w:r>
      <w:r>
        <w:rPr>
          <w:rFonts w:ascii="Times New Roman" w:cs="Times New Roman" w:eastAsia="Times New Roman" w:hAnsi="Times New Roman"/>
          <w:sz w:val="17"/>
          <w:szCs w:val="17"/>
          <w:color w:val="auto"/>
        </w:rPr>
        <w:t>By:</w:t>
      </w:r>
    </w:p>
    <w:p>
      <w:pPr>
        <w:spacing w:after="0" w:line="2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5080</wp:posOffset>
            </wp:positionV>
            <wp:extent cx="36512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3651250" cy="8255"/>
                    </a:xfrm>
                    <a:prstGeom prst="rect">
                      <a:avLst/>
                    </a:prstGeom>
                    <a:noFill/>
                  </pic:spPr>
                </pic:pic>
              </a:graphicData>
            </a:graphic>
          </wp:anchor>
        </w:drawing>
      </w:r>
    </w:p>
    <w:p>
      <w:pPr>
        <w:ind w:left="7580"/>
        <w:spacing w:after="0"/>
        <w:rPr>
          <w:sz w:val="20"/>
          <w:szCs w:val="20"/>
          <w:color w:val="auto"/>
        </w:rPr>
      </w:pPr>
      <w:r>
        <w:rPr>
          <w:rFonts w:ascii="Times New Roman" w:cs="Times New Roman" w:eastAsia="Times New Roman" w:hAnsi="Times New Roman"/>
          <w:sz w:val="17"/>
          <w:szCs w:val="17"/>
          <w:b w:val="1"/>
          <w:bCs w:val="1"/>
          <w:color w:val="auto"/>
        </w:rPr>
        <w:t>Victor Perlroth, M.D.</w:t>
      </w:r>
    </w:p>
    <w:p>
      <w:pPr>
        <w:spacing w:after="0" w:line="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7"/>
          <w:szCs w:val="17"/>
          <w:b w:val="1"/>
          <w:bCs w:val="1"/>
          <w:color w:val="auto"/>
        </w:rPr>
        <w:t>Chairman and Chief Executive Officer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5" w:lineRule="exact"/>
        <w:rPr>
          <w:sz w:val="20"/>
          <w:szCs w:val="20"/>
          <w:color w:val="auto"/>
        </w:rPr>
      </w:pPr>
    </w:p>
    <w:p>
      <w:pPr>
        <w:ind w:right="20" w:firstLine="546"/>
        <w:spacing w:after="0" w:line="256"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74" w:lineRule="exact"/>
        <w:rPr>
          <w:sz w:val="20"/>
          <w:szCs w:val="20"/>
          <w:color w:val="auto"/>
        </w:rPr>
      </w:pPr>
    </w:p>
    <w:p>
      <w:pPr>
        <w:ind w:right="100" w:firstLine="546"/>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4840" w:type="dxa"/>
            <w:vAlign w:val="bottom"/>
            <w:tcBorders>
              <w:bottom w:val="single" w:sz="8" w:color="auto"/>
            </w:tcBorders>
          </w:tcPr>
          <w:p>
            <w:pPr>
              <w:jc w:val="right"/>
              <w:ind w:right="2175"/>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40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Victor Perlroth</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Victor Perlroth, M.D.</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506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Borgeson</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John Borgeson</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Felix J. Baker</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Felix J. Baker, Ph.D.</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Charles Bancroft</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Charles Bancroft</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Bassil I. Dahiyat</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Bassil I. Dahiyat, Ph.D.</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S. Levy</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Richard S. Levy, M.D.</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A. Profusek</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Robert A. Profusek, J.D.</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Taiyin Yang</w:t>
            </w:r>
          </w:p>
        </w:tc>
        <w:tc>
          <w:tcPr>
            <w:tcW w:w="5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83"/>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Taiyin Yang, Ph.D.</w:t>
            </w:r>
          </w:p>
        </w:tc>
        <w:tc>
          <w:tcPr>
            <w:tcW w:w="5060" w:type="dxa"/>
            <w:vAlign w:val="bottom"/>
            <w:gridSpan w:val="3"/>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2"/>
        </w:trPr>
        <w:tc>
          <w:tcPr>
            <w:tcW w:w="3380" w:type="dxa"/>
            <w:vAlign w:val="bottom"/>
          </w:tcPr>
          <w:p>
            <w:pPr>
              <w:spacing w:after="0"/>
              <w:rPr>
                <w:sz w:val="24"/>
                <w:szCs w:val="24"/>
                <w:color w:val="auto"/>
              </w:rPr>
            </w:pPr>
          </w:p>
        </w:tc>
        <w:tc>
          <w:tcPr>
            <w:tcW w:w="4960" w:type="dxa"/>
            <w:vAlign w:val="bottom"/>
            <w:gridSpan w:val="2"/>
          </w:tcPr>
          <w:p>
            <w:pPr>
              <w:jc w:val="right"/>
              <w:ind w:right="2495"/>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Registration Rights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March 1, 2021 by and among Kodiak 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and the persons listed on the attached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who are signatories to this Agreement (each, an “Investor,” and collectively,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 xml:space="preserve">”). Unless otherwise defined herein, capitalized terms used in this Agreement have the respective meanings ascribed to them in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3"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and the Investors wish to provide for certain arrangements with respect to the registration of the Registrable Securities (as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by the Company under the Securities Act (as defined below).</w:t>
      </w:r>
    </w:p>
    <w:p>
      <w:pPr>
        <w:spacing w:after="0" w:line="144"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mutual promises and covenants set forth herein, and other consideration, the receipt and adequacy of which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acknowledged, the parties hereto agree as follows:</w:t>
      </w:r>
    </w:p>
    <w:p>
      <w:pPr>
        <w:spacing w:after="0" w:line="1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Section 1.</w:t>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6" w:lineRule="exact"/>
        <w:rPr>
          <w:sz w:val="20"/>
          <w:szCs w:val="20"/>
          <w:color w:val="auto"/>
        </w:rPr>
      </w:pPr>
    </w:p>
    <w:p>
      <w:pPr>
        <w:ind w:left="420" w:right="640" w:hanging="421"/>
        <w:spacing w:after="0" w:line="283"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1.1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In addition to the terms defined elsewhere in this Agreement, as used in this Agreement, the following terms have the respective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meanings set forth below:</w:t>
      </w:r>
    </w:p>
    <w:p>
      <w:pPr>
        <w:spacing w:after="0" w:line="152" w:lineRule="exact"/>
        <w:rPr>
          <w:sz w:val="20"/>
          <w:szCs w:val="20"/>
          <w:color w:val="auto"/>
        </w:rPr>
      </w:pPr>
    </w:p>
    <w:p>
      <w:pPr>
        <w:ind w:left="800" w:hanging="798"/>
        <w:spacing w:after="0"/>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BBA Investors</w:t>
      </w:r>
      <w:r>
        <w:rPr>
          <w:rFonts w:ascii="Times New Roman" w:cs="Times New Roman" w:eastAsia="Times New Roman" w:hAnsi="Times New Roman"/>
          <w:sz w:val="17"/>
          <w:szCs w:val="17"/>
          <w:color w:val="auto"/>
        </w:rPr>
        <w:t>” shall mean 667, L.P. and Baker Brothers Life Sciences, L.P.</w:t>
      </w:r>
    </w:p>
    <w:p>
      <w:pPr>
        <w:spacing w:after="0" w:line="213" w:lineRule="exact"/>
        <w:rPr>
          <w:rFonts w:ascii="Times New Roman" w:cs="Times New Roman" w:eastAsia="Times New Roman" w:hAnsi="Times New Roman"/>
          <w:sz w:val="17"/>
          <w:szCs w:val="17"/>
          <w:color w:val="auto"/>
        </w:rPr>
      </w:pPr>
    </w:p>
    <w:p>
      <w:pPr>
        <w:ind w:right="600" w:firstLine="2"/>
        <w:spacing w:after="0" w:line="283" w:lineRule="auto"/>
        <w:tabs>
          <w:tab w:leader="none" w:pos="8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 Trade</w:t>
      </w:r>
      <w:r>
        <w:rPr>
          <w:rFonts w:ascii="Times New Roman" w:cs="Times New Roman" w:eastAsia="Times New Roman" w:hAnsi="Times New Roman"/>
          <w:sz w:val="17"/>
          <w:szCs w:val="17"/>
          <w:color w:val="auto"/>
        </w:rPr>
        <w:t>” shall mean an offering of Registrable Securities which requires one or more of the Investors and the Company to enter into a sale agreement and is limited in scope of selling efforts as compared to an Underwritten Offering.</w:t>
      </w:r>
    </w:p>
    <w:p>
      <w:pPr>
        <w:spacing w:after="0" w:line="152" w:lineRule="exact"/>
        <w:rPr>
          <w:rFonts w:ascii="Times New Roman" w:cs="Times New Roman" w:eastAsia="Times New Roman" w:hAnsi="Times New Roman"/>
          <w:sz w:val="17"/>
          <w:szCs w:val="17"/>
          <w:color w:val="auto"/>
        </w:rPr>
      </w:pPr>
    </w:p>
    <w:p>
      <w:pPr>
        <w:ind w:left="800" w:hanging="798"/>
        <w:spacing w:after="0"/>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213" w:lineRule="exact"/>
        <w:rPr>
          <w:rFonts w:ascii="Times New Roman" w:cs="Times New Roman" w:eastAsia="Times New Roman" w:hAnsi="Times New Roman"/>
          <w:sz w:val="17"/>
          <w:szCs w:val="17"/>
          <w:color w:val="auto"/>
        </w:rPr>
      </w:pPr>
    </w:p>
    <w:p>
      <w:pPr>
        <w:ind w:left="820" w:hanging="818"/>
        <w:spacing w:after="0"/>
        <w:tabs>
          <w:tab w:leader="none" w:pos="8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shall mean the Securities and Exchange Commission or any other federal agency at the time administering the Securities Act.</w:t>
      </w:r>
    </w:p>
    <w:p>
      <w:pPr>
        <w:spacing w:after="0" w:line="213" w:lineRule="exact"/>
        <w:rPr>
          <w:rFonts w:ascii="Times New Roman" w:cs="Times New Roman" w:eastAsia="Times New Roman" w:hAnsi="Times New Roman"/>
          <w:sz w:val="17"/>
          <w:szCs w:val="17"/>
          <w:color w:val="auto"/>
        </w:rPr>
      </w:pPr>
    </w:p>
    <w:p>
      <w:pPr>
        <w:ind w:left="800" w:hanging="798"/>
        <w:spacing w:after="0"/>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common stock of the Company, par value $0.0001 per share.</w:t>
      </w:r>
    </w:p>
    <w:p>
      <w:pPr>
        <w:spacing w:after="0" w:line="213" w:lineRule="exact"/>
        <w:rPr>
          <w:rFonts w:ascii="Times New Roman" w:cs="Times New Roman" w:eastAsia="Times New Roman" w:hAnsi="Times New Roman"/>
          <w:sz w:val="17"/>
          <w:szCs w:val="17"/>
          <w:color w:val="auto"/>
        </w:rPr>
      </w:pPr>
    </w:p>
    <w:p>
      <w:pPr>
        <w:ind w:right="420" w:firstLine="2"/>
        <w:spacing w:after="0" w:line="283" w:lineRule="auto"/>
        <w:tabs>
          <w:tab w:leader="none" w:pos="78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or any similar successor federal statute and the rules and regulations thereunder, all as the same shall be in effect from time to time.</w:t>
      </w:r>
    </w:p>
    <w:p>
      <w:pPr>
        <w:spacing w:after="0" w:line="152" w:lineRule="exact"/>
        <w:rPr>
          <w:rFonts w:ascii="Times New Roman" w:cs="Times New Roman" w:eastAsia="Times New Roman" w:hAnsi="Times New Roman"/>
          <w:sz w:val="17"/>
          <w:szCs w:val="17"/>
          <w:color w:val="auto"/>
        </w:rPr>
      </w:pPr>
    </w:p>
    <w:p>
      <w:pPr>
        <w:ind w:right="20" w:firstLine="2"/>
        <w:spacing w:after="0" w:line="267" w:lineRule="auto"/>
        <w:tabs>
          <w:tab w:leader="none" w:pos="8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Immediate Family</w:t>
      </w:r>
      <w:r>
        <w:rPr>
          <w:rFonts w:ascii="Times New Roman" w:cs="Times New Roman" w:eastAsia="Times New Roman" w:hAnsi="Times New Roman"/>
          <w:sz w:val="17"/>
          <w:szCs w:val="17"/>
          <w:color w:val="auto"/>
        </w:rPr>
        <w:t>” shall mean, with respect to a natural person,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65" w:lineRule="exact"/>
        <w:rPr>
          <w:rFonts w:ascii="Times New Roman" w:cs="Times New Roman" w:eastAsia="Times New Roman" w:hAnsi="Times New Roman"/>
          <w:sz w:val="17"/>
          <w:szCs w:val="17"/>
          <w:color w:val="auto"/>
        </w:rPr>
      </w:pPr>
    </w:p>
    <w:p>
      <w:pPr>
        <w:ind w:right="60" w:firstLine="2"/>
        <w:spacing w:after="0" w:line="283" w:lineRule="auto"/>
        <w:tabs>
          <w:tab w:leader="none" w:pos="8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Investors’ Rights Agreement</w:t>
      </w:r>
      <w:r>
        <w:rPr>
          <w:rFonts w:ascii="Times New Roman" w:cs="Times New Roman" w:eastAsia="Times New Roman" w:hAnsi="Times New Roman"/>
          <w:sz w:val="17"/>
          <w:szCs w:val="17"/>
          <w:color w:val="auto"/>
        </w:rPr>
        <w:t>” shall mean that certain Investors’ Rights Agreement, dated September 8, 2015, as amended, by and among the Company and the investors party thereto.</w:t>
      </w:r>
    </w:p>
    <w:p>
      <w:pPr>
        <w:spacing w:after="0" w:line="152" w:lineRule="exact"/>
        <w:rPr>
          <w:rFonts w:ascii="Times New Roman" w:cs="Times New Roman" w:eastAsia="Times New Roman" w:hAnsi="Times New Roman"/>
          <w:sz w:val="17"/>
          <w:szCs w:val="17"/>
          <w:color w:val="auto"/>
        </w:rPr>
      </w:pPr>
    </w:p>
    <w:p>
      <w:pPr>
        <w:ind w:right="60" w:firstLine="2"/>
        <w:spacing w:after="0" w:line="267" w:lineRule="auto"/>
        <w:tabs>
          <w:tab w:leader="none" w:pos="77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shall mean any federal, state, local or foreign government, or any department, agency, or instrumentality of any government; any public international organization, any transnational governmental organization; any court of competent jurisdiction, arbitral, administrative agency, commission, or other governmental regulatory authority or quasi-governmental authority, any political party; and any national securities exchange or national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715581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7" w:name="page158"/>
    <w:bookmarkEnd w:id="157"/>
    <w:p>
      <w:pPr>
        <w:ind w:left="778" w:hanging="778"/>
        <w:spacing w:after="0"/>
        <w:tabs>
          <w:tab w:leader="none" w:pos="7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Securities</w:t>
      </w:r>
      <w:r>
        <w:rPr>
          <w:rFonts w:ascii="Times New Roman" w:cs="Times New Roman" w:eastAsia="Times New Roman" w:hAnsi="Times New Roman"/>
          <w:sz w:val="17"/>
          <w:szCs w:val="17"/>
          <w:color w:val="auto"/>
        </w:rPr>
        <w:t>” shall mean securities of the Company, other than Registrable Securities (as defined below).</w:t>
      </w:r>
    </w:p>
    <w:p>
      <w:pPr>
        <w:spacing w:after="0" w:line="213" w:lineRule="exact"/>
        <w:rPr>
          <w:rFonts w:ascii="Times New Roman" w:cs="Times New Roman" w:eastAsia="Times New Roman" w:hAnsi="Times New Roman"/>
          <w:sz w:val="17"/>
          <w:szCs w:val="17"/>
          <w:color w:val="auto"/>
        </w:rPr>
      </w:pPr>
    </w:p>
    <w:p>
      <w:pPr>
        <w:ind w:left="818" w:hanging="818"/>
        <w:spacing w:after="0"/>
        <w:tabs>
          <w:tab w:leader="none" w:pos="8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Perlroth Investor</w:t>
      </w:r>
      <w:r>
        <w:rPr>
          <w:rFonts w:ascii="Times New Roman" w:cs="Times New Roman" w:eastAsia="Times New Roman" w:hAnsi="Times New Roman"/>
          <w:sz w:val="17"/>
          <w:szCs w:val="17"/>
          <w:color w:val="auto"/>
        </w:rPr>
        <w:t>” means D. Victor Perlroth, M.D.</w:t>
      </w:r>
    </w:p>
    <w:p>
      <w:pPr>
        <w:spacing w:after="0" w:line="213" w:lineRule="exact"/>
        <w:rPr>
          <w:rFonts w:ascii="Times New Roman" w:cs="Times New Roman" w:eastAsia="Times New Roman" w:hAnsi="Times New Roman"/>
          <w:sz w:val="17"/>
          <w:szCs w:val="17"/>
          <w:color w:val="auto"/>
        </w:rPr>
      </w:pPr>
    </w:p>
    <w:p>
      <w:pPr>
        <w:ind w:left="-2" w:right="540" w:firstLine="2"/>
        <w:spacing w:after="0" w:line="283" w:lineRule="auto"/>
        <w:tabs>
          <w:tab w:leader="none" w:pos="77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52" w:lineRule="exact"/>
        <w:rPr>
          <w:rFonts w:ascii="Times New Roman" w:cs="Times New Roman" w:eastAsia="Times New Roman" w:hAnsi="Times New Roman"/>
          <w:sz w:val="17"/>
          <w:szCs w:val="17"/>
          <w:color w:val="auto"/>
        </w:rPr>
      </w:pPr>
    </w:p>
    <w:p>
      <w:pPr>
        <w:ind w:left="-2" w:firstLine="2"/>
        <w:spacing w:after="0" w:line="255" w:lineRule="auto"/>
        <w:tabs>
          <w:tab w:leader="none" w:pos="85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shall mean the shares of Common Stock and any Common Stock issued or issuable upon the exercise or conversion of any other securities (whether equity, debt or otherwise) of the Company now owned or hereafter acquired by any of the Investors. Registrable Securities shall cease to be Registrable Securities upon the earliest to occur of the following events: (i) such Registrable Securities have been sold by the applicable Investor(s) pursuant to an effective Registration Statement; (ii) such Registrable Securities have been sold by the applicable Investor(s) pursuant to Rule 144 (or other similar rule), (iii) at any time after an Investor becomes an affiliate of the Company, (solely with respect to such Investor) such Registrable Securities may be resold by such Investor holding such Registrable Securities without limitations as to volume or manner of sale pursuant to Rule 144; or (iv)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w:t>
      </w:r>
    </w:p>
    <w:p>
      <w:pPr>
        <w:spacing w:after="0" w:line="174" w:lineRule="exact"/>
        <w:rPr>
          <w:rFonts w:ascii="Times New Roman" w:cs="Times New Roman" w:eastAsia="Times New Roman" w:hAnsi="Times New Roman"/>
          <w:sz w:val="17"/>
          <w:szCs w:val="17"/>
          <w:color w:val="auto"/>
        </w:rPr>
      </w:pPr>
    </w:p>
    <w:p>
      <w:pPr>
        <w:ind w:left="-2" w:right="120" w:firstLine="2"/>
        <w:spacing w:after="0" w:line="283" w:lineRule="auto"/>
        <w:tabs>
          <w:tab w:leader="none" w:pos="8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shall refer to a registration effected by preparing and filing a Registration Statement in compliance with the Securities Act, and such Registration Statement becoming effective under the Securities Act.</w:t>
      </w:r>
    </w:p>
    <w:p>
      <w:pPr>
        <w:spacing w:after="0" w:line="152" w:lineRule="exact"/>
        <w:rPr>
          <w:rFonts w:ascii="Times New Roman" w:cs="Times New Roman" w:eastAsia="Times New Roman" w:hAnsi="Times New Roman"/>
          <w:sz w:val="17"/>
          <w:szCs w:val="17"/>
          <w:color w:val="auto"/>
        </w:rPr>
      </w:pPr>
    </w:p>
    <w:p>
      <w:pPr>
        <w:ind w:left="-2" w:firstLine="2"/>
        <w:spacing w:after="0" w:line="257" w:lineRule="auto"/>
        <w:tabs>
          <w:tab w:leader="none" w:pos="8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up to $50,000 of reasonable legal expenses of one special counsel for Investors (if different from the Company’s counsel and if such counsel is reasonably approved by the Company) in connection with the preparation and filing of the Resale Registration Shelf (as defined below), and up to $50,000 of reasonable legal expenses of one special counsel for the Investors (if different from the Company’s counsel and if such counsel is reasonably approved by the Company) per Underwritten Offering, blue sky fees and expenses, and expenses of any regular or special audits incident to or required by any such registration, but shall not include Selling Expenses.</w:t>
      </w:r>
    </w:p>
    <w:p>
      <w:pPr>
        <w:spacing w:after="0" w:line="175" w:lineRule="exact"/>
        <w:rPr>
          <w:rFonts w:ascii="Times New Roman" w:cs="Times New Roman" w:eastAsia="Times New Roman" w:hAnsi="Times New Roman"/>
          <w:sz w:val="17"/>
          <w:szCs w:val="17"/>
          <w:color w:val="auto"/>
        </w:rPr>
      </w:pPr>
    </w:p>
    <w:p>
      <w:pPr>
        <w:ind w:left="-2" w:right="60" w:firstLine="2"/>
        <w:spacing w:after="0" w:line="261" w:lineRule="auto"/>
        <w:tabs>
          <w:tab w:leader="none" w:pos="8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71" w:lineRule="exact"/>
        <w:rPr>
          <w:rFonts w:ascii="Times New Roman" w:cs="Times New Roman" w:eastAsia="Times New Roman" w:hAnsi="Times New Roman"/>
          <w:sz w:val="17"/>
          <w:szCs w:val="17"/>
          <w:color w:val="auto"/>
        </w:rPr>
      </w:pPr>
    </w:p>
    <w:p>
      <w:pPr>
        <w:ind w:left="-2" w:right="240" w:firstLine="2"/>
        <w:spacing w:after="0" w:line="283" w:lineRule="auto"/>
        <w:tabs>
          <w:tab w:leader="none" w:pos="8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shall mean Rule 144 as promulgated by the Commission under the Securities Act, as such rule may be amended from time to time, or any similar successor rule that may be promulgated by the Commission.</w:t>
      </w:r>
    </w:p>
    <w:p>
      <w:pPr>
        <w:spacing w:after="0" w:line="152" w:lineRule="exact"/>
        <w:rPr>
          <w:rFonts w:ascii="Times New Roman" w:cs="Times New Roman" w:eastAsia="Times New Roman" w:hAnsi="Times New Roman"/>
          <w:sz w:val="17"/>
          <w:szCs w:val="17"/>
          <w:color w:val="auto"/>
        </w:rPr>
      </w:pPr>
    </w:p>
    <w:p>
      <w:pPr>
        <w:ind w:left="-2" w:right="120" w:firstLine="2"/>
        <w:spacing w:after="0" w:line="283" w:lineRule="auto"/>
        <w:tabs>
          <w:tab w:leader="none" w:pos="78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Securities Act of 1933, as amended, or any similar successor federal statute and the rules and regulations thereunder, all as the same shall be in effect from time to time.</w:t>
      </w:r>
    </w:p>
    <w:p>
      <w:pPr>
        <w:spacing w:after="0" w:line="152" w:lineRule="exact"/>
        <w:rPr>
          <w:rFonts w:ascii="Times New Roman" w:cs="Times New Roman" w:eastAsia="Times New Roman" w:hAnsi="Times New Roman"/>
          <w:sz w:val="17"/>
          <w:szCs w:val="17"/>
          <w:color w:val="auto"/>
        </w:rPr>
      </w:pPr>
    </w:p>
    <w:p>
      <w:pPr>
        <w:ind w:left="-2" w:right="60" w:firstLine="2"/>
        <w:spacing w:after="0" w:line="267" w:lineRule="auto"/>
        <w:tabs>
          <w:tab w:leader="none" w:pos="79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 shall mean all underwriting discounts and selling commissions applicable to the sale of Registrable Securities, the fees and expenses of any legal or special counsel and any other advisors any of the Participating Investors engage and all similar fees and commissions relating to the Investors’ disposition of the Registrable Securities.</w:t>
      </w:r>
    </w:p>
    <w:p>
      <w:pPr>
        <w:spacing w:after="0" w:line="165" w:lineRule="exact"/>
        <w:rPr>
          <w:rFonts w:ascii="Times New Roman" w:cs="Times New Roman" w:eastAsia="Times New Roman" w:hAnsi="Times New Roman"/>
          <w:sz w:val="17"/>
          <w:szCs w:val="17"/>
          <w:color w:val="auto"/>
        </w:rPr>
      </w:pPr>
    </w:p>
    <w:p>
      <w:pPr>
        <w:ind w:left="-2" w:right="280" w:firstLine="2"/>
        <w:spacing w:after="0" w:line="283" w:lineRule="auto"/>
        <w:tabs>
          <w:tab w:leader="none" w:pos="77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shall mean a public offering of Registrable Securities pursuant to an effective registration statement under the Securities Act (other than pursuant to a registration statement on Form S-4 or S-8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5581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38"/>
          </w:cols>
          <w:pgMar w:left="322" w:top="32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color w:val="auto"/>
        </w:rPr>
        <w:t>any similar or successor form) which requires (i) any of the Participating Investors and (ii) the Company to enter into an underwriting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Resale Registration Rights</w:t>
      </w:r>
    </w:p>
    <w:p>
      <w:pPr>
        <w:spacing w:after="0" w:line="1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2.1</w:t>
        <w:tab/>
        <w:t>Resale Registration Rights.</w:t>
      </w:r>
    </w:p>
    <w:p>
      <w:pPr>
        <w:spacing w:after="0" w:line="213" w:lineRule="exact"/>
        <w:rPr>
          <w:sz w:val="20"/>
          <w:szCs w:val="20"/>
          <w:color w:val="auto"/>
        </w:rPr>
      </w:pPr>
    </w:p>
    <w:p>
      <w:pPr>
        <w:ind w:right="60" w:firstLine="2"/>
        <w:spacing w:after="0" w:line="255" w:lineRule="auto"/>
        <w:tabs>
          <w:tab w:leader="none" w:pos="80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written demand by one or more Investors (the Investors initiating any demand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Initiating Investors</w:t>
      </w:r>
      <w:r>
        <w:rPr>
          <w:rFonts w:ascii="Times New Roman" w:cs="Times New Roman" w:eastAsia="Times New Roman" w:hAnsi="Times New Roman"/>
          <w:sz w:val="17"/>
          <w:szCs w:val="17"/>
          <w:color w:val="auto"/>
        </w:rPr>
        <w:t>”), the Company shall use commercially reasonable efforts to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Initiating Investors (the “</w:t>
      </w:r>
      <w:r>
        <w:rPr>
          <w:rFonts w:ascii="Times New Roman" w:cs="Times New Roman" w:eastAsia="Times New Roman" w:hAnsi="Times New Roman"/>
          <w:sz w:val="17"/>
          <w:szCs w:val="17"/>
          <w:u w:val="single" w:color="auto"/>
          <w:color w:val="auto"/>
        </w:rPr>
        <w:t>Resale Registration Shelf</w:t>
      </w:r>
      <w:r>
        <w:rPr>
          <w:rFonts w:ascii="Times New Roman" w:cs="Times New Roman" w:eastAsia="Times New Roman" w:hAnsi="Times New Roman"/>
          <w:sz w:val="17"/>
          <w:szCs w:val="17"/>
          <w:color w:val="auto"/>
        </w:rPr>
        <w:t>”), and the Company shall file such Resale Registration Shelf as promptly as reasonably practicable following such demand, and in any event within sixty (60) days of such demand. Upon receipt of such written demand:</w:t>
      </w:r>
    </w:p>
    <w:p>
      <w:pPr>
        <w:ind w:firstLine="2"/>
        <w:spacing w:after="0" w:line="250" w:lineRule="auto"/>
        <w:tabs>
          <w:tab w:leader="none" w:pos="20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give written notice thereof to all Investors within five (5) days of receipt and (ii) the Company shall afford such Investors the opportunity to include any Registrable Securities owned by them in such Resale Registration Shelf (the Initiating Investors and other Investors electing to participate in any registration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are referred to herein as the “</w:t>
      </w:r>
      <w:r>
        <w:rPr>
          <w:rFonts w:ascii="Times New Roman" w:cs="Times New Roman" w:eastAsia="Times New Roman" w:hAnsi="Times New Roman"/>
          <w:sz w:val="17"/>
          <w:szCs w:val="17"/>
          <w:u w:val="single" w:color="auto"/>
          <w:color w:val="auto"/>
        </w:rPr>
        <w:t>Participating Investors</w:t>
      </w:r>
      <w:r>
        <w:rPr>
          <w:rFonts w:ascii="Times New Roman" w:cs="Times New Roman" w:eastAsia="Times New Roman" w:hAnsi="Times New Roman"/>
          <w:sz w:val="17"/>
          <w:szCs w:val="17"/>
          <w:color w:val="auto"/>
        </w:rPr>
        <w:t xml:space="preserve">”). Such Resale Registration Shelf shall include a “final” prospectus, including the information required by Item 507 of Regulation S-K of the Securities Act, as provided by the Participating Investors in accordance with </w:t>
      </w:r>
      <w:r>
        <w:rPr>
          <w:rFonts w:ascii="Times New Roman" w:cs="Times New Roman" w:eastAsia="Times New Roman" w:hAnsi="Times New Roman"/>
          <w:sz w:val="17"/>
          <w:szCs w:val="17"/>
          <w:u w:val="single" w:color="auto"/>
          <w:color w:val="auto"/>
        </w:rPr>
        <w:t>Section</w:t>
      </w:r>
    </w:p>
    <w:p>
      <w:pPr>
        <w:spacing w:after="0" w:line="3" w:lineRule="exact"/>
        <w:rPr>
          <w:rFonts w:ascii="Times New Roman" w:cs="Times New Roman" w:eastAsia="Times New Roman" w:hAnsi="Times New Roman"/>
          <w:sz w:val="17"/>
          <w:szCs w:val="17"/>
          <w:color w:val="auto"/>
        </w:rPr>
      </w:pPr>
    </w:p>
    <w:p>
      <w:pPr>
        <w:jc w:val="both"/>
        <w:ind w:right="5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Notwithstanding the foregoing, before filing the Resale Registration Shelf, the Company shall furnish to the Participating Investors a copy of the Resale Registration Shelf and afford the Participating Investors an opportunity to review and comment on the Resale Registration Shelf. The Company’s obligation pursuant to this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is conditioned upon the Participating Investors providing the information contemplated in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right="160" w:firstLine="2"/>
        <w:spacing w:after="0" w:line="256" w:lineRule="auto"/>
        <w:tabs>
          <w:tab w:leader="none" w:pos="81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its commercially reasonable efforts to cause the Resale Registration Shelf and related prospectuses to become effective as promptly as practicable after filing. The Company shall use its commercially reasonable efforts to cause such Registration Statement to remain effective under the Securities Act until the earlier of the date (i) all Registrable Securities covered by the Resale Registration Shelf have been sold or may be sold freely without limitations or restrictions as to volume or manner of sale pursuant to Rule 144 or (ii) all Registrable Securities covered by the Resale Registration Shelf otherwise cease to be Registrable Securities pursuant to the definition of Registrable Securities. The Company shall promptly, and within two (2) business days after the Company confirms effectiveness of the Resale Registration Shelf with the Commission, notify the Participating Investors of the effectiveness of the Resale Registration Shelf.</w:t>
      </w:r>
    </w:p>
    <w:p>
      <w:pPr>
        <w:spacing w:after="0" w:line="175" w:lineRule="exact"/>
        <w:rPr>
          <w:rFonts w:ascii="Times New Roman" w:cs="Times New Roman" w:eastAsia="Times New Roman" w:hAnsi="Times New Roman"/>
          <w:sz w:val="17"/>
          <w:szCs w:val="17"/>
          <w:color w:val="auto"/>
        </w:rPr>
      </w:pPr>
    </w:p>
    <w:p>
      <w:pPr>
        <w:ind w:right="300" w:firstLine="2"/>
        <w:spacing w:after="0" w:line="283" w:lineRule="auto"/>
        <w:tabs>
          <w:tab w:leader="none" w:pos="80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herein to the contrary, the Company shall not be obligated to effect, or to take any action to effect, a registration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right="460" w:firstLine="2"/>
        <w:spacing w:after="0" w:line="283" w:lineRule="auto"/>
        <w:tabs>
          <w:tab w:leader="none" w:pos="20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has and maintains an effective Registration Statement on Form S-3ASR that provides for the resale of an unlimited number of securities by selling stockholders (a “</w:t>
      </w:r>
      <w:r>
        <w:rPr>
          <w:rFonts w:ascii="Times New Roman" w:cs="Times New Roman" w:eastAsia="Times New Roman" w:hAnsi="Times New Roman"/>
          <w:sz w:val="17"/>
          <w:szCs w:val="17"/>
          <w:u w:val="single" w:color="auto"/>
          <w:color w:val="auto"/>
        </w:rPr>
        <w:t>Company Registration Shelf</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left="260" w:hanging="258"/>
        <w:spacing w:after="0"/>
        <w:tabs>
          <w:tab w:leader="none" w:pos="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forty-five (45) days prior to the Company’s good faith estimate of the date of filing of a Company Registration Shelf; or</w:t>
      </w:r>
    </w:p>
    <w:p>
      <w:pPr>
        <w:spacing w:after="0" w:line="213"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has caused a Registration Statement to become effective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during the prior twelve (12) month period.</w:t>
      </w:r>
    </w:p>
    <w:p>
      <w:pPr>
        <w:spacing w:after="0" w:line="213" w:lineRule="exact"/>
        <w:rPr>
          <w:sz w:val="20"/>
          <w:szCs w:val="20"/>
          <w:color w:val="auto"/>
        </w:rPr>
      </w:pPr>
    </w:p>
    <w:p>
      <w:pPr>
        <w:ind w:right="140" w:firstLine="2"/>
        <w:spacing w:after="0" w:line="259" w:lineRule="auto"/>
        <w:tabs>
          <w:tab w:leader="none" w:pos="81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has a Company Registration Shelf in place at any time in which any Initiating Investors make a demand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the Company shall file with the Commission, as promptly as practicable, and in any event within fifteen (15) business days after such demand, a “final” prospectus supplement to its Company Registration Shelf covering the resale of the Registrable Securities by such Initiating Investors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obligated to file more than one Prospectus pursuant to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 xml:space="preserve"> in any six month period to add additional Registrable Securities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715581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Registration Shelf that were acquired by such Initiating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Notwithstanding the foregoing, before filing the Prospectus, the Company shall furnish to the Investors a copy of the Prospectus and afford such Initiating Investors an opportunity to review and comment on the Prospectus.</w:t>
      </w:r>
    </w:p>
    <w:p>
      <w:pPr>
        <w:spacing w:after="0" w:line="172" w:lineRule="exact"/>
        <w:rPr>
          <w:sz w:val="20"/>
          <w:szCs w:val="20"/>
          <w:color w:val="auto"/>
        </w:rPr>
      </w:pPr>
    </w:p>
    <w:p>
      <w:pPr>
        <w:ind w:right="80" w:firstLine="2"/>
        <w:spacing w:after="0" w:line="252" w:lineRule="auto"/>
        <w:tabs>
          <w:tab w:leader="none" w:pos="80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and Suspension</w:t>
      </w:r>
      <w:r>
        <w:rPr>
          <w:rFonts w:ascii="Times New Roman" w:cs="Times New Roman" w:eastAsia="Times New Roman" w:hAnsi="Times New Roman"/>
          <w:sz w:val="17"/>
          <w:szCs w:val="17"/>
          <w:color w:val="auto"/>
        </w:rPr>
        <w:t>. At any time after being obligated pursuant to this Agreement to file a Resale Registration Shelf or Prospectus, or after any Resale Registration Shelf has become effective or a Prospectus is filed with the Commission, the Company may defer the filing of or suspend the use of any such Resale Registration Shelf or Prospectus, upon giving written notice of such action to the Investors with Registrable Securities included (or to be included) in such Resale Registration Shelf or Prospectus (“</w:t>
      </w:r>
      <w:r>
        <w:rPr>
          <w:rFonts w:ascii="Times New Roman" w:cs="Times New Roman" w:eastAsia="Times New Roman" w:hAnsi="Times New Roman"/>
          <w:sz w:val="17"/>
          <w:szCs w:val="17"/>
          <w:u w:val="single" w:color="auto"/>
          <w:color w:val="auto"/>
        </w:rPr>
        <w:t>Impacted Investors</w:t>
      </w:r>
      <w:r>
        <w:rPr>
          <w:rFonts w:ascii="Times New Roman" w:cs="Times New Roman" w:eastAsia="Times New Roman" w:hAnsi="Times New Roman"/>
          <w:sz w:val="17"/>
          <w:szCs w:val="17"/>
          <w:color w:val="auto"/>
        </w:rPr>
        <w:t xml:space="preserve">”) with a certificate signed by the Principal Executive Officer or Principal Financial Officer of the Company stating that in the good faith judgment of the Board, the filing or use of any such Resale Registration Shelf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Impacted Investors of such deferral or suspension;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exercise the right contained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2.1(e)</w:t>
      </w:r>
      <w:r>
        <w:rPr>
          <w:rFonts w:ascii="Times New Roman" w:cs="Times New Roman" w:eastAsia="Times New Roman" w:hAnsi="Times New Roman"/>
          <w:sz w:val="17"/>
          <w:szCs w:val="17"/>
          <w:color w:val="auto"/>
        </w:rPr>
        <w:t xml:space="preserve"> more than once in any twelve month period. In the case of the suspension of use of any effective Resale Registration Shelf or Prospectus, the Impacted Investors, immediately upon receipt of notice thereof from the Company, shall discontinue any offers or sales 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Impacted Investors of (i) the Company’s decision to file or seek effectiveness 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hereof) with respect to the registration or sale of any Registrable Securities pursuant to any such Resale Registration Shelf, Company Registration Shelf or Prospectus.</w:t>
      </w:r>
    </w:p>
    <w:p>
      <w:pPr>
        <w:spacing w:after="0" w:line="189" w:lineRule="exact"/>
        <w:rPr>
          <w:rFonts w:ascii="Times New Roman" w:cs="Times New Roman" w:eastAsia="Times New Roman" w:hAnsi="Times New Roman"/>
          <w:sz w:val="17"/>
          <w:szCs w:val="17"/>
          <w:color w:val="auto"/>
        </w:rPr>
      </w:pPr>
    </w:p>
    <w:p>
      <w:pPr>
        <w:jc w:val="both"/>
        <w:ind w:right="40" w:firstLine="2"/>
        <w:spacing w:after="0" w:line="259" w:lineRule="auto"/>
        <w:tabs>
          <w:tab w:leader="none" w:pos="783"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Securities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xml:space="preserve"> below, any Resale Registration Shelf or Prospectus may include Other Securities, and may include securities of the Company being sold for the account of the Company; provided such Other Securities are excluded first from such Registration Statement in order to comply with any applicable laws or request from any Government Entity, Nasdaq or any applicable listing agency. For the avoidance of doubt, no Other Securities may be included in an Underwritten Offering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without the consent of (x) with respect to an Underwritten Offering initiated by the BBA Investor, the BBA Investors, and (y) with respect to an Underwritten Offering initiated by the Perlroth Investor, the Perlroth Investor.</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2.2</w:t>
        <w:tab/>
        <w:t>Sales and Underwritten Offerings of the Registrable Securities.</w:t>
      </w:r>
    </w:p>
    <w:p>
      <w:pPr>
        <w:spacing w:after="0" w:line="213" w:lineRule="exact"/>
        <w:rPr>
          <w:sz w:val="20"/>
          <w:szCs w:val="20"/>
          <w:color w:val="auto"/>
        </w:rPr>
      </w:pPr>
    </w:p>
    <w:p>
      <w:pPr>
        <w:ind w:right="60" w:firstLine="2"/>
        <w:spacing w:after="0" w:line="261" w:lineRule="auto"/>
        <w:tabs>
          <w:tab w:leader="none" w:pos="80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contained herein to the contrary, the BBA Investors, on the one hand, and the Perlroth Investor, on the other hand, shall, subject to the limitations set forth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each be permitted (i) one Underwritten Offering per calendar year, but no more than three Underwritten Offerings in total, and (ii) no more than two Underwritten Offerings or Block Trades in any twelve month period, to effect the sale or distribution of Registrable Securities.</w:t>
      </w:r>
    </w:p>
    <w:p>
      <w:pPr>
        <w:spacing w:after="0" w:line="171" w:lineRule="exact"/>
        <w:rPr>
          <w:rFonts w:ascii="Times New Roman" w:cs="Times New Roman" w:eastAsia="Times New Roman" w:hAnsi="Times New Roman"/>
          <w:sz w:val="17"/>
          <w:szCs w:val="17"/>
          <w:color w:val="auto"/>
        </w:rPr>
      </w:pPr>
    </w:p>
    <w:p>
      <w:pPr>
        <w:ind w:firstLine="2"/>
        <w:spacing w:after="0" w:line="257" w:lineRule="auto"/>
        <w:tabs>
          <w:tab w:leader="none" w:pos="81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of the Investors intend to effect an Underwritten Offering or Block Trade pursuant to a Resale Registration Shelf or Company Registration Shelf to sell or otherwise distribute Registrable Securities, they shall so advise the Company and provide as much notice to the Company as reasonably practicable (and, in either case, not less than fifteen (15) business days prior to such Investors’ request that the Company file a prospectus supplement to a Resale Registration Shelf or Company Registration Shelf). The Company shall give written notice of such Underwritten Offering to all Investors within five (5) days of receipt thereof, and such other Investors shall be entitled to participate in such Underwritten Offering, subject to the limitations set forth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For the avoidance of doubt, no Investor shall have any right to participate in any other Investor’s Block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15581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60" w:name="page161"/>
    <w:bookmarkEnd w:id="160"/>
    <w:p>
      <w:pPr>
        <w:ind w:left="-2" w:right="340" w:firstLine="2"/>
        <w:spacing w:after="0" w:line="26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offering initiated by any of the Investors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involving an underwriting of shares of Registrable Securities, (x) to the extent the BBA Investors initiated the offer, the BBA Investors and (y) to the extent the Perlroth Investor initiated the offer, the Perlroth Investor shall be entitled to select the underwriter or underwriters for such offering, subject to the consent of the Company, such consent not to be unreasonably withheld, conditioned or delayed.</w:t>
      </w:r>
    </w:p>
    <w:p>
      <w:pPr>
        <w:spacing w:after="0" w:line="171" w:lineRule="exact"/>
        <w:rPr>
          <w:rFonts w:ascii="Times New Roman" w:cs="Times New Roman" w:eastAsia="Times New Roman" w:hAnsi="Times New Roman"/>
          <w:sz w:val="17"/>
          <w:szCs w:val="17"/>
          <w:color w:val="auto"/>
        </w:rPr>
      </w:pPr>
    </w:p>
    <w:p>
      <w:pPr>
        <w:ind w:left="-2" w:firstLine="2"/>
        <w:spacing w:after="0" w:line="255" w:lineRule="auto"/>
        <w:tabs>
          <w:tab w:leader="none" w:pos="81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offering initiated by the Investors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involving an Underwritten Offering of Registrable Securities, the Company shall not be required to include any of an Investor’s Registrable Securities in such underwriting unless such Investor (i) enters into an underwriting agreement in customary form with the underwriter or underwriters, (ii) accepts customary terms in such underwriting agreement with regard to representations and warranties relating to ownership of the Registrable Securities and authority and power to enter into such underwriting agreement and (iii) completes and executes all questionnaires, powers of attorney, custody agreements, indemnities and other documents as may be requested by such underwriter or underwriters. Further, the Company shall not be required to include any of an Investor’s Registrable Securities in such underwriting if (Y) the underwriting agreement proposed by the underwriter or underwriters contains representations, warranties or conditions that are not reasonable in light of the Company’s then-current business or (Z) the underwriter, underwriters or such Investor require the Company to participate in any marketing, road show or comparable activity that may be required to complete the orderly sale of shares by the underwriter or underwriters.</w:t>
      </w:r>
    </w:p>
    <w:p>
      <w:pPr>
        <w:spacing w:after="0" w:line="174" w:lineRule="exact"/>
        <w:rPr>
          <w:rFonts w:ascii="Times New Roman" w:cs="Times New Roman" w:eastAsia="Times New Roman" w:hAnsi="Times New Roman"/>
          <w:sz w:val="17"/>
          <w:szCs w:val="17"/>
          <w:color w:val="auto"/>
        </w:rPr>
      </w:pPr>
    </w:p>
    <w:p>
      <w:pPr>
        <w:ind w:left="-2" w:firstLine="2"/>
        <w:spacing w:after="0" w:line="254"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total amount of securities to be sold in any offering initiated by the Investors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involving an underwriting of shares of Registrable Securities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xml:space="preserve">), that the underwriters and the Company determine in their sole discretion shall not jeopardize the success of the offering. If the Underwritten Offering has been requested pursuant to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 xml:space="preserve"> hereof, the number of shares that are entitled to be included in the registration and underwriting shall be allocated in the following manner: (a)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shares of Company equity securities that the Company desires to include in such registration shall be excluded,</w:t>
      </w:r>
    </w:p>
    <w:p>
      <w:pPr>
        <w:spacing w:after="0" w:line="2" w:lineRule="exact"/>
        <w:rPr>
          <w:rFonts w:ascii="Times New Roman" w:cs="Times New Roman" w:eastAsia="Times New Roman" w:hAnsi="Times New Roman"/>
          <w:sz w:val="17"/>
          <w:szCs w:val="17"/>
          <w:color w:val="auto"/>
        </w:rPr>
      </w:pPr>
    </w:p>
    <w:p>
      <w:pPr>
        <w:ind w:left="-2" w:right="180" w:firstLine="2"/>
        <w:spacing w:after="0" w:line="254" w:lineRule="auto"/>
        <w:tabs>
          <w:tab w:leader="none" w:pos="23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Registrable Securities requested to be included in such registration by the Participating Investors shall be excluded, pro rata in accordance with the number of Registrable Securities held by each such Participating Investor at the time of such Underwritten Offering. To facilitate the allocation of shares in accordance with the above provisions, the Company or the underwriters may round down the number of shares allocated to any of the Investors to the nearest 100 shares.</w:t>
      </w:r>
    </w:p>
    <w:p>
      <w:pPr>
        <w:spacing w:after="0" w:line="177" w:lineRule="exact"/>
        <w:rPr>
          <w:sz w:val="20"/>
          <w:szCs w:val="20"/>
          <w:color w:val="auto"/>
        </w:rPr>
      </w:pPr>
    </w:p>
    <w:p>
      <w:pPr>
        <w:ind w:left="418" w:right="120" w:hanging="421"/>
        <w:spacing w:after="0" w:line="267" w:lineRule="auto"/>
        <w:tabs>
          <w:tab w:leader="none" w:pos="397" w:val="left"/>
        </w:tabs>
        <w:rPr>
          <w:sz w:val="20"/>
          <w:szCs w:val="20"/>
          <w:color w:val="auto"/>
        </w:rPr>
      </w:pPr>
      <w:r>
        <w:rPr>
          <w:rFonts w:ascii="Times New Roman" w:cs="Times New Roman" w:eastAsia="Times New Roman" w:hAnsi="Times New Roman"/>
          <w:sz w:val="17"/>
          <w:szCs w:val="17"/>
          <w:u w:val="single" w:color="auto"/>
          <w:color w:val="auto"/>
        </w:rPr>
        <w:t>2.3</w:t>
      </w:r>
      <w:r>
        <w:rPr>
          <w:sz w:val="20"/>
          <w:szCs w:val="20"/>
          <w:color w:val="auto"/>
        </w:rPr>
        <w:tab/>
      </w: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All Registration Expenses incurred in connection with registrations pursuant to this Agreement shall be borne by the Company. All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Selling Expenses relating to securities registered on behalf of any Participating Investors shall be borne by such Participating Investors on a pro rata basis, in accordance with the number of Registrable Securities that are registered and/or sold pursuant to such registration.</w:t>
      </w:r>
    </w:p>
    <w:p>
      <w:pPr>
        <w:spacing w:after="0" w:line="165" w:lineRule="exact"/>
        <w:rPr>
          <w:sz w:val="20"/>
          <w:szCs w:val="20"/>
          <w:color w:val="auto"/>
        </w:rPr>
      </w:pPr>
    </w:p>
    <w:p>
      <w:pPr>
        <w:ind w:left="418" w:right="20" w:hanging="421"/>
        <w:spacing w:after="0" w:line="267" w:lineRule="auto"/>
        <w:tabs>
          <w:tab w:leader="none" w:pos="397" w:val="left"/>
        </w:tabs>
        <w:rPr>
          <w:sz w:val="20"/>
          <w:szCs w:val="20"/>
          <w:color w:val="auto"/>
        </w:rPr>
      </w:pPr>
      <w:r>
        <w:rPr>
          <w:rFonts w:ascii="Times New Roman" w:cs="Times New Roman" w:eastAsia="Times New Roman" w:hAnsi="Times New Roman"/>
          <w:sz w:val="17"/>
          <w:szCs w:val="17"/>
          <w:u w:val="single" w:color="auto"/>
          <w:color w:val="auto"/>
        </w:rPr>
        <w:t>2.4</w:t>
      </w:r>
      <w:r>
        <w:rPr>
          <w:sz w:val="20"/>
          <w:szCs w:val="20"/>
          <w:color w:val="auto"/>
        </w:rPr>
        <w:tab/>
      </w:r>
      <w:r>
        <w:rPr>
          <w:rFonts w:ascii="Times New Roman" w:cs="Times New Roman" w:eastAsia="Times New Roman" w:hAnsi="Times New Roman"/>
          <w:sz w:val="17"/>
          <w:szCs w:val="17"/>
          <w:u w:val="single" w:color="auto"/>
          <w:color w:val="auto"/>
        </w:rPr>
        <w:t>Registration Procedures</w:t>
      </w:r>
      <w:r>
        <w:rPr>
          <w:rFonts w:ascii="Times New Roman" w:cs="Times New Roman" w:eastAsia="Times New Roman" w:hAnsi="Times New Roman"/>
          <w:sz w:val="17"/>
          <w:szCs w:val="17"/>
          <w:color w:val="auto"/>
        </w:rPr>
        <w:t>. In the case of each registration of Registrable Securities effected by the Company pursuant to</w:t>
      </w:r>
      <w:r>
        <w:rPr>
          <w:rFonts w:ascii="Times New Roman" w:cs="Times New Roman" w:eastAsia="Times New Roman" w:hAnsi="Times New Roman"/>
          <w:sz w:val="17"/>
          <w:szCs w:val="17"/>
          <w:u w:val="single" w:color="auto"/>
          <w:color w:val="auto"/>
        </w:rPr>
        <w:t xml:space="preserve"> Section 2.1 </w:t>
      </w:r>
      <w:r>
        <w:rPr>
          <w:rFonts w:ascii="Times New Roman" w:cs="Times New Roman" w:eastAsia="Times New Roman" w:hAnsi="Times New Roman"/>
          <w:sz w:val="17"/>
          <w:szCs w:val="17"/>
          <w:color w:val="auto"/>
        </w:rPr>
        <w:t>hereof, the Company shall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keep the Participating Investors advised as to the initiation of each such registration and as to the status thereof. The Company shall use its commercially reasonable efforts, within the limits set forth in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to:</w:t>
      </w:r>
    </w:p>
    <w:p>
      <w:pPr>
        <w:spacing w:after="0" w:line="165" w:lineRule="exact"/>
        <w:rPr>
          <w:sz w:val="20"/>
          <w:szCs w:val="20"/>
          <w:color w:val="auto"/>
        </w:rPr>
      </w:pPr>
    </w:p>
    <w:p>
      <w:pPr>
        <w:ind w:left="-2" w:right="160" w:firstLine="2"/>
        <w:spacing w:after="0" w:line="267"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65" w:lineRule="exact"/>
        <w:rPr>
          <w:rFonts w:ascii="Times New Roman" w:cs="Times New Roman" w:eastAsia="Times New Roman" w:hAnsi="Times New Roman"/>
          <w:sz w:val="17"/>
          <w:szCs w:val="17"/>
          <w:color w:val="auto"/>
        </w:rPr>
      </w:pPr>
    </w:p>
    <w:p>
      <w:pPr>
        <w:ind w:left="-2" w:firstLine="2"/>
        <w:spacing w:after="0" w:line="283" w:lineRule="auto"/>
        <w:tabs>
          <w:tab w:leader="none" w:pos="81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Participating Investors such numbers of copies of a prospectus, including preliminary prospectuses, in conformity with the requirements of the Securities Act, and such other documents as the Participating Investors may reasonably request in order to facilitate the disposition of Registrable Securities;</w:t>
      </w:r>
    </w:p>
    <w:p>
      <w:pPr>
        <w:spacing w:after="0" w:line="152" w:lineRule="exact"/>
        <w:rPr>
          <w:rFonts w:ascii="Times New Roman" w:cs="Times New Roman" w:eastAsia="Times New Roman" w:hAnsi="Times New Roman"/>
          <w:sz w:val="17"/>
          <w:szCs w:val="17"/>
          <w:color w:val="auto"/>
        </w:rPr>
      </w:pPr>
    </w:p>
    <w:p>
      <w:pPr>
        <w:ind w:left="-2" w:right="40" w:firstLine="2"/>
        <w:spacing w:after="0" w:line="267"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commercially reasonable efforts to register and qualify the Registrable Securities covered by such Registration Statement under such other securities or blue sky laws of such jurisdictions in the United States as shall be reasonably requested by the Participating Investors, provided that the Company shall not be required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5581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18"/>
          </w:cols>
          <w:pgMar w:left="322" w:top="328"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color w:val="auto"/>
        </w:rPr>
        <w:t>connection therewith or as a condition thereto to qualify to do business or to file a general consent to service of process in any such states or jurisdictions;</w:t>
      </w:r>
    </w:p>
    <w:p>
      <w:pPr>
        <w:spacing w:after="0" w:line="213" w:lineRule="exact"/>
        <w:rPr>
          <w:sz w:val="20"/>
          <w:szCs w:val="20"/>
          <w:color w:val="auto"/>
        </w:rPr>
      </w:pPr>
    </w:p>
    <w:p>
      <w:pPr>
        <w:ind w:right="40" w:firstLine="2"/>
        <w:spacing w:after="0" w:line="261" w:lineRule="auto"/>
        <w:tabs>
          <w:tab w:leader="none" w:pos="81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 Underwritten Offering or Block Trade, and subject to </w:t>
      </w:r>
      <w:r>
        <w:rPr>
          <w:rFonts w:ascii="Times New Roman" w:cs="Times New Roman" w:eastAsia="Times New Roman" w:hAnsi="Times New Roman"/>
          <w:sz w:val="17"/>
          <w:szCs w:val="17"/>
          <w:u w:val="single" w:color="auto"/>
          <w:color w:val="auto"/>
        </w:rPr>
        <w:t>Section 2.2(d)</w:t>
      </w:r>
      <w:r>
        <w:rPr>
          <w:rFonts w:ascii="Times New Roman" w:cs="Times New Roman" w:eastAsia="Times New Roman" w:hAnsi="Times New Roman"/>
          <w:sz w:val="17"/>
          <w:szCs w:val="17"/>
          <w:color w:val="auto"/>
        </w:rPr>
        <w:t>, enter into and perform its obligations under an underwriting agreement or Block Trade sale agreement, in usual and customary form (including any “lock-ups” on behalf of the Company and its directors and officers), with the managing underwriter of such offering and take such other usual and customary action as the Participating Investors may reasonably request in order to facilitate the disposition of such Registrable Securities;</w:t>
      </w:r>
    </w:p>
    <w:p>
      <w:pPr>
        <w:spacing w:after="0" w:line="171" w:lineRule="exact"/>
        <w:rPr>
          <w:rFonts w:ascii="Times New Roman" w:cs="Times New Roman" w:eastAsia="Times New Roman" w:hAnsi="Times New Roman"/>
          <w:sz w:val="17"/>
          <w:szCs w:val="17"/>
          <w:color w:val="auto"/>
        </w:rPr>
      </w:pPr>
    </w:p>
    <w:p>
      <w:pPr>
        <w:ind w:right="20" w:firstLine="2"/>
        <w:spacing w:after="0" w:line="257" w:lineRule="auto"/>
        <w:tabs>
          <w:tab w:leader="none" w:pos="80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Participating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commercially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75" w:lineRule="exact"/>
        <w:rPr>
          <w:rFonts w:ascii="Times New Roman" w:cs="Times New Roman" w:eastAsia="Times New Roman" w:hAnsi="Times New Roman"/>
          <w:sz w:val="17"/>
          <w:szCs w:val="17"/>
          <w:color w:val="auto"/>
        </w:rPr>
      </w:pPr>
    </w:p>
    <w:p>
      <w:pPr>
        <w:ind w:right="160" w:firstLine="2"/>
        <w:spacing w:after="0" w:line="283" w:lineRule="auto"/>
        <w:tabs>
          <w:tab w:leader="none" w:pos="78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52" w:lineRule="exact"/>
        <w:rPr>
          <w:rFonts w:ascii="Times New Roman" w:cs="Times New Roman" w:eastAsia="Times New Roman" w:hAnsi="Times New Roman"/>
          <w:sz w:val="17"/>
          <w:szCs w:val="17"/>
          <w:color w:val="auto"/>
        </w:rPr>
      </w:pPr>
    </w:p>
    <w:p>
      <w:pPr>
        <w:ind w:firstLine="2"/>
        <w:spacing w:after="0" w:line="283" w:lineRule="auto"/>
        <w:tabs>
          <w:tab w:leader="none" w:pos="81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a Participating Investor, use commercially reasonable efforts to cause the Company’s transfer agent to remove any restrictive legend from any Registrable Securities, within two business days following such request;</w:t>
      </w:r>
    </w:p>
    <w:p>
      <w:pPr>
        <w:spacing w:after="0" w:line="152" w:lineRule="exact"/>
        <w:rPr>
          <w:rFonts w:ascii="Times New Roman" w:cs="Times New Roman" w:eastAsia="Times New Roman" w:hAnsi="Times New Roman"/>
          <w:sz w:val="17"/>
          <w:szCs w:val="17"/>
          <w:color w:val="auto"/>
        </w:rPr>
      </w:pPr>
    </w:p>
    <w:p>
      <w:pPr>
        <w:ind w:right="20" w:firstLine="2"/>
        <w:spacing w:after="0" w:line="259" w:lineRule="auto"/>
        <w:tabs>
          <w:tab w:leader="none" w:pos="81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furnished, at the request of any Participating Investor, on the date that Registrable Securities are delivered to underwriters for sale in connection with an Underwritten Offering or Block Trade, (i) an opinion, dated such date, of the counsel representing the Company for the purposes of such registration, in form and substance as is customarily given to underwriters in an underwritten public offering,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71" w:lineRule="exact"/>
        <w:rPr>
          <w:rFonts w:ascii="Times New Roman" w:cs="Times New Roman" w:eastAsia="Times New Roman" w:hAnsi="Times New Roman"/>
          <w:sz w:val="17"/>
          <w:szCs w:val="17"/>
          <w:color w:val="auto"/>
        </w:rPr>
      </w:pPr>
    </w:p>
    <w:p>
      <w:pPr>
        <w:ind w:right="260" w:firstLine="2"/>
        <w:spacing w:after="0" w:line="283" w:lineRule="auto"/>
        <w:tabs>
          <w:tab w:leader="none" w:pos="77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all such Registrable Securities included in a Registration Statement pursuant to this Agreement to be listed on each securities exchange or other securities trading markets on which Common Stock is then listed.</w:t>
      </w:r>
    </w:p>
    <w:p>
      <w:pPr>
        <w:spacing w:after="0" w:line="1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2.5</w:t>
        <w:tab/>
        <w:t>The Investors’ Obligations.</w:t>
      </w:r>
    </w:p>
    <w:p>
      <w:pPr>
        <w:spacing w:after="0" w:line="213" w:lineRule="exact"/>
        <w:rPr>
          <w:sz w:val="20"/>
          <w:szCs w:val="20"/>
          <w:color w:val="auto"/>
        </w:rPr>
      </w:pPr>
    </w:p>
    <w:p>
      <w:pPr>
        <w:ind w:right="20" w:firstLine="2"/>
        <w:spacing w:after="0" w:line="259" w:lineRule="auto"/>
        <w:tabs>
          <w:tab w:leader="none" w:pos="802" w:val="left"/>
        </w:tabs>
        <w:numPr>
          <w:ilvl w:val="0"/>
          <w:numId w:val="8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Discontinuance of Distribution</w:t>
      </w:r>
      <w:r>
        <w:rPr>
          <w:rFonts w:ascii="Times New Roman" w:cs="Times New Roman" w:eastAsia="Times New Roman" w:hAnsi="Times New Roman"/>
          <w:sz w:val="17"/>
          <w:szCs w:val="17"/>
          <w:color w:val="auto"/>
        </w:rPr>
        <w:t xml:space="preserve">. Each Investor agrees that, upon receipt of any notice from the Company of the occurrence of any event of the kind described in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hereof, such Investor shall immediately discontinue disposition of Registrable Securities pursuant to any Registration Statement covering such Registrable Securities until such Investor’s receipt of the copies of the supplemented or amended prospectus contemplated by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hereof or receipt of notice that no supplement or amendment is required and that such Investor’s disposition of the Registrable Securities may be resumed. The Company may provide appropriate stop orders to enforce the provisions of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u w:val="single" w:color="auto"/>
          <w:color w:val="auto"/>
        </w:rPr>
      </w:pPr>
    </w:p>
    <w:p>
      <w:pPr>
        <w:jc w:val="both"/>
        <w:ind w:right="160" w:firstLine="2"/>
        <w:spacing w:after="0" w:line="267" w:lineRule="auto"/>
        <w:tabs>
          <w:tab w:leader="none" w:pos="812" w:val="left"/>
        </w:tabs>
        <w:numPr>
          <w:ilvl w:val="0"/>
          <w:numId w:val="8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Compliance with Prospectus Delivery Requirements</w:t>
      </w:r>
      <w:r>
        <w:rPr>
          <w:rFonts w:ascii="Times New Roman" w:cs="Times New Roman" w:eastAsia="Times New Roman" w:hAnsi="Times New Roman"/>
          <w:sz w:val="17"/>
          <w:szCs w:val="17"/>
          <w:color w:val="auto"/>
        </w:rPr>
        <w:t>. Each Investor covenants and agrees that such Investor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65" w:lineRule="exact"/>
        <w:rPr>
          <w:rFonts w:ascii="Times New Roman" w:cs="Times New Roman" w:eastAsia="Times New Roman" w:hAnsi="Times New Roman"/>
          <w:sz w:val="17"/>
          <w:szCs w:val="17"/>
          <w:u w:val="single" w:color="auto"/>
          <w:color w:val="auto"/>
        </w:rPr>
      </w:pPr>
    </w:p>
    <w:p>
      <w:pPr>
        <w:ind w:right="400" w:firstLine="2"/>
        <w:spacing w:after="0" w:line="267" w:lineRule="auto"/>
        <w:tabs>
          <w:tab w:leader="none" w:pos="802" w:val="left"/>
        </w:tabs>
        <w:numPr>
          <w:ilvl w:val="0"/>
          <w:numId w:val="8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Notification of Sale of Registrable Securities</w:t>
      </w:r>
      <w:r>
        <w:rPr>
          <w:rFonts w:ascii="Times New Roman" w:cs="Times New Roman" w:eastAsia="Times New Roman" w:hAnsi="Times New Roman"/>
          <w:sz w:val="17"/>
          <w:szCs w:val="17"/>
          <w:color w:val="auto"/>
        </w:rPr>
        <w:t>. Each Investor covenants and agrees that such Investor shall notify the Company following its sale of Registrable Securities to a third party as promptly as reasonably practicable, and in any event within thirty (30) days, following the sale of such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715581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2" w:name="page163"/>
    <w:bookmarkEnd w:id="162"/>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2.6</w:t>
        <w:tab/>
        <w:t>Indemnification.</w:t>
      </w:r>
    </w:p>
    <w:p>
      <w:pPr>
        <w:spacing w:after="0" w:line="213" w:lineRule="exact"/>
        <w:rPr>
          <w:sz w:val="20"/>
          <w:szCs w:val="20"/>
          <w:color w:val="auto"/>
        </w:rPr>
      </w:pPr>
    </w:p>
    <w:p>
      <w:pPr>
        <w:ind w:right="20" w:firstLine="2"/>
        <w:spacing w:after="0" w:line="253" w:lineRule="auto"/>
        <w:tabs>
          <w:tab w:leader="none" w:pos="80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law, the Company shall indemnify each of the Investors, and, as applicable, their respective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(collectively, “</w:t>
      </w:r>
      <w:r>
        <w:rPr>
          <w:rFonts w:ascii="Times New Roman" w:cs="Times New Roman" w:eastAsia="Times New Roman" w:hAnsi="Times New Roman"/>
          <w:sz w:val="17"/>
          <w:szCs w:val="17"/>
          <w:u w:val="single" w:color="auto"/>
          <w:color w:val="auto"/>
        </w:rPr>
        <w:t>Investor Indemnified Persons</w:t>
      </w:r>
      <w:r>
        <w:rPr>
          <w:rFonts w:ascii="Times New Roman" w:cs="Times New Roman" w:eastAsia="Times New Roman" w:hAnsi="Times New Roman"/>
          <w:sz w:val="17"/>
          <w:szCs w:val="17"/>
          <w:color w:val="auto"/>
        </w:rPr>
        <w:t xml:space="preserve">”)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applicable Investor Indemnified Persons, any legal and any other expenses reasonably incurred in connection with investigating or defending any such claim, loss, damage, liability, or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contained in this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shall not apply to amounts paid in settlement of any such claim, loss, damage, liability, or action if settlement is effected without the consent of the Company (which consent shall not unreasonably be withheld); and provided, further, that the Company shall not be liable to an Investor Indemnified Person in any such case to the extent that any such claim, loss, damage, liability, or expense arises out of or is based upon any violation by such Investor of the obligations set forth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hereof or any untrue statement or omission contained in such prospectus or other document based upon written information furnished to the Company by such Investor Indemnified Person and stated to be for use therein.</w:t>
      </w:r>
    </w:p>
    <w:p>
      <w:pPr>
        <w:spacing w:after="0" w:line="178" w:lineRule="exact"/>
        <w:rPr>
          <w:rFonts w:ascii="Times New Roman" w:cs="Times New Roman" w:eastAsia="Times New Roman" w:hAnsi="Times New Roman"/>
          <w:sz w:val="17"/>
          <w:szCs w:val="17"/>
          <w:color w:val="auto"/>
        </w:rPr>
      </w:pPr>
    </w:p>
    <w:p>
      <w:pPr>
        <w:ind w:firstLine="2"/>
        <w:spacing w:after="0" w:line="253" w:lineRule="auto"/>
        <w:tabs>
          <w:tab w:leader="none" w:pos="81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contained in this </w:t>
      </w:r>
      <w:r>
        <w:rPr>
          <w:rFonts w:ascii="Times New Roman" w:cs="Times New Roman" w:eastAsia="Times New Roman" w:hAnsi="Times New Roman"/>
          <w:sz w:val="17"/>
          <w:szCs w:val="17"/>
          <w:u w:val="single" w:color="auto"/>
          <w:color w:val="auto"/>
        </w:rPr>
        <w:t>Section 2.6(b)</w:t>
      </w:r>
      <w:r>
        <w:rPr>
          <w:rFonts w:ascii="Times New Roman" w:cs="Times New Roman" w:eastAsia="Times New Roman" w:hAnsi="Times New Roman"/>
          <w:sz w:val="17"/>
          <w:szCs w:val="17"/>
          <w:color w:val="auto"/>
        </w:rPr>
        <w:t xml:space="preserve"> shall not apply to amounts paid in settlement of any such claim, loss, damage, liability, or action if settlement is effected without the consent of such Investor (which consent shall not unreasonably be withheld);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such Investor’s liability under this </w:t>
      </w:r>
      <w:r>
        <w:rPr>
          <w:rFonts w:ascii="Times New Roman" w:cs="Times New Roman" w:eastAsia="Times New Roman" w:hAnsi="Times New Roman"/>
          <w:sz w:val="17"/>
          <w:szCs w:val="17"/>
          <w:u w:val="single" w:color="auto"/>
          <w:color w:val="auto"/>
        </w:rPr>
        <w:t>Section 2.6(b)</w:t>
      </w:r>
      <w:r>
        <w:rPr>
          <w:rFonts w:ascii="Times New Roman" w:cs="Times New Roman" w:eastAsia="Times New Roman" w:hAnsi="Times New Roman"/>
          <w:sz w:val="17"/>
          <w:szCs w:val="17"/>
          <w:color w:val="auto"/>
        </w:rPr>
        <w:t xml:space="preserve"> (when combined with any amounts such Investor is liable for under </w:t>
      </w:r>
      <w:r>
        <w:rPr>
          <w:rFonts w:ascii="Times New Roman" w:cs="Times New Roman" w:eastAsia="Times New Roman" w:hAnsi="Times New Roman"/>
          <w:sz w:val="17"/>
          <w:szCs w:val="17"/>
          <w:u w:val="single" w:color="auto"/>
          <w:color w:val="auto"/>
        </w:rPr>
        <w:t>Section 2.6(d)</w:t>
      </w:r>
      <w:r>
        <w:rPr>
          <w:rFonts w:ascii="Times New Roman" w:cs="Times New Roman" w:eastAsia="Times New Roman" w:hAnsi="Times New Roman"/>
          <w:sz w:val="17"/>
          <w:szCs w:val="17"/>
          <w:color w:val="auto"/>
        </w:rPr>
        <w:t>) shall not exceed such Investor’s net proceeds from the offering of securities made in connection with such registration.</w:t>
      </w:r>
    </w:p>
    <w:p>
      <w:pPr>
        <w:spacing w:after="0" w:line="178" w:lineRule="exact"/>
        <w:rPr>
          <w:rFonts w:ascii="Times New Roman" w:cs="Times New Roman" w:eastAsia="Times New Roman" w:hAnsi="Times New Roman"/>
          <w:sz w:val="17"/>
          <w:szCs w:val="17"/>
          <w:color w:val="auto"/>
        </w:rPr>
      </w:pPr>
    </w:p>
    <w:p>
      <w:pPr>
        <w:ind w:right="20" w:firstLine="2"/>
        <w:spacing w:after="0" w:line="259" w:lineRule="auto"/>
        <w:tabs>
          <w:tab w:leader="none" w:pos="80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of notice of the commencement of any action, such indemnified Person shall, if a claim in respect thereof is to be made against an indemnifying party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notify the indemnifying party in writing of the commencement thereof and generally summarize such action. The indemnifying party shall have the right to participate in and to assume the defense of such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indemnifying party shall be entitled to select counsel for the defense of such claim with the approval of any parties entitled to indemnification, which approval shall not be unreasonably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715581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3" w:name="page164"/>
    <w:bookmarkEnd w:id="163"/>
    <w:p>
      <w:pPr>
        <w:spacing w:after="0" w:line="257" w:lineRule="auto"/>
        <w:rPr>
          <w:sz w:val="20"/>
          <w:szCs w:val="20"/>
          <w:color w:val="auto"/>
        </w:rPr>
      </w:pPr>
      <w:r>
        <w:rPr>
          <w:rFonts w:ascii="Times New Roman" w:cs="Times New Roman" w:eastAsia="Times New Roman" w:hAnsi="Times New Roman"/>
          <w:sz w:val="17"/>
          <w:szCs w:val="17"/>
          <w:color w:val="auto"/>
        </w:rPr>
        <w:t xml:space="preserve">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Person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but the omission so to notify the indemnifying party shall not relieve such party of any liability that such party may have to any indemnified Person otherwise than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right="40" w:firstLine="2"/>
        <w:spacing w:after="0" w:line="254" w:lineRule="auto"/>
        <w:tabs>
          <w:tab w:leader="none" w:pos="81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indemnification provided for in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is held by a court of competent jurisdiction to be unavailable to an indemnified Person with respect to any loss, liability, claim, damage, or expense referred to therein, then the indemnifying party, in lieu of indemnifying such indemnified Person hereunder, shall contribute to the amount paid or payable by such indemnified Person as a result of such loss, liability, claim, damage, or expense in such proportion as is appropriate to reflect the relative fault of the indemnifying party on the one hand and of the indemnified Person on the other in connection with the statements or omissions that resulted in such loss, liability, claim, damage, or expense as well as any other relevant equitable considerations. The relative fault of the indemnifying party and of the indemnified Person shall be determined by reference to, among other things, whether the untrue or alleged untrue statement of a material fact or the omission to state a material fact relates to information supplied by the indemnifying party or by the indemnified Person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2.6(b)</w:t>
      </w:r>
      <w:r>
        <w:rPr>
          <w:rFonts w:ascii="Times New Roman" w:cs="Times New Roman" w:eastAsia="Times New Roman" w:hAnsi="Times New Roman"/>
          <w:sz w:val="17"/>
          <w:szCs w:val="17"/>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77" w:lineRule="exact"/>
        <w:rPr>
          <w:rFonts w:ascii="Times New Roman" w:cs="Times New Roman" w:eastAsia="Times New Roman" w:hAnsi="Times New Roman"/>
          <w:sz w:val="17"/>
          <w:szCs w:val="17"/>
          <w:color w:val="auto"/>
        </w:rPr>
      </w:pPr>
    </w:p>
    <w:p>
      <w:pPr>
        <w:ind w:right="140" w:firstLine="2"/>
        <w:spacing w:after="0" w:line="259" w:lineRule="auto"/>
        <w:tabs>
          <w:tab w:leader="none" w:pos="80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to the extent that the provisions on indemnification and contribution contained in the underwriting agreement entered into in connection with an Underwritten Offering, or the Block Trade sale agreement, are in conflict with the foregoing provisions, the provisions in the underwriting agreement or Block Trade sale agreement shall control; provided, however, that the failure of the underwriting agreement to provide for or address a matter provided for or addressed by the foregoing provisions shall not be a conflict between the underwriting agreement or the Block Trade sale agreement and the foregoing provisions.</w:t>
      </w:r>
    </w:p>
    <w:p>
      <w:pPr>
        <w:spacing w:after="0" w:line="171" w:lineRule="exact"/>
        <w:rPr>
          <w:rFonts w:ascii="Times New Roman" w:cs="Times New Roman" w:eastAsia="Times New Roman" w:hAnsi="Times New Roman"/>
          <w:sz w:val="17"/>
          <w:szCs w:val="17"/>
          <w:color w:val="auto"/>
        </w:rPr>
      </w:pPr>
    </w:p>
    <w:p>
      <w:pPr>
        <w:ind w:right="480" w:firstLine="2"/>
        <w:spacing w:after="0" w:line="283" w:lineRule="auto"/>
        <w:tabs>
          <w:tab w:leader="none" w:pos="78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the Company and the Investors under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shall survive the completion of any offering of Registrable Securities in a Registration Statement under this Agreement or otherwise.</w:t>
      </w:r>
    </w:p>
    <w:p>
      <w:pPr>
        <w:spacing w:after="0" w:line="152" w:lineRule="exact"/>
        <w:rPr>
          <w:sz w:val="20"/>
          <w:szCs w:val="20"/>
          <w:color w:val="auto"/>
        </w:rPr>
      </w:pPr>
    </w:p>
    <w:p>
      <w:pPr>
        <w:ind w:left="420" w:hanging="421"/>
        <w:spacing w:after="0" w:line="255"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2.7</w:t>
      </w:r>
      <w:r>
        <w:rPr>
          <w:sz w:val="20"/>
          <w:szCs w:val="20"/>
          <w:color w:val="auto"/>
        </w:rPr>
        <w:tab/>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Each Participating Investor shall furnish to the Company such information regarding such Investor and the distribution proposed by the Investor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as the Company may reasonably request and as shall be reasonably required in connection with any registration referred to in this Agreement that such Investor is participating in. Each Participating Investor agrees to, as promptly as practicable (and in any event prior to any sales made pursuant to a prospectus), furnish to the Company all information required to be disclosed in order to make the information previously furnished to the Company by such Investor not misleading. Each Investoragrees to keep confidential the receipt of any notice received pursuant to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and the contents thereof, except as required pursuant to applicable law. Notwithstanding anything to the contrary herein, the Company shall be under no obligation to name any Investor in any Registration Statement if such Investor has not provided the information required by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with respect to such Investor as a selling securityholder in such Registration Statement or any related prospectus.</w:t>
      </w:r>
    </w:p>
    <w:p>
      <w:pPr>
        <w:spacing w:after="0" w:line="178" w:lineRule="exact"/>
        <w:rPr>
          <w:sz w:val="20"/>
          <w:szCs w:val="20"/>
          <w:color w:val="auto"/>
        </w:rPr>
      </w:pPr>
    </w:p>
    <w:p>
      <w:pPr>
        <w:jc w:val="both"/>
        <w:ind w:left="420" w:right="180" w:hanging="421"/>
        <w:spacing w:after="0" w:line="267"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2.8</w:t>
      </w:r>
      <w:r>
        <w:rPr>
          <w:sz w:val="20"/>
          <w:szCs w:val="20"/>
          <w:color w:val="auto"/>
        </w:rPr>
        <w:tab/>
      </w:r>
      <w:r>
        <w:rPr>
          <w:rFonts w:ascii="Times New Roman" w:cs="Times New Roman" w:eastAsia="Times New Roman" w:hAnsi="Times New Roman"/>
          <w:sz w:val="17"/>
          <w:szCs w:val="17"/>
          <w:u w:val="single" w:color="auto"/>
          <w:color w:val="auto"/>
        </w:rPr>
        <w:t>Rule 144 Requirements</w:t>
      </w:r>
      <w:r>
        <w:rPr>
          <w:rFonts w:ascii="Times New Roman" w:cs="Times New Roman" w:eastAsia="Times New Roman" w:hAnsi="Times New Roman"/>
          <w:sz w:val="17"/>
          <w:szCs w:val="17"/>
          <w:color w:val="auto"/>
        </w:rPr>
        <w:t>. With a view to making available to the Investors the benefits of Rule 144 and any other rule or regulation of the Commission that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may at any time permit the Investors to sell Registrable Securities to the public without registration, the Company agrees to use its commercially reasonable efforts to:</w:t>
      </w:r>
    </w:p>
    <w:p>
      <w:pPr>
        <w:spacing w:after="0" w:line="165" w:lineRule="exact"/>
        <w:rPr>
          <w:sz w:val="20"/>
          <w:szCs w:val="20"/>
          <w:color w:val="auto"/>
        </w:rPr>
      </w:pPr>
    </w:p>
    <w:p>
      <w:pPr>
        <w:ind w:left="800" w:hanging="798"/>
        <w:spacing w:after="0"/>
        <w:tabs>
          <w:tab w:leader="none" w:pos="8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and keep public information available, as those terms are understood and defined in Rule 144 at all times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581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ind w:left="820" w:hanging="818"/>
        <w:spacing w:after="0"/>
        <w:tabs>
          <w:tab w:leader="none" w:pos="8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with the Commission in a timely manner all reports and other documents required of the Company under the Securities Act and the Exchange Act;</w:t>
      </w:r>
    </w:p>
    <w:p>
      <w:pPr>
        <w:spacing w:after="0" w:line="185" w:lineRule="exact"/>
        <w:rPr>
          <w:rFonts w:ascii="Times New Roman" w:cs="Times New Roman" w:eastAsia="Times New Roman" w:hAnsi="Times New Roman"/>
          <w:sz w:val="17"/>
          <w:szCs w:val="17"/>
          <w:color w:val="auto"/>
        </w:rPr>
      </w:pPr>
    </w:p>
    <w:p>
      <w:pPr>
        <w:ind w:right="540" w:firstLine="2"/>
        <w:spacing w:after="0" w:line="227" w:lineRule="exact"/>
        <w:tabs>
          <w:tab w:leader="none" w:pos="80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filing of the Registration Statement or any amendment thereto (whether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and prior to the filing of any prospectus or prospectus supplement related thereto, to provide each Investor with copies of all of the pages thereof (if any) that reference such Investor; and</w:t>
      </w:r>
    </w:p>
    <w:p>
      <w:pPr>
        <w:spacing w:after="0" w:line="188" w:lineRule="exact"/>
        <w:rPr>
          <w:rFonts w:ascii="Times New Roman" w:cs="Times New Roman" w:eastAsia="Times New Roman" w:hAnsi="Times New Roman"/>
          <w:sz w:val="17"/>
          <w:szCs w:val="17"/>
          <w:color w:val="auto"/>
        </w:rPr>
      </w:pPr>
    </w:p>
    <w:p>
      <w:pPr>
        <w:ind w:firstLine="2"/>
        <w:spacing w:after="0" w:line="261" w:lineRule="auto"/>
        <w:tabs>
          <w:tab w:leader="none" w:pos="81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2" w:lineRule="exact"/>
        <w:rPr>
          <w:sz w:val="20"/>
          <w:szCs w:val="20"/>
          <w:color w:val="auto"/>
        </w:rPr>
      </w:pPr>
    </w:p>
    <w:p>
      <w:pPr>
        <w:ind w:left="420" w:right="40" w:hanging="421"/>
        <w:spacing w:after="0" w:line="257"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2.9</w:t>
      </w:r>
      <w:r>
        <w:rPr>
          <w:sz w:val="20"/>
          <w:szCs w:val="20"/>
          <w:color w:val="auto"/>
        </w:rPr>
        <w:tab/>
      </w:r>
      <w:r>
        <w:rPr>
          <w:rFonts w:ascii="Times New Roman" w:cs="Times New Roman" w:eastAsia="Times New Roman" w:hAnsi="Times New Roman"/>
          <w:sz w:val="17"/>
          <w:szCs w:val="17"/>
          <w:u w:val="single" w:color="auto"/>
          <w:color w:val="auto"/>
        </w:rPr>
        <w:t xml:space="preserve">Limitations on Subsequent Registration Rights. </w:t>
      </w:r>
      <w:r>
        <w:rPr>
          <w:rFonts w:ascii="Times New Roman" w:cs="Times New Roman" w:eastAsia="Times New Roman" w:hAnsi="Times New Roman"/>
          <w:sz w:val="17"/>
          <w:szCs w:val="17"/>
          <w:color w:val="auto"/>
        </w:rPr>
        <w:t>From and after the date of this Agreement, the Company shall not enter into any agreement with any holder 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prospective holder of any securities of the Company which would provide to such holder rights with respect to the registration of such securities under the Securities Act or the Exchange Act that would conflict with or adversely affect any of the rights provided to the Investors in this </w:t>
      </w:r>
      <w:r>
        <w:rPr>
          <w:rFonts w:ascii="Times New Roman" w:cs="Times New Roman" w:eastAsia="Times New Roman" w:hAnsi="Times New Roman"/>
          <w:sz w:val="17"/>
          <w:szCs w:val="17"/>
          <w:u w:val="single" w:color="auto"/>
          <w:color w:val="auto"/>
        </w:rPr>
        <w:t>Section 2 in any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respect</w:t>
      </w:r>
      <w:r>
        <w:rPr>
          <w:rFonts w:ascii="Times New Roman" w:cs="Times New Roman" w:eastAsia="Times New Roman" w:hAnsi="Times New Roman"/>
          <w:sz w:val="17"/>
          <w:szCs w:val="17"/>
          <w:color w:val="auto"/>
        </w:rPr>
        <w:t xml:space="preserve">; it being understood and agreed that any subsequent agreement of the Company with any holder or prospective holder of any securities of the Company of the same class (or convertible into or exchange for securities of the same class) as the Registrable Securities granting such Person rights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equivalent to the rights of the Investors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will not be prohibited by the terms of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400" w:lineRule="exact"/>
        <w:rPr>
          <w:sz w:val="20"/>
          <w:szCs w:val="20"/>
          <w:color w:val="auto"/>
        </w:rPr>
      </w:pPr>
    </w:p>
    <w:p>
      <w:pPr>
        <w:ind w:left="420" w:right="80" w:hanging="421"/>
        <w:spacing w:after="0" w:line="261"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3.1</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With respect to the rights and obligations of the BBA Investors, no amendment, alteration, waiver or modification of any of the provisions of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this Agreement shall be binding unless made in writing and signed by each of the Company and the BBA Investors. With respect to the rights and obligations of the Perlroth Investor, no amendment, alteration, waiver or modification of any of the provisions of this Agreement shall be binding unless made in writing and signed by each of the Company and the Perlroth Investor.</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3.2</w:t>
      </w:r>
      <w:r>
        <w:rPr>
          <w:sz w:val="20"/>
          <w:szCs w:val="20"/>
          <w:color w:val="auto"/>
        </w:rPr>
        <w:tab/>
      </w:r>
      <w:r>
        <w:rPr>
          <w:rFonts w:ascii="Times New Roman" w:cs="Times New Roman" w:eastAsia="Times New Roman" w:hAnsi="Times New Roman"/>
          <w:sz w:val="17"/>
          <w:szCs w:val="17"/>
          <w:color w:val="auto"/>
        </w:rPr>
        <w:t>Prior Agreement. The Investors’ Rights Agreement is hereby terminated, effective as of the date hereof, and is superseded by this Agreement.</w:t>
      </w:r>
    </w:p>
    <w:p>
      <w:pPr>
        <w:spacing w:after="0" w:line="213" w:lineRule="exact"/>
        <w:rPr>
          <w:sz w:val="20"/>
          <w:szCs w:val="20"/>
          <w:color w:val="auto"/>
        </w:rPr>
      </w:pPr>
    </w:p>
    <w:p>
      <w:pPr>
        <w:jc w:val="both"/>
        <w:ind w:left="420" w:right="60" w:hanging="421"/>
        <w:spacing w:after="0" w:line="259"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3.3</w:t>
      </w:r>
      <w:r>
        <w:rPr>
          <w:sz w:val="20"/>
          <w:szCs w:val="20"/>
          <w:color w:val="auto"/>
        </w:rPr>
        <w:tab/>
      </w: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It is hereby agreed and acknowledged that it shall be impossible to measure in money the damages that would be suffered if the parties fail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72" w:lineRule="exact"/>
        <w:rPr>
          <w:sz w:val="20"/>
          <w:szCs w:val="20"/>
          <w:color w:val="auto"/>
        </w:rPr>
      </w:pPr>
    </w:p>
    <w:p>
      <w:pPr>
        <w:ind w:left="420" w:right="40" w:hanging="421"/>
        <w:spacing w:after="0" w:line="258" w:lineRule="auto"/>
        <w:tabs>
          <w:tab w:leader="none" w:pos="400" w:val="left"/>
        </w:tabs>
        <w:rPr>
          <w:sz w:val="20"/>
          <w:szCs w:val="20"/>
          <w:color w:val="auto"/>
        </w:rPr>
      </w:pPr>
      <w:r>
        <w:rPr>
          <w:rFonts w:ascii="Times New Roman" w:cs="Times New Roman" w:eastAsia="Times New Roman" w:hAnsi="Times New Roman"/>
          <w:sz w:val="17"/>
          <w:szCs w:val="17"/>
          <w:u w:val="single" w:color="auto"/>
          <w:color w:val="auto"/>
        </w:rPr>
        <w:t>3.4</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required or permitted under this Agreement must be in writing and sent to the address or email address identified below. Notices must be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given: (a) by personal delivery, with receipt acknowledged; (b) by email followed by hard copy delivered by the methods under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(c) by prepaid certified or registered mail, return receipt requested; or (d) by prepaid reputable overnight delivery service. Notices shall be effective upon</w:t>
      </w:r>
    </w:p>
    <w:p>
      <w:pPr>
        <w:ind w:left="420" w:right="20"/>
        <w:spacing w:after="0" w:line="261" w:lineRule="auto"/>
        <w:rPr>
          <w:sz w:val="20"/>
          <w:szCs w:val="20"/>
          <w:color w:val="auto"/>
        </w:rPr>
      </w:pPr>
      <w:r>
        <w:rPr>
          <w:rFonts w:ascii="Times New Roman" w:cs="Times New Roman" w:eastAsia="Times New Roman" w:hAnsi="Times New Roman"/>
          <w:sz w:val="17"/>
          <w:szCs w:val="17"/>
          <w:color w:val="auto"/>
        </w:rPr>
        <w:t>receipt. Any Investor may change its notice address by providing the Company written notice of such change and the Company may change its notice address by providing the Investors written notice of such change. Notices shall be delivered as follows:</w:t>
      </w:r>
    </w:p>
    <w:p>
      <w:pPr>
        <w:spacing w:after="0" w:line="162"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0"/>
          <w:szCs w:val="20"/>
          <w:color w:val="auto"/>
        </w:rPr>
        <w:t>If to an Investor:</w:t>
      </w:r>
      <w:r>
        <w:rPr>
          <w:sz w:val="20"/>
          <w:szCs w:val="20"/>
          <w:color w:val="auto"/>
        </w:rPr>
        <w:tab/>
      </w:r>
      <w:r>
        <w:rPr>
          <w:rFonts w:ascii="Times New Roman" w:cs="Times New Roman" w:eastAsia="Times New Roman" w:hAnsi="Times New Roman"/>
          <w:sz w:val="20"/>
          <w:szCs w:val="20"/>
          <w:color w:val="auto"/>
        </w:rPr>
        <w:t>At such Investor’s address as set forth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5581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19"/>
                <w:szCs w:val="19"/>
                <w:color w:val="auto"/>
              </w:rPr>
            </w:pP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Kodiak Sciences Inc.</w:t>
            </w:r>
          </w:p>
        </w:tc>
      </w:tr>
      <w:tr>
        <w:trPr>
          <w:trHeight w:val="230"/>
        </w:trPr>
        <w:tc>
          <w:tcPr>
            <w:tcW w:w="1840" w:type="dxa"/>
            <w:vAlign w:val="bottom"/>
          </w:tcPr>
          <w:p>
            <w:pPr>
              <w:spacing w:after="0"/>
              <w:rPr>
                <w:sz w:val="19"/>
                <w:szCs w:val="19"/>
                <w:color w:val="auto"/>
              </w:rPr>
            </w:pP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Attention: John Borgeson, Chief Financial Officer</w:t>
            </w:r>
          </w:p>
        </w:tc>
      </w:tr>
      <w:tr>
        <w:trPr>
          <w:trHeight w:val="266"/>
        </w:trPr>
        <w:tc>
          <w:tcPr>
            <w:tcW w:w="1840" w:type="dxa"/>
            <w:vAlign w:val="bottom"/>
          </w:tcPr>
          <w:p>
            <w:pPr>
              <w:spacing w:after="0"/>
              <w:rPr>
                <w:sz w:val="23"/>
                <w:szCs w:val="23"/>
                <w:color w:val="auto"/>
              </w:rPr>
            </w:pP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E-mail: [Omitted]</w:t>
            </w:r>
          </w:p>
        </w:tc>
      </w:tr>
      <w:tr>
        <w:trPr>
          <w:trHeight w:val="424"/>
        </w:trPr>
        <w:tc>
          <w:tcPr>
            <w:tcW w:w="1840" w:type="dxa"/>
            <w:vAlign w:val="bottom"/>
          </w:tcPr>
          <w:p>
            <w:pPr>
              <w:spacing w:after="0"/>
              <w:rPr>
                <w:sz w:val="20"/>
                <w:szCs w:val="20"/>
                <w:color w:val="auto"/>
              </w:rPr>
            </w:pPr>
            <w:r>
              <w:rPr>
                <w:rFonts w:ascii="Times New Roman" w:cs="Times New Roman" w:eastAsia="Times New Roman" w:hAnsi="Times New Roman"/>
                <w:sz w:val="20"/>
                <w:szCs w:val="20"/>
                <w:color w:val="auto"/>
              </w:rPr>
              <w:t>with a copy to:</w:t>
            </w: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Cooley LLP</w:t>
            </w:r>
          </w:p>
        </w:tc>
      </w:tr>
      <w:tr>
        <w:trPr>
          <w:trHeight w:val="230"/>
        </w:trPr>
        <w:tc>
          <w:tcPr>
            <w:tcW w:w="1840" w:type="dxa"/>
            <w:vAlign w:val="bottom"/>
          </w:tcPr>
          <w:p>
            <w:pPr>
              <w:spacing w:after="0"/>
              <w:rPr>
                <w:sz w:val="19"/>
                <w:szCs w:val="19"/>
                <w:color w:val="auto"/>
              </w:rPr>
            </w:pP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Attention: Dave Peinsipp</w:t>
            </w:r>
          </w:p>
        </w:tc>
      </w:tr>
      <w:tr>
        <w:trPr>
          <w:trHeight w:val="266"/>
        </w:trPr>
        <w:tc>
          <w:tcPr>
            <w:tcW w:w="1840" w:type="dxa"/>
            <w:vAlign w:val="bottom"/>
          </w:tcPr>
          <w:p>
            <w:pPr>
              <w:spacing w:after="0"/>
              <w:rPr>
                <w:sz w:val="23"/>
                <w:szCs w:val="23"/>
                <w:color w:val="auto"/>
              </w:rPr>
            </w:pPr>
          </w:p>
        </w:tc>
        <w:tc>
          <w:tcPr>
            <w:tcW w:w="47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E-mail: [Omitted]</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u w:val="single" w:color="auto"/>
          <w:color w:val="auto"/>
        </w:rPr>
        <w:t>3.5</w:t>
      </w:r>
      <w:r>
        <w:rPr>
          <w:sz w:val="20"/>
          <w:szCs w:val="20"/>
          <w:color w:val="auto"/>
        </w:rPr>
        <w:tab/>
      </w:r>
      <w:r>
        <w:rPr>
          <w:rFonts w:ascii="Times New Roman" w:cs="Times New Roman" w:eastAsia="Times New Roman" w:hAnsi="Times New Roman"/>
          <w:sz w:val="16"/>
          <w:szCs w:val="16"/>
          <w:u w:val="single" w:color="auto"/>
          <w:color w:val="auto"/>
        </w:rPr>
        <w:t>Governing Law; Jurisdiction; Venue; Jury Trial.</w:t>
      </w:r>
    </w:p>
    <w:p>
      <w:pPr>
        <w:spacing w:after="0" w:line="213" w:lineRule="exact"/>
        <w:rPr>
          <w:sz w:val="20"/>
          <w:szCs w:val="20"/>
          <w:color w:val="auto"/>
        </w:rPr>
      </w:pPr>
    </w:p>
    <w:p>
      <w:pPr>
        <w:ind w:right="20" w:firstLine="2"/>
        <w:spacing w:after="0" w:line="267" w:lineRule="auto"/>
        <w:tabs>
          <w:tab w:leader="none" w:pos="80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65" w:lineRule="exact"/>
        <w:rPr>
          <w:rFonts w:ascii="Times New Roman" w:cs="Times New Roman" w:eastAsia="Times New Roman" w:hAnsi="Times New Roman"/>
          <w:sz w:val="17"/>
          <w:szCs w:val="17"/>
          <w:color w:val="auto"/>
        </w:rPr>
      </w:pPr>
    </w:p>
    <w:p>
      <w:pPr>
        <w:ind w:firstLine="2"/>
        <w:spacing w:after="0" w:line="256" w:lineRule="auto"/>
        <w:tabs>
          <w:tab w:leader="none" w:pos="81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75" w:lineRule="exact"/>
        <w:rPr>
          <w:rFonts w:ascii="Times New Roman" w:cs="Times New Roman" w:eastAsia="Times New Roman" w:hAnsi="Times New Roman"/>
          <w:sz w:val="17"/>
          <w:szCs w:val="17"/>
          <w:color w:val="auto"/>
        </w:rPr>
      </w:pPr>
    </w:p>
    <w:p>
      <w:pPr>
        <w:ind w:firstLine="2"/>
        <w:spacing w:after="0" w:line="261" w:lineRule="auto"/>
        <w:tabs>
          <w:tab w:leader="none" w:pos="80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(b) hereof. Each of the Company and the Investors hereby irrevocably waives, to the fullest extent permitted by applicable law, the defense of an inconvenient forum to the maintenance of such action or proceeding in any such court.</w:t>
      </w:r>
    </w:p>
    <w:p>
      <w:pPr>
        <w:spacing w:after="0" w:line="171" w:lineRule="exact"/>
        <w:rPr>
          <w:rFonts w:ascii="Times New Roman" w:cs="Times New Roman" w:eastAsia="Times New Roman" w:hAnsi="Times New Roman"/>
          <w:sz w:val="17"/>
          <w:szCs w:val="17"/>
          <w:color w:val="auto"/>
        </w:rPr>
      </w:pPr>
    </w:p>
    <w:p>
      <w:pPr>
        <w:ind w:firstLine="2"/>
        <w:spacing w:after="0" w:line="274" w:lineRule="auto"/>
        <w:tabs>
          <w:tab w:leader="none" w:pos="81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spacing w:after="0" w:line="165" w:lineRule="exact"/>
        <w:rPr>
          <w:sz w:val="20"/>
          <w:szCs w:val="20"/>
          <w:color w:val="auto"/>
        </w:rPr>
      </w:pPr>
    </w:p>
    <w:p>
      <w:pPr>
        <w:jc w:val="right"/>
        <w:ind w:right="60"/>
        <w:spacing w:after="0" w:line="261" w:lineRule="auto"/>
        <w:rPr>
          <w:sz w:val="20"/>
          <w:szCs w:val="20"/>
          <w:color w:val="auto"/>
        </w:rPr>
      </w:pPr>
      <w:r>
        <w:rPr>
          <w:rFonts w:ascii="Times New Roman" w:cs="Times New Roman" w:eastAsia="Times New Roman" w:hAnsi="Times New Roman"/>
          <w:sz w:val="17"/>
          <w:szCs w:val="17"/>
          <w:u w:val="single" w:color="auto"/>
          <w:color w:val="auto"/>
        </w:rPr>
        <w:t>3.6   Successors, Assigns and Transferees</w:t>
      </w:r>
      <w:r>
        <w:rPr>
          <w:rFonts w:ascii="Times New Roman" w:cs="Times New Roman" w:eastAsia="Times New Roman" w:hAnsi="Times New Roman"/>
          <w:sz w:val="17"/>
          <w:szCs w:val="17"/>
          <w:color w:val="auto"/>
        </w:rPr>
        <w:t xml:space="preserve">. Any and all rights, duties and obligations hereunder shall not be assigned, transferred, delegated or sublicensed by any party hereto without the prior written consent of the other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Investors (a) shall be entitled to transfer Registrable Securities to</w:t>
      </w:r>
    </w:p>
    <w:p>
      <w:pPr>
        <w:spacing w:after="0" w:line="1" w:lineRule="exact"/>
        <w:rPr>
          <w:sz w:val="20"/>
          <w:szCs w:val="20"/>
          <w:color w:val="auto"/>
        </w:rPr>
      </w:pPr>
    </w:p>
    <w:p>
      <w:pPr>
        <w:ind w:left="420" w:right="40" w:firstLine="4"/>
        <w:spacing w:after="0" w:line="252" w:lineRule="auto"/>
        <w:tabs>
          <w:tab w:leader="none" w:pos="62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 or more of their respective affiliates (ii) any member or members of such Investor’s Immediate Family or a trust for the benefit of any member or members of such Investor’s Immediate Family, (iii) a trust in respect of which such Investor serves as trustee, or (iv) a limited partnership or limited liability company, all partners or members of which are members of such Investor’s Immediate Family, and (b),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shall be null and void. Subject to the foregoing and except as otherwise provided herein, the provisions of this Agreement shall inure to the benefit of, and be binding upon, the successors, permitted assigns, heirs, executors and administrators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60960</wp:posOffset>
            </wp:positionV>
            <wp:extent cx="715581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6" w:name="page167"/>
    <w:bookmarkEnd w:id="166"/>
    <w:p>
      <w:pPr>
        <w:ind w:left="400" w:right="160"/>
        <w:spacing w:after="0" w:line="261" w:lineRule="auto"/>
        <w:rPr>
          <w:sz w:val="20"/>
          <w:szCs w:val="20"/>
          <w:color w:val="auto"/>
        </w:rPr>
      </w:pPr>
      <w:r>
        <w:rPr>
          <w:rFonts w:ascii="Times New Roman" w:cs="Times New Roman" w:eastAsia="Times New Roman" w:hAnsi="Times New Roman"/>
          <w:sz w:val="17"/>
          <w:szCs w:val="17"/>
          <w:color w:val="auto"/>
        </w:rPr>
        <w:t>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Times New Roman" w:cs="Times New Roman" w:eastAsia="Times New Roman" w:hAnsi="Times New Roman"/>
          <w:sz w:val="17"/>
          <w:szCs w:val="17"/>
          <w:u w:val="single" w:color="auto"/>
          <w:color w:val="auto"/>
        </w:rPr>
        <w:t>Other Equity</w:t>
      </w:r>
      <w:r>
        <w:rPr>
          <w:rFonts w:ascii="Times New Roman" w:cs="Times New Roman" w:eastAsia="Times New Roman" w:hAnsi="Times New Roman"/>
          <w:sz w:val="17"/>
          <w:szCs w:val="17"/>
          <w:color w:val="auto"/>
        </w:rPr>
        <w:t>”) in any other entity (the “</w:t>
      </w:r>
      <w:r>
        <w:rPr>
          <w:rFonts w:ascii="Times New Roman" w:cs="Times New Roman" w:eastAsia="Times New Roman" w:hAnsi="Times New Roman"/>
          <w:sz w:val="17"/>
          <w:szCs w:val="17"/>
          <w:u w:val="single" w:color="auto"/>
          <w:color w:val="auto"/>
        </w:rPr>
        <w:t>Other Entity</w:t>
      </w:r>
      <w:r>
        <w:rPr>
          <w:rFonts w:ascii="Times New Roman" w:cs="Times New Roman" w:eastAsia="Times New Roman" w:hAnsi="Times New Roman"/>
          <w:sz w:val="17"/>
          <w:szCs w:val="17"/>
          <w:color w:val="auto"/>
        </w:rPr>
        <w:t>”) with respect to Registrable Securities hereunder, unless prior to the consummation thereof, the Other Entity assumes, by written instrument, the obligations under this Agreement with respect to such Other Equity as if such Other Equity were Registrable Securities hereunder.</w:t>
      </w:r>
    </w:p>
    <w:p>
      <w:pPr>
        <w:spacing w:after="0" w:line="172" w:lineRule="exact"/>
        <w:rPr>
          <w:sz w:val="20"/>
          <w:szCs w:val="20"/>
          <w:color w:val="auto"/>
        </w:rPr>
      </w:pPr>
    </w:p>
    <w:p>
      <w:pPr>
        <w:ind w:left="400" w:right="40" w:hanging="421"/>
        <w:spacing w:after="0" w:line="283" w:lineRule="auto"/>
        <w:tabs>
          <w:tab w:leader="none" w:pos="380" w:val="left"/>
        </w:tabs>
        <w:rPr>
          <w:sz w:val="20"/>
          <w:szCs w:val="20"/>
          <w:color w:val="auto"/>
        </w:rPr>
      </w:pPr>
      <w:r>
        <w:rPr>
          <w:rFonts w:ascii="Times New Roman" w:cs="Times New Roman" w:eastAsia="Times New Roman" w:hAnsi="Times New Roman"/>
          <w:sz w:val="17"/>
          <w:szCs w:val="17"/>
          <w:u w:val="single" w:color="auto"/>
          <w:color w:val="auto"/>
        </w:rPr>
        <w:t>3.7</w:t>
      </w:r>
      <w:r>
        <w:rPr>
          <w:sz w:val="20"/>
          <w:szCs w:val="20"/>
          <w:color w:val="auto"/>
        </w:rPr>
        <w:tab/>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together with any exhibits hereto, constitute the entire agreement between the parties relating to the subject matter hereof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and all previous agreements or arrangements between the parties, written or oral, relating to the subject matter hereof are superseded.</w:t>
      </w:r>
    </w:p>
    <w:p>
      <w:pPr>
        <w:spacing w:after="0" w:line="152" w:lineRule="exact"/>
        <w:rPr>
          <w:sz w:val="20"/>
          <w:szCs w:val="20"/>
          <w:color w:val="auto"/>
        </w:rPr>
      </w:pPr>
    </w:p>
    <w:p>
      <w:pPr>
        <w:ind w:left="400" w:right="40" w:hanging="421"/>
        <w:spacing w:after="0" w:line="267" w:lineRule="auto"/>
        <w:tabs>
          <w:tab w:leader="none" w:pos="380" w:val="left"/>
        </w:tabs>
        <w:rPr>
          <w:sz w:val="20"/>
          <w:szCs w:val="20"/>
          <w:color w:val="auto"/>
        </w:rPr>
      </w:pPr>
      <w:r>
        <w:rPr>
          <w:rFonts w:ascii="Times New Roman" w:cs="Times New Roman" w:eastAsia="Times New Roman" w:hAnsi="Times New Roman"/>
          <w:sz w:val="17"/>
          <w:szCs w:val="17"/>
          <w:u w:val="single" w:color="auto"/>
          <w:color w:val="auto"/>
        </w:rPr>
        <w:t>3.8</w:t>
      </w:r>
      <w:r>
        <w:rPr>
          <w:sz w:val="20"/>
          <w:szCs w:val="20"/>
          <w:color w:val="auto"/>
        </w:rPr>
        <w:tab/>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failure on the part of either party hereto to exercise any power, right, privilege or remedy under this Agreement, and no delay on the part of either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65" w:lineRule="exact"/>
        <w:rPr>
          <w:sz w:val="20"/>
          <w:szCs w:val="20"/>
          <w:color w:val="auto"/>
        </w:rPr>
      </w:pPr>
    </w:p>
    <w:p>
      <w:pPr>
        <w:ind w:left="400" w:right="260" w:hanging="421"/>
        <w:spacing w:after="0" w:line="267" w:lineRule="auto"/>
        <w:tabs>
          <w:tab w:leader="none" w:pos="380" w:val="left"/>
        </w:tabs>
        <w:rPr>
          <w:sz w:val="20"/>
          <w:szCs w:val="20"/>
          <w:color w:val="auto"/>
        </w:rPr>
      </w:pPr>
      <w:r>
        <w:rPr>
          <w:rFonts w:ascii="Times New Roman" w:cs="Times New Roman" w:eastAsia="Times New Roman" w:hAnsi="Times New Roman"/>
          <w:sz w:val="17"/>
          <w:szCs w:val="17"/>
          <w:u w:val="single" w:color="auto"/>
          <w:color w:val="auto"/>
        </w:rPr>
        <w:t>3.9</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part of this Agreement is declared invalid or unenforceable by any court of competent jurisdiction, such declaration shall not affect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remainder of the Agreement and the invalidated provision shall be revised in a manner that shall render such provision valid while preserving the parties’ original intent to the maximum extent possible.</w:t>
      </w:r>
    </w:p>
    <w:p>
      <w:pPr>
        <w:spacing w:after="0" w:line="165" w:lineRule="exact"/>
        <w:rPr>
          <w:sz w:val="20"/>
          <w:szCs w:val="20"/>
          <w:color w:val="auto"/>
        </w:rPr>
      </w:pPr>
    </w:p>
    <w:p>
      <w:pPr>
        <w:ind w:left="400" w:hanging="421"/>
        <w:spacing w:after="0" w:line="267" w:lineRule="auto"/>
        <w:rPr>
          <w:sz w:val="20"/>
          <w:szCs w:val="20"/>
          <w:color w:val="auto"/>
        </w:rPr>
      </w:pPr>
      <w:r>
        <w:rPr>
          <w:rFonts w:ascii="Times New Roman" w:cs="Times New Roman" w:eastAsia="Times New Roman" w:hAnsi="Times New Roman"/>
          <w:sz w:val="17"/>
          <w:szCs w:val="17"/>
          <w:u w:val="single" w:color="auto"/>
          <w:color w:val="auto"/>
        </w:rPr>
        <w:t>3.10 Titles and Subtitles</w:t>
      </w:r>
      <w:r>
        <w:rPr>
          <w:rFonts w:ascii="Times New Roman" w:cs="Times New Roman" w:eastAsia="Times New Roman" w:hAnsi="Times New Roman"/>
          <w:sz w:val="17"/>
          <w:szCs w:val="17"/>
          <w:color w:val="auto"/>
        </w:rPr>
        <w:t>.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w:t>
      </w:r>
    </w:p>
    <w:p>
      <w:pPr>
        <w:spacing w:after="0" w:line="165" w:lineRule="exact"/>
        <w:rPr>
          <w:sz w:val="20"/>
          <w:szCs w:val="20"/>
          <w:color w:val="auto"/>
        </w:rPr>
      </w:pPr>
    </w:p>
    <w:p>
      <w:pPr>
        <w:ind w:left="400" w:right="500" w:hanging="421"/>
        <w:spacing w:after="0" w:line="283" w:lineRule="auto"/>
        <w:rPr>
          <w:sz w:val="20"/>
          <w:szCs w:val="20"/>
          <w:color w:val="auto"/>
        </w:rPr>
      </w:pPr>
      <w:r>
        <w:rPr>
          <w:rFonts w:ascii="Times New Roman" w:cs="Times New Roman" w:eastAsia="Times New Roman" w:hAnsi="Times New Roman"/>
          <w:sz w:val="17"/>
          <w:szCs w:val="17"/>
          <w:u w:val="single" w:color="auto"/>
          <w:color w:val="auto"/>
        </w:rPr>
        <w:t>3.11 Counterparts</w:t>
      </w:r>
      <w:r>
        <w:rPr>
          <w:rFonts w:ascii="Times New Roman" w:cs="Times New Roman" w:eastAsia="Times New Roman" w:hAnsi="Times New Roman"/>
          <w:sz w:val="17"/>
          <w:szCs w:val="17"/>
          <w:color w:val="auto"/>
        </w:rPr>
        <w:t>. This Agreement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152" w:lineRule="exact"/>
        <w:rPr>
          <w:sz w:val="20"/>
          <w:szCs w:val="20"/>
          <w:color w:val="auto"/>
        </w:rPr>
      </w:pPr>
    </w:p>
    <w:p>
      <w:pPr>
        <w:ind w:left="400" w:right="300" w:hanging="421"/>
        <w:spacing w:after="0" w:line="267" w:lineRule="auto"/>
        <w:rPr>
          <w:sz w:val="20"/>
          <w:szCs w:val="20"/>
          <w:color w:val="auto"/>
        </w:rPr>
      </w:pPr>
      <w:r>
        <w:rPr>
          <w:rFonts w:ascii="Times New Roman" w:cs="Times New Roman" w:eastAsia="Times New Roman" w:hAnsi="Times New Roman"/>
          <w:sz w:val="17"/>
          <w:szCs w:val="17"/>
          <w:u w:val="single" w:color="auto"/>
          <w:color w:val="auto"/>
        </w:rPr>
        <w:t>3.12 Term and Termination</w:t>
      </w:r>
      <w:r>
        <w:rPr>
          <w:rFonts w:ascii="Times New Roman" w:cs="Times New Roman" w:eastAsia="Times New Roman" w:hAnsi="Times New Roman"/>
          <w:sz w:val="17"/>
          <w:szCs w:val="17"/>
          <w:color w:val="auto"/>
        </w:rPr>
        <w:t xml:space="preserve">. Each Investor’s rights to demand the registration of the Registrable Securities under this Agreement, as well as the Company’s obligations hereunder other than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hereof, shall terminate automatically once all of such Investor’s Registrable Securities cease to be Registrable Securities pursuant to the terms of this Agreement.</w:t>
      </w:r>
    </w:p>
    <w:p>
      <w:pPr>
        <w:spacing w:after="0" w:line="165" w:lineRule="exact"/>
        <w:rPr>
          <w:sz w:val="20"/>
          <w:szCs w:val="20"/>
          <w:color w:val="auto"/>
        </w:rPr>
      </w:pPr>
    </w:p>
    <w:p>
      <w:pPr>
        <w:ind w:left="400" w:right="120" w:hanging="421"/>
        <w:spacing w:after="0" w:line="283" w:lineRule="auto"/>
        <w:rPr>
          <w:sz w:val="20"/>
          <w:szCs w:val="20"/>
          <w:color w:val="auto"/>
        </w:rPr>
      </w:pPr>
      <w:r>
        <w:rPr>
          <w:rFonts w:ascii="Times New Roman" w:cs="Times New Roman" w:eastAsia="Times New Roman" w:hAnsi="Times New Roman"/>
          <w:sz w:val="17"/>
          <w:szCs w:val="17"/>
          <w:u w:val="single" w:color="auto"/>
          <w:color w:val="auto"/>
        </w:rPr>
        <w:t>3.13 Relationship of the Parties</w:t>
      </w:r>
      <w:r>
        <w:rPr>
          <w:rFonts w:ascii="Times New Roman" w:cs="Times New Roman" w:eastAsia="Times New Roman" w:hAnsi="Times New Roman"/>
          <w:sz w:val="17"/>
          <w:szCs w:val="17"/>
          <w:color w:val="auto"/>
        </w:rPr>
        <w:t>. The rights and obligations hereunder of the BBA Investors, on the one hand, and the Perlroth Investor, on the other hand, shall be several and not joint.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 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505460</wp:posOffset>
            </wp:positionV>
            <wp:extent cx="715581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KODIAK SCIENCES INC.</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7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86"/>
              </w:rPr>
              <w:t>/s/</w:t>
            </w:r>
          </w:p>
        </w:tc>
      </w:tr>
      <w:tr>
        <w:trPr>
          <w:trHeight w:val="184"/>
        </w:trPr>
        <w:tc>
          <w:tcPr>
            <w:tcW w:w="5840" w:type="dxa"/>
            <w:vAlign w:val="bottom"/>
          </w:tcPr>
          <w:p>
            <w:pPr>
              <w:spacing w:after="0"/>
              <w:rPr>
                <w:sz w:val="16"/>
                <w:szCs w:val="16"/>
                <w:color w:val="auto"/>
              </w:rPr>
            </w:pPr>
          </w:p>
        </w:tc>
        <w:tc>
          <w:tcPr>
            <w:tcW w:w="1140" w:type="dxa"/>
            <w:vAlign w:val="bottom"/>
            <w:tcBorders>
              <w:bottom w:val="single" w:sz="8" w:color="auto"/>
            </w:tcBorders>
            <w:gridSpan w:val="2"/>
          </w:tcPr>
          <w:p>
            <w:pPr>
              <w:spacing w:after="0" w:line="185" w:lineRule="exact"/>
              <w:rPr>
                <w:sz w:val="20"/>
                <w:szCs w:val="20"/>
                <w:color w:val="auto"/>
              </w:rPr>
            </w:pPr>
            <w:r>
              <w:rPr>
                <w:rFonts w:ascii="Times New Roman" w:cs="Times New Roman" w:eastAsia="Times New Roman" w:hAnsi="Times New Roman"/>
                <w:sz w:val="17"/>
                <w:szCs w:val="17"/>
                <w:color w:val="auto"/>
              </w:rPr>
              <w:t>John Borgeson</w:t>
            </w:r>
          </w:p>
        </w:tc>
        <w:tc>
          <w:tcPr>
            <w:tcW w:w="760" w:type="dxa"/>
            <w:vAlign w:val="bottom"/>
            <w:tcBorders>
              <w:bottom w:val="single" w:sz="8" w:color="auto"/>
            </w:tcBorders>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58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7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Borgeson</w:t>
            </w:r>
          </w:p>
        </w:tc>
        <w:tc>
          <w:tcPr>
            <w:tcW w:w="7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6980" w:type="dxa"/>
            <w:vAlign w:val="bottom"/>
            <w:gridSpan w:val="3"/>
          </w:tcPr>
          <w:p>
            <w:pPr>
              <w:ind w:left="5820"/>
              <w:spacing w:after="0"/>
              <w:rPr>
                <w:sz w:val="20"/>
                <w:szCs w:val="20"/>
                <w:color w:val="auto"/>
              </w:rPr>
            </w:pPr>
            <w:r>
              <w:rPr>
                <w:rFonts w:ascii="Times New Roman" w:cs="Times New Roman" w:eastAsia="Times New Roman" w:hAnsi="Times New Roman"/>
                <w:sz w:val="17"/>
                <w:szCs w:val="17"/>
                <w:color w:val="auto"/>
              </w:rPr>
              <w:t>Title:</w:t>
            </w:r>
          </w:p>
        </w:tc>
        <w:tc>
          <w:tcPr>
            <w:tcW w:w="432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771"/>
        </w:trPr>
        <w:tc>
          <w:tcPr>
            <w:tcW w:w="5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00" w:lineRule="exact"/>
        <w:rPr>
          <w:sz w:val="20"/>
          <w:szCs w:val="20"/>
          <w:color w:val="auto"/>
        </w:rPr>
      </w:pPr>
    </w:p>
    <w:p>
      <w:pPr>
        <w:spacing w:after="0" w:line="21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b w:val="1"/>
          <w:bCs w:val="1"/>
          <w:color w:val="auto"/>
        </w:rPr>
        <w:t>667, L.P.</w:t>
      </w:r>
    </w:p>
    <w:p>
      <w:pPr>
        <w:spacing w:after="0" w:line="30" w:lineRule="exact"/>
        <w:rPr>
          <w:sz w:val="20"/>
          <w:szCs w:val="20"/>
          <w:color w:val="auto"/>
        </w:rPr>
      </w:pPr>
    </w:p>
    <w:p>
      <w:pPr>
        <w:ind w:left="6040"/>
        <w:spacing w:after="0"/>
        <w:tabs>
          <w:tab w:leader="none" w:pos="6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BAKER BROS. ADVISORS LP, management company and</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investment adviser to 667, L.P., pursuant to authority granted to</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it by Baker Biotech Capital, L.P., general partner to 667, L.P.,</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and not as the general partner</w:t>
      </w:r>
    </w:p>
    <w:p>
      <w:pPr>
        <w:spacing w:after="0" w:line="40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11385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113855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110490</wp:posOffset>
            </wp:positionV>
            <wp:extent cx="432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17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Scott L. Lessing</w:t>
      </w:r>
    </w:p>
    <w:p>
      <w:pPr>
        <w:spacing w:after="0" w:line="2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President</w:t>
      </w:r>
    </w:p>
    <w:p>
      <w:pPr>
        <w:spacing w:after="0" w:line="39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BAKER BROTHERS LIFE SCIENCES, L.P.</w:t>
      </w:r>
    </w:p>
    <w:p>
      <w:pPr>
        <w:spacing w:after="0" w:line="30" w:lineRule="exact"/>
        <w:rPr>
          <w:sz w:val="20"/>
          <w:szCs w:val="20"/>
          <w:color w:val="auto"/>
        </w:rPr>
      </w:pPr>
    </w:p>
    <w:p>
      <w:pPr>
        <w:ind w:left="6040"/>
        <w:spacing w:after="0"/>
        <w:tabs>
          <w:tab w:leader="none" w:pos="71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BAKER BROS. ADVISORS LP, management company</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and investment adviser to BAKER BROTHERS LIFE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SCIENCES, L.P., pursuant to authority granted to it by</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Baker Brothers Life Sciences Capital, L.P., general partner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to BAKER BROTHERS LIFE SCIENCES, L.P., and not as</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the general partner</w:t>
      </w:r>
    </w:p>
    <w:p>
      <w:pPr>
        <w:spacing w:after="0" w:line="40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15709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9340"/>
        <w:spacing w:after="0"/>
        <w:rPr>
          <w:sz w:val="20"/>
          <w:szCs w:val="20"/>
          <w:color w:val="auto"/>
        </w:rPr>
      </w:pPr>
      <w:r>
        <w:rPr>
          <w:rFonts w:ascii="Times New Roman" w:cs="Times New Roman" w:eastAsia="Times New Roman" w:hAnsi="Times New Roman"/>
          <w:sz w:val="17"/>
          <w:szCs w:val="17"/>
          <w:color w:val="auto"/>
        </w:rPr>
        <w:t>Scott L. Lessing</w:t>
      </w:r>
    </w:p>
    <w:p>
      <w:pPr>
        <w:spacing w:after="0" w:line="9"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621665</wp:posOffset>
            </wp:positionV>
            <wp:extent cx="715581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00" w:lineRule="exact"/>
        <w:rPr>
          <w:sz w:val="20"/>
          <w:szCs w:val="20"/>
          <w:color w:val="auto"/>
        </w:rPr>
      </w:pPr>
    </w:p>
    <w:p>
      <w:pPr>
        <w:spacing w:after="0" w:line="22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15640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1564005" cy="8255"/>
                    </a:xfrm>
                    <a:prstGeom prst="rect">
                      <a:avLst/>
                    </a:prstGeom>
                    <a:noFill/>
                  </pic:spPr>
                </pic:pic>
              </a:graphicData>
            </a:graphic>
          </wp:anchor>
        </w:drawing>
      </w:r>
    </w:p>
    <w:p>
      <w:pPr>
        <w:ind w:left="9340"/>
        <w:spacing w:after="0"/>
        <w:rPr>
          <w:sz w:val="20"/>
          <w:szCs w:val="20"/>
          <w:color w:val="auto"/>
        </w:rPr>
      </w:pPr>
      <w:r>
        <w:rPr>
          <w:rFonts w:ascii="Times New Roman" w:cs="Times New Roman" w:eastAsia="Times New Roman" w:hAnsi="Times New Roman"/>
          <w:sz w:val="17"/>
          <w:szCs w:val="17"/>
          <w:color w:val="auto"/>
        </w:rPr>
        <w:t>D. Victor Perlroth,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361950</wp:posOffset>
            </wp:positionV>
            <wp:extent cx="715581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70" w:name="page171"/>
    <w:bookmarkEnd w:id="170"/>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pacing w:after="0" w:line="213"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7"/>
          <w:szCs w:val="17"/>
          <w:b w:val="1"/>
          <w:bCs w:val="1"/>
          <w:u w:val="single" w:color="auto"/>
          <w:color w:val="auto"/>
        </w:rPr>
        <w:t>The Investors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667, 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BAKER BROTHERS LIFE SCIENCES, 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above 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Baker Brothers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Washington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Scott Lessing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[Omitted]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Akin Gump Strauss Hauer &amp; Feld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Jeffrey Kochian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10036-6745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Victor Perlroth, M.D.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Kodiak 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[Omitted]</w:t>
      </w:r>
    </w:p>
    <w:p>
      <w:pPr>
        <w:sectPr>
          <w:pgSz w:w="11900" w:h="16838" w:orient="portrait"/>
          <w:cols w:equalWidth="0" w:num="1">
            <w:col w:w="10139"/>
          </w:cols>
          <w:pgMar w:left="320" w:top="541"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9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(Nos.333-250109 and 333-234443) and Form S-8 (Nos. 333-231503 and 333-227755) of Kodiak Sciences Inc. of our report dated March 1, 2021 relating to the financial statements and the effectiveness of internal control over financial reporting, which appears in this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2021</w:t>
      </w:r>
    </w:p>
    <w:p>
      <w:pPr>
        <w:sectPr>
          <w:pgSz w:w="11900" w:h="16838" w:orient="portrait"/>
          <w:cols w:equalWidth="0" w:num="1">
            <w:col w:w="11240"/>
          </w:cols>
          <w:pgMar w:left="320" w:top="324"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Victor Perlroth, M.D., certify that:</w:t>
      </w:r>
    </w:p>
    <w:p>
      <w:pPr>
        <w:spacing w:after="0" w:line="213" w:lineRule="exact"/>
        <w:rPr>
          <w:sz w:val="20"/>
          <w:szCs w:val="20"/>
          <w:color w:val="auto"/>
        </w:rPr>
      </w:pPr>
    </w:p>
    <w:p>
      <w:pPr>
        <w:ind w:left="520" w:hanging="518"/>
        <w:spacing w:after="0"/>
        <w:tabs>
          <w:tab w:leader="none" w:pos="5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Kodiak Sciences Inc.;</w:t>
      </w:r>
    </w:p>
    <w:p>
      <w:pPr>
        <w:spacing w:after="0" w:line="213" w:lineRule="exact"/>
        <w:rPr>
          <w:rFonts w:ascii="Times New Roman" w:cs="Times New Roman" w:eastAsia="Times New Roman" w:hAnsi="Times New Roman"/>
          <w:sz w:val="17"/>
          <w:szCs w:val="17"/>
          <w:color w:val="auto"/>
        </w:rPr>
      </w:pPr>
    </w:p>
    <w:p>
      <w:pPr>
        <w:ind w:left="520" w:right="40" w:hanging="518"/>
        <w:spacing w:after="0" w:line="283" w:lineRule="auto"/>
        <w:tabs>
          <w:tab w:leader="none" w:pos="5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right="140" w:hanging="518"/>
        <w:spacing w:after="0" w:line="283" w:lineRule="auto"/>
        <w:tabs>
          <w:tab w:leader="none" w:pos="5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520" w:hanging="518"/>
        <w:spacing w:after="0" w:line="267" w:lineRule="auto"/>
        <w:tabs>
          <w:tab w:leader="none" w:pos="5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1060" w:right="40" w:hanging="534"/>
        <w:spacing w:after="0" w:line="267"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060" w:right="40" w:hanging="534"/>
        <w:spacing w:after="0" w:line="267"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60" w:right="100" w:hanging="534"/>
        <w:spacing w:after="0" w:line="283"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left="1060" w:right="140" w:hanging="534"/>
        <w:spacing w:after="0" w:line="267"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right="540" w:hanging="518"/>
        <w:spacing w:after="0" w:line="283" w:lineRule="auto"/>
        <w:tabs>
          <w:tab w:leader="none" w:pos="5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60" w:hanging="534"/>
        <w:spacing w:after="0" w:line="283"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60" w:right="60" w:hanging="534"/>
        <w:spacing w:after="0" w:line="283" w:lineRule="auto"/>
        <w:tabs>
          <w:tab w:leader="none" w:pos="106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7"/>
          <w:szCs w:val="17"/>
          <w:color w:val="auto"/>
        </w:rPr>
        <w:t>Date: March 1, 2021</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10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3310255" cy="8255"/>
                    </a:xfrm>
                    <a:prstGeom prst="rect">
                      <a:avLst/>
                    </a:prstGeom>
                    <a:noFill/>
                  </pic:spPr>
                </pic:pic>
              </a:graphicData>
            </a:graphic>
          </wp:anchor>
        </w:drawing>
      </w:r>
    </w:p>
    <w:p>
      <w:pPr>
        <w:spacing w:after="0" w:line="1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7"/>
          <w:szCs w:val="17"/>
          <w:b w:val="1"/>
          <w:bCs w:val="1"/>
          <w:color w:val="auto"/>
        </w:rPr>
        <w:t>Victor Perlroth, M.D.</w:t>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Chairman and 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Borgeson, certify that:</w:t>
      </w:r>
    </w:p>
    <w:p>
      <w:pPr>
        <w:spacing w:after="0" w:line="213" w:lineRule="exact"/>
        <w:rPr>
          <w:sz w:val="20"/>
          <w:szCs w:val="20"/>
          <w:color w:val="auto"/>
        </w:rPr>
      </w:pPr>
    </w:p>
    <w:p>
      <w:pPr>
        <w:ind w:left="520" w:hanging="518"/>
        <w:spacing w:after="0"/>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Kodiak Sciences Inc.;</w:t>
      </w:r>
    </w:p>
    <w:p>
      <w:pPr>
        <w:spacing w:after="0" w:line="213" w:lineRule="exact"/>
        <w:rPr>
          <w:rFonts w:ascii="Times New Roman" w:cs="Times New Roman" w:eastAsia="Times New Roman" w:hAnsi="Times New Roman"/>
          <w:sz w:val="17"/>
          <w:szCs w:val="17"/>
          <w:color w:val="auto"/>
        </w:rPr>
      </w:pPr>
    </w:p>
    <w:p>
      <w:pPr>
        <w:ind w:left="520" w:right="40" w:hanging="518"/>
        <w:spacing w:after="0" w:line="283" w:lineRule="auto"/>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right="140" w:hanging="518"/>
        <w:spacing w:after="0" w:line="283" w:lineRule="auto"/>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520" w:hanging="518"/>
        <w:spacing w:after="0" w:line="267" w:lineRule="auto"/>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1060" w:right="40" w:hanging="534"/>
        <w:spacing w:after="0" w:line="267"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060" w:right="40" w:hanging="534"/>
        <w:spacing w:after="0" w:line="267"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60" w:right="100" w:hanging="534"/>
        <w:spacing w:after="0" w:line="283"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left="1060" w:right="140" w:hanging="534"/>
        <w:spacing w:after="0" w:line="267"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right="540" w:hanging="518"/>
        <w:spacing w:after="0" w:line="283" w:lineRule="auto"/>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60" w:hanging="534"/>
        <w:spacing w:after="0" w:line="283"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60" w:right="60" w:hanging="534"/>
        <w:spacing w:after="0" w:line="283" w:lineRule="auto"/>
        <w:tabs>
          <w:tab w:leader="none" w:pos="10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7"/>
          <w:szCs w:val="17"/>
          <w:color w:val="auto"/>
        </w:rPr>
        <w:t>Date: March 1, 2021</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10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3310255" cy="8255"/>
                    </a:xfrm>
                    <a:prstGeom prst="rect">
                      <a:avLst/>
                    </a:prstGeom>
                    <a:noFill/>
                  </pic:spPr>
                </pic:pic>
              </a:graphicData>
            </a:graphic>
          </wp:anchor>
        </w:drawing>
      </w:r>
    </w:p>
    <w:p>
      <w:pPr>
        <w:spacing w:after="0" w:line="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b w:val="1"/>
          <w:bCs w:val="1"/>
          <w:color w:val="auto"/>
        </w:rPr>
        <w:t>John Borgeson</w:t>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ectPr>
          <w:pgSz w:w="11900" w:h="16838" w:orient="portrait"/>
          <w:cols w:equalWidth="0" w:num="1">
            <w:col w:w="11240"/>
          </w:cols>
          <w:pgMar w:left="320" w:top="336"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6" w:lineRule="exact"/>
        <w:rPr>
          <w:sz w:val="20"/>
          <w:szCs w:val="20"/>
          <w:color w:val="auto"/>
        </w:rPr>
      </w:pPr>
    </w:p>
    <w:p>
      <w:pPr>
        <w:ind w:right="140" w:firstLine="611"/>
        <w:spacing w:after="0" w:line="267" w:lineRule="auto"/>
        <w:rPr>
          <w:sz w:val="20"/>
          <w:szCs w:val="20"/>
          <w:color w:val="auto"/>
        </w:rPr>
      </w:pPr>
      <w:r>
        <w:rPr>
          <w:rFonts w:ascii="Times New Roman" w:cs="Times New Roman" w:eastAsia="Times New Roman" w:hAnsi="Times New Roman"/>
          <w:sz w:val="17"/>
          <w:szCs w:val="17"/>
          <w:color w:val="auto"/>
        </w:rPr>
        <w:t>In connection with the Annual Report of Kodiak Sciences Inc. (the “Company”) on Form 10-K for the fiscal year ending December 31, 2020 as filed with the Securities and Exchange Commission on the date hereof (the “Report”), I certify, pursuant to 18 U.S.C. § 1350, as adopted pursuant to § 906 of the Sarbanes-Oxley Act of 2002, to the best of my knowledge, that:</w:t>
      </w:r>
    </w:p>
    <w:p>
      <w:pPr>
        <w:spacing w:after="0" w:line="165" w:lineRule="exact"/>
        <w:rPr>
          <w:sz w:val="20"/>
          <w:szCs w:val="20"/>
          <w:color w:val="auto"/>
        </w:rPr>
      </w:pPr>
    </w:p>
    <w:p>
      <w:pPr>
        <w:ind w:left="1200" w:hanging="597"/>
        <w:spacing w:after="0"/>
        <w:tabs>
          <w:tab w:leader="none" w:pos="12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7"/>
          <w:szCs w:val="17"/>
          <w:color w:val="auto"/>
        </w:rPr>
      </w:pPr>
    </w:p>
    <w:p>
      <w:pPr>
        <w:ind w:left="1200" w:hanging="597"/>
        <w:spacing w:after="0"/>
        <w:tabs>
          <w:tab w:leader="none" w:pos="12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spacing w:after="0"/>
        <w:tabs>
          <w:tab w:leader="none" w:pos="5460" w:val="left"/>
          <w:tab w:leader="none" w:pos="7920" w:val="left"/>
        </w:tabs>
        <w:rPr>
          <w:sz w:val="20"/>
          <w:szCs w:val="20"/>
          <w:color w:val="auto"/>
        </w:rPr>
      </w:pPr>
      <w:r>
        <w:rPr>
          <w:rFonts w:ascii="Times New Roman" w:cs="Times New Roman" w:eastAsia="Times New Roman" w:hAnsi="Times New Roman"/>
          <w:sz w:val="17"/>
          <w:szCs w:val="17"/>
          <w:color w:val="auto"/>
        </w:rPr>
        <w:t>Date: March 1, 2021</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15875</wp:posOffset>
            </wp:positionV>
            <wp:extent cx="34239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3423920" cy="8255"/>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7"/>
          <w:szCs w:val="17"/>
          <w:b w:val="1"/>
          <w:bCs w:val="1"/>
          <w:color w:val="auto"/>
        </w:rPr>
        <w:t>Victor Perlroth, M.D.</w:t>
      </w:r>
    </w:p>
    <w:p>
      <w:pPr>
        <w:spacing w:after="0" w:line="3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b w:val="1"/>
          <w:bCs w:val="1"/>
          <w:color w:val="auto"/>
        </w:rPr>
        <w:t>Chairman and Chief Executive Officer</w:t>
      </w:r>
    </w:p>
    <w:p>
      <w:pPr>
        <w:spacing w:after="0" w:line="2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22" w:lineRule="exact"/>
        <w:rPr>
          <w:sz w:val="20"/>
          <w:szCs w:val="20"/>
          <w:color w:val="auto"/>
        </w:rPr>
      </w:pPr>
    </w:p>
    <w:p>
      <w:pPr>
        <w:ind w:right="160" w:firstLine="897"/>
        <w:spacing w:after="0" w:line="28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5" w:lineRule="exact"/>
        <w:rPr>
          <w:sz w:val="20"/>
          <w:szCs w:val="20"/>
          <w:color w:val="auto"/>
        </w:rPr>
      </w:pPr>
    </w:p>
    <w:p>
      <w:pPr>
        <w:ind w:right="40" w:firstLine="897"/>
        <w:spacing w:after="0" w:line="267" w:lineRule="auto"/>
        <w:rPr>
          <w:sz w:val="20"/>
          <w:szCs w:val="20"/>
          <w:color w:val="auto"/>
        </w:rPr>
      </w:pPr>
      <w:r>
        <w:rPr>
          <w:rFonts w:ascii="Times New Roman" w:cs="Times New Roman" w:eastAsia="Times New Roman" w:hAnsi="Times New Roman"/>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6" w:lineRule="exact"/>
        <w:rPr>
          <w:sz w:val="20"/>
          <w:szCs w:val="20"/>
          <w:color w:val="auto"/>
        </w:rPr>
      </w:pPr>
    </w:p>
    <w:p>
      <w:pPr>
        <w:ind w:right="140" w:firstLine="611"/>
        <w:spacing w:after="0" w:line="267" w:lineRule="auto"/>
        <w:rPr>
          <w:sz w:val="20"/>
          <w:szCs w:val="20"/>
          <w:color w:val="auto"/>
        </w:rPr>
      </w:pPr>
      <w:r>
        <w:rPr>
          <w:rFonts w:ascii="Times New Roman" w:cs="Times New Roman" w:eastAsia="Times New Roman" w:hAnsi="Times New Roman"/>
          <w:sz w:val="17"/>
          <w:szCs w:val="17"/>
          <w:color w:val="auto"/>
        </w:rPr>
        <w:t>In connection with the Annual Report of Kodiak Sciences Inc. (the “Company”) on Form 10-K for the fiscal year ending December 31, 2020 as filed with the Securities and Exchange Commission on the date hereof (the “Report”), I certify, pursuant to 18 U.S.C. § 1350, as adopted pursuant to § 906 of the Sarbanes-Oxley Act of 2002, to the best of my knowledge, that:</w:t>
      </w:r>
    </w:p>
    <w:p>
      <w:pPr>
        <w:spacing w:after="0" w:line="165" w:lineRule="exact"/>
        <w:rPr>
          <w:sz w:val="20"/>
          <w:szCs w:val="20"/>
          <w:color w:val="auto"/>
        </w:rPr>
      </w:pPr>
    </w:p>
    <w:p>
      <w:pPr>
        <w:ind w:left="1200" w:hanging="597"/>
        <w:spacing w:after="0"/>
        <w:tabs>
          <w:tab w:leader="none" w:pos="12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7"/>
          <w:szCs w:val="17"/>
          <w:color w:val="auto"/>
        </w:rPr>
      </w:pPr>
    </w:p>
    <w:p>
      <w:pPr>
        <w:ind w:left="1200" w:hanging="597"/>
        <w:spacing w:after="0"/>
        <w:tabs>
          <w:tab w:leader="none" w:pos="12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spacing w:after="0"/>
        <w:tabs>
          <w:tab w:leader="none" w:pos="5460" w:val="left"/>
          <w:tab w:leader="none" w:pos="7920" w:val="left"/>
        </w:tabs>
        <w:rPr>
          <w:sz w:val="20"/>
          <w:szCs w:val="20"/>
          <w:color w:val="auto"/>
        </w:rPr>
      </w:pPr>
      <w:r>
        <w:rPr>
          <w:rFonts w:ascii="Times New Roman" w:cs="Times New Roman" w:eastAsia="Times New Roman" w:hAnsi="Times New Roman"/>
          <w:sz w:val="17"/>
          <w:szCs w:val="17"/>
          <w:color w:val="auto"/>
        </w:rPr>
        <w:t>Date: March 1, 2021</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15875</wp:posOffset>
            </wp:positionV>
            <wp:extent cx="34239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3423920" cy="8255"/>
                    </a:xfrm>
                    <a:prstGeom prst="rect">
                      <a:avLst/>
                    </a:prstGeom>
                    <a:noFill/>
                  </pic:spPr>
                </pic:pic>
              </a:graphicData>
            </a:graphic>
          </wp:anchor>
        </w:drawing>
      </w:r>
    </w:p>
    <w:p>
      <w:pPr>
        <w:spacing w:after="0" w:line="1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John Borgeson</w:t>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b w:val="1"/>
          <w:bCs w:val="1"/>
          <w:color w:val="auto"/>
        </w:rPr>
        <w:t>(Principal Financial and Accounting Officer)</w:t>
      </w:r>
    </w:p>
    <w:p>
      <w:pPr>
        <w:spacing w:after="0" w:line="222" w:lineRule="exact"/>
        <w:rPr>
          <w:sz w:val="20"/>
          <w:szCs w:val="20"/>
          <w:color w:val="auto"/>
        </w:rPr>
      </w:pPr>
    </w:p>
    <w:p>
      <w:pPr>
        <w:ind w:right="160" w:firstLine="897"/>
        <w:spacing w:after="0" w:line="28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5" w:lineRule="exact"/>
        <w:rPr>
          <w:sz w:val="20"/>
          <w:szCs w:val="20"/>
          <w:color w:val="auto"/>
        </w:rPr>
      </w:pPr>
    </w:p>
    <w:p>
      <w:pPr>
        <w:ind w:right="40" w:firstLine="897"/>
        <w:spacing w:after="0" w:line="267" w:lineRule="auto"/>
        <w:rPr>
          <w:sz w:val="20"/>
          <w:szCs w:val="20"/>
          <w:color w:val="auto"/>
        </w:rPr>
      </w:pPr>
      <w:r>
        <w:rPr>
          <w:rFonts w:ascii="Times New Roman" w:cs="Times New Roman" w:eastAsia="Times New Roman" w:hAnsi="Times New Roman"/>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374A3FE6"/>
    <w:multiLevelType w:val="hybridMultilevel"/>
    <w:lvl w:ilvl="0">
      <w:lvlJc w:val="left"/>
      <w:lvlText w:val="(%1)"/>
      <w:numFmt w:val="decimal"/>
      <w:start w:val="2"/>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2"/>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3"/>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decimal"/>
      <w:start w:val="104"/>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0"/>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9"/>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Roman"/>
      <w:start w:val="1"/>
    </w:lvl>
  </w:abstractNum>
  <w:abstractNum w:abstractNumId="76">
    <w:nsid w:val="6F6DD9AC"/>
    <w:multiLevelType w:val="hybridMultilevel"/>
    <w:lvl w:ilvl="0">
      <w:lvlJc w:val="left"/>
      <w:lvlText w:val="(%1)"/>
      <w:numFmt w:val="lowerLetter"/>
      <w:start w:val="4"/>
    </w:lvl>
  </w:abstractNum>
  <w:abstractNum w:abstractNumId="77">
    <w:nsid w:val="94211F2"/>
    <w:multiLevelType w:val="hybridMultilevel"/>
    <w:lvl w:ilvl="0">
      <w:lvlJc w:val="left"/>
      <w:lvlText w:val="(%1)"/>
      <w:numFmt w:val="lowerLetter"/>
      <w:start w:val="5"/>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3"/>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4"/>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4"/>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Roman"/>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40"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27" Type="http://schemas.openxmlformats.org/officeDocument/2006/relationships/hyperlink" Target="http://www.sec.gov/Archives/edgar/data/0001468748/000156459018029743/kod-ex31_303.htm" TargetMode="External"/><Relationship Id="rId228" Type="http://schemas.openxmlformats.org/officeDocument/2006/relationships/hyperlink" Target="http://www.sec.gov/Archives/edgar/data/0001468748/000156459018029743/kod-ex32_302.htm" TargetMode="External"/><Relationship Id="rId229" Type="http://schemas.openxmlformats.org/officeDocument/2006/relationships/hyperlink" Target="http://www.sec.gov/Archives/edgar/data/0001468748/000119312518280419/d516071dex41.htm" TargetMode="External"/><Relationship Id="rId230" Type="http://schemas.openxmlformats.org/officeDocument/2006/relationships/hyperlink" Target="http://www.sec.gov/Archives/edgar/data/0001468748/000119312518280419/d516071dex42.htm" TargetMode="External"/><Relationship Id="rId231" Type="http://schemas.openxmlformats.org/officeDocument/2006/relationships/hyperlink" Target="http://www.sec.gov/Archives/edgar/data/0001468748/000119312518269221/d516071dex45.htm" TargetMode="External"/><Relationship Id="rId232" Type="http://schemas.openxmlformats.org/officeDocument/2006/relationships/hyperlink" Target="http://www.sec.gov/Archives/edgar/data/1468748/000156459020011186/kod-ex46_599.htm" TargetMode="External"/><Relationship Id="rId233" Type="http://schemas.openxmlformats.org/officeDocument/2006/relationships/hyperlink" Target="http://www.sec.gov/Archives/edgar/data/0001468748/000119312518280419/d516071dex101.htm" TargetMode="External"/><Relationship Id="rId234" Type="http://schemas.openxmlformats.org/officeDocument/2006/relationships/hyperlink" Target="http://www.sec.gov/Archives/edgar/data/0001468748/000119312518269221/d516071dex102.htm" TargetMode="External"/><Relationship Id="rId235" Type="http://schemas.openxmlformats.org/officeDocument/2006/relationships/hyperlink" Target="http://www.sec.gov/Archives/edgar/data/0001468748/000119312518269221/d516071dex103.htm" TargetMode="External"/><Relationship Id="rId236" Type="http://schemas.openxmlformats.org/officeDocument/2006/relationships/hyperlink" Target="http://www.sec.gov/Archives/edgar/data/0001468748/000119312518269221/d516071dex104.htm" TargetMode="External"/><Relationship Id="rId237" Type="http://schemas.openxmlformats.org/officeDocument/2006/relationships/hyperlink" Target="http://www.sec.gov/Archives/edgar/data/0001468748/000119312518269221/d516071dex105.htm" TargetMode="External"/><Relationship Id="rId238" Type="http://schemas.openxmlformats.org/officeDocument/2006/relationships/hyperlink" Target="http://www.sec.gov/Archives/edgar/data/0001468748/000119312518280419/d516071dex106.htm" TargetMode="External"/><Relationship Id="rId239" Type="http://schemas.openxmlformats.org/officeDocument/2006/relationships/hyperlink" Target="http://www.sec.gov/Archives/edgar/data/0001468748/000119312518280419/d516071dex107.htm" TargetMode="External"/><Relationship Id="rId241" Type="http://schemas.openxmlformats.org/officeDocument/2006/relationships/hyperlink" Target="http://www.sec.gov/Archives/edgar/data/0001468748/000119312518280419/d516071dex108.htm" TargetMode="External"/><Relationship Id="rId242" Type="http://schemas.openxmlformats.org/officeDocument/2006/relationships/hyperlink" Target="http://www.sec.gov/Archives/edgar/data/0001468748/000119312518280419/d516071dex109.htm" TargetMode="External"/><Relationship Id="rId243" Type="http://schemas.openxmlformats.org/officeDocument/2006/relationships/hyperlink" Target="http://www.sec.gov/Archives/edgar/data/0001468748/000119312518280419/d516071dex1010.htm" TargetMode="External"/><Relationship Id="rId244" Type="http://schemas.openxmlformats.org/officeDocument/2006/relationships/hyperlink" Target="http://www.sec.gov/Archives/edgar/data/0001468748/000119312518280419/d516071dex1011.htm" TargetMode="External"/><Relationship Id="rId245" Type="http://schemas.openxmlformats.org/officeDocument/2006/relationships/hyperlink" Target="http://www.sec.gov/Archives/edgar/data/0001468748/000119312518280419/d516071dex1012.htm" TargetMode="External"/><Relationship Id="rId246" Type="http://schemas.openxmlformats.org/officeDocument/2006/relationships/hyperlink" Target="http://www.sec.gov/Archives/edgar/data/0001468748/000119312518280419/d516071dex1013.htm" TargetMode="External"/><Relationship Id="rId249" Type="http://schemas.openxmlformats.org/officeDocument/2006/relationships/hyperlink" Target="http://www.sec.gov/Archives/edgar/data/0001468748/000119312518280419/d516071dex1014.htm" TargetMode="External"/><Relationship Id="rId250" Type="http://schemas.openxmlformats.org/officeDocument/2006/relationships/hyperlink" Target="http://www.sec.gov/Archives/edgar/data/0001468748/000119312518280419/d516071dex1015.htm" TargetMode="External"/><Relationship Id="rId251" Type="http://schemas.openxmlformats.org/officeDocument/2006/relationships/hyperlink" Target="http://www.sec.gov/Archives/edgar/data/0001468748/000119312518280419/d516071dex1016.htm" TargetMode="External"/><Relationship Id="rId252" Type="http://schemas.openxmlformats.org/officeDocument/2006/relationships/hyperlink" Target="http://www.sec.gov/Archives/edgar/data/0001468748/000119312519303683/d814017dex101.htm" TargetMode="External"/><Relationship Id="rId253" Type="http://schemas.openxmlformats.org/officeDocument/2006/relationships/hyperlink" Target="http://www.sec.gov/Archives/edgar/data/1468748/000156459020038897/kod-ex101_1339.htm" TargetMode="External"/><Relationship Id="rId254" Type="http://schemas.openxmlformats.org/officeDocument/2006/relationships/hyperlink" Target="http://www.sec.gov/Archives/edgar/data/1468748/000156459020038897/kod-ex102_13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2021-03-01T16:45:59Z</dcterms:created>
  <dcterms:modified xsi:type="dcterms:W3CDTF">2021-03-01T16:45:59Z</dcterms:modified>
</cp:coreProperties>
</file>