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20" w:right="1580" w:hanging="3812"/>
        <w:spacing w:after="0" w:line="391"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84" w:lineRule="exact"/>
        <w:rPr>
          <w:sz w:val="24"/>
          <w:szCs w:val="24"/>
          <w:color w:val="auto"/>
        </w:rPr>
      </w:pPr>
    </w:p>
    <w:p>
      <w:pPr>
        <w:ind w:left="3460" w:right="1580" w:hanging="3452"/>
        <w:spacing w:after="0" w:line="375" w:lineRule="auto"/>
        <w:tabs>
          <w:tab w:leader="none" w:pos="50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001-38682</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27-0476525</w:t>
            </w:r>
          </w:p>
        </w:tc>
      </w:tr>
      <w:tr>
        <w:trPr>
          <w:trHeight w:val="148"/>
        </w:trPr>
        <w:tc>
          <w:tcPr>
            <w:tcW w:w="432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2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23"/>
        </w:trPr>
        <w:tc>
          <w:tcPr>
            <w:tcW w:w="4320" w:type="dxa"/>
            <w:vAlign w:val="bottom"/>
          </w:tcPr>
          <w:p>
            <w:pPr>
              <w:jc w:val="center"/>
              <w:ind w:right="1839"/>
              <w:spacing w:after="0"/>
              <w:rPr>
                <w:sz w:val="20"/>
                <w:szCs w:val="20"/>
                <w:color w:val="auto"/>
              </w:rPr>
            </w:pPr>
            <w:r>
              <w:rPr>
                <w:rFonts w:ascii="Arial" w:cs="Arial" w:eastAsia="Arial" w:hAnsi="Arial"/>
                <w:sz w:val="18"/>
                <w:szCs w:val="18"/>
                <w:b w:val="1"/>
                <w:bCs w:val="1"/>
                <w:color w:val="auto"/>
                <w:w w:val="92"/>
              </w:rPr>
              <w:t>1200 Page Mill Road</w:t>
            </w:r>
          </w:p>
        </w:tc>
        <w:tc>
          <w:tcPr>
            <w:tcW w:w="3060" w:type="dxa"/>
            <w:vAlign w:val="bottom"/>
          </w:tcPr>
          <w:p>
            <w:pPr>
              <w:spacing w:after="0"/>
              <w:rPr>
                <w:sz w:val="19"/>
                <w:szCs w:val="19"/>
                <w:color w:val="auto"/>
              </w:rPr>
            </w:pPr>
          </w:p>
        </w:tc>
      </w:tr>
      <w:tr>
        <w:trPr>
          <w:trHeight w:val="212"/>
        </w:trPr>
        <w:tc>
          <w:tcPr>
            <w:tcW w:w="4320" w:type="dxa"/>
            <w:vAlign w:val="bottom"/>
          </w:tcPr>
          <w:p>
            <w:pPr>
              <w:jc w:val="center"/>
              <w:ind w:right="1859"/>
              <w:spacing w:after="0"/>
              <w:rPr>
                <w:sz w:val="20"/>
                <w:szCs w:val="20"/>
                <w:color w:val="auto"/>
              </w:rPr>
            </w:pPr>
            <w:r>
              <w:rPr>
                <w:rFonts w:ascii="Arial" w:cs="Arial" w:eastAsia="Arial" w:hAnsi="Arial"/>
                <w:sz w:val="18"/>
                <w:szCs w:val="18"/>
                <w:b w:val="1"/>
                <w:bCs w:val="1"/>
                <w:color w:val="auto"/>
                <w:w w:val="92"/>
              </w:rPr>
              <w:t>Palo Alto, CA</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94304</w:t>
            </w:r>
          </w:p>
        </w:tc>
      </w:tr>
      <w:tr>
        <w:trPr>
          <w:trHeight w:val="186"/>
        </w:trPr>
        <w:tc>
          <w:tcPr>
            <w:tcW w:w="4320" w:type="dxa"/>
            <w:vAlign w:val="bottom"/>
          </w:tcPr>
          <w:p>
            <w:pPr>
              <w:jc w:val="center"/>
              <w:ind w:right="18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0" w:lineRule="exact"/>
        <w:rPr>
          <w:sz w:val="24"/>
          <w:szCs w:val="24"/>
          <w:color w:val="auto"/>
        </w:rPr>
      </w:pPr>
    </w:p>
    <w:tbl>
      <w:tblPr>
        <w:tblLayout w:type="fixed"/>
        <w:tblInd w:w="10" w:type="dxa"/>
        <w:tblCellMar>
          <w:top w:w="0" w:type="dxa"/>
          <w:left w:w="0" w:type="dxa"/>
          <w:bottom w:w="0" w:type="dxa"/>
          <w:right w:w="0" w:type="dxa"/>
        </w:tblCellMar>
      </w:tblPr>
      <w:tr>
        <w:trPr>
          <w:trHeight w:val="32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0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12" w:lineRule="exact"/>
        <w:rPr>
          <w:sz w:val="24"/>
          <w:szCs w:val="24"/>
          <w:color w:val="auto"/>
        </w:rPr>
      </w:pPr>
    </w:p>
    <w:p>
      <w:pPr>
        <w:ind w:firstLine="51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80" w:firstLine="510"/>
        <w:spacing w:after="0" w:line="22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7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518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00" w:lineRule="exact"/>
        <w:rPr>
          <w:sz w:val="24"/>
          <w:szCs w:val="24"/>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520" w:right="246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30, 2021, the registrant had 51,264,991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70"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44"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durability, efficacy and safety of our product candidates;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“2022 Vision” of a single Biologics License Application, or BLA, of KSI-301 in 2022;</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present clinical data across our pivotal trials in 2022;</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Lonza’s ability to successfully execute on our manufacturing development plan;</w:t>
      </w:r>
    </w:p>
    <w:p>
      <w:pPr>
        <w:spacing w:after="0" w:line="144"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Biologics License Application, or BLA, in wet age-related macular degeneration, or wet AMD, diabetic macular edema, or DME, retinal vein occlusion, or RVO, and diabetic retinopathy, or DR;</w:t>
      </w:r>
    </w:p>
    <w:p>
      <w:pPr>
        <w:spacing w:after="0" w:line="7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chemistry manufacturing and controls, or CMC, requirements of the FDA and other regulatory bodies to support our BLA submission and potential commercial launch;</w:t>
      </w:r>
    </w:p>
    <w:p>
      <w:pPr>
        <w:spacing w:after="0" w:line="62"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FDA approval of KSI-301 in wet AMD, DME, RVO and DR;</w:t>
      </w:r>
    </w:p>
    <w:p>
      <w:pPr>
        <w:spacing w:after="0" w:line="6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44"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p>
      <w:pPr>
        <w:ind w:left="740" w:right="3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4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impact of the novel coronavirus, or COVID-19, pandemic on our business and operations, the business and operations of our collaborators, and on the global economy;</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aspirational goals and objectives related to our human capital resources and workforce objectives;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44"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44"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w:t>
      </w:r>
      <w:r>
        <w:rPr>
          <w:rFonts w:ascii="Arial" w:cs="Arial" w:eastAsia="Arial" w:hAnsi="Arial"/>
          <w:sz w:val="18"/>
          <w:szCs w:val="18"/>
          <w:color w:val="auto"/>
        </w:rPr>
        <w: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Investing in our common stock involves numerous risks, including the risks described in “Part II—Other Information, Item 1A. Risk Factors”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any one of which could materially adversely affect our business, financial condition, results of operations, and prospects.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among others, the following:</w:t>
      </w:r>
    </w:p>
    <w:p>
      <w:pPr>
        <w:spacing w:after="0" w:line="103" w:lineRule="exact"/>
        <w:rPr>
          <w:sz w:val="20"/>
          <w:szCs w:val="20"/>
          <w:color w:val="auto"/>
        </w:rPr>
      </w:pPr>
    </w:p>
    <w:p>
      <w:pPr>
        <w:ind w:left="740" w:right="10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in each period since our inception and anticipate that we will continue to incur significant and increasing net losses for the foreseeable future.</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prospects are heavily dependent on our KSI-301 product candidate, which is currently in clinical development for multiple indications.</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failure of KSI-301 in clinical development may require us to discontinue development of other product candidates based on our ABC Platform.</w:t>
      </w:r>
    </w:p>
    <w:p>
      <w:pPr>
        <w:spacing w:after="0" w:line="167" w:lineRule="exact"/>
        <w:rPr>
          <w:rFonts w:ascii="Arial" w:cs="Arial" w:eastAsia="Arial" w:hAnsi="Arial"/>
          <w:sz w:val="16"/>
          <w:szCs w:val="16"/>
          <w:color w:val="auto"/>
        </w:rPr>
      </w:pPr>
    </w:p>
    <w:p>
      <w:pPr>
        <w:ind w:left="740" w:right="2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62"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may not be able to conduct or complete our clinical trials on the timelines we expect, if at all.</w:t>
      </w:r>
    </w:p>
    <w:p>
      <w:pPr>
        <w:spacing w:after="0" w:line="62" w:lineRule="exact"/>
        <w:rPr>
          <w:rFonts w:ascii="Arial" w:cs="Arial" w:eastAsia="Arial" w:hAnsi="Arial"/>
          <w:sz w:val="18"/>
          <w:szCs w:val="18"/>
          <w:color w:val="auto"/>
        </w:rPr>
      </w:pPr>
    </w:p>
    <w:p>
      <w:pPr>
        <w:ind w:left="740" w:right="66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difficulties enrolling patients in our clinical trials, and our clinical development activities could thereby be delayed or otherwise adversely affected.</w:t>
      </w:r>
    </w:p>
    <w:p>
      <w:pPr>
        <w:spacing w:after="0" w:line="62"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62" w:lineRule="exact"/>
        <w:rPr>
          <w:rFonts w:ascii="Arial" w:cs="Arial" w:eastAsia="Arial" w:hAnsi="Arial"/>
          <w:sz w:val="18"/>
          <w:szCs w:val="18"/>
          <w:color w:val="auto"/>
        </w:rPr>
      </w:pPr>
    </w:p>
    <w:p>
      <w:pPr>
        <w:ind w:left="740" w:right="160" w:hanging="368"/>
        <w:spacing w:after="0" w:line="259"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8"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of our product candidates is highly complex and requires substantial lead time to produce.</w:t>
      </w:r>
    </w:p>
    <w:p>
      <w:pPr>
        <w:spacing w:after="0" w:line="144" w:lineRule="exact"/>
        <w:rPr>
          <w:rFonts w:ascii="Arial" w:cs="Arial" w:eastAsia="Arial" w:hAnsi="Arial"/>
          <w:sz w:val="18"/>
          <w:szCs w:val="18"/>
          <w:color w:val="auto"/>
        </w:rPr>
      </w:pPr>
    </w:p>
    <w:p>
      <w:pPr>
        <w:ind w:left="740" w:right="60" w:hanging="368"/>
        <w:spacing w:after="0" w:line="30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provide the information needed in the regulatory dossiers for our BLA filing, or our ability to supply our products for patients, if approved, could be delayed or stopped, or we may be unable to establish a commercially viable cost structure.</w:t>
      </w:r>
    </w:p>
    <w:p>
      <w:pPr>
        <w:spacing w:after="0" w:line="49" w:lineRule="exact"/>
        <w:rPr>
          <w:rFonts w:ascii="Arial" w:cs="Arial" w:eastAsia="Arial" w:hAnsi="Arial"/>
          <w:sz w:val="16"/>
          <w:szCs w:val="16"/>
          <w:color w:val="auto"/>
        </w:rPr>
      </w:pPr>
    </w:p>
    <w:p>
      <w:pPr>
        <w:ind w:left="740" w:right="30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5" w:lineRule="exact"/>
        <w:rPr>
          <w:rFonts w:ascii="Arial" w:cs="Arial" w:eastAsia="Arial" w:hAnsi="Arial"/>
          <w:sz w:val="18"/>
          <w:szCs w:val="18"/>
          <w:color w:val="auto"/>
        </w:rPr>
      </w:pPr>
    </w:p>
    <w:p>
      <w:pPr>
        <w:ind w:left="740" w:right="60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conduct clinical trials for our product candidates outside the United States, and the FDA, EMA, NMPA and applicable foreign regulatory authorities may not accept data from such trials.</w:t>
      </w:r>
    </w:p>
    <w:p>
      <w:pPr>
        <w:spacing w:after="0" w:line="62"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5" w:lineRule="exact"/>
        <w:rPr>
          <w:rFonts w:ascii="Arial" w:cs="Arial" w:eastAsia="Arial" w:hAnsi="Arial"/>
          <w:sz w:val="18"/>
          <w:szCs w:val="18"/>
          <w:color w:val="auto"/>
        </w:rPr>
      </w:pPr>
    </w:p>
    <w:p>
      <w:pPr>
        <w:ind w:left="740" w:right="440" w:hanging="368"/>
        <w:spacing w:after="0" w:line="342"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5" w:lineRule="exact"/>
        <w:rPr>
          <w:rFonts w:ascii="Arial" w:cs="Arial" w:eastAsia="Arial" w:hAnsi="Arial"/>
          <w:sz w:val="16"/>
          <w:szCs w:val="16"/>
          <w:color w:val="auto"/>
        </w:rPr>
      </w:pPr>
    </w:p>
    <w:p>
      <w:pPr>
        <w:ind w:left="740" w:right="20" w:hanging="368"/>
        <w:spacing w:after="0" w:line="342"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368" w:right="60" w:hanging="368"/>
        <w:spacing w:after="0" w:line="263" w:lineRule="auto"/>
        <w:tabs>
          <w:tab w:leader="none" w:pos="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5" w:lineRule="exact"/>
        <w:rPr>
          <w:rFonts w:ascii="Arial" w:cs="Arial" w:eastAsia="Arial" w:hAnsi="Arial"/>
          <w:sz w:val="18"/>
          <w:szCs w:val="18"/>
          <w:color w:val="auto"/>
        </w:rPr>
      </w:pPr>
    </w:p>
    <w:p>
      <w:pPr>
        <w:ind w:left="368" w:right="440" w:hanging="368"/>
        <w:spacing w:after="0" w:line="308" w:lineRule="auto"/>
        <w:tabs>
          <w:tab w:leader="none" w:pos="368"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rFonts w:ascii="Arial" w:cs="Arial" w:eastAsia="Arial" w:hAnsi="Arial"/>
          <w:sz w:val="17"/>
          <w:szCs w:val="17"/>
          <w:color w:val="auto"/>
        </w:rPr>
      </w:pPr>
    </w:p>
    <w:p>
      <w:pPr>
        <w:ind w:left="368" w:right="40" w:hanging="368"/>
        <w:spacing w:after="0" w:line="277" w:lineRule="auto"/>
        <w:tabs>
          <w:tab w:leader="none" w:pos="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rFonts w:ascii="Arial" w:cs="Arial" w:eastAsia="Arial" w:hAnsi="Arial"/>
          <w:sz w:val="18"/>
          <w:szCs w:val="18"/>
          <w:color w:val="auto"/>
        </w:rPr>
      </w:pPr>
    </w:p>
    <w:p>
      <w:pPr>
        <w:ind w:left="368" w:right="380" w:hanging="368"/>
        <w:spacing w:after="0" w:line="277" w:lineRule="auto"/>
        <w:tabs>
          <w:tab w:leader="none" w:pos="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and other intellectual property rights, which could be expensive, time consuming and unsuccessful.</w:t>
      </w:r>
    </w:p>
    <w:p>
      <w:pPr>
        <w:spacing w:after="0" w:line="62" w:lineRule="exact"/>
        <w:rPr>
          <w:rFonts w:ascii="Arial" w:cs="Arial" w:eastAsia="Arial" w:hAnsi="Arial"/>
          <w:sz w:val="18"/>
          <w:szCs w:val="18"/>
          <w:color w:val="auto"/>
        </w:rPr>
      </w:pPr>
    </w:p>
    <w:p>
      <w:pPr>
        <w:ind w:left="368" w:right="20" w:hanging="368"/>
        <w:spacing w:after="0" w:line="277" w:lineRule="auto"/>
        <w:tabs>
          <w:tab w:leader="none" w:pos="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368" w:hanging="368"/>
        <w:spacing w:after="0" w:line="255" w:lineRule="auto"/>
        <w:tabs>
          <w:tab w:leader="none" w:pos="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 Our manufacturers are also engaged in the manufacturing of COVID-19 related vaccines and therapeutic treatments, and the success of and demand for these vaccines and therapeutic treatments means we and our programs are competing for scarce manufacturing resources.</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8"/>
          </w:cols>
          <w:pgMar w:left="692" w:top="125"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80" w:type="dxa"/>
            <w:vAlign w:val="bottom"/>
            <w:gridSpan w:val="18"/>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8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9380" w:type="dxa"/>
            <w:vAlign w:val="bottom"/>
            <w:gridSpan w:val="18"/>
            <w:vMerge w:val="continue"/>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Financial Statements (Unaudited)</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Operations and Comprehensive Loss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20" w:type="dxa"/>
            <w:vAlign w:val="bottom"/>
            <w:tcBorders>
              <w:top w:val="single" w:sz="8" w:color="0000EE"/>
            </w:tcBorders>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Stockholders’ Equity</w:t>
              </w:r>
            </w:hyperlink>
          </w:p>
        </w:tc>
        <w:tc>
          <w:tcPr>
            <w:tcW w:w="386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0" w:type="dxa"/>
            <w:vAlign w:val="bottom"/>
            <w:tcBorders>
              <w:top w:val="single" w:sz="8" w:color="0000EE"/>
            </w:tcBorders>
            <w:gridSpan w:val="1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w:t>
              </w:r>
            </w:hyperlink>
          </w:p>
        </w:tc>
        <w:tc>
          <w:tcPr>
            <w:tcW w:w="498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Notes to Unaudited Condensed Consolidated Financial Statements</w:t>
              </w:r>
            </w:hyperlink>
          </w:p>
        </w:tc>
        <w:tc>
          <w:tcPr>
            <w:tcW w:w="4580" w:type="dxa"/>
            <w:vAlign w:val="bottom"/>
            <w:gridSpan w:val="3"/>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2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60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OTHER INFORMATION</w:t>
              </w:r>
            </w:hyperlink>
          </w:p>
        </w:tc>
        <w:tc>
          <w:tcPr>
            <w:tcW w:w="7480" w:type="dxa"/>
            <w:vAlign w:val="bottom"/>
            <w:gridSpan w:val="1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8040" w:type="dxa"/>
            <w:vAlign w:val="bottom"/>
            <w:gridSpan w:val="1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Unregistered Sales of Equity Securities and Use of Proceeds</w:t>
              </w:r>
            </w:hyperlink>
          </w:p>
        </w:tc>
        <w:tc>
          <w:tcPr>
            <w:tcW w:w="5020" w:type="dxa"/>
            <w:vAlign w:val="bottom"/>
            <w:gridSpan w:val="6"/>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Defaults Upon Senior Securities</w:t>
              </w:r>
            </w:hyperlink>
          </w:p>
        </w:tc>
        <w:tc>
          <w:tcPr>
            <w:tcW w:w="704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Mine Safety Disclosures</w:t>
              </w:r>
            </w:hyperlink>
          </w:p>
        </w:tc>
        <w:tc>
          <w:tcPr>
            <w:tcW w:w="760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80" w:type="dxa"/>
            <w:vAlign w:val="bottom"/>
            <w:gridSpan w:val="1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806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1040" w:type="dxa"/>
            <w:vAlign w:val="bottom"/>
            <w:gridSpan w:val="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660" w:type="dxa"/>
            <w:vAlign w:val="bottom"/>
          </w:tcPr>
          <w:p>
            <w:pPr>
              <w:jc w:val="center"/>
              <w:ind w:left="3490"/>
              <w:spacing w:after="0"/>
              <w:rPr>
                <w:sz w:val="20"/>
                <w:szCs w:val="20"/>
                <w:color w:val="auto"/>
              </w:rPr>
            </w:pPr>
            <w:r>
              <w:rPr>
                <w:rFonts w:ascii="Arial" w:cs="Arial" w:eastAsia="Arial" w:hAnsi="Arial"/>
                <w:sz w:val="18"/>
                <w:szCs w:val="18"/>
                <w:b w:val="1"/>
                <w:bCs w:val="1"/>
                <w:color w:val="auto"/>
              </w:rPr>
              <w:t>PART I—FINANCIAL INFORMATION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Kodiak Sciences Inc.</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60" w:type="dxa"/>
            <w:vAlign w:val="bottom"/>
          </w:tcPr>
          <w:p>
            <w:pPr>
              <w:jc w:val="center"/>
              <w:ind w:left="35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jc w:val="center"/>
              <w:ind w:left="35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jc w:val="center"/>
              <w:ind w:left="349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6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920,461</w:t>
            </w:r>
          </w:p>
        </w:tc>
        <w:tc>
          <w:tcPr>
            <w:tcW w:w="3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931,897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972,005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72,054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1,032,734</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1,067,347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9,176</w:t>
            </w:r>
          </w:p>
        </w:tc>
        <w:tc>
          <w:tcPr>
            <w:tcW w:w="30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liability</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75,851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sale of future royalties</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99,903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rPr>
              <w:t>0 shares issued and outstanding at March 31, 2021 and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December 31, 2020, respectively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490,000,000 shares authorized</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March 31, 2021 and December 31, 2020; 51,225,861 and</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51,112,302 shares issued and outstanding at March 31, 2021 and</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2020, respectively</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1,163,328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1,151,920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(341,674)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(291,227)</w:t>
            </w:r>
          </w:p>
        </w:tc>
        <w:tc>
          <w:tcPr>
            <w:tcW w:w="0" w:type="dxa"/>
            <w:vAlign w:val="bottom"/>
          </w:tcPr>
          <w:p>
            <w:pPr>
              <w:spacing w:after="0"/>
              <w:rPr>
                <w:sz w:val="1"/>
                <w:szCs w:val="1"/>
                <w:color w:val="auto"/>
              </w:rPr>
            </w:pPr>
          </w:p>
        </w:tc>
      </w:tr>
      <w:tr>
        <w:trPr>
          <w:trHeight w:val="223"/>
        </w:trPr>
        <w:tc>
          <w:tcPr>
            <w:tcW w:w="76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821,677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860,751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1,032,734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40,337</w:t>
            </w:r>
          </w:p>
        </w:tc>
        <w:tc>
          <w:tcPr>
            <w:tcW w:w="180" w:type="dxa"/>
            <w:vAlign w:val="bottom"/>
          </w:tcPr>
          <w:p>
            <w:pPr>
              <w:spacing w:after="0"/>
              <w:rPr>
                <w:sz w:val="19"/>
                <w:szCs w:val="19"/>
                <w:color w:val="auto"/>
              </w:rPr>
            </w:pP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20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FF0FC"/>
            </w:tcBorders>
            <w:vMerge w:val="continue"/>
          </w:tcPr>
          <w:p>
            <w:pPr>
              <w:spacing w:after="0"/>
              <w:rPr>
                <w:sz w:val="21"/>
                <w:szCs w:val="21"/>
                <w:color w:val="auto"/>
              </w:rPr>
            </w:pPr>
          </w:p>
        </w:tc>
        <w:tc>
          <w:tcPr>
            <w:tcW w:w="17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 in</w:t>
            </w:r>
          </w:p>
        </w:tc>
        <w:tc>
          <w:tcPr>
            <w:tcW w:w="1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computing net loss per common share, basic and diluted</w:t>
            </w:r>
          </w:p>
        </w:tc>
        <w:tc>
          <w:tcPr>
            <w:tcW w:w="17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51,573,909</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44,824,587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1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gains related to available-for-sale</w:t>
            </w:r>
          </w:p>
        </w:tc>
        <w:tc>
          <w:tcPr>
            <w:tcW w:w="1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debt securities, net of tax</w:t>
            </w:r>
          </w:p>
        </w:tc>
        <w:tc>
          <w:tcPr>
            <w:tcW w:w="17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17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7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(50,482)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16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30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34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2020</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51,112,302</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1,151,920</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(291,227)</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860,751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113,559</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(50,447)</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(50,447)</w:t>
            </w:r>
          </w:p>
        </w:tc>
        <w:tc>
          <w:tcPr>
            <w:tcW w:w="0" w:type="dxa"/>
            <w:vAlign w:val="bottom"/>
          </w:tcPr>
          <w:p>
            <w:pPr>
              <w:spacing w:after="0"/>
              <w:rPr>
                <w:sz w:val="1"/>
                <w:szCs w:val="1"/>
                <w:color w:val="auto"/>
              </w:rPr>
            </w:pPr>
          </w:p>
        </w:tc>
      </w:tr>
      <w:tr>
        <w:trPr>
          <w:trHeight w:val="155"/>
        </w:trPr>
        <w:tc>
          <w:tcPr>
            <w:tcW w:w="3480" w:type="dxa"/>
            <w:vAlign w:val="bottom"/>
          </w:tcPr>
          <w:p>
            <w:pPr>
              <w:spacing w:after="0" w:line="155" w:lineRule="exact"/>
              <w:rPr>
                <w:sz w:val="20"/>
                <w:szCs w:val="20"/>
                <w:color w:val="auto"/>
              </w:rPr>
            </w:pPr>
            <w:r>
              <w:rPr>
                <w:rFonts w:ascii="Arial" w:cs="Arial" w:eastAsia="Arial" w:hAnsi="Arial"/>
                <w:sz w:val="14"/>
                <w:szCs w:val="14"/>
                <w:color w:val="auto"/>
              </w:rPr>
              <w:t>Balances at March 31, 2021</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51,225,861</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1,163,328</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(341,674)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821,677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2160" w:type="dxa"/>
            <w:vAlign w:val="bottom"/>
            <w:gridSpan w:val="3"/>
            <w:vMerge w:val="restart"/>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16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30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5"/>
        </w:trPr>
        <w:tc>
          <w:tcPr>
            <w:tcW w:w="34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2019</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44,413,404</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503,475</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(158,131)</w:t>
            </w:r>
          </w:p>
        </w:tc>
        <w:tc>
          <w:tcPr>
            <w:tcW w:w="2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345,359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39,297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expense</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(24,392)</w:t>
            </w: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(24,392)</w:t>
            </w:r>
          </w:p>
        </w:tc>
        <w:tc>
          <w:tcPr>
            <w:tcW w:w="0" w:type="dxa"/>
            <w:vAlign w:val="bottom"/>
          </w:tcPr>
          <w:p>
            <w:pPr>
              <w:spacing w:after="0"/>
              <w:rPr>
                <w:sz w:val="1"/>
                <w:szCs w:val="1"/>
                <w:color w:val="auto"/>
              </w:rPr>
            </w:pPr>
          </w:p>
        </w:tc>
      </w:tr>
      <w:tr>
        <w:trPr>
          <w:trHeight w:val="156"/>
        </w:trPr>
        <w:tc>
          <w:tcPr>
            <w:tcW w:w="3480" w:type="dxa"/>
            <w:vAlign w:val="bottom"/>
          </w:tcPr>
          <w:p>
            <w:pPr>
              <w:spacing w:after="0" w:line="155" w:lineRule="exact"/>
              <w:rPr>
                <w:sz w:val="20"/>
                <w:szCs w:val="20"/>
                <w:color w:val="auto"/>
              </w:rPr>
            </w:pPr>
            <w:r>
              <w:rPr>
                <w:rFonts w:ascii="Arial" w:cs="Arial" w:eastAsia="Arial" w:hAnsi="Arial"/>
                <w:sz w:val="14"/>
                <w:szCs w:val="14"/>
                <w:color w:val="auto"/>
              </w:rPr>
              <w:t>Balances at March 31, 2020</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44,452,701</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509,716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(182,523)</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327,687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0" w:type="dxa"/>
            <w:vAlign w:val="bottom"/>
            <w:gridSpan w:val="5"/>
          </w:tcPr>
          <w:p>
            <w:pPr>
              <w:jc w:val="right"/>
              <w:ind w:right="227"/>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47"/>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7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(50,447)</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(24,392)</w:t>
            </w: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Amortization (accretion) of premium (discount) on marketable securities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29"/>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operating lease right-of-use asset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Amortization of issuance costs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r>
      <w:tr>
        <w:trPr>
          <w:trHeight w:val="230"/>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(1,602)</w:t>
            </w:r>
          </w:p>
        </w:tc>
      </w:tr>
      <w:tr>
        <w:trPr>
          <w:trHeight w:val="229"/>
        </w:trPr>
        <w:tc>
          <w:tcPr>
            <w:tcW w:w="71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and other current liabilities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ind w:left="500"/>
              <w:spacing w:after="0"/>
              <w:rPr>
                <w:sz w:val="20"/>
                <w:szCs w:val="20"/>
                <w:color w:val="auto"/>
              </w:rPr>
            </w:pPr>
            <w:r>
              <w:rPr>
                <w:rFonts w:ascii="Arial" w:cs="Arial" w:eastAsia="Arial" w:hAnsi="Arial"/>
                <w:sz w:val="18"/>
                <w:szCs w:val="18"/>
                <w:color w:val="auto"/>
              </w:rPr>
              <w:t>Operating lease liability</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r>
      <w:tr>
        <w:trPr>
          <w:trHeight w:val="223"/>
        </w:trPr>
        <w:tc>
          <w:tcPr>
            <w:tcW w:w="71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(34,625)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(17,932)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Deposits on property and equipment</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(5,545)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Purchase of marketable securities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(86,317)</w:t>
            </w:r>
          </w:p>
        </w:tc>
      </w:tr>
      <w:tr>
        <w:trPr>
          <w:trHeight w:val="229"/>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Maturities of marketable securities</w:t>
            </w: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19,300</w:t>
            </w:r>
          </w:p>
        </w:tc>
        <w:tc>
          <w:tcPr>
            <w:tcW w:w="120" w:type="dxa"/>
            <w:vAlign w:val="bottom"/>
            <w:tcBorders>
              <w:bottom w:val="single" w:sz="8" w:color="CFF0FC"/>
            </w:tcBorders>
          </w:tcPr>
          <w:p>
            <w:pPr>
              <w:spacing w:after="0"/>
              <w:rPr>
                <w:sz w:val="19"/>
                <w:szCs w:val="19"/>
                <w:color w:val="auto"/>
              </w:rPr>
            </w:pPr>
          </w:p>
        </w:tc>
      </w:tr>
      <w:tr>
        <w:trPr>
          <w:trHeight w:val="223"/>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6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(67,197)</w:t>
            </w:r>
          </w:p>
        </w:tc>
        <w:tc>
          <w:tcPr>
            <w:tcW w:w="12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upon options exercise</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Proceeds from sale of future royalties, net of issuance costs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99,643</w:t>
            </w:r>
          </w:p>
        </w:tc>
        <w:tc>
          <w:tcPr>
            <w:tcW w:w="120" w:type="dxa"/>
            <w:vAlign w:val="bottom"/>
          </w:tcPr>
          <w:p>
            <w:pPr>
              <w:spacing w:after="0"/>
              <w:rPr>
                <w:sz w:val="19"/>
                <w:szCs w:val="19"/>
                <w:color w:val="auto"/>
              </w:rPr>
            </w:pPr>
          </w:p>
        </w:tc>
      </w:tr>
      <w:tr>
        <w:trPr>
          <w:trHeight w:val="22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Principal payments of capital lease</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Principal payments of tenant improvement allowance payable</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71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(23,935)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14,659</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6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950,720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211,937</w:t>
            </w:r>
          </w:p>
        </w:tc>
        <w:tc>
          <w:tcPr>
            <w:tcW w:w="120" w:type="dxa"/>
            <w:vAlign w:val="bottom"/>
            <w:shd w:val="clear" w:color="auto" w:fill="CFF0FC"/>
          </w:tcPr>
          <w:p>
            <w:pPr>
              <w:spacing w:after="0"/>
              <w:rPr>
                <w:sz w:val="19"/>
                <w:szCs w:val="19"/>
                <w:color w:val="auto"/>
              </w:rPr>
            </w:pPr>
          </w:p>
        </w:tc>
      </w:tr>
      <w:tr>
        <w:trPr>
          <w:trHeight w:val="263"/>
        </w:trPr>
        <w:tc>
          <w:tcPr>
            <w:tcW w:w="7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6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926,785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226,596</w:t>
            </w:r>
          </w:p>
        </w:tc>
        <w:tc>
          <w:tcPr>
            <w:tcW w:w="120" w:type="dxa"/>
            <w:vAlign w:val="bottom"/>
            <w:tcBorders>
              <w:bottom w:val="single" w:sz="8" w:color="CFF0FC"/>
            </w:tcBorders>
          </w:tcPr>
          <w:p>
            <w:pPr>
              <w:spacing w:after="0"/>
              <w:rPr>
                <w:sz w:val="22"/>
                <w:szCs w:val="22"/>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w w:val="97"/>
              </w:rPr>
              <w:t>Reconciliation of cash, cash equivalents and restricted cash to consolidated balance sheets</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920,461</w:t>
            </w:r>
          </w:p>
        </w:tc>
        <w:tc>
          <w:tcPr>
            <w:tcW w:w="180" w:type="dxa"/>
            <w:vAlign w:val="bottom"/>
          </w:tcPr>
          <w:p>
            <w:pPr>
              <w:spacing w:after="0"/>
              <w:rPr>
                <w:sz w:val="19"/>
                <w:szCs w:val="19"/>
                <w:color w:val="auto"/>
              </w:rPr>
            </w:pP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226,456</w:t>
            </w:r>
          </w:p>
        </w:tc>
        <w:tc>
          <w:tcPr>
            <w:tcW w:w="120" w:type="dxa"/>
            <w:vAlign w:val="bottom"/>
          </w:tcPr>
          <w:p>
            <w:pPr>
              <w:spacing w:after="0"/>
              <w:rPr>
                <w:sz w:val="19"/>
                <w:szCs w:val="19"/>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6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Cash, cash equivalents and restricted cash in consolidated balance sheets</w:t>
            </w:r>
          </w:p>
        </w:tc>
        <w:tc>
          <w:tcPr>
            <w:tcW w:w="620" w:type="dxa"/>
            <w:vAlign w:val="bottom"/>
          </w:tcPr>
          <w:p>
            <w:pPr>
              <w:spacing w:after="0"/>
              <w:rPr>
                <w:sz w:val="19"/>
                <w:szCs w:val="19"/>
                <w:color w:val="auto"/>
              </w:rPr>
            </w:pPr>
          </w:p>
        </w:tc>
        <w:tc>
          <w:tcPr>
            <w:tcW w:w="940" w:type="dxa"/>
            <w:vAlign w:val="bottom"/>
            <w:tcBorders>
              <w:bottom w:val="single" w:sz="8" w:color="auto"/>
            </w:tcBorders>
          </w:tcPr>
          <w:p>
            <w:pPr>
              <w:jc w:val="right"/>
              <w:ind w:right="7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926,785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226,596</w:t>
            </w:r>
          </w:p>
        </w:tc>
        <w:tc>
          <w:tcPr>
            <w:tcW w:w="12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100" w:type="dxa"/>
            <w:vAlign w:val="bottom"/>
          </w:tcPr>
          <w:p>
            <w:pPr>
              <w:spacing w:after="0"/>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1560" w:type="dxa"/>
            <w:vAlign w:val="bottom"/>
            <w:gridSpan w:val="2"/>
          </w:tcPr>
          <w:p>
            <w:pPr>
              <w:jc w:val="right"/>
              <w:ind w:right="77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9"/>
                <w:szCs w:val="19"/>
                <w:color w:val="auto"/>
              </w:rPr>
            </w:pP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 under accounts payable and accruals</w:t>
            </w:r>
          </w:p>
        </w:tc>
        <w:tc>
          <w:tcPr>
            <w:tcW w:w="1560" w:type="dxa"/>
            <w:vAlign w:val="bottom"/>
            <w:gridSpan w:val="2"/>
            <w:shd w:val="clear" w:color="auto" w:fill="CFF0FC"/>
          </w:tcPr>
          <w:p>
            <w:pPr>
              <w:jc w:val="right"/>
              <w:ind w:right="77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Kodiak Sciences Inc. (the “Company”) is a biopharmaceutical company committed to researching, developing and commercializing transformative therapeutics to treat high prevalence retinal diseases in the United States and additional international markets.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right="80" w:firstLine="510"/>
        <w:spacing w:after="0" w:line="259" w:lineRule="auto"/>
        <w:rPr>
          <w:sz w:val="20"/>
          <w:szCs w:val="20"/>
          <w:color w:val="auto"/>
        </w:rPr>
      </w:pPr>
      <w:r>
        <w:rPr>
          <w:rFonts w:ascii="Arial" w:cs="Arial" w:eastAsia="Arial" w:hAnsi="Arial"/>
          <w:sz w:val="18"/>
          <w:szCs w:val="18"/>
          <w:color w:val="auto"/>
        </w:rPr>
        <w:t>As of March 31, 2021, the Company had cash, cash equivalents and marketable securities of $929.0 million. Although the Company has incurred significant operating losses since inception and expects to continue to incur operating losses and negative operating cash flows for the foreseeable future, the Company believes that the cash, cash equivalents and marketable securities will be sufficient to meet the anticipated operating and capital expenditure requirements for the 12 months following the date of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present fairly the Company's financial position and results of operations for the reported periods.</w:t>
      </w:r>
    </w:p>
    <w:p>
      <w:pPr>
        <w:spacing w:after="0" w:line="79"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These condensed consolidated financial statements have been prepared on a basis substantially consistent with, and should be read in conjunction with the audited financial statements for the year ended December 31, 2020 and notes thereto, the Company’s Annual Report on Form 10-K filed with the Securities and Exchange Commission (“SEC”) on March 1, 2021.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2021, or for any future period.</w:t>
      </w:r>
    </w:p>
    <w:p>
      <w:pPr>
        <w:spacing w:after="0" w:line="6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Such reclassifications had no impact on subtotals in the prior year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as of the date of the condensed consolidated financial statements and expenses during the reporting period. The impact of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for the three months ended March 31, 2021. As events continue to unfold and additional information becomes available, these estimates may change materially in future periods. Actual results could differ from those estimates.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During this pandemic, the Company continues to work closely with our manufacturing suppliers, partners and facilities to maintain the supply of our product candidates needed for the expansion of our clinical trials and to retain the number, scale and design of manufacturing runs that regulatory authorities may require to obtain marketing approval, including those required to support a BLA submission. Despite these efforts, the ongoing COVID-19 pandemic could significantly impact the timing or likelihood of clinical resupply and of regulatory filings and approvals. The Company will continue to monitor the COVID-19 situation and its impact on the ability to continue the development of, and seek regulatory approvals for, the Company’s product candidates, and begin to commercialize any approved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for the three months ended March 31, 2021 are consistent with those discussed in Note 2 to the consolidated financial statements in the Company’s Annual Report on Form 10-K for the year ended December 31, 2020, except as noted within the “Recent Accounting Pronouncements – Recently Adopted Accounting Pronouncements” section.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under its ASC or other standard setting bodies, and adopted by the Company as of the specified effective date, unless otherwise discussed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updates various codification topics and disclosure requirements to improve alignment with the SEC's regulations. The Company adopted this new guidance as of January 1, 2021, which did not have a material impact on its consolidated financial statements and related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Company continues to monitor new accounting pronouncements issued by the FASB. All other newly issued accounting pronouncements issued through the date of this report have been deemed either immaterial or not applicable.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CFF0FC"/>
            </w:tcBorders>
          </w:tcPr>
          <w:p>
            <w:pPr>
              <w:spacing w:after="0"/>
              <w:rPr>
                <w:sz w:val="20"/>
                <w:szCs w:val="20"/>
                <w:color w:val="auto"/>
              </w:rPr>
            </w:pPr>
          </w:p>
        </w:tc>
        <w:tc>
          <w:tcPr>
            <w:tcW w:w="3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trial and related costs</w:t>
            </w:r>
          </w:p>
        </w:tc>
        <w:tc>
          <w:tcPr>
            <w:tcW w:w="3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Accrued research and development</w:t>
            </w: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and benefits</w:t>
            </w:r>
          </w:p>
        </w:tc>
        <w:tc>
          <w:tcPr>
            <w:tcW w:w="3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Accrued legal fees</w:t>
            </w:r>
          </w:p>
        </w:tc>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3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 liabilities</w:t>
            </w:r>
          </w:p>
        </w:tc>
        <w:tc>
          <w:tcPr>
            <w:tcW w:w="3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and other current liabilities</w:t>
            </w:r>
          </w:p>
        </w:tc>
        <w:tc>
          <w:tcPr>
            <w:tcW w:w="3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24,075</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40" w:type="dxa"/>
            <w:vAlign w:val="bottom"/>
            <w:vMerge w:val="restart"/>
          </w:tcPr>
          <w:p>
            <w:pPr>
              <w:jc w:val="right"/>
              <w:ind w:right="197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March 31, 2021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892,285</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892,285</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Corporate notes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8,524</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892,285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900,809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Fair Value Measurements at December 31, 2020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917,485</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917,485</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notes</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917,485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942,063</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 of March 31, 2021 and December 31, 2020, the fair value of the liability related to sale of future royalties is based on our current estimates of future royalties expected to be paid to Baker Bros. Advisors, LP (“BBA”), which are considered Level 3 inputs.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The marketable securities are classified as available-for-sale and consist of U.S. treasury securities, commercial paper and corporate notes.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marketable securities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As of March 31, 2021</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notes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marketable securities, current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8,506</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1"/>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24"/>
                <w:szCs w:val="24"/>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Fair</w:t>
            </w: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As of December 31, 2020</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notes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marketable securities, current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All marketable securities held at March 31, 2021 and December 31, 2020 had effective maturities of less than one year. There were no realized gains or losses recognized on the sale or maturity of available-for-sale debt securities during the three months ended March 31, 2021 and as a result, the Company did not reclassify any amounts out of accumulated comprehensive loss. As of March 31, 2021 and December 31, 2020, the Company had no allowance for credit losses for available-for-sale debt securities. There were no impairment charges or recoveries recorded during each of the three months ended March 31, 2021 and March 31,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Lease</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August 2020, the Company and its subsidiary Kodiak Sciences GmbH entered into a manufacturing agreement with Lonza Ltd (“Lonza”) for the clinical and commercial supply of drug substance for KSI-301, the Company’s proprietary therapeutic candidate for the treatment and prevention of retinal vascular diseases. A custom-built manufacturing suite is planned to be completed and dedicated to the manufacture of the Company’s drug substance with an estimated capital contribution of 40 million Swiss Francs from the Company. The Company will be required to pay annual suite fees of 12 million Swiss Francs for 2021 and 16 million Swiss Francs for each year thereafter, which covers the manufacturing fees for a specified number of batches, and the Company may pay for additional batches to be manufactured. The manufacturing agreement has an initial term of eight years, and the Company has the right to extend the term up to a total of 16 years.</w:t>
      </w:r>
    </w:p>
    <w:p>
      <w:pPr>
        <w:spacing w:after="0" w:line="6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 concluded that this agreement contains an embedded lease as the custom-built manufacturing suite will be dedicated for the Company’s use. As of March 31, 2021, the Company did not have control of this manufacturing space and therefore, did not record a right-of-use asset and corresponding lease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Company has entered into service agreements with Lonza and its affiliates, pursuant to which Lonza agreed to perform activities in connection with the manufacturing process of certain compounds. Such agreements, and related amendments, state that planned activities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7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In January 2021 and 2020, the number of shares of common stock available for issuance under the 2018 Equity Incentive Plan was increased by approximately 2.0 million and 1.8 million shares, respectively, as a result of the automatic increase provision in the 2018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under the 2018 Plan and 2015 Equity Incentive Plan is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62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462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of</w:t>
            </w:r>
          </w:p>
        </w:tc>
        <w:tc>
          <w:tcPr>
            <w:tcW w:w="22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4620" w:type="dxa"/>
            <w:vAlign w:val="bottom"/>
          </w:tcPr>
          <w:p>
            <w:pPr>
              <w:spacing w:after="0"/>
              <w:rPr>
                <w:sz w:val="20"/>
                <w:szCs w:val="20"/>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20"/>
                <w:szCs w:val="20"/>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6,897,276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841,704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222,231</w:t>
            </w:r>
          </w:p>
        </w:tc>
        <w:tc>
          <w:tcPr>
            <w:tcW w:w="2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130.50</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(113,559)</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Forfeited or canceled</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(6,333)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50.81</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6,999,615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4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601,096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Restricted share activity, including restricted stock awards, restricted stock units, and performance-based restricted stock units, under the 2018 Plan and 2015 Plan is summarized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600" w:type="dxa"/>
            <w:vAlign w:val="bottom"/>
          </w:tcPr>
          <w:p>
            <w:pPr>
              <w:spacing w:after="0"/>
              <w:rPr>
                <w:sz w:val="18"/>
                <w:szCs w:val="18"/>
                <w:color w:val="auto"/>
              </w:rPr>
            </w:pP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600" w:type="dxa"/>
            <w:vAlign w:val="bottom"/>
          </w:tcPr>
          <w:p>
            <w:pPr>
              <w:spacing w:after="0"/>
              <w:rPr>
                <w:sz w:val="18"/>
                <w:szCs w:val="18"/>
                <w:color w:val="auto"/>
              </w:rPr>
            </w:pP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Restricted</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600" w:type="dxa"/>
            <w:vAlign w:val="bottom"/>
          </w:tcPr>
          <w:p>
            <w:pPr>
              <w:spacing w:after="0"/>
              <w:rPr>
                <w:sz w:val="20"/>
                <w:szCs w:val="20"/>
                <w:color w:val="auto"/>
              </w:rPr>
            </w:pP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4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359,945</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10,950</w:t>
            </w:r>
          </w:p>
        </w:tc>
        <w:tc>
          <w:tcPr>
            <w:tcW w:w="360" w:type="dxa"/>
            <w:vAlign w:val="bottom"/>
          </w:tcPr>
          <w:p>
            <w:pPr>
              <w:spacing w:after="0"/>
              <w:rPr>
                <w:sz w:val="19"/>
                <w:szCs w:val="19"/>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Pr>
          <w:p>
            <w:pPr>
              <w:spacing w:after="0"/>
              <w:rPr>
                <w:sz w:val="19"/>
                <w:szCs w:val="19"/>
                <w:color w:val="auto"/>
              </w:rPr>
            </w:pPr>
          </w:p>
        </w:tc>
      </w:tr>
      <w:tr>
        <w:trPr>
          <w:trHeight w:val="229"/>
        </w:trPr>
        <w:tc>
          <w:tcPr>
            <w:tcW w:w="8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Canceled</w:t>
            </w:r>
          </w:p>
        </w:tc>
        <w:tc>
          <w:tcPr>
            <w:tcW w:w="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FF0FC"/>
          </w:tcPr>
          <w:p>
            <w:pPr>
              <w:jc w:val="right"/>
              <w:ind w:right="209"/>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46.33</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Unvested at March 31, 2021</w:t>
            </w:r>
          </w:p>
        </w:tc>
        <w:tc>
          <w:tcPr>
            <w:tcW w:w="14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369,895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 and Restricted Stock Units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Company granted 190,831 performance-based stock options during the three months ended March 31, 2021. The Company did not grant any performance-based equity awards during the three months ended March 31, 2020.</w:t>
      </w:r>
    </w:p>
    <w:p>
      <w:pPr>
        <w:spacing w:after="0" w:line="62" w:lineRule="exact"/>
        <w:rPr>
          <w:sz w:val="20"/>
          <w:szCs w:val="20"/>
          <w:color w:val="auto"/>
        </w:rPr>
      </w:pPr>
    </w:p>
    <w:p>
      <w:pPr>
        <w:ind w:right="520" w:firstLine="510"/>
        <w:spacing w:after="0" w:line="263" w:lineRule="auto"/>
        <w:rPr>
          <w:sz w:val="20"/>
          <w:szCs w:val="20"/>
          <w:color w:val="auto"/>
        </w:rPr>
      </w:pPr>
      <w:r>
        <w:rPr>
          <w:rFonts w:ascii="Arial" w:cs="Arial" w:eastAsia="Arial" w:hAnsi="Arial"/>
          <w:sz w:val="18"/>
          <w:szCs w:val="18"/>
          <w:color w:val="auto"/>
        </w:rPr>
        <w:t>The performance-based equity awards granted will vest one-quarter upon the achievement of specific clinical development milestones. The remaining shares will then vest ratably over three years thereafter. Performance-based stock options and performance-based restricted stock units are recorded as expense beginning when vesting events are determined to be probable.</w:t>
      </w:r>
    </w:p>
    <w:p>
      <w:pPr>
        <w:spacing w:after="0" w:line="7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None of these performance-based equity awards are vested as of March 31, 2021. The Company believes that the achievement of the requisite performance condition continues to be probable. Stock-based compensation expense recognized was $2.5 million during the three months ended March 31, 2021 and $1.8 million during the three months ended March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Employee Share Purchase Plan</w:t>
      </w:r>
    </w:p>
    <w:p>
      <w:pPr>
        <w:spacing w:after="0" w:line="90" w:lineRule="exact"/>
        <w:rPr>
          <w:sz w:val="20"/>
          <w:szCs w:val="20"/>
          <w:color w:val="auto"/>
        </w:rPr>
      </w:pPr>
    </w:p>
    <w:p>
      <w:pPr>
        <w:ind w:right="300" w:firstLine="558"/>
        <w:spacing w:after="0" w:line="272" w:lineRule="auto"/>
        <w:rPr>
          <w:sz w:val="20"/>
          <w:szCs w:val="20"/>
          <w:color w:val="auto"/>
        </w:rPr>
      </w:pPr>
      <w:r>
        <w:rPr>
          <w:rFonts w:ascii="Arial" w:cs="Arial" w:eastAsia="Arial" w:hAnsi="Arial"/>
          <w:sz w:val="17"/>
          <w:szCs w:val="17"/>
          <w:color w:val="auto"/>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The initial offering period of the ESPP was authorized by the Company’s board of directors and commenced on January 4, 2021. Each offering period is approximately twelve months long, with two purchase periods. ESPP participants will purchase shares of common stock at a price per share equal to 85% of the lesser of (1) the fair market value per share of the common stock on the enrollment date or (2) the fair market value of the common stock on the exercise date. During the three months ended March 31, 2021, no shares were issued under the ESPP and the stock-based compensation expense related to the ESPP was less than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Stock-based compensation for options and restricted shares is classified in the condensed consolidated statements of operations and comprehensive loss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2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w w:val="95"/>
              </w:rPr>
              <w:t>Three Months Ended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47"/>
              <w:spacing w:after="0"/>
              <w:rPr>
                <w:sz w:val="20"/>
                <w:szCs w:val="20"/>
                <w:color w:val="auto"/>
              </w:rPr>
            </w:pPr>
            <w:r>
              <w:rPr>
                <w:rFonts w:ascii="Arial" w:cs="Arial" w:eastAsia="Arial" w:hAnsi="Arial"/>
                <w:sz w:val="18"/>
                <w:szCs w:val="18"/>
                <w:b w:val="1"/>
                <w:bCs w:val="1"/>
                <w:color w:val="auto"/>
              </w:rPr>
              <w:t>March 31,</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4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jc w:val="right"/>
              <w:ind w:right="1121"/>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3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280" w:type="dxa"/>
            <w:vAlign w:val="bottom"/>
            <w:tcBorders>
              <w:bottom w:val="single" w:sz="8" w:color="auto"/>
            </w:tcBorders>
            <w:shd w:val="clear" w:color="auto" w:fill="CFF0FC"/>
          </w:tcPr>
          <w:p>
            <w:pPr>
              <w:jc w:val="right"/>
              <w:ind w:right="1121"/>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9,925</w:t>
            </w:r>
          </w:p>
        </w:tc>
        <w:tc>
          <w:tcPr>
            <w:tcW w:w="3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2021, total unrecognized compensation cost related to the unvested share-based awards was $100.0 million, which is expected to be recognized over a weighted-average period of 2.6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Common Share</w:t>
      </w:r>
    </w:p>
    <w:p>
      <w:pPr>
        <w:spacing w:after="0" w:line="121"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following common share equivalents were excluded from the computation of diluted net loss per common share for the periods presented because their inclusion would have been antidilutive:</w:t>
      </w:r>
    </w:p>
    <w:p>
      <w:pPr>
        <w:spacing w:after="0" w:line="85"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As of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Borders>
              <w:bottom w:val="single" w:sz="8" w:color="CFF0FC"/>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21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6,999,615</w:t>
            </w:r>
          </w:p>
        </w:tc>
        <w:tc>
          <w:tcPr>
            <w:tcW w:w="38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6,725,173</w:t>
            </w:r>
          </w:p>
        </w:tc>
        <w:tc>
          <w:tcPr>
            <w:tcW w:w="120" w:type="dxa"/>
            <w:vAlign w:val="bottom"/>
            <w:shd w:val="clear" w:color="auto" w:fill="CFF0FC"/>
          </w:tcPr>
          <w:p>
            <w:pPr>
              <w:spacing w:after="0"/>
              <w:rPr>
                <w:sz w:val="19"/>
                <w:szCs w:val="19"/>
                <w:color w:val="auto"/>
              </w:rPr>
            </w:pPr>
          </w:p>
        </w:tc>
      </w:tr>
      <w:tr>
        <w:trPr>
          <w:trHeight w:val="229"/>
        </w:trPr>
        <w:tc>
          <w:tcPr>
            <w:tcW w:w="7840" w:type="dxa"/>
            <w:vAlign w:val="bottom"/>
            <w:gridSpan w:val="2"/>
          </w:tcPr>
          <w:p>
            <w:pPr>
              <w:spacing w:after="0"/>
              <w:rPr>
                <w:sz w:val="20"/>
                <w:szCs w:val="20"/>
                <w:color w:val="auto"/>
              </w:rPr>
            </w:pPr>
            <w:r>
              <w:rPr>
                <w:rFonts w:ascii="Arial" w:cs="Arial" w:eastAsia="Arial" w:hAnsi="Arial"/>
                <w:sz w:val="18"/>
                <w:szCs w:val="18"/>
                <w:color w:val="auto"/>
              </w:rPr>
              <w:t>Unvested restricted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369,895</w:t>
            </w:r>
          </w:p>
        </w:tc>
        <w:tc>
          <w:tcPr>
            <w:tcW w:w="3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154,900</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7,369,510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6,880,073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April 2021, the Company and its subsidiary Kodiak Sciences GmbH amended the Bioconjugation Clinical and Commercial Development and Manufacturing Addendum with Lonza. The amendment provides for an expanded design and scope of the custom-built manufacturing facility resulting in a higher annual manufacturing capacity and includes a revised maximum capital contribution of 74.5 million Swiss Francs. Construction of the manufacturing facilities is targeted for completion in early 2022, with a manufacturing suite fee of 14.5 million Swiss Francs in 2022 and 20.0 million Swiss Francs for each year thereafter through 2029. The Company is currently evaluating the impact the amendment will have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2020, included in our Annual Report on Form 10-K filed with the Securities and Exchange Commission, or the SEC, on March 1, 2021.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At Kodiak, we are bringing new science to the design and development of next generation retinal medicines. Our ABC Platform™ uses molecular engineering to merge the fields of antibody-based and chemistry-based therapies and is at the core of Kodiak's discovery engine. Our goal is to prevent and treat the major causes of blindness by developing and commercializing next-generation therapeutics for chronic, high-prevalence retinal diseases.</w:t>
      </w:r>
    </w:p>
    <w:p>
      <w:pPr>
        <w:spacing w:after="0" w:line="4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Throughout 2020 and into 2021, we have generated compelling clinical data with our most advanced product candidate, KSI-301, a novel anti-VEGF antibody biopolymer conjugate, which is designed to maintain potent and effective drug levels in ocular tissues for longer periods than the currently-marketed biologic medicines used to treat retinal diseases. We believe that KSI-301, if approved, has the potential to be an important therapy to treat patients with wet age-related macular degeneration, or wet AMD, diabetic macular edema, or DME, macular edema due to retinal vein occlusion, or RVO, and diabetic retinopathy, or DR.</w:t>
      </w:r>
    </w:p>
    <w:p>
      <w:pPr>
        <w:spacing w:after="0" w:line="8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continue to expand the KSI-301 development program towards the goal of having the medicine approved and available to physicians for broad, first-line treatment of patients across all of these indications.</w:t>
      </w:r>
    </w:p>
    <w:p>
      <w:pPr>
        <w:spacing w:after="0" w:line="62"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We also believe that KSI-301 has the potential to be an important therapy for other vision-threatening diseases that are less prevalent but also may be responsive to anti-VEGF therapy, such as retinopathy of prematurity and myopic choroidal neovascularization, and we may develop KSI-301 for such diseases in the future.</w:t>
      </w:r>
    </w:p>
    <w:p>
      <w:pPr>
        <w:spacing w:after="0" w:line="7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ABC Platform and KSI-301 were developed at Kodiak, and we own rights to these assets in key geographies including the US, EU, China and other major countries. We have applied our ABC Platform to develop additional product candidates beyond KSI-301, including KSI-501, our bispecific anti-IL-6/VEGF bioconjugate, and we are expanding our early research pipeline to include ABC Platform-based triplet inhibitors for multifactorial retinal diseases such as dry AMD and the neurodegenerative aspects of glaucoma. We intend to progress these and other product candidates to address high-prevalence ophthalmic diseases.</w:t>
      </w:r>
    </w:p>
    <w:p>
      <w:pPr>
        <w:spacing w:after="0" w:line="80"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Our overall objective is to develop our retina-focused product candidates, seek FDA and worldwide health authority marketing authorization approvals, and ultimately commercialize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Pivotal Program</w:t>
      </w:r>
    </w:p>
    <w:p>
      <w:pPr>
        <w:spacing w:after="0" w:line="117"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auto"/>
        </w:rPr>
        <w:t>We are engaged in a broad development program for KSI-301 with concurrent late-stage development activities across all of the major disease indications for which intravitreal anti-VEGFs are used. We expect to include the results of all our pivotal clinical trials in wAMD, DME and RVO in a single initial BLA.</w:t>
      </w:r>
    </w:p>
    <w:p>
      <w:pPr>
        <w:spacing w:after="0" w:line="7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Developing and launching a novel anti-VEGF medicine with extended durability is the central principle of our KSI-301 development program, and in the last quarter we have continued to make substantial progress in the recruitment of our pivotal studies evaluating long-interval dosing of KSI-301. Each study is evaluating KSI-301's potential for best-in-class long-interval dosing regimens. Our Phase 2b/3 DAZZLE pivotal study in patients with treatment-naïve wet AMD was initiated in October 2019 and completed enrollment in November 2020. In the third quarter of 2020, we also initiated two Phase 3 studies in DME (GLEAM and GLIMMER) and one Phase 3 study in RVO (BEACON). To date, we are pleased with the operational progress in site activation, patient screening and recruitment in these studies. All EU clinical trial application submissions are active and approved, and we are focused on further promoting patient enrollment in a competitive recruiting environment with the goal of completing patient recruitment in 4Q2021 for all three studies.</w:t>
      </w:r>
    </w:p>
    <w:p>
      <w:pPr>
        <w:spacing w:after="0" w:line="8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Towards our goal of having KSI-301 be the anti-VEGF medicine of choice for all eligible patients, and through our continued engagement with the retina community, we have also learned that physicians and retina practices would like to see our potential product labeling for KSI-301 include the option for more frequent dosing in high need patients. Physicians recognize the clear unmet need for a medicine that that can last longer than existing medicines. From the commercial perspective, for KSI-301 to achieve our goal of being a first-line treatment of choice for all patients, physicians also need to be confident they will be reimbursed for more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spacing w:after="0" w:line="254" w:lineRule="auto"/>
        <w:rPr>
          <w:sz w:val="20"/>
          <w:szCs w:val="20"/>
          <w:color w:val="auto"/>
        </w:rPr>
      </w:pPr>
      <w:r>
        <w:rPr>
          <w:rFonts w:ascii="Arial" w:cs="Arial" w:eastAsia="Arial" w:hAnsi="Arial"/>
          <w:sz w:val="18"/>
          <w:szCs w:val="18"/>
          <w:color w:val="auto"/>
        </w:rPr>
        <w:t>frequent use of it as needed in high need patients, which requires a broad label spanning monthly through five and/or six months in each of the major indications. For example, a label that lacks monthly dosing could limit access and reimbursement for KSI-301 in wAMD to an extended labeled dosing regimen of every 12-weeks or less frequent dosing. This could leave a “window” of 4 to 8 weeks where physicians may not be able to be reimbursed for additional use of KSI-301 and, in fact, may not be able to be reimbursed for additional use of any anti-VEGF medicine in high need patients. A similar reimbursement challenge occurred with Eylea until its label was revised to specifically note that “some patients may need every 4 week (monthly) dosing.” Beovu similarly launched without a monthly label, and we believe faricimab may also launch without a monthly label. We believe that pursuing the broadest possible product label will provide physicians with the flexibility, agency, and reimbursement confidence required to consider KSI-301 for all their patients.</w:t>
      </w:r>
    </w:p>
    <w:p>
      <w:pPr>
        <w:spacing w:after="0" w:line="84"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We intend to broaden KSI-301’s potential product labeling to eliminate possible barriers to market access and insurance reimbursement that have impeded or complicated the commercial uptake of other anti-VEGF medications in the past. Consequently, we are electing to add another label broadening and label enabling pivotal study of KSI-301 to our initial BLA clinical development plan. This additional pivotal study, called DAYLIGHT, will be an intensive treatment study of KSI-301 in treatment-naïve wAMD patients. Patients will be randomized to receive either KSI-301 on a monthly dosing regimen or to receive standard-care aflibercept. The primary endpoint is at ten months. wAMD was chosen as the disease area for this intensive-treatment study because of the broader availability of clinical trial sites and treatment-naïve wAMD patients relative to the other diseases in which we also have studies ongoing. We believe we are on track to begin recruitment of DAYLIGHT in 3Q 2021 and, given the expected recruitment and short (10 month) follow up to the primary endpoint, we plan to include data from this study in our initial BLA for KSI-301 and do not at this time expect DAYLIGHT to impact the BLA timing.</w:t>
      </w:r>
    </w:p>
    <w:p>
      <w:pPr>
        <w:spacing w:after="0" w:line="88"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Importantly, based on our discussions with regulators in the US, we also believe the DAYLIGHT study can provide the safety exposure database needed to support monthly labeling across the wAMD, DME and RVO indications in the US and thus maximize treatment flexibility and reimbursement confidence in all the major anti-VEGF disease areas.</w:t>
      </w:r>
    </w:p>
    <w:p>
      <w:pPr>
        <w:spacing w:after="0" w:line="76"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also believe we are on track to begin screening and recruiting patients in mid-2021 in our Phase 3 GLOW study in patients with non-proliferative Diabetic Retinopathy without DME, although we are not planning for this study and indication to be included in our initial BLA filing given the long timeframe we expect to be required to recruit patients in this chronic, more preventive disease indication.</w:t>
      </w:r>
    </w:p>
    <w:p>
      <w:pPr>
        <w:spacing w:after="0" w:line="7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This expanded pivotal program for KSI-301 reflects our conviction in KSI-301 (and our ABC Platform) and seeks labeling at launch that is supportive of a broad range of individualized dosing intervals, from every 4-week dosing up to once every 20-week dosing for wAMD patients; from every 4-week dosing up to once every 24-week dosing for DME patients; and from every 4-week dosing up to once every 8-week dosing for RVO patients.</w:t>
      </w:r>
    </w:p>
    <w:p>
      <w:pPr>
        <w:spacing w:after="0" w:line="4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This conviction is also reflected in our concurrent manufacturing efforts, notably increasing the capacity of our dedicated IBEX manufacturing facility by 70% (to more than ten million doses per year) and also our continued efforts towards the potential of early commercial availability of our pre-filled syringe, both key efforts supportive of strong early commercial uptake.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-10795</wp:posOffset>
            </wp:positionV>
            <wp:extent cx="5888990" cy="3308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8899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Commercial Manufacturing</w:t>
      </w:r>
    </w:p>
    <w:p>
      <w:pPr>
        <w:spacing w:after="0" w:line="117" w:lineRule="exact"/>
        <w:rPr>
          <w:sz w:val="20"/>
          <w:szCs w:val="20"/>
          <w:color w:val="auto"/>
        </w:rPr>
      </w:pPr>
    </w:p>
    <w:p>
      <w:pPr>
        <w:ind w:right="20" w:firstLine="562"/>
        <w:spacing w:after="0" w:line="275" w:lineRule="auto"/>
        <w:rPr>
          <w:sz w:val="20"/>
          <w:szCs w:val="20"/>
          <w:color w:val="auto"/>
        </w:rPr>
      </w:pPr>
      <w:r>
        <w:rPr>
          <w:rFonts w:ascii="Arial" w:cs="Arial" w:eastAsia="Arial" w:hAnsi="Arial"/>
          <w:sz w:val="17"/>
          <w:szCs w:val="17"/>
          <w:color w:val="auto"/>
        </w:rPr>
        <w:t>We have expanded and finalized the design and scope of our bioconjugation agreement with Lonza, with a revised estimated capital contribution of 74.5 million Swiss Francs. Construction of the manufacturing facilities is now targeted for completion in early 2022. The primary cause of the timeline shift from end 2021 is construction delays encountered at the Ibex Dedicate Facility in Switzerland due to COVID-19 vaccine related manufacturing activities, primarily limitation of construction and facility personnel resources. Manufacturing suite fees commence in 2022 at a cost of 14.5 million Swiss Francs per annum and continue for each year thereafter through 2029 at a cost of 20.0 million Swiss Francs per annum.</w:t>
      </w:r>
    </w:p>
    <w:p>
      <w:pPr>
        <w:spacing w:after="0" w:line="68" w:lineRule="exact"/>
        <w:rPr>
          <w:sz w:val="20"/>
          <w:szCs w:val="20"/>
          <w:color w:val="auto"/>
        </w:rPr>
      </w:pPr>
    </w:p>
    <w:p>
      <w:pPr>
        <w:ind w:right="220" w:firstLine="562"/>
        <w:spacing w:after="0" w:line="342" w:lineRule="auto"/>
        <w:rPr>
          <w:sz w:val="20"/>
          <w:szCs w:val="20"/>
          <w:color w:val="auto"/>
        </w:rPr>
      </w:pPr>
      <w:r>
        <w:rPr>
          <w:rFonts w:ascii="Arial" w:cs="Arial" w:eastAsia="Arial" w:hAnsi="Arial"/>
          <w:sz w:val="16"/>
          <w:szCs w:val="16"/>
          <w:color w:val="auto"/>
        </w:rPr>
        <w:t>Notably, the enhanced design of our dedicated manufacturing facility increases the annual manufacturing capacity by 70% and also separates the manufacturing core into two separate suites with the benefit of allowing two manufacturing lines to operate separately and simultaneously.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Development Strategy</w:t>
      </w:r>
    </w:p>
    <w:p>
      <w:pPr>
        <w:spacing w:after="0" w:line="117" w:lineRule="exact"/>
        <w:rPr>
          <w:sz w:val="20"/>
          <w:szCs w:val="20"/>
          <w:color w:val="auto"/>
        </w:rPr>
      </w:pPr>
    </w:p>
    <w:p>
      <w:pPr>
        <w:jc w:val="both"/>
        <w:ind w:right="40" w:firstLine="510"/>
        <w:spacing w:after="0" w:line="255" w:lineRule="auto"/>
        <w:rPr>
          <w:sz w:val="20"/>
          <w:szCs w:val="20"/>
          <w:color w:val="auto"/>
        </w:rPr>
      </w:pPr>
      <w:r>
        <w:rPr>
          <w:rFonts w:ascii="Arial" w:cs="Arial" w:eastAsia="Arial" w:hAnsi="Arial"/>
          <w:sz w:val="18"/>
          <w:szCs w:val="18"/>
          <w:color w:val="auto"/>
        </w:rPr>
        <w:t>The table below summarizes our current thinking on the timing of our KSI-301 program and its broad and concurrent execution, and we believe the successful prosecution of this program is achievable based on our currently available information and the evolving effects of the COVID-19 pandemic. We believe we are still on track to achieve our “2022 Vision” objectives of announcing topline data across our pivotal studies in 2022. Notably, slightly slower enrollment timelines in our GLEAM and GLIMMER trials associated with somewhat softer treatment naïve DME patient presentation at clinics during the pandemic, the addition of DAYLIGHT, and manufacturing headwinds from competition with commercial vaccine manufacturing are pushing us into early 2023 for our BLA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-5080</wp:posOffset>
            </wp:positionV>
            <wp:extent cx="6172200" cy="3471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INDs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January 2021, we submitted investigational new drug (IND) applications for KSI-301 in RVO and DME to China’s National Medicinal Products Administration (NMPA). If the IND and subsequent Chinese governmental approvals are obtained, the IND applications will allow Kodiak to enroll patients from China into the BEACON and GLIMMER studies; we believe that inclusion of patients from China in these studies could be beneficial for the potential future approval of KSI-301 in China.</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KSI-301 Phase 1b Study</w:t>
      </w:r>
    </w:p>
    <w:p>
      <w:pPr>
        <w:spacing w:after="0" w:line="117"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In February 2021, we presented Year 1 durability, efficacy and safety data from our ongoing Phase 1b trial of KSI-301 in patients with treatment naïve wet AMD, DME or RVO at the Angiogenesis, Exudation, and Degeneration 2021 – Virtual Edition meeting. The data show 2 in every 3 patients are on a 6-month or longer treatment-free interval at Year 1 in each of the three major retinal vascular diseases after only three loading doses. Robust vision gains (particularly notable in the context of very good baseline vision) and robust retinal drying (when baseline anatomical characteristics are considered) were seen across all three diseases being studied. Strong anti-VEGF efficacy (achieving at Year 1 approximately 20/40 eye chart vision on average in wet AMD and approximately 20/32 vision on average in DME and RVO) and an encouraging safety profile continue to be observed across all three diseases. We believe the data continue to support the “anti-VEGF Generation 2.0” profile of KSI-301.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are continuing to monitor the global ongoing COVID-19 pandemic. Since the initial outbreak in early 2020, governments globally have taken preventative and protective actions, including but not limited to, restrictions on non-essential travel, business operations, and gatherings of individuals. The State of California, where our corporate office is located, declared a state of emergency and shelter-in-place order in March 2020. Although many restrictions have eased, it is not certain when all restrictions will be fully lifted, and resurgences in number and rates of infections in certain states and/or countries may result in the return or implementation of more restrictive measures. Global financial markets have also experienced extreme volatility and as a result, economic uncertainties have arisen which could impact our operations and its financial position. The extent of the impact of the ongoing COVID-19 pandemic will depend on certain evolving developments, including the duration and spread of the outbreak, regulatory and private sector responses, and the impact on our employees, vendors including supply chain and clinical partners, all of which are uncertain and cannot be predicted.</w:t>
      </w:r>
    </w:p>
    <w:p>
      <w:pPr>
        <w:spacing w:after="0" w:line="5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We continue to monitor government responses and may elect to temporarily close our office and/or laboratory space to protect our employees. We continue to assess the potential for supply chain disruptions as the pandemic may impact personnel at third party manufacturing facilities in the United States, Germany, Switzerland and other countries, as well as its impact on the availability and/or cost of materials. We continue to monitor financial markets and the impact on our operations and capital resources.</w:t>
      </w:r>
    </w:p>
    <w:p>
      <w:pPr>
        <w:spacing w:after="0" w:line="7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and our key clinical and manufacturing partners have been able to continue to advance our operations. Because the diseases under study in the KSI-301 development program are serious, vision-threatening conditions for which patients are still seeking and receiving treatment from retina specialists during the pandemic, we have been able to continue advancing the clinical programs for KSI-301 during the pandemic towards achieving our “2022 Vision.”</w:t>
      </w:r>
    </w:p>
    <w:p>
      <w:pPr>
        <w:spacing w:after="0" w:line="7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During this pandemic, we continue to work closely with our clinical sites towards maximal patient safety and the lowest number of missed visits and study discontinuations. We have taken and continue to take proactive measures to maintain the integrity of our ongoing clinical studies. To date, we continue to see low levels of patient missed visits.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response to the COVID-19 pandemic with regards to business operations, clinical trials, and manufacturing activities:</w:t>
      </w:r>
    </w:p>
    <w:p>
      <w:pPr>
        <w:spacing w:after="0" w:line="117" w:lineRule="exact"/>
        <w:rPr>
          <w:sz w:val="20"/>
          <w:szCs w:val="20"/>
          <w:color w:val="auto"/>
        </w:rPr>
      </w:pPr>
    </w:p>
    <w:p>
      <w:pPr>
        <w:ind w:left="740" w:right="46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taken steps in line with guidance from the U.S. Centers for Disease Control and Prevention, or CDC, and the State of California to protect the health and safety of our employees and the community.</w:t>
      </w:r>
    </w:p>
    <w:p>
      <w:pPr>
        <w:spacing w:after="0" w:line="62" w:lineRule="exact"/>
        <w:rPr>
          <w:rFonts w:ascii="Arial" w:cs="Arial" w:eastAsia="Arial" w:hAnsi="Arial"/>
          <w:sz w:val="18"/>
          <w:szCs w:val="18"/>
          <w:color w:val="auto"/>
        </w:rPr>
      </w:pPr>
    </w:p>
    <w:p>
      <w:pPr>
        <w:ind w:left="740" w:hanging="368"/>
        <w:spacing w:after="0" w:line="272"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working closely with our clinical trial sites to monitor and attempt to minimize the potential impacts of the evolving COVID-19 pandemic on patient enrollment, continued participation of patients already enrolled in our clinical studies, protocol compliance, data quality, and overall study integrity. Some specific actions we have taken in the United States include the use of remote study monitoring, temporarily increasing study site budget overhead rates, providing additional transportation service options for patients to attend study site visits and focusing on new patient enrollment only at study sites with appropriate backup resource plans in place and where the local COVID-19 situation allows. the overall rate of missed study visits remains &lt;5%. As of now, we have not experienced significant delays to our ongoing or planned clinical trials; however, this could change rapidly depending on the dynamics of the pandemic.</w:t>
      </w:r>
    </w:p>
    <w:p>
      <w:pPr>
        <w:spacing w:after="0" w:line="69" w:lineRule="exact"/>
        <w:rPr>
          <w:rFonts w:ascii="Arial" w:cs="Arial" w:eastAsia="Arial" w:hAnsi="Arial"/>
          <w:sz w:val="17"/>
          <w:szCs w:val="17"/>
          <w:color w:val="auto"/>
        </w:rPr>
      </w:pPr>
    </w:p>
    <w:p>
      <w:pPr>
        <w:ind w:left="740" w:right="160" w:hanging="368"/>
        <w:spacing w:after="0" w:line="275" w:lineRule="auto"/>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minimize the potential for disruption of our pivotal studies of KSI-301, we refined our study designs, including sample size and country selection. We began enrollment of our pivotal DME (GLEAM and GLIMMER) and RVO (BEACON) studies in the third quarter of 2020 in the United States and aim to initiate the DAYLIGHT wet AMD study and our pivotal study in non-proliferative DR (GLOW) in summer 2021, dependent on the continued evolution of the COVID-19 pandemic. All of our EU and Israel clinical trial application submissions are active and approved for GLEAM, GLIMMER and BEACON, and global recruitment activities are underway in all three studies.</w:t>
      </w:r>
    </w:p>
    <w:p>
      <w:pPr>
        <w:spacing w:after="0" w:line="68" w:lineRule="exact"/>
        <w:rPr>
          <w:rFonts w:ascii="Arial" w:cs="Arial" w:eastAsia="Arial" w:hAnsi="Arial"/>
          <w:sz w:val="17"/>
          <w:szCs w:val="17"/>
          <w:color w:val="auto"/>
        </w:rPr>
      </w:pPr>
    </w:p>
    <w:p>
      <w:pPr>
        <w:ind w:left="740" w:right="6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clinical supply chain and manufacturing activities remain intact, and we do not currently anticipate disruptions to our clinical supply of KSI-301 due to COVID-19.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left="740" w:hanging="368"/>
        <w:spacing w:after="0" w:line="273"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we work towards commercial scale-up and manufacturing activities to support BLA submission, there is increasing competition with COVID-19 related vaccine and therapeutic programs for manufacturing related (i) materials such as resins, filters, sterile tubesets, pipette tips; (ii) personnel such as facility engineering and construction as well as plant engineers and workers; and (iii) production slots in cGMP facilities. These events may cause delays to our commercial manufacturing timelines. Construction of the IBEX facility is now targeted for completion in early 2022. The primary cause of the revised timeline is construction delays encountered at the Ibex Dedicate Facility in Switzerland due to COVID-19 vaccine related manufacturing activities, primarily limitation of construction and facility personnel resources.</w:t>
      </w:r>
    </w:p>
    <w:p>
      <w:pPr>
        <w:spacing w:after="0" w:line="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will continue to monitor the COVID-19 situation closely. The ultimate impact of the ongoing COVID-19 pandemic on our business operations remains highly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conduct our Phase 3 clinical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Securities and Exchange Commission, or SEC, investor relations costs and director and officer insurance premiums associated with being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Other income (expense), net consists primarily of accretion income and amortization expense on marketable debt securities net of amortized issuance costs from the liability related to the future sale of royalties to BBA in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140" w:type="dxa"/>
            <w:vAlign w:val="bottom"/>
            <w:gridSpan w:val="5"/>
          </w:tcPr>
          <w:p>
            <w:pPr>
              <w:ind w:left="520"/>
              <w:spacing w:after="0"/>
              <w:rPr>
                <w:sz w:val="20"/>
                <w:szCs w:val="20"/>
                <w:color w:val="auto"/>
              </w:rPr>
            </w:pPr>
            <w:r>
              <w:rPr>
                <w:rFonts w:ascii="Arial" w:cs="Arial" w:eastAsia="Arial" w:hAnsi="Arial"/>
                <w:sz w:val="18"/>
                <w:szCs w:val="18"/>
                <w:color w:val="auto"/>
                <w:w w:val="95"/>
              </w:rPr>
              <w:t>The following table summarizes the results of our operations for the periods indicated, in thousands: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4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40,337</w:t>
            </w:r>
          </w:p>
        </w:tc>
        <w:tc>
          <w:tcPr>
            <w:tcW w:w="16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20,170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20,167</w:t>
            </w: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FF0FC"/>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Loss from operations</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(24,835)</w:t>
            </w: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2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(1,059)</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(expense), net</w:t>
            </w:r>
          </w:p>
        </w:tc>
        <w:tc>
          <w:tcPr>
            <w:tcW w:w="2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Net loss</w:t>
            </w:r>
          </w:p>
        </w:tc>
        <w:tc>
          <w:tcPr>
            <w:tcW w:w="2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(26,055)</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KSI-301 program expenses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23,486</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12,285</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KSI-501 program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ABC Platform and other program expenses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Payroll and personnel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Facilities and other research and development expenses</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40,337</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20,170</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20,167</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KSI-301 program expenses increased $11.2 million during the three months ended March 31, 2021 as compared to 2020. The increase was primarily due to clinical trial costs to support ongoing trials, as well as manufacturing progress for KSI-301. Our pivotal Phase 2b/3 clinical study in wAMD (DAZZLE) completed patient recruitment in November 2020. We initiated two pivotal Phase 3 clinical studies in DME (GLEAM and GLIMMER) and one pivotal Phase 3 clinical study in RVO (BEACON) in the third quarter of 2020.</w:t>
      </w:r>
    </w:p>
    <w:p>
      <w:pPr>
        <w:spacing w:after="0" w:line="7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KSI-501 program increased $1.6 million during the three months ended March 31, 2021, as compared to 2020, primarily due to increased research and development activities for KSI-501.</w:t>
      </w:r>
    </w:p>
    <w:p>
      <w:pPr>
        <w:spacing w:after="0" w:line="62"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ABC Platform expenses increased $1.4 million during the three months ended March 31, 2021 as compared to 2020, primarily driven by costs incurred to advance our product candidate pipeline.</w:t>
      </w:r>
    </w:p>
    <w:p>
      <w:pPr>
        <w:spacing w:after="0" w:line="62"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Payroll and personnel expenses increased $3.7 million during the three months ended March 31, 2021 as compared to 2020, due to increased headcount and stock-based compensation expense.</w:t>
      </w:r>
    </w:p>
    <w:p>
      <w:pPr>
        <w:spacing w:after="0" w:line="6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Facilities and other research and development expenses increased $2.3 million during the three months ended March 31, 2021 as compared to 2020, primarily due to lease costs for our Palo Alto and Switzerland facilities expansion.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General and administrative expenses increased $4.7 million during the three months ended March 31, 2021 as compared to 2020, primarily driven by higher headcount and stock-based compensation expense, professional services related to consulting, legal and accounting, and lease costs for Palo Alto facilities expansion.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We have funded our operations primarily through the sale and issuance of common stock, redeemable convertible preferred stock, convertible notes, warrants and the sale of royalties. As of March 31, 2021, we had cash, cash equivalents and marketable securities of $929.0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We have incurred net losses since our inception. For the three months ended March 31, 2021, we had net loss of $50.4 million, and we expect to continue to incur additional losses in future periods. As of March 31, 2021, we had an accumulated deficit of $341.7 million.</w:t>
      </w:r>
    </w:p>
    <w:p>
      <w:pPr>
        <w:spacing w:after="0" w:line="3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79"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84"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740" w:right="4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44"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44"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44"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5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significant uncertainties caused by the evolving effects of the ongoing COVID-19 pandemic may also negatively impact our operations and capital resources. We and our key clinical and manufacturing partners have been able to continue to advance our operations, and we continue to monitor the impact of COVID-19 on our ability to continue the development of, and seek regulatory approvals for, our product candidates, and begin to commercialize any approved products. This pandemic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84"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b w:val="1"/>
                <w:bCs w:val="1"/>
                <w:i w:val="1"/>
                <w:iCs w:val="1"/>
                <w:color w:val="auto"/>
              </w:rPr>
              <w:t>Summary Statement of Cash Flows</w:t>
            </w: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9440" w:type="dxa"/>
            <w:vAlign w:val="bottom"/>
            <w:gridSpan w:val="5"/>
          </w:tcPr>
          <w:p>
            <w:pPr>
              <w:ind w:left="520"/>
              <w:spacing w:after="0"/>
              <w:rPr>
                <w:sz w:val="20"/>
                <w:szCs w:val="20"/>
                <w:color w:val="auto"/>
              </w:rPr>
            </w:pPr>
            <w:r>
              <w:rPr>
                <w:rFonts w:ascii="Arial" w:cs="Arial" w:eastAsia="Arial" w:hAnsi="Arial"/>
                <w:sz w:val="18"/>
                <w:szCs w:val="18"/>
                <w:color w:val="auto"/>
                <w:w w:val="91"/>
              </w:rPr>
              <w:t>The following table sets forth the primary sources and uses of cash for each of the periods presented below, in thousands: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3"/>
        </w:trPr>
        <w:tc>
          <w:tcPr>
            <w:tcW w:w="6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0"/>
              </w:rPr>
              <w:t>Three Months Ended</w:t>
            </w:r>
          </w:p>
        </w:tc>
      </w:tr>
      <w:tr>
        <w:trPr>
          <w:trHeight w:val="234"/>
        </w:trPr>
        <w:tc>
          <w:tcPr>
            <w:tcW w:w="6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88"/>
              </w:rPr>
              <w:t>(in thousands)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Operating activities</w:t>
            </w:r>
          </w:p>
        </w:tc>
        <w:tc>
          <w:tcPr>
            <w:tcW w:w="17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(34,625)</w:t>
            </w:r>
          </w:p>
        </w:tc>
        <w:tc>
          <w:tcPr>
            <w:tcW w:w="6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(17,932)</w:t>
            </w:r>
          </w:p>
        </w:tc>
      </w:tr>
      <w:tr>
        <w:trPr>
          <w:trHeight w:val="230"/>
        </w:trPr>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(67,197)</w:t>
            </w:r>
          </w:p>
        </w:tc>
      </w:tr>
      <w:tr>
        <w:trPr>
          <w:trHeight w:val="229"/>
        </w:trPr>
        <w:tc>
          <w:tcPr>
            <w:tcW w:w="6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99,788</w:t>
            </w:r>
          </w:p>
        </w:tc>
        <w:tc>
          <w:tcPr>
            <w:tcW w:w="120" w:type="dxa"/>
            <w:vAlign w:val="bottom"/>
            <w:tcBorders>
              <w:bottom w:val="single" w:sz="8" w:color="CFF0FC"/>
            </w:tcBorders>
          </w:tcPr>
          <w:p>
            <w:pPr>
              <w:spacing w:after="0"/>
              <w:rPr>
                <w:sz w:val="19"/>
                <w:szCs w:val="19"/>
                <w:color w:val="auto"/>
              </w:rPr>
            </w:pPr>
          </w:p>
        </w:tc>
      </w:tr>
      <w:tr>
        <w:trPr>
          <w:trHeight w:val="223"/>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Net cash used in operating activities was $34.6 million for the three months ended March 31, 2021, primarily attributable to a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Net cash provided by investing activities was $9.2 million for the three months ended March 31, 2021, primarily related to maturities of marketable securities net of purchases of property and equipment during the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Net cash provided by financing activities was $1.5 million for the three months ended March 31, 2021, primarily due to the proceeds from stock option exercises.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The disclosure of our contractual obligations and commitments is set forth under the heading “Management’s Discussion and Analysis of Financial Condition and Results of Operations — Contractual Obligations” in our Annual Report on Form 10-K for the year ended December 31, 2020, which was filed with the SEC on March 1, 2021. There have been no material changes in our contractual obligations and commitments since December 31, 2020, except as otherwise described in Note 6 to our unaudited condensed consolidated financial statements included in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During the three months ended March 31, 2021, there were no material changes to our critical accounting policies as reported in our Annual Report on Form 10-K for the year ended December 31, 2020, which was filed with the SEC on March 1, 2021, except as otherwise described in Note 2 to our unaudited condensed consolidated financial statements included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During the three months ended March 31, 2021, there were no material changes to our market risk disclosures as reported in our Annual Report on Form 10-K for the year ended December 31, 2020, which was filed with the SEC on March 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9"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March 31, 2021. Based upon such evaluation, our principal executive officer and principal financial officer concluded that the design and operation of our disclosure controls and procedures were effective at a reasonable assurance level as of March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2021, that has materially affected, or is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prospects are heavily dependent on our KSI-301 product candidate, which is currently in clinical development for multiple indications.</w:t>
      </w:r>
    </w:p>
    <w:p>
      <w:pPr>
        <w:spacing w:after="0" w:line="12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KSI-301 is our only product candidate currently in clinical trials. It may be years before a registrational-type trial is completed, if at all. Further, we cannot be certain that either KSI-301 or any of our product candidates will be successful in clinical trials.</w:t>
      </w:r>
    </w:p>
    <w:p>
      <w:pPr>
        <w:spacing w:after="0" w:line="6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Our early encouraging preclinical and Phase 1/1b clinical trial results for KSI-301 in the respective indications are not necessarily predictive of the results of our ongoing or future discovery programs or any future preclinical or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with KSI-301 and followed for longer periods of time.</w:t>
      </w:r>
    </w:p>
    <w:p>
      <w:pPr>
        <w:spacing w:after="0" w:line="5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KSI-301 clinical study designs and data are not necessarily predictive of KSI-301’s final marketed product label. Regulator interpretations of monthly wAMD data from the DAYLIGHT pivotal study are susceptible to variability and may not substantiate inclusion of monthly dosing in the wAMD, DME or RVO label.</w:t>
      </w:r>
    </w:p>
    <w:p>
      <w:pPr>
        <w:spacing w:after="0" w:line="69"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ind w:right="280" w:firstLine="510"/>
        <w:spacing w:after="0" w:line="279" w:lineRule="auto"/>
        <w:rPr>
          <w:sz w:val="20"/>
          <w:szCs w:val="20"/>
          <w:color w:val="auto"/>
        </w:rPr>
      </w:pPr>
      <w:r>
        <w:rPr>
          <w:rFonts w:ascii="Arial" w:cs="Arial" w:eastAsia="Arial" w:hAnsi="Arial"/>
          <w:sz w:val="17"/>
          <w:szCs w:val="17"/>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right="32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approval may be for indications, dosage and administration or patient populations that are not as broad as intended or desired;</w:t>
      </w:r>
    </w:p>
    <w:p>
      <w:pPr>
        <w:spacing w:after="0" w:line="62"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117"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rFonts w:ascii="Arial" w:cs="Arial" w:eastAsia="Arial" w:hAnsi="Arial"/>
          <w:sz w:val="18"/>
          <w:szCs w:val="18"/>
          <w:color w:val="auto"/>
        </w:rPr>
      </w:pPr>
    </w:p>
    <w:p>
      <w:pPr>
        <w:ind w:left="740" w:right="8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129" w:lineRule="exact"/>
        <w:rPr>
          <w:sz w:val="20"/>
          <w:szCs w:val="20"/>
          <w:color w:val="auto"/>
        </w:rPr>
      </w:pPr>
    </w:p>
    <w:p>
      <w:pPr>
        <w:ind w:right="460" w:firstLine="510"/>
        <w:spacing w:after="0" w:line="279" w:lineRule="auto"/>
        <w:rPr>
          <w:sz w:val="20"/>
          <w:szCs w:val="20"/>
          <w:color w:val="auto"/>
        </w:rPr>
      </w:pPr>
      <w:r>
        <w:rPr>
          <w:rFonts w:ascii="Arial" w:cs="Arial" w:eastAsia="Arial" w:hAnsi="Arial"/>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80" w:firstLine="510"/>
        <w:spacing w:after="0" w:line="271" w:lineRule="auto"/>
        <w:rPr>
          <w:sz w:val="20"/>
          <w:szCs w:val="20"/>
          <w:color w:val="auto"/>
        </w:rPr>
      </w:pPr>
      <w:r>
        <w:rPr>
          <w:rFonts w:ascii="Arial" w:cs="Arial" w:eastAsia="Arial" w:hAnsi="Arial"/>
          <w:sz w:val="17"/>
          <w:szCs w:val="17"/>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7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China National Medical Products Administration, or NMPA,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4"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55" w:lineRule="exact"/>
        <w:rPr>
          <w:rFonts w:ascii="Arial" w:cs="Arial" w:eastAsia="Arial" w:hAnsi="Arial"/>
          <w:sz w:val="17"/>
          <w:szCs w:val="17"/>
          <w:color w:val="auto"/>
        </w:rPr>
      </w:pPr>
    </w:p>
    <w:p>
      <w:pPr>
        <w:ind w:left="740" w:right="14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44"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144" w:lineRule="exact"/>
        <w:rPr>
          <w:rFonts w:ascii="Arial" w:cs="Arial" w:eastAsia="Arial" w:hAnsi="Arial"/>
          <w:sz w:val="18"/>
          <w:szCs w:val="18"/>
          <w:color w:val="auto"/>
        </w:rPr>
      </w:pPr>
    </w:p>
    <w:p>
      <w:pPr>
        <w:ind w:left="740" w:right="60" w:hanging="368"/>
        <w:spacing w:after="0" w:line="255"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NMPA or any other regulatory authority concerns about risk to patients of the technology broadly; or if the FDA, EMA, NMPA or any other regulatory authority finds that the investigational protocol or plan is clearly deficient to meet its stated objectives;</w:t>
      </w:r>
    </w:p>
    <w:p>
      <w:pPr>
        <w:spacing w:after="0" w:line="84"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44"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NMPA or other regulatory guidelines in other countries;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left="740" w:right="16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data safety monitoring board for such trial or by the FDA, EMA, NMPA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NMPA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the FDA, EMA, NMPA or other regulatory authorities regarding CMC matters, including methodologies for, and assessment of, comparability of manufacturing procedures and lots.</w:t>
      </w:r>
    </w:p>
    <w:p>
      <w:pPr>
        <w:spacing w:after="0" w:line="5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NMPA or other comparable foreign regulatory authorities.</w:t>
      </w:r>
    </w:p>
    <w:p>
      <w:pPr>
        <w:spacing w:after="0" w:line="76"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3"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Our most advanced product candidate, KSI-301,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9" w:name="page30"/>
    <w:bookmarkEnd w:id="29"/>
    <w:p>
      <w:pPr>
        <w:ind w:firstLine="510"/>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69"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44"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6"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44"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effects of health epidemics, including the ongoing COVID-19 pandemic and the resulting shelter-in-place, travel or similar restrictions;</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44"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4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53"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4"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9"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80" w:firstLine="510"/>
        <w:spacing w:after="0" w:line="290" w:lineRule="auto"/>
        <w:rPr>
          <w:sz w:val="20"/>
          <w:szCs w:val="20"/>
          <w:color w:val="auto"/>
        </w:rPr>
      </w:pPr>
      <w:r>
        <w:rPr>
          <w:rFonts w:ascii="Arial" w:cs="Arial" w:eastAsia="Arial" w:hAnsi="Arial"/>
          <w:sz w:val="16"/>
          <w:szCs w:val="16"/>
          <w:color w:val="auto"/>
        </w:rPr>
        <w:t>There are a number of large pharmaceutical and biotechnology companies that are currently pursuing the development of products for the treatment of the retinal disease indications for which we have product candidates, including wet AMD, DME/DR, and RVO.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KSI-301.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5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NMPA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w:t>
      </w:r>
    </w:p>
    <w:p>
      <w:pPr>
        <w:spacing w:after="0" w:line="68"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3"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40" w:firstLine="510"/>
        <w:spacing w:after="0" w:line="279"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3"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These challenges are magnified by the international nature of our supply chain, which, for KSI-301, requires drug substance and drug product sourced from single source suppliers from China, Japan, the United Kingdom and Switzerland. For example, the effects of health epidemics, including the ongoing COVID-19 pandemic and the resulting shelter-in-place, travel or similar restrictions may impact the timing of clinical resupply facing and BLA facing manufacturing activities.</w:t>
      </w:r>
    </w:p>
    <w:p>
      <w:pPr>
        <w:spacing w:after="0" w:line="187"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2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the manufacturing process for any products that we may develop is subject to FDA, EMA, NMPA and foreign regulatory authority approval processes and continuous oversight. We will need to contract with manufacturers who can meet all applicable FDA, EMA, NMPA and foreign regulatory authority requirements, including complying with current good manufacturing practices, or cGMPs, on an ongoing basis. If we or our third-party manufacturers are unable to reliably produce products to specifications acceptable to the FDA,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Our manufacturers are also engaged in the manufacturing of COVID-19 related vaccines and therapeutic treatments, and the success of and demand for these vaccines and therapeutic treatments means we and our programs are competing for scarce manufacturing resources.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49"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740" w:right="36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44"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4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7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NMPA or other regulatory agencies;</w:t>
      </w:r>
    </w:p>
    <w:p>
      <w:pPr>
        <w:spacing w:after="0" w:line="144"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NMPA or other comparable foreign regulatory authorities, including any limitations, contraindications or warnings contained in a product’s approved labeling;</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6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NMPA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ind w:right="20" w:firstLine="510"/>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4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time required to obtain approval by the FDA, EMA, NMPA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740" w:right="42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disagree with the design, implementation or results of our clinical trials;</w:t>
      </w:r>
    </w:p>
    <w:p>
      <w:pPr>
        <w:spacing w:after="0" w:line="62" w:lineRule="exact"/>
        <w:rPr>
          <w:rFonts w:ascii="Arial" w:cs="Arial" w:eastAsia="Arial" w:hAnsi="Arial"/>
          <w:sz w:val="18"/>
          <w:szCs w:val="18"/>
          <w:color w:val="auto"/>
        </w:rPr>
      </w:pPr>
    </w:p>
    <w:p>
      <w:pPr>
        <w:ind w:left="740" w:right="160" w:hanging="368"/>
        <w:spacing w:after="0" w:line="263"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5"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demonstrate to the FDA, EMA, NMPA or comparable foreign regulatory authorities that a product candidate’s risk-benefit ratio for its proposed indication, when compared to the standard of care, is acceptable;</w:t>
      </w:r>
    </w:p>
    <w:p>
      <w:pPr>
        <w:spacing w:after="0" w:line="62"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740" w:right="520" w:hanging="368"/>
        <w:spacing w:after="0" w:line="342"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EMA, NMPA or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740" w:right="20" w:hanging="368"/>
        <w:spacing w:after="0" w:line="277"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NMPA or comparable foreign regulatory authorities may significantly change in a manner rendering our clinical data insufficient for approval.</w:t>
      </w:r>
    </w:p>
    <w:p>
      <w:pPr>
        <w:spacing w:after="0" w:line="6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EMA, NMPA and applicable foreign regulatory authorities may not accept data from such trials.</w:t>
      </w:r>
    </w:p>
    <w:p>
      <w:pPr>
        <w:spacing w:after="0" w:line="62"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NMPA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NMPA or any applicable foreign regulatory authority will accept data from trials conducted outside of the United States or the applicable jurisdiction, including any trials that we may conduct in China. If the FDA, EMA, NMPA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NMPA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5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jc w:val="both"/>
        <w:ind w:right="400" w:firstLine="510"/>
        <w:spacing w:after="0" w:line="31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41"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NMPA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6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NMPA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63"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4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58"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Further, the 2020 federal spending package permanently eliminated, effective January 1, 2020, the ACA-mandated “Cadillac” tax on high-cost employer-sponsored health coverage and medical device tax and, effective January 1, 2021, also eliminated the health insurer tax. In addition, on December 14, 2018, a Texas U.S. District Court Judge ruled that the ACA is unconstitutional in its entirety because the “individual mandate” was repealed by Congress as part of the Tax Act. Additionally, on December 18, 2019, the U.S. Court of Appeals for the 5th Circuit ruled that the individual mandate was unconstitutional and remanded the case back to the District Court to determine whether the remaining provisions of the ACA are invalid as well. The United States Supreme Court is currently reviewing this case, but it is unknown when a decision will be reached. On February 10, 2021, the Biden administration withdrew the federal government’s support for overturning the ACA. Although the United States Supreme Court has yet ruled on the constitutionality of the ACA,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United States Supreme Court ruling, other such litigation and the healthcare reform measures of the Biden administration will impact the ACA and our business.</w:t>
      </w:r>
    </w:p>
    <w:p>
      <w:pPr>
        <w:spacing w:after="0" w:line="82"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will remain in effect through 2030 unless additional Congressional action is taken. However, COVID-19 relief support legislation suspended the 2% Medicare sequester from May 1, 2020 through December 31, 2021.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9" w:name="page40"/>
    <w:bookmarkEnd w:id="39"/>
    <w:p>
      <w:pPr>
        <w:ind w:firstLine="510"/>
        <w:spacing w:after="0" w:line="285" w:lineRule="auto"/>
        <w:rPr>
          <w:sz w:val="20"/>
          <w:szCs w:val="20"/>
          <w:color w:val="auto"/>
        </w:rPr>
      </w:pPr>
      <w:r>
        <w:rPr>
          <w:rFonts w:ascii="Arial" w:cs="Arial" w:eastAsia="Arial" w:hAnsi="Arial"/>
          <w:sz w:val="16"/>
          <w:szCs w:val="16"/>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the Department of Health and Human Services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the Centers for Medicare &amp; Medicaid Services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However,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 it is possible that additional governmental action is taken in response to the ongoing COVID-19 pandemic.</w:t>
      </w:r>
    </w:p>
    <w:p>
      <w:pPr>
        <w:spacing w:after="0" w:line="192"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NMPA and other comparable foreign regulatory authorities; provide true, complete and accurate information to the FDA, EMA, NMPA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0" w:name="page41"/>
    <w:bookmarkEnd w:id="40"/>
    <w:p>
      <w:pPr>
        <w:ind w:firstLine="510"/>
        <w:spacing w:after="0" w:line="255" w:lineRule="auto"/>
        <w:rPr>
          <w:sz w:val="20"/>
          <w:szCs w:val="20"/>
          <w:color w:val="auto"/>
        </w:rPr>
      </w:pPr>
      <w:r>
        <w:rPr>
          <w:rFonts w:ascii="Arial" w:cs="Arial" w:eastAsia="Arial" w:hAnsi="Arial"/>
          <w:sz w:val="18"/>
          <w:szCs w:val="18"/>
          <w:color w:val="auto"/>
        </w:rPr>
        <w:t>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1" w:lineRule="exact"/>
        <w:rPr>
          <w:sz w:val="20"/>
          <w:szCs w:val="20"/>
          <w:color w:val="auto"/>
        </w:rPr>
      </w:pPr>
    </w:p>
    <w:p>
      <w:pPr>
        <w:ind w:left="740" w:right="100" w:hanging="368"/>
        <w:spacing w:after="0" w:line="272"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rFonts w:ascii="Arial" w:cs="Arial" w:eastAsia="Arial" w:hAnsi="Arial"/>
          <w:sz w:val="17"/>
          <w:szCs w:val="17"/>
          <w:color w:val="auto"/>
        </w:rPr>
      </w:pPr>
    </w:p>
    <w:p>
      <w:pPr>
        <w:ind w:left="740" w:right="80" w:hanging="368"/>
        <w:spacing w:after="0" w:line="273"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69" w:lineRule="exact"/>
        <w:rPr>
          <w:rFonts w:ascii="Arial" w:cs="Arial" w:eastAsia="Arial" w:hAnsi="Arial"/>
          <w:sz w:val="17"/>
          <w:szCs w:val="17"/>
          <w:color w:val="auto"/>
        </w:rPr>
      </w:pPr>
    </w:p>
    <w:p>
      <w:pPr>
        <w:ind w:left="740" w:right="20" w:hanging="368"/>
        <w:spacing w:after="0" w:line="25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4" w:lineRule="exact"/>
        <w:rPr>
          <w:rFonts w:ascii="Arial" w:cs="Arial" w:eastAsia="Arial" w:hAnsi="Arial"/>
          <w:sz w:val="18"/>
          <w:szCs w:val="18"/>
          <w:color w:val="auto"/>
        </w:rPr>
      </w:pPr>
    </w:p>
    <w:p>
      <w:pPr>
        <w:ind w:left="740" w:right="240" w:hanging="368"/>
        <w:spacing w:after="0" w:line="25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 without appropriate authorization;</w:t>
      </w:r>
    </w:p>
    <w:p>
      <w:pPr>
        <w:spacing w:after="0" w:line="79" w:lineRule="exact"/>
        <w:rPr>
          <w:rFonts w:ascii="Arial" w:cs="Arial" w:eastAsia="Arial" w:hAnsi="Arial"/>
          <w:sz w:val="18"/>
          <w:szCs w:val="18"/>
          <w:color w:val="auto"/>
        </w:rPr>
      </w:pPr>
    </w:p>
    <w:p>
      <w:pPr>
        <w:ind w:left="740" w:hanging="368"/>
        <w:spacing w:after="0" w:line="271"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under the Open Payments Program,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such information related to payments or other transfers of value made during the previous year to physician assistants, nurse practitioners, clinical nurse specialists, anesthesiologist assistants, certified registered nurse anesthetists and certified nurse midwives;</w:t>
      </w:r>
    </w:p>
    <w:p>
      <w:pPr>
        <w:spacing w:after="0" w:line="70" w:lineRule="exact"/>
        <w:rPr>
          <w:rFonts w:ascii="Arial" w:cs="Arial" w:eastAsia="Arial" w:hAnsi="Arial"/>
          <w:sz w:val="17"/>
          <w:szCs w:val="17"/>
          <w:color w:val="auto"/>
        </w:rPr>
      </w:pPr>
    </w:p>
    <w:p>
      <w:pPr>
        <w:ind w:left="740" w:right="520" w:hanging="36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740" w:right="20" w:hanging="368"/>
        <w:spacing w:after="0" w:line="269" w:lineRule="auto"/>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6"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A wide variety of provincial, state, national, and foreign laws and regulations, as well as policies, contracts and other obligations apply to the collection, use, retention, protection, disclosure and transfer of personal data. These data protection and privacy-related laws and regulations are evolving and may result in ever-increasing regulatory and public scrutiny and escalating levels of enforcement and sanctions.</w:t>
      </w:r>
    </w:p>
    <w:p>
      <w:pPr>
        <w:spacing w:after="0" w:line="5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For example, the European Union’s General Data Protection Regulation, or GDPR, which took effect on May 25, 2018, imposes stringent data protection requirements and provides for penalties for noncompliance that can include bans on processing personal data and fines of up to the greater of 20 million euros or four percent of worldwide annual revenues. The GDPR requires organizations to give detailed disclosures about how they collect, use and share personal information; in most cases, obtain explicit consent to process sensitive personal information, such as health or genetic information;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6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European data protection laws, including the GDPR, also restrict the transfer of personal information from Europe, including the European Economic Area, the United Kingdom and Switzerland, to the U.S.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the Court of Justice of the European Union adopted a decision in July 2020 invalidating the EU-U.S. Privacy Shield. The same decision also raised questions about whether one of the primary alternatives to the EU-U.S. Privacy Shield, namely, the European Commission’s Standard Contractual Clauses, can lawfully be used for personal information transfers from Europe to the U.S. or most other countries. Authorities in Switzerland also have issued guidance raising similar questions about the Swiss-U.S. Privacy Shield and the Standard Contractual Clauses. At present, there are few, if any, viable alternatives to the EU-U.S. Privacy Shield, the Swiss-U.S. Privacy Shield and the Standard Contractual Clauses. Although we and third party service providers rely primarily on individuals’ explicit consent to transfer certain information from Europe to the U.S. and other countries, in certain cases we and third parties we work with have relied on the EU-U.S. Privacy Shield and the Standard Contractual Clauses. If we are unable to rely on explicit consent to transfer individuals’ personal information from Europe, which can be revoked, or implement other valid compliance solutions, we may face increased exposure to fines under European data protection laws as well as bans on processing personal information from Europe. Inability to import personal information from Europe may also impact our operations in the European Economic Area and Switzerland and require us to incur significant costs to increase our data processing capabilities in Europe.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80" w:firstLine="510"/>
        <w:spacing w:after="0" w:line="289" w:lineRule="auto"/>
        <w:rPr>
          <w:sz w:val="20"/>
          <w:szCs w:val="20"/>
          <w:color w:val="auto"/>
        </w:rPr>
      </w:pPr>
      <w:r>
        <w:rPr>
          <w:rFonts w:ascii="Arial" w:cs="Arial" w:eastAsia="Arial" w:hAnsi="Arial"/>
          <w:sz w:val="16"/>
          <w:szCs w:val="16"/>
          <w:color w:val="auto"/>
        </w:rPr>
        <w:t>In addition, it is unclear whether the transfer of personal information from the EU to the United Kingdom will continue to remain lawful under the GDPR in light of Brexit. Pursuant to a post-Brexit trade deal between the United Kingdom and the EU, transfers of personal information from the European Economic Area to the United Kingdom are not considered restricted transfers under the GDPR for a period of up to six months from January 1, 2021. However, unless the EU Commission makes an adequacy finding with respect to the United Kingdom before the end of that period, the United Kingdom will be considered a “third country” under the GDPR and transfers of European personal information to the United Kingdom will require an approved compliance mechanism to render such transfers lawful under the GDPR. Although the United Kingdom’s primary data protection legislation is designed to be consistent with the GDPR, uncertainty remains regarding how data transfers to and from the United Kingdom will be regulated after Brexit.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58" w:lineRule="exact"/>
        <w:rPr>
          <w:sz w:val="20"/>
          <w:szCs w:val="20"/>
          <w:color w:val="auto"/>
        </w:rPr>
      </w:pPr>
    </w:p>
    <w:p>
      <w:pPr>
        <w:ind w:right="180" w:firstLine="510"/>
        <w:spacing w:after="0" w:line="286" w:lineRule="auto"/>
        <w:rPr>
          <w:sz w:val="20"/>
          <w:szCs w:val="20"/>
          <w:color w:val="auto"/>
        </w:rPr>
      </w:pPr>
      <w:r>
        <w:rPr>
          <w:rFonts w:ascii="Arial" w:cs="Arial" w:eastAsia="Arial" w:hAnsi="Arial"/>
          <w:sz w:val="16"/>
          <w:szCs w:val="16"/>
          <w:color w:val="auto"/>
        </w:rPr>
        <w:t>Privacy laws in the U.S. are also increasingly complex and changing rapidly.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information. The CCPA provides for civil penalties for violations. Since the enactment of the CCPA, new privacy and data security laws have been proposed in more than half of the states and in the U.S.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Congress, reflecting a trend toward more stringent privacy legislation in the U.S. The CCPA itself will expand substantially as a result of California voters approving a November 2020 ballot measure that adopted the California Privacy Rights Act of 2020, or CPRA, which will, among other things, create a new administrative agency to implement and enforce California’s privacy laws effective January 1, 2023. While certain clinical trial activities are exempt from the CCPA’s requirements, other personal information that we handle may be subject to the CCPA, which may increase our compliance costs, exposure to regulatory enforcement action and other liabilities.</w:t>
      </w:r>
    </w:p>
    <w:p>
      <w:pPr>
        <w:spacing w:after="0" w:line="83"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GDPR, CCPA and many other laws and regulations relating to privacy and data protection are still being tested in courts, and they are subject to new and differing interpretations by courts and regulatory officials. We are working to comply with the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8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Our actual or perceived failure to adequately comply with applicable laws, regulations, policies, contracts and other obligations relating to privacy and data protection, or to protect personal data and other data we process or maintain, could result in regulatory fines and bans on processing personal information,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r>
    </w:p>
    <w:p>
      <w:pPr>
        <w:spacing w:after="0" w:line="18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8"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79"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0"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9"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580" w:firstLine="510"/>
        <w:spacing w:after="0" w:line="308"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44"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8"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9"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5" w:name="page46"/>
    <w:bookmarkEnd w:id="45"/>
    <w:p>
      <w:pPr>
        <w:ind w:right="14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55" w:lineRule="exact"/>
        <w:rPr>
          <w:rFonts w:ascii="Arial" w:cs="Arial" w:eastAsia="Arial" w:hAnsi="Arial"/>
          <w:sz w:val="17"/>
          <w:szCs w:val="17"/>
          <w:color w:val="auto"/>
        </w:rPr>
      </w:pPr>
    </w:p>
    <w:p>
      <w:pPr>
        <w:ind w:left="740" w:right="4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5"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44" w:lineRule="exact"/>
        <w:rPr>
          <w:rFonts w:ascii="Arial" w:cs="Arial" w:eastAsia="Arial" w:hAnsi="Arial"/>
          <w:sz w:val="18"/>
          <w:szCs w:val="18"/>
          <w:color w:val="auto"/>
        </w:rPr>
      </w:pPr>
    </w:p>
    <w:p>
      <w:pPr>
        <w:ind w:left="740" w:right="68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44" w:lineRule="exact"/>
        <w:rPr>
          <w:rFonts w:ascii="Arial" w:cs="Arial" w:eastAsia="Arial" w:hAnsi="Arial"/>
          <w:sz w:val="18"/>
          <w:szCs w:val="18"/>
          <w:color w:val="auto"/>
        </w:rPr>
      </w:pPr>
    </w:p>
    <w:p>
      <w:pPr>
        <w:ind w:left="740" w:right="100" w:hanging="368"/>
        <w:spacing w:after="0" w:line="342"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74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jc w:val="both"/>
        <w:ind w:left="740" w:right="40" w:hanging="368"/>
        <w:spacing w:after="0" w:line="263"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55" w:lineRule="exact"/>
        <w:rPr>
          <w:rFonts w:ascii="Arial" w:cs="Arial" w:eastAsia="Arial" w:hAnsi="Arial"/>
          <w:sz w:val="17"/>
          <w:szCs w:val="17"/>
          <w:color w:val="auto"/>
        </w:rPr>
      </w:pPr>
    </w:p>
    <w:p>
      <w:pPr>
        <w:ind w:left="740" w:right="26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rFonts w:ascii="Arial" w:cs="Arial" w:eastAsia="Arial" w:hAnsi="Arial"/>
          <w:sz w:val="18"/>
          <w:szCs w:val="18"/>
          <w:color w:val="auto"/>
        </w:rPr>
      </w:pPr>
    </w:p>
    <w:p>
      <w:pPr>
        <w:ind w:left="740" w:right="860" w:hanging="368"/>
        <w:spacing w:after="0" w:line="342"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740" w:right="360" w:hanging="368"/>
        <w:spacing w:after="0" w:line="308"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44"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rFonts w:ascii="Arial" w:cs="Arial" w:eastAsia="Arial" w:hAnsi="Arial"/>
          <w:sz w:val="18"/>
          <w:szCs w:val="18"/>
          <w:color w:val="auto"/>
        </w:rPr>
      </w:pPr>
    </w:p>
    <w:p>
      <w:pPr>
        <w:ind w:left="740" w:right="1240" w:hanging="368"/>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5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0"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6"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9"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4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ind w:right="80" w:firstLine="510"/>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7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8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right="80" w:firstLine="510"/>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7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0"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3"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7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100" w:firstLine="510"/>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3"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cease and desist letters to two companies and filed a trademark opposition proceeding against one company.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740" w:right="2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2" w:lineRule="exact"/>
        <w:rPr>
          <w:rFonts w:ascii="Arial" w:cs="Arial" w:eastAsia="Arial" w:hAnsi="Arial"/>
          <w:sz w:val="18"/>
          <w:szCs w:val="18"/>
          <w:color w:val="auto"/>
        </w:rPr>
      </w:pPr>
    </w:p>
    <w:p>
      <w:pPr>
        <w:ind w:left="740" w:right="38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740" w:right="50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44"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740" w:right="20" w:hanging="368"/>
        <w:spacing w:after="0" w:line="308"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44" w:lineRule="exact"/>
        <w:rPr>
          <w:rFonts w:ascii="Arial" w:cs="Arial" w:eastAsia="Arial" w:hAnsi="Arial"/>
          <w:sz w:val="18"/>
          <w:szCs w:val="18"/>
          <w:color w:val="auto"/>
        </w:rPr>
      </w:pPr>
    </w:p>
    <w:p>
      <w:pPr>
        <w:ind w:left="740" w:right="58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As of March 31, 2021, we had 77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76"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44" w:lineRule="exact"/>
        <w:rPr>
          <w:rFonts w:ascii="Arial" w:cs="Arial" w:eastAsia="Arial" w:hAnsi="Arial"/>
          <w:sz w:val="18"/>
          <w:szCs w:val="18"/>
          <w:color w:val="auto"/>
        </w:rPr>
      </w:pPr>
    </w:p>
    <w:p>
      <w:pPr>
        <w:ind w:left="740" w:right="720" w:hanging="368"/>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44"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8"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44"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44"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180"/>
        <w:spacing w:after="0" w:line="259"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the course of our business, we collect, store and transmit proprietary, confidential and sensitive information, including personal information. The information and data processed and stored in our technology systems, and those of our research collaborators, CROs, contractors, consultants, and other third parties on which we depend to operate our business, may be vulnerable to security breaches, loss, damage, corruption, unauthorized access, use or disclosure, or misappropriation. Such incidents may also result from errors or malfeasance by our personnel or the personnel of the third parties with which we work,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70"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While we have developed systems and processes designed to protect the integrity, confidentiality and security of the confidential and personal information under our control, we cannot assure you that our security measures or those of the third parties we depend on will be effective in preventing cybersecurity incidents. There are many different and rapidly evolving cybercrime and hacking techniques, and we may be unable to anticipate attempted security breaches, identify them before our information is exploited, or react in a timely manner.</w:t>
      </w:r>
    </w:p>
    <w:p>
      <w:pPr>
        <w:spacing w:after="0" w:line="63"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Additionally, as a result of the ongoing COVID-19 pandemic, certain functional areas of our workforce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79"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or potential vulnerabilities. Although to our knowledge, we have not experienced a material system failure or cybersecurity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88"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Cybersecurity incidents and any unauthorized access or disclosure of our information or intellectual property could also compromise our intellectual property, expose sensitive business information, expose the personal information of our employees, require us to incur significant remediation costs, disrupt key business operations and divert attention of management and key information technology resources. Such incidents could also subject us to significant liability, harm our competitive position and delay the further development and commercialization of our product candidates.</w:t>
      </w:r>
    </w:p>
    <w:p>
      <w:pPr>
        <w:spacing w:after="0" w:line="49"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Additionally, applicable data protection requirements, including, without limitation, laws, regulations, guidance as well as our internal and external policies and our contractual obligations, may require us to notify relevant stakeholders of security breaches,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There can be no assurance that any limitations or exclusions of liability in our contracts would be enforceable or adequate or protect us from liability or damages.</w:t>
      </w:r>
    </w:p>
    <w:p>
      <w:pPr>
        <w:spacing w:after="0" w:line="53"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cannot be certain that our insurance coverage will be adequate for cybersecurity liabilities,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ongoing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ongoing COVID-19 pandemic impacts our results will depend on future developments, which are highly uncertain and cannot be accurately predicted, including new information which may emerge concerning the severity of the COVID-19 pandemic and the actions to contain the coronavirus or treat its impact, among others.</w:t>
      </w:r>
    </w:p>
    <w:p>
      <w:pPr>
        <w:spacing w:after="0" w:line="7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pricing and reimbursement regimes in non-U.S. countries;</w:t>
      </w:r>
    </w:p>
    <w:p>
      <w:pPr>
        <w:spacing w:after="0" w:line="144" w:lineRule="exact"/>
        <w:rPr>
          <w:rFonts w:ascii="Arial" w:cs="Arial" w:eastAsia="Arial" w:hAnsi="Arial"/>
          <w:sz w:val="18"/>
          <w:szCs w:val="18"/>
          <w:color w:val="auto"/>
        </w:rPr>
      </w:pPr>
    </w:p>
    <w:p>
      <w:pPr>
        <w:ind w:left="740" w:right="72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44"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7" w:name="page58"/>
    <w:bookmarkEnd w:id="57"/>
    <w:p>
      <w:pPr>
        <w:ind w:right="40" w:firstLine="510"/>
        <w:spacing w:after="0" w:line="254" w:lineRule="auto"/>
        <w:rPr>
          <w:sz w:val="20"/>
          <w:szCs w:val="20"/>
          <w:color w:val="auto"/>
        </w:rPr>
      </w:pPr>
      <w:r>
        <w:rPr>
          <w:rFonts w:ascii="Arial" w:cs="Arial" w:eastAsia="Arial" w:hAnsi="Arial"/>
          <w:sz w:val="18"/>
          <w:szCs w:val="18"/>
          <w:color w:val="auto"/>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would delay or prevent us from commercializing our product candidates in the UK or the EU and restrict our ability to generate revenue and achieve and sustain profitability.</w:t>
      </w:r>
    </w:p>
    <w:p>
      <w:pPr>
        <w:spacing w:after="0" w:line="84"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7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Our business could be materially and adversely affected by health epidemics in regions where we have concentrations of clinical trial sites or other business operations and could cause significant disruption in the operations of third party manufacturers and CROs upon whom we rely. For example, in March 2020, the World Health Organization declared the COVID-19 outbreak a pandemic. In response, we delayed initiation of the next set of KSI-301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w:t>
      </w:r>
    </w:p>
    <w:p>
      <w:pPr>
        <w:spacing w:after="0" w:line="56"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The COVID-19 pandemic continues to unfold and we will continue to monitor our operations in response. We continue to observe government recommendations and may elect to temporarily close our office and/or laboratory space to protect our employees.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 As we work towards commercial scale-up and manufacturing activities to support BLA submission, there is increasing competition with COVID-19 related vaccine and therapeutic programs for manufacturing related (i) materials such as resins, filters, sterile tubesets, pipette tips; (ii) personnel such as facility engineering and construction as well as plant engineers and workers; and (iii) production slots in cGMP facilities. These events have begun to impact our manufacturing activities and timelines and may cause delays to our commercial manufacturing timelines. Currently, the critical path item on the path to complete our manufacturing regulatory dossiers to be used in our BLA filing is completion of our dedicated IBEX facility which is needed for at-commercial-scale qualification and validation manufacturing batches to be included in our BLA filing. Our IBEX facility was originally scheduled for completion in late 2021 and is now schedule for completion in 1H 2022. This delay is due to construction resources having been allocated to build commercial manufacturing suites for COVID-19 vaccines in the IBEX. Notably, another four commercial scale manufacturing suites have just been announced and are scheduled for construction completion early 2022. At this time, we are not aware and do not believe these new vaccine production lines will impact our manufacturing timelines.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firstLine="510"/>
        <w:spacing w:after="0" w:line="269" w:lineRule="auto"/>
        <w:rPr>
          <w:sz w:val="20"/>
          <w:szCs w:val="20"/>
          <w:color w:val="auto"/>
        </w:rPr>
      </w:pPr>
      <w:r>
        <w:rPr>
          <w:rFonts w:ascii="Arial" w:cs="Arial" w:eastAsia="Arial" w:hAnsi="Arial"/>
          <w:sz w:val="17"/>
          <w:szCs w:val="17"/>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may and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the COVID-19 outbreak.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spacing w:after="0" w:line="7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w:t>
      </w:r>
    </w:p>
    <w:p>
      <w:pPr>
        <w:spacing w:after="0" w:line="6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extent to which the risks and evolving effects of the COVID-19 pandemic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in the U.S. and in other countries, business closures or business disruptions and the effectiveness of actions taken in the U.S. and in other countries to contain and treat the disease, including the effectiveness and timing of vaccine programs in the U.S. and worldwide. The COVID-19 pandemic may also have the effect of heightening many of the other risks described in this “Risk Factors” section.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As of December 31, 2020, the Company had $50.1 million of federal and $171.0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70"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For example, California recently imposed limits on the usability of California state net operating losses to offset taxable income in tax years beginning after 2019 and before 2023. The new limitations on use of NOLs may significantly impact our ability to utilize our NOLs to offset taxable income in the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have incurred net losses in each reporting period since our inception, including net losses of $50.4 million for the three months ended March 31, 2021. As of March 31, 2021, we had an accumulated deficit of $341.7 million.</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3"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44"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current and any future product candidates;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 including KSI-301;</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4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0" w:name="page61"/>
    <w:bookmarkEnd w:id="60"/>
    <w:p>
      <w:pPr>
        <w:ind w:right="40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44"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jc w:val="both"/>
        <w:ind w:left="740" w:right="260" w:hanging="368"/>
        <w:spacing w:after="0" w:line="263"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44"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67" w:lineRule="exact"/>
        <w:rPr>
          <w:rFonts w:ascii="Arial" w:cs="Arial" w:eastAsia="Arial" w:hAnsi="Arial"/>
          <w:sz w:val="16"/>
          <w:szCs w:val="16"/>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44" w:lineRule="exact"/>
        <w:rPr>
          <w:sz w:val="20"/>
          <w:szCs w:val="20"/>
          <w:color w:val="auto"/>
        </w:rPr>
      </w:pPr>
    </w:p>
    <w:p>
      <w:pPr>
        <w:jc w:val="both"/>
        <w:ind w:right="80" w:firstLine="510"/>
        <w:spacing w:after="0" w:line="255"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8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To date, we have funded our operations primarily through the sale of equity securities. Developing our product candidates is expensive, and we expect to continue to increase our spending as we conduct the Phase 3 clinical trials for our KSI-301 product candidate. Even if we are successful in developing our product candidates, obtaining regulatory approvals and launching and commercializing any product candidate will require substantial additional funding.</w:t>
      </w:r>
    </w:p>
    <w:p>
      <w:pPr>
        <w:spacing w:after="0" w:line="79"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8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will require additional capital for the further development and, if approved, commercialization of our product candidates. Additional capital may not be available when we need it, on terms acceptable to us or at all. For example, the ongoing COVID-19 pandemic has significantly disrupted world financial markets, negatively impacted US market conditions, increased the volatility of trading prices for biopharmaceutical companies, and may reduce opportunities for us to seek out additional funding when needed.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44" w:lineRule="exact"/>
        <w:rPr>
          <w:rFonts w:ascii="Arial" w:cs="Arial" w:eastAsia="Arial" w:hAnsi="Arial"/>
          <w:sz w:val="18"/>
          <w:szCs w:val="18"/>
          <w:color w:val="auto"/>
        </w:rPr>
      </w:pPr>
    </w:p>
    <w:p>
      <w:pPr>
        <w:ind w:left="740" w:right="58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740" w:right="940" w:hanging="368"/>
        <w:spacing w:after="0" w:line="277"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fluctuations attributable to the ongoing COVID-19 pandemic and other unforeseeable circumstances;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44"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right="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9" w:lineRule="exact"/>
        <w:rPr>
          <w:sz w:val="20"/>
          <w:szCs w:val="20"/>
          <w:color w:val="auto"/>
        </w:rPr>
      </w:pPr>
    </w:p>
    <w:p>
      <w:pPr>
        <w:ind w:left="740" w:hanging="368"/>
        <w:spacing w:after="0"/>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55" w:lineRule="exact"/>
        <w:rPr>
          <w:rFonts w:ascii="Arial" w:cs="Arial" w:eastAsia="Arial" w:hAnsi="Arial"/>
          <w:sz w:val="17"/>
          <w:szCs w:val="17"/>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44"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44"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4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18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57" w:lineRule="exact"/>
        <w:rPr>
          <w:sz w:val="20"/>
          <w:szCs w:val="20"/>
          <w:color w:val="auto"/>
        </w:rPr>
      </w:pPr>
    </w:p>
    <w:p>
      <w:pPr>
        <w:jc w:val="both"/>
        <w:ind w:right="280" w:firstLine="510"/>
        <w:spacing w:after="0" w:line="277"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jc w:val="both"/>
        <w:ind w:right="260" w:firstLine="510"/>
        <w:spacing w:after="0" w:line="287"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jc w:val="both"/>
        <w:ind w:right="260"/>
        <w:spacing w:after="0" w:line="260"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7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connection with the Company’s registration rights agreement (the “Registration Rights Agreement”) with 667, L.P., Baker Brothers Life Sciences, L.P. (collectively, the “Baker Entities”), the Company will be filing an S-3 pursuant to which the Baker Entities will be entitled to sell shares of common stock of the Company (the “Registered Securities”). Victor Perlroth is also entitled certain resale registration rights under the Registration Rights Agreement with respect to his shares of common stock of the Company and Dr. Perlroth has elected not to register the shares under this S-3 filing. The Baker Entities are affiliated with Felix Baker, a member of our board of directors, and Dr. Perlroth is our board chair and chief executive officer.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790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Pr>
          <w:p>
            <w:pPr>
              <w:ind w:left="500"/>
              <w:spacing w:after="0"/>
              <w:rPr>
                <w:sz w:val="20"/>
                <w:szCs w:val="20"/>
                <w:color w:val="auto"/>
              </w:rPr>
            </w:pPr>
            <w:r>
              <w:rPr>
                <w:rFonts w:ascii="Arial" w:cs="Arial" w:eastAsia="Arial" w:hAnsi="Arial"/>
                <w:sz w:val="18"/>
                <w:szCs w:val="18"/>
                <w:i w:val="1"/>
                <w:iCs w:val="1"/>
                <w:color w:val="auto"/>
              </w:rPr>
              <w:t>(a)</w:t>
            </w:r>
          </w:p>
        </w:tc>
        <w:tc>
          <w:tcPr>
            <w:tcW w:w="7060" w:type="dxa"/>
            <w:vAlign w:val="bottom"/>
            <w:gridSpan w:val="14"/>
          </w:tcPr>
          <w:p>
            <w:pPr>
              <w:ind w:left="40"/>
              <w:spacing w:after="0"/>
              <w:rPr>
                <w:sz w:val="20"/>
                <w:szCs w:val="20"/>
                <w:color w:val="auto"/>
              </w:rPr>
            </w:pPr>
            <w:r>
              <w:rPr>
                <w:rFonts w:ascii="Arial" w:cs="Arial" w:eastAsia="Arial" w:hAnsi="Arial"/>
                <w:sz w:val="18"/>
                <w:szCs w:val="18"/>
                <w:i w:val="1"/>
                <w:iCs w:val="1"/>
                <w:color w:val="auto"/>
              </w:rPr>
              <w:t>Exhibits.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3"/>
              </w:rPr>
              <w:t>Incorporated by Reference</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60" w:type="dxa"/>
            <w:vAlign w:val="bottom"/>
            <w:gridSpan w:val="9"/>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8"/>
              </w:rPr>
              <w:t>Number</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9"/>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40" w:type="dxa"/>
            <w:vAlign w:val="bottom"/>
          </w:tcPr>
          <w:p>
            <w:pPr>
              <w:ind w:left="100"/>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Principal Executive Officer Pursuant to Rules 13a-14(a) and 15d-14(a)</w:t>
              </w:r>
            </w:hyperlink>
          </w:p>
        </w:tc>
        <w:tc>
          <w:tcPr>
            <w:tcW w:w="46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gridSpan w:val="12"/>
          </w:tcPr>
          <w:p>
            <w:pPr>
              <w:spacing w:after="0" w:line="196" w:lineRule="exact"/>
              <w:rPr>
                <w:rFonts w:ascii="Arial" w:cs="Arial" w:eastAsia="Arial" w:hAnsi="Arial"/>
                <w:sz w:val="18"/>
                <w:szCs w:val="18"/>
                <w:color w:val="0000EE"/>
                <w:w w:val="96"/>
              </w:rPr>
            </w:pPr>
            <w:hyperlink w:anchor="page69">
              <w:r>
                <w:rPr>
                  <w:rFonts w:ascii="Arial" w:cs="Arial" w:eastAsia="Arial" w:hAnsi="Arial"/>
                  <w:sz w:val="18"/>
                  <w:szCs w:val="18"/>
                  <w:color w:val="0000EE"/>
                  <w:w w:val="96"/>
                </w:rPr>
                <w:t>under the Securities Exchange Act of 1934, as Adopted Pursuant to Section 302 of the</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Sarbanes-Oxley Act of 2002</w:t>
              </w:r>
            </w:hyperlink>
          </w:p>
        </w:tc>
        <w:tc>
          <w:tcPr>
            <w:tcW w:w="5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0" w:type="dxa"/>
            <w:vAlign w:val="bottom"/>
          </w:tcPr>
          <w:p>
            <w:pPr>
              <w:ind w:left="100"/>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Certification of Principal Accounting and Financial Officer Pursuant to Rules 13a-14(a)</w:t>
              </w:r>
            </w:hyperlink>
          </w:p>
        </w:tc>
        <w:tc>
          <w:tcPr>
            <w:tcW w:w="3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and 15d-14(a) under the Securities Exchange Act of 1934, as Adopted Pursuant to Section</w:t>
              </w:r>
            </w:hyperlink>
          </w:p>
        </w:tc>
        <w:tc>
          <w:tcPr>
            <w:tcW w:w="20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00" w:type="dxa"/>
            <w:vAlign w:val="bottom"/>
            <w:gridSpan w:val="1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302 of the Sarbanes-Oxley Act of 2002</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ind w:left="10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Certification of Principal Executive Officer Pursuant to 18 U.S.C. Section 1350, as</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Adopted Pursuant to Section 906 of the Sarbanes-Oxley Act of 2002</w:t>
              </w:r>
            </w:hyperlink>
          </w:p>
        </w:tc>
        <w:tc>
          <w:tcPr>
            <w:tcW w:w="1020" w:type="dxa"/>
            <w:vAlign w:val="bottom"/>
            <w:tcBorders>
              <w:top w:val="single" w:sz="8" w:color="0000EE"/>
            </w:tcBorders>
            <w:gridSpan w:val="2"/>
          </w:tcPr>
          <w:p>
            <w:pPr>
              <w:spacing w:after="0"/>
              <w:rPr>
                <w:sz w:val="17"/>
                <w:szCs w:val="17"/>
                <w:color w:val="auto"/>
              </w:rPr>
            </w:pPr>
          </w:p>
        </w:tc>
        <w:tc>
          <w:tcPr>
            <w:tcW w:w="7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40" w:type="dxa"/>
            <w:vAlign w:val="bottom"/>
          </w:tcPr>
          <w:p>
            <w:pPr>
              <w:ind w:left="10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Certification of Principal Accounting and Financial Officer Pursuant to 18 U.S.C. Section</w:t>
              </w:r>
            </w:hyperlink>
          </w:p>
        </w:tc>
        <w:tc>
          <w:tcPr>
            <w:tcW w:w="2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1350, as Adopted Pursuant to Section 906 of the Sarbanes-Oxley Act of 2002</w:t>
              </w:r>
            </w:hyperlink>
          </w:p>
        </w:tc>
        <w:tc>
          <w:tcPr>
            <w:tcW w:w="112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0" w:right="3780" w:hanging="1192"/>
        <w:spacing w:after="0" w:line="277"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9512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53" w:lineRule="exact"/>
        <w:rPr>
          <w:sz w:val="20"/>
          <w:szCs w:val="20"/>
          <w:color w:val="auto"/>
        </w:rPr>
      </w:pPr>
    </w:p>
    <w:p>
      <w:pPr>
        <w:ind w:left="500" w:right="200" w:hanging="492"/>
        <w:spacing w:after="0" w:line="301"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KODIAK SCIENCES INC.</w:t>
      </w:r>
    </w:p>
    <w:p>
      <w:pPr>
        <w:spacing w:after="0" w:line="252"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Senior Vice President and Chief Financial Officer</w:t>
      </w:r>
    </w:p>
    <w:p>
      <w:pPr>
        <w:spacing w:after="0" w:line="34"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33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800"/>
          </w:cols>
          <w:pgMar w:left="320" w:top="337" w:right="77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25"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25"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94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10"/>
        <w:spacing w:after="0" w:line="263"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March 31, 2021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360" w:hanging="605"/>
        <w:spacing w:after="0" w:line="27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24" w:lineRule="exact"/>
        <w:rPr>
          <w:sz w:val="20"/>
          <w:szCs w:val="20"/>
          <w:color w:val="auto"/>
        </w:rPr>
      </w:pPr>
    </w:p>
    <w:p>
      <w:pPr>
        <w:ind w:right="80" w:firstLine="61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80" w:firstLine="61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610"/>
        <w:spacing w:after="0" w:line="263"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March 31, 2021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360" w:hanging="605"/>
        <w:spacing w:after="0" w:line="277"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May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24" w:lineRule="exact"/>
        <w:rPr>
          <w:sz w:val="20"/>
          <w:szCs w:val="20"/>
          <w:color w:val="auto"/>
        </w:rPr>
      </w:pPr>
    </w:p>
    <w:p>
      <w:pPr>
        <w:ind w:right="80" w:firstLine="61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80" w:firstLine="61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04"/>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2021-05-10T17:01:37Z</dcterms:created>
  <dcterms:modified xsi:type="dcterms:W3CDTF">2021-05-10T17:01:37Z</dcterms:modified>
</cp:coreProperties>
</file>