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Kodiak 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001-38682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27-0476525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1250 Page Mill 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Palo Alto,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94304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650 281-0850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KOD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May 7, 2026, Kodiak Sciences Inc. (the “Company”) published a press release reporting the Company’s financial results for the quarter ended March 31, 2026 and business highlights. A copy of the Company’s press release is attached hereto as Exhibit 99.1.</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or incorporated herein, including the press release filed as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whether made before or after the date hereof, except as expressly set forth by specific reference in any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49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published by Kodiak Sciences Inc. dated May 7, 2026</w:t>
            </w:r>
          </w:p>
        </w:tc>
        <w:tc>
          <w:tcPr>
            <w:tcW w:w="20" w:type="dxa"/>
            <w:vAlign w:val="bottom"/>
            <w:tcBorders>
              <w:bottom w:val="single" w:sz="8" w:color="0000EE"/>
            </w:tcBorders>
          </w:tcPr>
          <w:p>
            <w:pPr>
              <w:spacing w:after="0"/>
              <w:rPr>
                <w:sz w:val="14"/>
                <w:szCs w:val="14"/>
                <w:color w:val="auto"/>
              </w:rPr>
            </w:pPr>
          </w:p>
        </w:tc>
        <w:tc>
          <w:tcPr>
            <w:tcW w:w="516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KODIAK SCIENCES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Victor Perlroth, M.D.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Kodiak Sciences Announces Recent Business Highlights and First Quarter 2026 Financial Results</w:t>
      </w:r>
    </w:p>
    <w:p>
      <w:pPr>
        <w:spacing w:after="0" w:line="14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Palo Alto, Calif., May 7, 2026 -- Kodiak Sciences Inc. (Nasdaq: KOD), today reported recent business highlights and financial results for the third quarter ended March 31, 2026.</w:t>
      </w:r>
    </w:p>
    <w:p>
      <w:pPr>
        <w:spacing w:after="0" w:line="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"Kodiak has entered 2026 with continued momentum and increasing clarity as we advance toward key clinical readouts and our first planned regulatory submission," said Victor Perlroth, M.D., Chief Executive Officer of Kodiak Sciences.</w:t>
      </w:r>
    </w:p>
    <w:p>
      <w:pPr>
        <w:spacing w:after="0" w:line="4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recent positive Phase 3 GLOW2 results for Zenkuda reinforce the strength of our ABC Platform and position us to move forward on our first multi-indication BLA submission. At the same time, we are making meaningful progress across our late-stage portfolio, including continued advancement of KSI-101 and KSI-501, and we eagerly anticipate the September readout for DAYBREAK Phase 3 in wet AMD and the December readout for PEAK Phase 3 in MESI. This year is a defining period for Kodiak, with important opportunities for further clinical validation, regulatory progress and continued evolution of our identity as a vision sciences company," continued Dr. Perlroth.</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Zenkuda (tarcocimab tedromer) — Accelerating Toward BLA Submission</w:t>
      </w:r>
    </w:p>
    <w:p>
      <w:pPr>
        <w:spacing w:after="0" w:line="194"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On March 26, 2026, Kodiak announced positive topline results in GLOW2, the second Phase 3 study of Zenkuda (tarcocimab tedromer) in diabetic retinopathy (DR), demonstrating superiority over sham.</w:t>
      </w:r>
    </w:p>
    <w:p>
      <w:pPr>
        <w:spacing w:after="0" w:line="48" w:lineRule="exact"/>
        <w:rPr>
          <w:sz w:val="20"/>
          <w:szCs w:val="20"/>
          <w:color w:val="auto"/>
        </w:rPr>
      </w:pPr>
    </w:p>
    <w:p>
      <w:pPr>
        <w:ind w:left="1020" w:right="220" w:hanging="503"/>
        <w:spacing w:after="0" w:line="285" w:lineRule="auto"/>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Zenkuda demonstrated superiority to sham with 62.5% of Zenkuda-treated patients achieving a ≥2-step improvement in diabetic retinopathy severity score (DRSS) compared to 3.3% of sham-treated patients (p&lt;0.0001).</w:t>
      </w:r>
    </w:p>
    <w:p>
      <w:pPr>
        <w:spacing w:after="0" w:line="48" w:lineRule="exact"/>
        <w:rPr>
          <w:rFonts w:ascii="Times New Roman" w:cs="Times New Roman" w:eastAsia="Times New Roman" w:hAnsi="Times New Roman"/>
          <w:sz w:val="16"/>
          <w:szCs w:val="16"/>
          <w:color w:val="auto"/>
        </w:rPr>
      </w:pPr>
    </w:p>
    <w:p>
      <w:pPr>
        <w:jc w:val="both"/>
        <w:ind w:left="1020" w:right="40" w:hanging="503"/>
        <w:spacing w:after="0" w:line="266" w:lineRule="auto"/>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Zenkuda also demonstrated superiority to sham with an 85% risk reduction in the key secondary endpoint of development of sight threatening complications (2.4% with Zenkuda vs 15.8% with sham, p=0.0001) and with a ≥3-step improvement in DRSS (13.7% with Zenkuda vs 0% with sham, p&lt;0.0001).</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Zenkuda showed strong efficacy independent of GLP-1 receptor agonist use, supporting its profile in a real-world diabetic population.</w:t>
      </w:r>
    </w:p>
    <w:p>
      <w:pPr>
        <w:spacing w:after="0" w:line="125" w:lineRule="exact"/>
        <w:rPr>
          <w:rFonts w:ascii="Times New Roman" w:cs="Times New Roman" w:eastAsia="Times New Roman" w:hAnsi="Times New Roman"/>
          <w:sz w:val="16"/>
          <w:szCs w:val="16"/>
          <w:color w:val="auto"/>
        </w:rPr>
      </w:pPr>
    </w:p>
    <w:p>
      <w:pPr>
        <w:ind w:left="1020" w:right="300" w:hanging="503"/>
        <w:spacing w:after="0" w:line="285" w:lineRule="auto"/>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Zenkuda was well tolerated with no instances of intraocular inflammation, retinal vasculitis or occlusive retinal vasculitis, and a low cataract adverse event rate (2% per arm).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Combined with the previously reported Phase 3 study readouts (GLOW1, BEACON and DAYLIGHT), Zenkuda now has a multi-indication BLA-ready profile.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Phase 3 DAYBREAK Study — Topline Data Expected September 2026</w:t>
      </w:r>
    </w:p>
    <w:p>
      <w:pPr>
        <w:spacing w:after="0" w:line="113" w:lineRule="exact"/>
        <w:rPr>
          <w:sz w:val="20"/>
          <w:szCs w:val="20"/>
          <w:color w:val="auto"/>
        </w:rPr>
      </w:pPr>
    </w:p>
    <w:p>
      <w:pPr>
        <w:ind w:left="1020" w:right="140" w:hanging="503"/>
        <w:spacing w:after="0" w:line="285" w:lineRule="auto"/>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Enrollment in the DAYBREAK Phase 3 study of both Zenkuda and KSI-501 in patients with treatment-naive neovascular age-related macular degeneration (wet AMD) was completed with approximately 690 subjects enrolled.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Topline data from the one-year primary endpoint for DAYBREAK are expected in September 2026, evaluating both Zenkuda and KSI-501.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KSI-101 — Phase 3 Programs Advancing</w:t>
      </w:r>
    </w:p>
    <w:p>
      <w:pPr>
        <w:spacing w:after="0" w:line="113" w:lineRule="exact"/>
        <w:rPr>
          <w:sz w:val="20"/>
          <w:szCs w:val="20"/>
          <w:color w:val="auto"/>
        </w:rPr>
      </w:pPr>
    </w:p>
    <w:p>
      <w:pPr>
        <w:ind w:left="1020" w:right="720" w:hanging="503"/>
        <w:spacing w:after="0" w:line="285"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Enrollment is progressing well in the Phase 3 PEAK and PINNACLE studies of KSI-101 in patients with macular edema secondary to inflammation (MESI), evaluating the 5 mg and 10 mg dose levels.</w:t>
      </w:r>
    </w:p>
    <w:p>
      <w:pPr>
        <w:spacing w:after="0" w:line="48"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Topline results from PEAK are expected in 4Q 2026.</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Topline results from PINNACLE are expected in 2Q 2027.</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On February 7, 2026, Kodiak presented final Phase 1b APEX data at the Angiogenesis, Exudation and Degeneration annual meeting:</w:t>
      </w:r>
    </w:p>
    <w:p>
      <w:pPr>
        <w:spacing w:after="0" w:line="12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More than half of patients achieved ≥15-letter gains in best corrected visual acuity (BCVA), with additional benefit at higher dose levels.</w:t>
      </w:r>
    </w:p>
    <w:p>
      <w:pPr>
        <w:spacing w:after="0" w:line="126" w:lineRule="exact"/>
        <w:rPr>
          <w:rFonts w:ascii="Times New Roman" w:cs="Times New Roman" w:eastAsia="Times New Roman" w:hAnsi="Times New Roman"/>
          <w:sz w:val="16"/>
          <w:szCs w:val="16"/>
          <w:color w:val="auto"/>
        </w:rPr>
      </w:pPr>
    </w:p>
    <w:p>
      <w:pPr>
        <w:ind w:left="1540" w:right="50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Rapid vision improvements with 10-letter gains by Week 4 and OCT CST &lt;325 microns achieved as early as Week 1 in top dose groups.</w:t>
      </w:r>
    </w:p>
    <w:p>
      <w:pPr>
        <w:spacing w:after="0" w:line="47" w:lineRule="exact"/>
        <w:rPr>
          <w:rFonts w:ascii="Times New Roman" w:cs="Times New Roman" w:eastAsia="Times New Roman" w:hAnsi="Times New Roman"/>
          <w:sz w:val="16"/>
          <w:szCs w:val="16"/>
          <w:color w:val="auto"/>
        </w:rPr>
      </w:pPr>
    </w:p>
    <w:p>
      <w:pPr>
        <w:ind w:left="1540" w:right="32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In top dose groups, ≥90% achieved complete absence of intraretinal fluid (IRF) and subretinal fluid (SRF), indicating retinal dryness and normalization of retinal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First Quarter 2026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Position</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Kodiak ended the first quarter of 2026 with $169.5 of million cash and cash equivalents. We believe that our current cash and cash equivalents will support our current and planned operations into 2027.</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w:t>
      </w:r>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Net loss for the first quarter of 2026 was $58.2 million, or $0.94 per share on a basic and diluted basis, as compared to a net loss of $57.5 million, or $1.09 per share on a basic and diluted basis, for the first quarter of 2025. Net loss for the first quarter of 2026 included non-cash stock-based compensation expense of $12.2 million, as compared to $15.9 million for the first quarter of 2025.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R&amp;D Expenses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Research and development (“R&amp;D”) expenses were $48.5 million for the first quarter of 2026, as compared to $43.6 million for the first quarter of 2025. R&amp;D expenses for the first quarter of 2026 included non-cash stock-based compensation expense of $6.2 million, as compared to $7.9 million for the first quarter of 2025. The increase in R&amp;D expenses in the first quarter of 2026 was primarily driven by increased clinical activities related to our active PEAK/PINNACLE and DAYBREAK studies.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G&amp;A Expenses</w:t>
      </w:r>
    </w:p>
    <w:p>
      <w:pPr>
        <w:spacing w:after="0" w:line="113"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General and administrative (“G&amp;A”) expenses were $11.2 million for the first quarter of 2026, as compared to $15.4 million for the first quarter of 2025. G&amp;A expenses for the first quarter of 2026 included non-cash stock-based compensation expense of $6.0 million, as compared to $8.0 million for the first quarter of 2025. Additionally, sublease income from one of our corporate office buildings helped offset G&amp;A expenses in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Diabetic Retinopathy</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Approximately 9.7 million people in the U.S. have diabetic retinopathy (DR), a progressive disease that occurs when damaged blood vessels leak blood and fluid into the retina. DR can progress quickly into vision-threatening complications including proliferative diabetic retinopathy (PDR) or diabetic macular edema (DME). More than 50% of patients with moderate or severe non-proliferative DR develop DME by Year 4. Current treatment guidelines for DR are largely reactive, with intervention typically initiated only after the development of PDR or center-involved DME, when retinal damage may be irreversible and associated with permanent vision loss. Although anti-VEGF therapy has been shown to reduce the risk of DME by approximately 50% compared to laser or no treatment, utilization remains limited. This underutilization is primarily driven by the asymptomatic nature of the disease and the substantial treatment burden of current intravitreal injection therapies. The growing use of GLP-1–based therapies in patients with diabetes represents an important factor to consider in the management and treatment of DR.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Zenkuda™ (tarcocimab tedromer)</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Zenkuda is an investigational anti-VEGF therapy built on Kodiak's proprietary Antibody Biopolymer Conjugate (ABC) Platform. Zenkuda has a mean ocular half-life in humans of 20 days, approximately three times longer than approved anti-VEGF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Topline results for the DAYBREAK one-year primary endpoint are expected in 3Q 2026.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GLOW1 and GLOW2</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≥2 steps on the Diabetic Retinopathy Severity Scale (DRSS) from baseline at Week 48. Additional outcome measures include the proportion of eyes developing a sight-threatening complication of diabetic retinopathy and the proportion of eyes improving ≥3 steps on DRSS from baseline at Week 48. Additional information about GLOW1 and GLOW2 can be found on www.clinicaltrials.gov under Trial Identifier NCT05066230 (https://clinicaltrials.gov/study/NCT05066230) and NCT06270836 (https://clinicaltrials.gov/show/NCT06270836).</w:t>
      </w:r>
    </w:p>
    <w:p>
      <w:pPr>
        <w:spacing w:after="0" w:line="7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the GLOW1 study, patients were randomized 1:1 to receive either sham injections or Zenkuda via intravitreal injection at baseline, Week 8, Week 20 and Week 44, for a planned four injections in year one. The Phase 3 GLOW1 study demonstrated that, with extended 6-month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less than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2-step improvement on the DRSS, with 62.5% of Zenkuda-treated patients demonstrating at least a 2-step improvement versus 3.3% of patients in the sham group, a 19-fold increased response rate ratio (p-value &lt; 0.0001). Zenkuda also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6" w:name="page7"/>
    <w:bookmarkEnd w:id="6"/>
    <w:p>
      <w:pPr>
        <w:jc w:val="both"/>
        <w:ind w:right="160"/>
        <w:spacing w:after="0" w:line="266" w:lineRule="auto"/>
        <w:rPr>
          <w:sz w:val="20"/>
          <w:szCs w:val="20"/>
          <w:color w:val="auto"/>
        </w:rPr>
      </w:pPr>
      <w:r>
        <w:rPr>
          <w:rFonts w:ascii="Arial" w:cs="Arial" w:eastAsia="Arial" w:hAnsi="Arial"/>
          <w:sz w:val="16"/>
          <w:szCs w:val="16"/>
          <w:color w:val="auto"/>
        </w:rPr>
        <w:t>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 0.0001).</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DAYBREAK (and Zenkuda)</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 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and vision loss. The objectives for Zenkuda in DAYBREAK are to assess its durability potential,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Topline data for the one-year primary endpoint in DAYBREAK are expected in 3Q 2026.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KSI-501</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 Topline data for the one-year primary endpoint in DAYBREAK are expected in 3Q 2026.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DAYBREAK (and KSI-501)</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3Q 2026. Additional information about DAYBREAK can be found on www.clinicaltrials.gov under Trial Identifier NCT06556368 (https://clinicaltrials.gov/study/NCT06556368).</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KSI-101</w:t>
      </w:r>
    </w:p>
    <w:p>
      <w:pPr>
        <w:spacing w:after="0" w:line="194"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KSI-101 is a novel, potent and high strength (100 mg/mL) bispecific protein targeting IL-6 and VEGF. We are developing KSI-101 for patients with macular edema (retinal fluid) secondary to inflammation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spacing w:after="0" w:line="15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Currently there are no available intravitreal biologic therapies addressing the spectrum of MESI diseases. We believe that MESI represents a new market segment separate from the established anti-VEGF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jc w:val="both"/>
        <w:ind w:right="160"/>
        <w:spacing w:after="0" w:line="253" w:lineRule="auto"/>
        <w:rPr>
          <w:sz w:val="20"/>
          <w:szCs w:val="20"/>
          <w:color w:val="auto"/>
        </w:rPr>
      </w:pPr>
      <w:r>
        <w:rPr>
          <w:rFonts w:ascii="Arial" w:cs="Arial" w:eastAsia="Arial" w:hAnsi="Arial"/>
          <w:sz w:val="16"/>
          <w:szCs w:val="16"/>
          <w:color w:val="auto"/>
        </w:rPr>
        <w:t>Data from our dose-finding Phase 1b APEX study demonstrated robust anatomical and visual responses across MESI patients. More than half of patients achieved ≥15-letter gains in best corrected visual acuity ("BCVA"), with additional benefit at higher dose levels. Rapid vision improvements and anatomical response was observed with 10-letter gains by Week 4 in top dose groups and OCT CST &lt;325 microns achieved as early as Week 1 in top dose groups.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The PEAK and PINNACLE studies are actively enrolling.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PEAK and PINNACLE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PEAK and PINNACLE are expected in 4Q 2026 and 2Q 2027,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Kodiak Sciences Inc.</w:t>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Kodiak Sciences (Nasdaq: KOD) is a precommercial retina-focused biotechnology company committed to researching, developing and commercializing transformative therapeutics. We are focused on bringing new science to the design and manufacture of next-generation retinal medicines to prevent and treat the leading causes of blindness globally. We are developing a portfolio of three late-stage clinical programs. Zenkuda™ (tarcocimab tedromer) has a BLA-ready profile in diabetic retinopathy, retinal vein occlusion and wet AMD, and, together with KSI-501, is being explored in the BLA-facing Phase 3 DAYBREAK wet AMD study, with topline data expected in 3Q 2026. Zenkuda and KSI-501 target the $15 billion anti-VEGF market across retinal vascular diseases. KSI-101 is a bispecific protein being explored in two BLA-facing Phase 3 studies in Macular Edema Secondary to Inflammation (MESI), with topline data readouts expected to begin in 4Q 2026.</w:t>
      </w:r>
    </w:p>
    <w:p>
      <w:pPr>
        <w:spacing w:after="0" w:line="15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Kodiak®, Kodiak Sciences®, ABC®, ABC Platform™, Zenkuda™, VETi™ and the Kodiak logo are registered trademarks or trademarks of Kodiak Sciences Inc. in various global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Forward-Looking Statements</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Kodiak's planned multi-indication BLA submission for Zenkuda; expectations regarding the timing of topline data readouts from the DAYBREAK Phase 3 study for both Zenkuda and KSI-501; and the status of enrollment in, and expectations regarding the timing of topline data readouts from, the PEAK and PINNACLE Phase 3 studies. Forward-looking statements generally include statements that are predictive in nature and depend upon or refer to future events or conditions, and include words such as "anticipate," "believe," "could," "expect," "intend," "may," "plan," "pursue," "should," "will," "would,"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completed Phase 3 studies for Zenkuda may not be sufficient to support a BLA submission or approval in DR, RVO, or wet AMD; a BLA for tarcocimab tedromer or any other product candidate may not be accepted by, or receive approval from, the FDA or foreign regulatory agencies when expected, or at all; cessation, modification, or delay of any ongoing clinical studies and Kodiak's development of Zenkuda, KSI-501, KSI-101, or any other product candidate may occur; safety, efficacy, and durability data observed in Kodiak's product candidates in current or prior studies may not continue or persist; KSI-501 may not inhibit VEGF and IL-6 or have an impact on the treatment of patients as expected, and that preclinical data suggesting the possibility that KSI-501 may be a disease-modifying therapy may not translate to clinical outcomes; the DAYBREAK Phase 3 study for Zenkuda or KSI-501 and/or the PEAK Phase 3 study for KSI-101 may not achieve its primary endpoint or may not do so on the anticipated timeline; any one or more of Kodiak's product candidates may not be successfully developed, approved, or commercialized; sufficient capital may not be available as expected, or at all, to complete the development of any products; adverse conditions in the U.S. and global economic markets may significantly impact Kodiak's business and operations, including its clinical trial sites, as well as the business or operations of its manufacturers, contract research organizations, or other third parties with whom Kodiak conducts business; as well as the other risks identified in the section entitled "Risk Factors" in Kodiak's Annual Report on Form 10-K for the year ended December 31, 2025, as well as discussions of potential risks, uncertainties, and other important factors in Kodiak's subsequent filings with the Securities and Exchange Commission. These forward-looking statements speak only as of the date of this press release, and Kodiak undertakes no obligation to update or revise any forward-looking statements, whether as a result of new information, future events, or otherwise. Readers are cautioned not to place undue reliance on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Kodiak Sciences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40" w:type="dxa"/>
            <w:vAlign w:val="bottom"/>
            <w:gridSpan w:val="5"/>
          </w:tcPr>
          <w:p>
            <w:pPr>
              <w:jc w:val="right"/>
              <w:ind w:right="11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5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2026</w:t>
            </w:r>
          </w:p>
        </w:tc>
        <w:tc>
          <w:tcPr>
            <w:tcW w:w="3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expenses</w:t>
            </w:r>
          </w:p>
        </w:tc>
        <w:tc>
          <w:tcPr>
            <w:tcW w:w="1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60" w:type="dxa"/>
            <w:vAlign w:val="bottom"/>
            <w:tcBorders>
              <w:right w:val="single" w:sz="8" w:color="CFF0FC"/>
            </w:tcBorders>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48,547</w:t>
            </w:r>
          </w:p>
        </w:tc>
        <w:tc>
          <w:tcPr>
            <w:tcW w:w="38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43,644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General and administrative</w:t>
            </w:r>
          </w:p>
        </w:tc>
        <w:tc>
          <w:tcPr>
            <w:tcW w:w="1160" w:type="dxa"/>
            <w:vAlign w:val="bottom"/>
            <w:tcBorders>
              <w:bottom w:val="single" w:sz="8" w:color="CFF0FC"/>
              <w:right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11,230</w:t>
            </w:r>
          </w:p>
        </w:tc>
        <w:tc>
          <w:tcPr>
            <w:tcW w:w="380" w:type="dxa"/>
            <w:vAlign w:val="bottom"/>
            <w:tcBorders>
              <w:bottom w:val="single" w:sz="8" w:color="CFF0FC"/>
              <w:right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15,429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tcPr>
          <w:p>
            <w:pPr>
              <w:ind w:left="240"/>
              <w:spacing w:after="0" w:line="183" w:lineRule="exact"/>
              <w:rPr>
                <w:sz w:val="20"/>
                <w:szCs w:val="20"/>
                <w:color w:val="auto"/>
              </w:rPr>
            </w:pPr>
            <w:r>
              <w:rPr>
                <w:rFonts w:ascii="Arial" w:cs="Arial" w:eastAsia="Arial" w:hAnsi="Arial"/>
                <w:sz w:val="16"/>
                <w:szCs w:val="16"/>
                <w:color w:val="auto"/>
              </w:rPr>
              <w:t>Total operating expenses</w:t>
            </w:r>
          </w:p>
        </w:tc>
        <w:tc>
          <w:tcPr>
            <w:tcW w:w="1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59,777</w:t>
            </w: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59,073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1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40" w:type="dxa"/>
            <w:vAlign w:val="bottom"/>
            <w:tcBorders>
              <w:right w:val="single" w:sz="8" w:color="CFF0FC"/>
            </w:tcBorders>
            <w:gridSpan w:val="2"/>
            <w:shd w:val="clear" w:color="auto" w:fill="CFF0FC"/>
          </w:tcPr>
          <w:p>
            <w:pPr>
              <w:jc w:val="right"/>
              <w:ind w:right="320"/>
              <w:spacing w:after="0" w:line="183" w:lineRule="exact"/>
              <w:rPr>
                <w:sz w:val="20"/>
                <w:szCs w:val="20"/>
                <w:color w:val="auto"/>
              </w:rPr>
            </w:pPr>
            <w:r>
              <w:rPr>
                <w:rFonts w:ascii="Arial" w:cs="Arial" w:eastAsia="Arial" w:hAnsi="Arial"/>
                <w:sz w:val="16"/>
                <w:szCs w:val="16"/>
                <w:color w:val="auto"/>
              </w:rPr>
              <w:t>(59,777)</w:t>
            </w:r>
          </w:p>
        </w:tc>
        <w:tc>
          <w:tcPr>
            <w:tcW w:w="26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(59,073)</w:t>
            </w:r>
          </w:p>
        </w:tc>
        <w:tc>
          <w:tcPr>
            <w:tcW w:w="0" w:type="dxa"/>
            <w:vAlign w:val="bottom"/>
          </w:tcPr>
          <w:p>
            <w:pPr>
              <w:spacing w:after="0"/>
              <w:rPr>
                <w:sz w:val="1"/>
                <w:szCs w:val="1"/>
                <w:color w:val="auto"/>
              </w:rPr>
            </w:pPr>
          </w:p>
        </w:tc>
      </w:tr>
      <w:tr>
        <w:trPr>
          <w:trHeight w:val="189"/>
        </w:trPr>
        <w:tc>
          <w:tcPr>
            <w:tcW w:w="55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1,641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income (expense), net</w:t>
            </w:r>
          </w:p>
        </w:tc>
        <w:tc>
          <w:tcPr>
            <w:tcW w:w="116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spacing w:after="0"/>
              <w:rPr>
                <w:sz w:val="16"/>
                <w:szCs w:val="16"/>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16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Pr>
          <w:p>
            <w:pPr>
              <w:spacing w:after="0" w:line="183" w:lineRule="exact"/>
              <w:rPr>
                <w:sz w:val="20"/>
                <w:szCs w:val="20"/>
                <w:color w:val="auto"/>
              </w:rPr>
            </w:pPr>
            <w:r>
              <w:rPr>
                <w:rFonts w:ascii="Arial" w:cs="Arial" w:eastAsia="Arial" w:hAnsi="Arial"/>
                <w:sz w:val="16"/>
                <w:szCs w:val="16"/>
                <w:color w:val="auto"/>
              </w:rPr>
              <w:t>Net loss and comprehensive loss</w:t>
            </w:r>
          </w:p>
        </w:tc>
        <w:tc>
          <w:tcPr>
            <w:tcW w:w="152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320"/>
              <w:spacing w:after="0" w:line="183" w:lineRule="exact"/>
              <w:rPr>
                <w:sz w:val="20"/>
                <w:szCs w:val="20"/>
                <w:color w:val="auto"/>
              </w:rPr>
            </w:pPr>
            <w:r>
              <w:rPr>
                <w:rFonts w:ascii="Arial" w:cs="Arial" w:eastAsia="Arial" w:hAnsi="Arial"/>
                <w:sz w:val="16"/>
                <w:szCs w:val="16"/>
                <w:color w:val="auto"/>
              </w:rPr>
              <w:t>(58,158)</w:t>
            </w:r>
          </w:p>
        </w:tc>
        <w:tc>
          <w:tcPr>
            <w:tcW w:w="260" w:type="dxa"/>
            <w:vAlign w:val="bottom"/>
          </w:tcPr>
          <w:p>
            <w:pPr>
              <w:jc w:val="right"/>
              <w:ind w:right="110"/>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(57,461)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Net loss per share, basic and diluted</w:t>
            </w:r>
          </w:p>
        </w:tc>
        <w:tc>
          <w:tcPr>
            <w:tcW w:w="1520" w:type="dxa"/>
            <w:vAlign w:val="bottom"/>
            <w:gridSpan w:val="2"/>
            <w:shd w:val="clear" w:color="auto" w:fill="CFF0FC"/>
          </w:tcPr>
          <w:p>
            <w:pPr>
              <w:jc w:val="right"/>
              <w:ind w:right="300"/>
              <w:spacing w:after="0" w:line="170" w:lineRule="exact"/>
              <w:rPr>
                <w:sz w:val="20"/>
                <w:szCs w:val="20"/>
                <w:color w:val="auto"/>
              </w:rPr>
            </w:pPr>
            <w:r>
              <w:rPr>
                <w:rFonts w:ascii="Arial" w:cs="Arial" w:eastAsia="Arial" w:hAnsi="Arial"/>
                <w:sz w:val="16"/>
                <w:szCs w:val="16"/>
                <w:color w:val="auto"/>
              </w:rPr>
              <w:t>$</w:t>
            </w:r>
          </w:p>
        </w:tc>
        <w:tc>
          <w:tcPr>
            <w:tcW w:w="2040" w:type="dxa"/>
            <w:vAlign w:val="bottom"/>
            <w:tcBorders>
              <w:right w:val="single" w:sz="8" w:color="CFF0FC"/>
            </w:tcBorders>
            <w:gridSpan w:val="2"/>
            <w:shd w:val="clear" w:color="auto" w:fill="CFF0FC"/>
          </w:tcPr>
          <w:p>
            <w:pPr>
              <w:jc w:val="right"/>
              <w:ind w:right="320"/>
              <w:spacing w:after="0" w:line="170" w:lineRule="exact"/>
              <w:rPr>
                <w:sz w:val="20"/>
                <w:szCs w:val="20"/>
                <w:color w:val="auto"/>
              </w:rPr>
            </w:pPr>
            <w:r>
              <w:rPr>
                <w:rFonts w:ascii="Arial" w:cs="Arial" w:eastAsia="Arial" w:hAnsi="Arial"/>
                <w:sz w:val="16"/>
                <w:szCs w:val="16"/>
                <w:color w:val="auto"/>
              </w:rPr>
              <w:t>(0.94)</w:t>
            </w:r>
          </w:p>
        </w:tc>
        <w:tc>
          <w:tcPr>
            <w:tcW w:w="260" w:type="dxa"/>
            <w:vAlign w:val="bottom"/>
            <w:shd w:val="clear" w:color="auto" w:fill="CFF0FC"/>
          </w:tcPr>
          <w:p>
            <w:pPr>
              <w:jc w:val="right"/>
              <w:ind w:right="110"/>
              <w:spacing w:after="0" w:line="169" w:lineRule="exact"/>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69"/>
        </w:trPr>
        <w:tc>
          <w:tcPr>
            <w:tcW w:w="55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Weighted-average shares outstanding, basic and diluted</w:t>
            </w:r>
          </w:p>
        </w:tc>
        <w:tc>
          <w:tcPr>
            <w:tcW w:w="116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61,859,485</w:t>
            </w:r>
          </w:p>
        </w:tc>
        <w:tc>
          <w:tcPr>
            <w:tcW w:w="38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52,746,318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rPr>
              <w:t>Kodiak Sciences Inc.</w:t>
            </w: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5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20"/>
                <w:szCs w:val="20"/>
                <w:color w:val="auto"/>
              </w:rPr>
            </w:pPr>
            <w:r>
              <w:rPr>
                <w:rFonts w:ascii="Arial" w:cs="Arial" w:eastAsia="Arial" w:hAnsi="Arial"/>
                <w:sz w:val="16"/>
                <w:szCs w:val="16"/>
                <w:b w:val="1"/>
                <w:bCs w:val="1"/>
                <w:color w:val="auto"/>
              </w:rPr>
              <w:t>Condensed Consolidated Balance Sheet Data (unaudited)</w:t>
            </w: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24"/>
                <w:szCs w:val="24"/>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2026</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1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169,530</w:t>
            </w:r>
          </w:p>
        </w:tc>
        <w:tc>
          <w:tcPr>
            <w:tcW w:w="3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74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209,862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20"/>
                <w:szCs w:val="20"/>
                <w:color w:val="auto"/>
              </w:rPr>
            </w:pPr>
            <w:r>
              <w:rPr>
                <w:rFonts w:ascii="Arial" w:cs="Arial" w:eastAsia="Arial" w:hAnsi="Arial"/>
                <w:sz w:val="16"/>
                <w:szCs w:val="16"/>
                <w:color w:val="auto"/>
              </w:rPr>
              <w:t>Working capital</w:t>
            </w: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125,685</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169,283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16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306,006</w:t>
            </w:r>
          </w:p>
        </w:tc>
        <w:tc>
          <w:tcPr>
            <w:tcW w:w="3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351,533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20"/>
                <w:szCs w:val="20"/>
                <w:color w:val="auto"/>
              </w:rPr>
            </w:pPr>
            <w:r>
              <w:rPr>
                <w:rFonts w:ascii="Arial" w:cs="Arial" w:eastAsia="Arial" w:hAnsi="Arial"/>
                <w:sz w:val="16"/>
                <w:szCs w:val="16"/>
                <w:color w:val="auto"/>
              </w:rPr>
              <w:t>Accumulated deficit</w:t>
            </w: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6"/>
                <w:szCs w:val="16"/>
                <w:color w:val="auto"/>
              </w:rPr>
              <w:t>(1,616,863)</w:t>
            </w:r>
          </w:p>
        </w:tc>
        <w:tc>
          <w:tcPr>
            <w:tcW w:w="260" w:type="dxa"/>
            <w:vAlign w:val="bottom"/>
          </w:tcPr>
          <w:p>
            <w:pPr>
              <w:spacing w:after="0"/>
              <w:rPr>
                <w:sz w:val="16"/>
                <w:szCs w:val="16"/>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(1,558,705)</w:t>
            </w:r>
          </w:p>
        </w:tc>
        <w:tc>
          <w:tcPr>
            <w:tcW w:w="0" w:type="dxa"/>
            <w:vAlign w:val="bottom"/>
          </w:tcPr>
          <w:p>
            <w:pPr>
              <w:spacing w:after="0"/>
              <w:rPr>
                <w:sz w:val="1"/>
                <w:szCs w:val="1"/>
                <w:color w:val="auto"/>
              </w:rPr>
            </w:pPr>
          </w:p>
        </w:tc>
      </w:tr>
      <w:tr>
        <w:trPr>
          <w:trHeight w:val="18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16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112,101</w:t>
            </w:r>
          </w:p>
        </w:tc>
        <w:tc>
          <w:tcPr>
            <w:tcW w:w="3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157,383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-2391410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-1893570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-1619885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-1602740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Kodiak Contact: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John Borgeson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(650) 281-0850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ir@kodiak.com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2026-05-07T15:13:05Z</dcterms:created>
  <dcterms:modified xsi:type="dcterms:W3CDTF">2026-05-07T15:13:05Z</dcterms:modified>
</cp:coreProperties>
</file>