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20240630.htm"/>
      <w:bookmarkStart w:id="1" w:name="kskod20240630"/>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 to 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001-38682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27-0476525</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1200 Page Mill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Palo Alto, CA</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94304</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18"/>
        </w:rPr>
        <w:t>(650) 281-0850</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7608" w:type="dxa"/>
        <w:jc w:val="left"/>
        <w:tblInd w:w="0" w:type="dxa"/>
        <w:tblLayout w:type="fixed"/>
        <w:tblCellMar>
          <w:top w:w="28" w:type="dxa"/>
          <w:left w:w="28" w:type="dxa"/>
          <w:bottom w:w="28" w:type="dxa"/>
          <w:right w:w="28" w:type="dxa"/>
        </w:tblCellMar>
      </w:tblPr>
      <w:tblGrid>
        <w:gridCol w:w="2566"/>
        <w:gridCol w:w="1561"/>
        <w:gridCol w:w="3481"/>
      </w:tblGrid>
      <w:tr>
        <w:trPr/>
        <w:tc>
          <w:tcPr>
            <w:tcW w:w="256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5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Common stock, par value $0.0001</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KOD</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No ☐</w:t>
      </w:r>
    </w:p>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89" w:type="dxa"/>
        <w:jc w:val="left"/>
        <w:tblInd w:w="0" w:type="dxa"/>
        <w:tblLayout w:type="fixed"/>
        <w:tblCellMar>
          <w:top w:w="28" w:type="dxa"/>
          <w:left w:w="28" w:type="dxa"/>
          <w:bottom w:w="28" w:type="dxa"/>
          <w:right w:w="28" w:type="dxa"/>
        </w:tblCellMar>
      </w:tblPr>
      <w:tblGrid>
        <w:gridCol w:w="1901"/>
        <w:gridCol w:w="806"/>
        <w:gridCol w:w="2231"/>
        <w:gridCol w:w="851"/>
      </w:tblGrid>
      <w:tr>
        <w:trPr/>
        <w:tc>
          <w:tcPr>
            <w:tcW w:w="19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283"/>
              <w:ind w:left="0" w:right="0" w:firstLine="490"/>
              <w:jc w:val="left"/>
              <w:rPr>
                <w:rFonts w:ascii="Times New Roman" w:hAnsi="Times New Roman"/>
                <w:color w:val="000000"/>
                <w:sz w:val="15"/>
              </w:rPr>
            </w:pPr>
            <w:r>
              <w:rPr>
                <w:rFonts w:ascii="Times New Roman" w:hAnsi="Times New Roman"/>
                <w:color w:val="000000"/>
                <w:sz w:val="15"/>
              </w:rPr>
              <w:t>Large accelerated filer</w:t>
            </w:r>
          </w:p>
        </w:tc>
        <w:tc>
          <w:tcPr>
            <w:tcW w:w="806" w:type="dxa"/>
            <w:tcBorders/>
            <w:vAlign w:val="center"/>
          </w:tcPr>
          <w:p>
            <w:pPr>
              <w:pStyle w:val="TableContents"/>
              <w:bidi w:val="0"/>
              <w:spacing w:before="0" w:after="283"/>
              <w:ind w:left="0" w:right="0" w:firstLine="490"/>
              <w:jc w:val="left"/>
              <w:rPr>
                <w:color w:val="000000"/>
              </w:rPr>
            </w:pPr>
            <w:r>
              <w:rPr>
                <w:color w:val="000000"/>
              </w:rPr>
              <w:t>☐</w:t>
            </w:r>
          </w:p>
        </w:tc>
        <w:tc>
          <w:tcPr>
            <w:tcW w:w="2231" w:type="dxa"/>
            <w:tcBorders/>
            <w:vAlign w:val="center"/>
          </w:tcPr>
          <w:p>
            <w:pPr>
              <w:pStyle w:val="TableContents"/>
              <w:bidi w:val="0"/>
              <w:spacing w:before="0" w:after="283"/>
              <w:ind w:left="0" w:right="0" w:firstLine="490"/>
              <w:jc w:val="left"/>
              <w:rPr>
                <w:rFonts w:ascii="Times New Roman" w:hAnsi="Times New Roman"/>
                <w:color w:val="000000"/>
                <w:sz w:val="15"/>
              </w:rPr>
            </w:pPr>
            <w:r>
              <w:rPr>
                <w:rFonts w:ascii="Times New Roman" w:hAnsi="Times New Roman"/>
                <w:color w:val="000000"/>
                <w:sz w:val="15"/>
              </w:rPr>
              <w:t>Accelerated filer</w:t>
            </w:r>
          </w:p>
        </w:tc>
        <w:tc>
          <w:tcPr>
            <w:tcW w:w="851" w:type="dxa"/>
            <w:tcBorders/>
            <w:vAlign w:val="center"/>
          </w:tcPr>
          <w:p>
            <w:pPr>
              <w:pStyle w:val="TableContents"/>
              <w:bidi w:val="0"/>
              <w:spacing w:before="0" w:after="283"/>
              <w:ind w:left="0" w:right="0" w:firstLine="490"/>
              <w:jc w:val="left"/>
              <w:rPr>
                <w:color w:val="000000"/>
              </w:rPr>
            </w:pPr>
            <w:r>
              <w:rPr>
                <w:color w:val="000000"/>
              </w:rPr>
              <w:t>☐</w:t>
            </w:r>
          </w:p>
        </w:tc>
      </w:tr>
      <w:tr>
        <w:trPr/>
        <w:tc>
          <w:tcPr>
            <w:tcW w:w="1901" w:type="dxa"/>
            <w:tcBorders/>
            <w:vAlign w:val="center"/>
          </w:tcPr>
          <w:p>
            <w:pPr>
              <w:pStyle w:val="TableContents"/>
              <w:bidi w:val="0"/>
              <w:spacing w:before="0" w:after="283"/>
              <w:ind w:left="0" w:right="0" w:firstLine="490"/>
              <w:jc w:val="left"/>
              <w:rPr>
                <w:rFonts w:ascii="Times New Roman" w:hAnsi="Times New Roman"/>
                <w:color w:val="000000"/>
                <w:sz w:val="15"/>
              </w:rPr>
            </w:pPr>
            <w:r>
              <w:rPr>
                <w:rFonts w:ascii="Times New Roman" w:hAnsi="Times New Roman"/>
                <w:color w:val="000000"/>
                <w:sz w:val="15"/>
              </w:rPr>
              <w:t>Non-accelerated filer</w:t>
            </w:r>
          </w:p>
        </w:tc>
        <w:tc>
          <w:tcPr>
            <w:tcW w:w="806" w:type="dxa"/>
            <w:tcBorders/>
            <w:vAlign w:val="center"/>
          </w:tcPr>
          <w:p>
            <w:pPr>
              <w:pStyle w:val="TableContents"/>
              <w:bidi w:val="0"/>
              <w:spacing w:before="0" w:after="283"/>
              <w:ind w:left="0" w:right="0" w:firstLine="490"/>
              <w:jc w:val="left"/>
              <w:rPr>
                <w:color w:val="000000"/>
              </w:rPr>
            </w:pPr>
            <w:r>
              <w:rPr>
                <w:color w:val="000000"/>
              </w:rPr>
              <w:t>☒</w:t>
            </w:r>
          </w:p>
        </w:tc>
        <w:tc>
          <w:tcPr>
            <w:tcW w:w="2231" w:type="dxa"/>
            <w:tcBorders/>
            <w:vAlign w:val="center"/>
          </w:tcPr>
          <w:p>
            <w:pPr>
              <w:pStyle w:val="TableContents"/>
              <w:bidi w:val="0"/>
              <w:spacing w:before="0" w:after="283"/>
              <w:ind w:left="0" w:right="0" w:firstLine="490"/>
              <w:jc w:val="left"/>
              <w:rPr>
                <w:rFonts w:ascii="Times New Roman" w:hAnsi="Times New Roman"/>
                <w:color w:val="000000"/>
                <w:sz w:val="15"/>
              </w:rPr>
            </w:pPr>
            <w:r>
              <w:rPr>
                <w:rFonts w:ascii="Times New Roman" w:hAnsi="Times New Roman"/>
                <w:color w:val="000000"/>
                <w:sz w:val="15"/>
              </w:rPr>
              <w:t>Smaller reporting company</w:t>
            </w:r>
          </w:p>
        </w:tc>
        <w:tc>
          <w:tcPr>
            <w:tcW w:w="851" w:type="dxa"/>
            <w:tcBorders/>
            <w:vAlign w:val="center"/>
          </w:tcPr>
          <w:p>
            <w:pPr>
              <w:pStyle w:val="TableContents"/>
              <w:bidi w:val="0"/>
              <w:spacing w:before="0" w:after="283"/>
              <w:ind w:left="0" w:right="0" w:firstLine="490"/>
              <w:jc w:val="left"/>
              <w:rPr>
                <w:color w:val="000000"/>
              </w:rPr>
            </w:pPr>
            <w:r>
              <w:rPr>
                <w:color w:val="000000"/>
              </w:rPr>
              <w:t>☒</w:t>
            </w:r>
          </w:p>
        </w:tc>
      </w:tr>
      <w:tr>
        <w:trPr/>
        <w:tc>
          <w:tcPr>
            <w:tcW w:w="1901" w:type="dxa"/>
            <w:tcBorders/>
            <w:vAlign w:val="center"/>
          </w:tcPr>
          <w:p>
            <w:pPr>
              <w:pStyle w:val="TableContents"/>
              <w:bidi w:val="0"/>
              <w:spacing w:before="0" w:after="283"/>
              <w:ind w:left="0" w:right="0" w:firstLine="490"/>
              <w:jc w:val="left"/>
              <w:rPr>
                <w:sz w:val="4"/>
                <w:szCs w:val="4"/>
              </w:rPr>
            </w:pPr>
            <w:r>
              <w:rPr>
                <w:sz w:val="4"/>
                <w:szCs w:val="4"/>
              </w:rPr>
            </w:r>
          </w:p>
        </w:tc>
        <w:tc>
          <w:tcPr>
            <w:tcW w:w="806" w:type="dxa"/>
            <w:tcBorders/>
            <w:vAlign w:val="center"/>
          </w:tcPr>
          <w:p>
            <w:pPr>
              <w:pStyle w:val="TableContents"/>
              <w:bidi w:val="0"/>
              <w:spacing w:before="0" w:after="283"/>
              <w:ind w:left="0" w:right="0" w:firstLine="490"/>
              <w:jc w:val="left"/>
              <w:rPr>
                <w:sz w:val="4"/>
                <w:szCs w:val="4"/>
              </w:rPr>
            </w:pPr>
            <w:r>
              <w:rPr>
                <w:sz w:val="4"/>
                <w:szCs w:val="4"/>
              </w:rPr>
            </w:r>
          </w:p>
        </w:tc>
        <w:tc>
          <w:tcPr>
            <w:tcW w:w="2231" w:type="dxa"/>
            <w:tcBorders/>
            <w:vAlign w:val="center"/>
          </w:tcPr>
          <w:p>
            <w:pPr>
              <w:pStyle w:val="TableContents"/>
              <w:bidi w:val="0"/>
              <w:spacing w:before="0" w:after="283"/>
              <w:ind w:left="0" w:right="0" w:firstLine="490"/>
              <w:jc w:val="left"/>
              <w:rPr>
                <w:rFonts w:ascii="Times New Roman" w:hAnsi="Times New Roman"/>
                <w:color w:val="000000"/>
                <w:sz w:val="15"/>
              </w:rPr>
            </w:pPr>
            <w:r>
              <w:rPr>
                <w:rFonts w:ascii="Times New Roman" w:hAnsi="Times New Roman"/>
                <w:color w:val="000000"/>
                <w:sz w:val="15"/>
              </w:rPr>
              <w:t>Emerging growth company</w:t>
            </w:r>
          </w:p>
        </w:tc>
        <w:tc>
          <w:tcPr>
            <w:tcW w:w="851" w:type="dxa"/>
            <w:tcBorders/>
            <w:vAlign w:val="center"/>
          </w:tcPr>
          <w:p>
            <w:pPr>
              <w:pStyle w:val="TableContents"/>
              <w:bidi w:val="0"/>
              <w:spacing w:before="0" w:after="283"/>
              <w:ind w:left="0" w:right="0" w:firstLine="490"/>
              <w:jc w:val="left"/>
              <w:rPr>
                <w:color w:val="000000"/>
              </w:rPr>
            </w:pPr>
            <w:r>
              <w:rPr>
                <w:color w:val="000000"/>
              </w:rPr>
              <w:t>☐</w:t>
            </w:r>
          </w:p>
        </w:tc>
      </w:tr>
    </w:tbl>
    <w:p>
      <w:pPr>
        <w:pStyle w:val="TextBody"/>
        <w:bidi w:val="0"/>
        <w:jc w:val="left"/>
        <w:rPr>
          <w:rFonts w:ascii="Times New Roman" w:hAnsi="Times New Roman"/>
          <w:color w:val="000000"/>
          <w:sz w:val="15"/>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5"/>
        </w:rPr>
        <w:t>As of July 31, 2024, the registrant had 52,614,729</w:t>
      </w:r>
      <w:r>
        <w:rPr>
          <w:rFonts w:ascii="Times New Roman" w:hAnsi="Times New Roman"/>
          <w:color w:val="000000"/>
          <w:sz w:val="20"/>
        </w:rPr>
        <w:t xml:space="preserve"> </w:t>
      </w:r>
      <w:r>
        <w:rPr>
          <w:rFonts w:ascii="Times New Roman" w:hAnsi="Times New Roman"/>
          <w:color w:val="000000"/>
          <w:sz w:val="15"/>
        </w:rPr>
        <w:t>shares of common stock, $0.0001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Quarterly Report.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cost and timing of our development activities, preclinical studies, clinical trials and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translation of our preclinical results and data and early clinical trial results in particular relating to safety, efficacy and durability into future clinical trials in humans;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durability, efficacy and safety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portfolio of clinical trials planned for submission in our Biologics License Application, or BLA, of tarcocimab tedromer (formerly KSI-301, also known as tarcocimab);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any product candidates we have or may develop, and conducting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Lonza’s ability to successfully execute on our manufacturing development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size and design of clinical trials that regulatory authorities may require to obtain marketing approval, including the order and number of clinical studies required to support a BLA in retinal vein occlusion, or RVO, diabetic retinopathy, or DR, and wet age-related macular degeneration, or wet AMD, or any of our current or future product candidates, including the sufficiency of a single additional pivotal study of tarcocimab tedromer and a single BLA for wet AMD, RVO and DR 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chemistry manufacturing and controls, or CMC, requirements of the United States Food and Drug Administration, or FDA, and other regulatory bodies to support any BLA submission and potential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enhancements and benefits of new formulations of tarcocimab, KSI-501 and KSI-101 or other ABC Platform derived molecules;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approvals, including the potential to achieve FDA approval of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 and any related restrictions, limitations and/or warnings in the label of any approved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including funding necessary to develop, manufacture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products or platform technologies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establish sales, marketing and distribution infrastructure to commercialize any product candidates for which we obtain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 as to the concentration of retinal specialists in the United States and its impact on our sales and marketing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enter into manufacturing-related commitments,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agreements with third parties in connection with the commercialization of our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potential of the markets for our product candidates, if approved for commercial use,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potential benefits of strategic collaboration agreements and our ability to attract collaborators with development, regulatory and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claims relating to our intellectual property and third-party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unfavorable U.S. and global economic conditions on our business and operations, the business and operations of our collaborators, and on the global economy;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aspirational goals and objectives related to our human capital resources and workforce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managerial,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the sufficiency of our cash resources, expenses, future revenue, capital requirements and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240" w:after="283"/>
        <w:jc w:val="left"/>
        <w:rPr>
          <w:rFonts w:ascii="Times New Roman" w:hAnsi="Times New Roman"/>
          <w:sz w:val="20"/>
        </w:rPr>
      </w:pPr>
      <w:r>
        <w:rPr>
          <w:rFonts w:ascii="Times New Roman" w:hAnsi="Times New Roman"/>
          <w:i/>
          <w:color w:val="000000"/>
          <w:sz w:val="20"/>
        </w:rPr>
        <w:t>All brand names or trademarks appearing in this Quarterly Report are the property of their respective holders. Unless the context requires otherwise, references in this Quarterly Report to “Kodiak” the “Company,” “we,” “us,” and “our” refer to Kodiak Sciences Inc. and its subsidiaries.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SELECTED RISKS AFFECTING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Investing in our common stock involves numerous risks, including the risks described in “Part II—Other Information, Item 1A. Risk Factors” of this Quarterly Report on Form 10-Q, any one of which could materially adversely affect our business, financial condition, results of operations, and prospects. These risks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clinical stage of drug development and have a very limited operating history and no products approved for commercial sale, which may make it difficult to evaluate our current business and predict our future success and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in each period since our inception and anticipate that we will continue to incur significant and increasing net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are heavily dependent on our tarcocimab, KSI-501 and KSI-101 product candidates, which are currently in clinical development for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pivotal studies of tarcocimab to meet their primary efficacy endpoints may lead us to pause, change or discontinue development of other product candidates based on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of biopharmaceutical products is inherently risky. We cannot give any assurance that any of our product candidates will receive regulatory, including marketing, approval, which is necessary before they can be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for the development of tarcocimab may be unsuccessful.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encounter substantial delays in our clinical trials, or may not be able to conduct or complete our clinical trials on the timelines we expect,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demonstrate substantial evidence of the durability, efficacy and safety of our product candidates, which would prevent, delay or limit the scope of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obtain additional financing, we may be unable to complete the development and, if approved, commercialization of our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2" w:type="dxa"/>
        <w:jc w:val="left"/>
        <w:tblInd w:w="0" w:type="dxa"/>
        <w:tblLayout w:type="fixed"/>
        <w:tblCellMar>
          <w:top w:w="28" w:type="dxa"/>
          <w:left w:w="28" w:type="dxa"/>
          <w:bottom w:w="28" w:type="dxa"/>
          <w:right w:w="28" w:type="dxa"/>
        </w:tblCellMar>
      </w:tblPr>
      <w:tblGrid>
        <w:gridCol w:w="1025"/>
        <w:gridCol w:w="7366"/>
        <w:gridCol w:w="511"/>
      </w:tblGrid>
      <w:tr>
        <w:trPr/>
        <w:tc>
          <w:tcPr>
            <w:tcW w:w="1025"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864"/>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267" w:type="dxa"/>
        <w:jc w:val="left"/>
        <w:tblInd w:w="0" w:type="dxa"/>
        <w:tblLayout w:type="fixed"/>
        <w:tblCellMar>
          <w:top w:w="28" w:type="dxa"/>
          <w:left w:w="28" w:type="dxa"/>
          <w:bottom w:w="28" w:type="dxa"/>
          <w:right w:w="28" w:type="dxa"/>
        </w:tblCellMar>
      </w:tblPr>
      <w:tblGrid>
        <w:gridCol w:w="5736"/>
        <w:gridCol w:w="146"/>
        <w:gridCol w:w="211"/>
        <w:gridCol w:w="991"/>
        <w:gridCol w:w="166"/>
        <w:gridCol w:w="146"/>
        <w:gridCol w:w="221"/>
        <w:gridCol w:w="1039"/>
        <w:gridCol w:w="611"/>
      </w:tblGrid>
      <w:tr>
        <w:trPr/>
        <w:tc>
          <w:tcPr>
            <w:tcW w:w="5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sz w:val="4"/>
                <w:szCs w:val="4"/>
              </w:rPr>
            </w:pPr>
            <w:r>
              <w:rPr>
                <w:sz w:val="4"/>
                <w:szCs w:val="4"/>
              </w:rPr>
            </w:r>
          </w:p>
        </w:tc>
        <w:tc>
          <w:tcPr>
            <w:tcW w:w="611" w:type="dxa"/>
            <w:tcBorders/>
            <w:shd w:fill="CFF0FC" w:val="clear"/>
            <w:vAlign w:val="center"/>
          </w:tcPr>
          <w:p>
            <w:pPr>
              <w:pStyle w:val="TableContents"/>
              <w:bidi w:val="0"/>
              <w:spacing w:before="0" w:after="283"/>
              <w:jc w:val="right"/>
              <w:rPr/>
            </w:pPr>
            <w:r>
              <w:rPr/>
              <w:t> </w:t>
            </w:r>
          </w:p>
        </w:tc>
      </w:tr>
      <w:tr>
        <w:trPr/>
        <w:tc>
          <w:tcPr>
            <w:tcW w:w="5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7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285,507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289,309</w:t>
            </w:r>
          </w:p>
        </w:tc>
        <w:tc>
          <w:tcPr>
            <w:tcW w:w="611" w:type="dxa"/>
            <w:tcBorders/>
            <w:shd w:fill="CFF0FC" w:val="clear"/>
            <w:vAlign w:val="center"/>
          </w:tcPr>
          <w:p>
            <w:pPr>
              <w:pStyle w:val="TableContents"/>
              <w:bidi w:val="0"/>
              <w:spacing w:before="0" w:after="283"/>
              <w:jc w:val="left"/>
              <w:rPr/>
            </w:pPr>
            <w:r>
              <w:rPr/>
              <w:t> </w:t>
            </w:r>
          </w:p>
        </w:tc>
      </w:tr>
      <w:tr>
        <w:trPr/>
        <w:tc>
          <w:tcPr>
            <w:tcW w:w="5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6,324</w:t>
            </w:r>
          </w:p>
        </w:tc>
        <w:tc>
          <w:tcPr>
            <w:tcW w:w="611" w:type="dxa"/>
            <w:tcBorders/>
            <w:shd w:fill="FFFFFF" w:val="clear"/>
            <w:vAlign w:val="center"/>
          </w:tcPr>
          <w:p>
            <w:pPr>
              <w:pStyle w:val="TableContents"/>
              <w:bidi w:val="0"/>
              <w:spacing w:before="0" w:after="283"/>
              <w:jc w:val="left"/>
              <w:rPr/>
            </w:pPr>
            <w:r>
              <w:rPr/>
              <w:t> </w:t>
            </w:r>
          </w:p>
        </w:tc>
      </w:tr>
      <w:tr>
        <w:trPr/>
        <w:tc>
          <w:tcPr>
            <w:tcW w:w="5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120,482</w:t>
            </w:r>
          </w:p>
        </w:tc>
        <w:tc>
          <w:tcPr>
            <w:tcW w:w="611" w:type="dxa"/>
            <w:tcBorders/>
            <w:shd w:fill="CFF0FC" w:val="clear"/>
            <w:vAlign w:val="center"/>
          </w:tcPr>
          <w:p>
            <w:pPr>
              <w:pStyle w:val="TableContents"/>
              <w:bidi w:val="0"/>
              <w:spacing w:before="0" w:after="283"/>
              <w:jc w:val="left"/>
              <w:rPr/>
            </w:pPr>
            <w:r>
              <w:rPr/>
              <w:t> </w:t>
            </w:r>
          </w:p>
        </w:tc>
      </w:tr>
      <w:tr>
        <w:trPr/>
        <w:tc>
          <w:tcPr>
            <w:tcW w:w="5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54,541</w:t>
            </w:r>
          </w:p>
        </w:tc>
        <w:tc>
          <w:tcPr>
            <w:tcW w:w="611" w:type="dxa"/>
            <w:tcBorders/>
            <w:shd w:fill="FFFFFF" w:val="clear"/>
            <w:vAlign w:val="center"/>
          </w:tcPr>
          <w:p>
            <w:pPr>
              <w:pStyle w:val="TableContents"/>
              <w:bidi w:val="0"/>
              <w:spacing w:before="0" w:after="283"/>
              <w:jc w:val="left"/>
              <w:rPr/>
            </w:pPr>
            <w:r>
              <w:rPr/>
              <w:t> </w:t>
            </w:r>
          </w:p>
        </w:tc>
      </w:tr>
      <w:tr>
        <w:trPr/>
        <w:tc>
          <w:tcPr>
            <w:tcW w:w="5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479,372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7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41,729</w:t>
            </w:r>
          </w:p>
        </w:tc>
        <w:tc>
          <w:tcPr>
            <w:tcW w:w="611" w:type="dxa"/>
            <w:tcBorders/>
            <w:shd w:fill="FFFFFF" w:val="clear"/>
            <w:vAlign w:val="center"/>
          </w:tcPr>
          <w:p>
            <w:pPr>
              <w:pStyle w:val="TableContents"/>
              <w:bidi w:val="0"/>
              <w:spacing w:before="0" w:after="283"/>
              <w:jc w:val="left"/>
              <w:rPr/>
            </w:pPr>
            <w:r>
              <w:rPr/>
              <w:t> </w:t>
            </w:r>
          </w:p>
        </w:tc>
      </w:tr>
      <w:tr>
        <w:trPr/>
        <w:tc>
          <w:tcPr>
            <w:tcW w:w="5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71,862</w:t>
            </w:r>
          </w:p>
        </w:tc>
        <w:tc>
          <w:tcPr>
            <w:tcW w:w="611" w:type="dxa"/>
            <w:tcBorders/>
            <w:shd w:fill="CFF0FC" w:val="clear"/>
            <w:vAlign w:val="center"/>
          </w:tcPr>
          <w:p>
            <w:pPr>
              <w:pStyle w:val="TableContents"/>
              <w:bidi w:val="0"/>
              <w:spacing w:before="0" w:after="283"/>
              <w:jc w:val="left"/>
              <w:rPr/>
            </w:pPr>
            <w:r>
              <w:rPr/>
              <w:t> </w:t>
            </w:r>
          </w:p>
        </w:tc>
      </w:tr>
      <w:tr>
        <w:trPr/>
        <w:tc>
          <w:tcPr>
            <w:tcW w:w="5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royalties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187,072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7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w:t>
              <w:br/>
              <w:t xml:space="preserve">   0 shares issued and outstanding at June 30, 2024 and </w:t>
              <w:br/>
              <w:t>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$0.0001 par value, 490,000,000 shares authorized </w:t>
              <w:br/>
              <w:t xml:space="preserve">   at June 30, 2024 and December 31, 2023; 52,614,729 and </w:t>
              <w:br/>
              <w:t xml:space="preserve">   52,508,602 shares issued and outstanding at June 30, 2024 and </w:t>
              <w:br/>
              <w:t>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CFF0FC" w:val="clear"/>
            <w:vAlign w:val="center"/>
          </w:tcPr>
          <w:p>
            <w:pPr>
              <w:pStyle w:val="TableContents"/>
              <w:bidi w:val="0"/>
              <w:spacing w:before="0" w:after="283"/>
              <w:jc w:val="left"/>
              <w:rPr/>
            </w:pPr>
            <w:r>
              <w:rPr/>
              <w:t> </w:t>
            </w:r>
          </w:p>
        </w:tc>
      </w:tr>
      <w:tr>
        <w:trPr/>
        <w:tc>
          <w:tcPr>
            <w:tcW w:w="5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1,455,188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1,418,307</w:t>
            </w:r>
          </w:p>
        </w:tc>
        <w:tc>
          <w:tcPr>
            <w:tcW w:w="611" w:type="dxa"/>
            <w:tcBorders/>
            <w:shd w:fill="FFFFFF" w:val="clear"/>
            <w:vAlign w:val="center"/>
          </w:tcPr>
          <w:p>
            <w:pPr>
              <w:pStyle w:val="TableContents"/>
              <w:bidi w:val="0"/>
              <w:spacing w:before="0" w:after="283"/>
              <w:jc w:val="left"/>
              <w:rPr/>
            </w:pPr>
            <w:r>
              <w:rPr/>
              <w:t> </w:t>
            </w:r>
          </w:p>
        </w:tc>
      </w:tr>
      <w:tr>
        <w:trPr/>
        <w:tc>
          <w:tcPr>
            <w:tcW w:w="5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  June 30,</w:t>
            </w:r>
          </w:p>
        </w:tc>
        <w:tc>
          <w:tcPr>
            <w:tcW w:w="591" w:type="dxa"/>
            <w:tcBorders/>
            <w:shd w:fill="FFFFFF" w:val="cle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(159,447</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outstanding used </w:t>
              <w:br/>
              <w:t>   in computing 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52,554,215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52,378,729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52,532,337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52,358,279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Change in unrealized gains (losses) related to available-for-sale </w:t>
              <w:br/>
              <w:t>   debt securities, 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(149,661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6" w:name="condensed_consolidated_statements_stockh"/>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471" w:type="dxa"/>
        <w:jc w:val="left"/>
        <w:tblInd w:w="0" w:type="dxa"/>
        <w:tblLayout w:type="fixed"/>
        <w:tblCellMar>
          <w:top w:w="28" w:type="dxa"/>
          <w:left w:w="28" w:type="dxa"/>
          <w:bottom w:w="28" w:type="dxa"/>
          <w:right w:w="28" w:type="dxa"/>
        </w:tblCellMar>
      </w:tblPr>
      <w:tblGrid>
        <w:gridCol w:w="2241"/>
        <w:gridCol w:w="146"/>
        <w:gridCol w:w="146"/>
        <w:gridCol w:w="766"/>
        <w:gridCol w:w="146"/>
        <w:gridCol w:w="146"/>
        <w:gridCol w:w="196"/>
        <w:gridCol w:w="375"/>
        <w:gridCol w:w="146"/>
        <w:gridCol w:w="146"/>
        <w:gridCol w:w="181"/>
        <w:gridCol w:w="691"/>
        <w:gridCol w:w="146"/>
        <w:gridCol w:w="146"/>
        <w:gridCol w:w="279"/>
        <w:gridCol w:w="742"/>
        <w:gridCol w:w="151"/>
        <w:gridCol w:w="146"/>
        <w:gridCol w:w="181"/>
        <w:gridCol w:w="736"/>
        <w:gridCol w:w="151"/>
        <w:gridCol w:w="146"/>
        <w:gridCol w:w="219"/>
        <w:gridCol w:w="711"/>
        <w:gridCol w:w="391"/>
      </w:tblGrid>
      <w:tr>
        <w:trPr/>
        <w:tc>
          <w:tcPr>
            <w:tcW w:w="2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91" w:type="dxa"/>
            <w:tcBorders/>
            <w:shd w:fill="FFFFFF" w:val="clear"/>
            <w:vAlign w:val="center"/>
          </w:tcPr>
          <w:p>
            <w:pPr>
              <w:pStyle w:val="TableContents"/>
              <w:bidi w:val="0"/>
              <w:spacing w:before="0" w:after="283"/>
              <w:jc w:val="center"/>
              <w:rPr/>
            </w:pPr>
            <w:r>
              <w:rPr/>
              <w:t> </w:t>
            </w:r>
          </w:p>
        </w:tc>
      </w:tr>
      <w:tr>
        <w:trPr/>
        <w:tc>
          <w:tcPr>
            <w:tcW w:w="2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52,508,602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1,418,307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(1,152,531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265,781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18,409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52,523,447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1,436,754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(1,195,570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241,189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w:t>
              <w:br/>
              <w:t xml:space="preserve">   pursuant to employee stock </w:t>
              <w:br/>
              <w:t>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18,375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52,614,729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1,455,188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(1,240,687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214,506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91" w:type="dxa"/>
            <w:tcBorders/>
            <w:shd w:fill="FFFFFF" w:val="clear"/>
            <w:vAlign w:val="center"/>
          </w:tcPr>
          <w:p>
            <w:pPr>
              <w:pStyle w:val="TableContents"/>
              <w:bidi w:val="0"/>
              <w:spacing w:before="0" w:after="283"/>
              <w:jc w:val="center"/>
              <w:rPr/>
            </w:pPr>
            <w:r>
              <w:rPr/>
              <w:t> </w:t>
            </w:r>
          </w:p>
        </w:tc>
      </w:tr>
      <w:tr>
        <w:trPr/>
        <w:tc>
          <w:tcPr>
            <w:tcW w:w="2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52,333,850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(892,040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436,167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25,980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52,344,741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1,355,498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(962,820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392,587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w:t>
              <w:br/>
              <w:t xml:space="preserve">   pursuant to employee stock </w:t>
              <w:br/>
              <w:t>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25,801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52,453,163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1,381,481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(1,043,008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338,478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4"/>
        <w:gridCol w:w="212"/>
        <w:gridCol w:w="789"/>
        <w:gridCol w:w="167"/>
        <w:gridCol w:w="146"/>
        <w:gridCol w:w="212"/>
        <w:gridCol w:w="849"/>
        <w:gridCol w:w="816"/>
      </w:tblGrid>
      <w:tr>
        <w:trPr/>
        <w:tc>
          <w:tcPr>
            <w:tcW w:w="70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7014" w:type="dxa"/>
            <w:tcBorders/>
            <w:shd w:fill="FFFFFF" w:val="clear"/>
            <w:vAlign w:val="center"/>
          </w:tcPr>
          <w:p>
            <w:pPr>
              <w:pStyle w:val="TableContents"/>
              <w:bidi w:val="0"/>
              <w:spacing w:before="0" w:after="283"/>
              <w:jc w:val="left"/>
              <w:rPr/>
            </w:pPr>
            <w:r>
              <w:rPr/>
              <w:t> </w:t>
            </w:r>
          </w:p>
        </w:tc>
        <w:tc>
          <w:tcPr>
            <w:tcW w:w="2375"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816" w:type="dxa"/>
            <w:tcBorders/>
            <w:shd w:fill="FFFFFF" w:val="clear"/>
            <w:vAlign w:val="center"/>
          </w:tcPr>
          <w:p>
            <w:pPr>
              <w:pStyle w:val="TableContents"/>
              <w:bidi w:val="0"/>
              <w:spacing w:before="0" w:after="283"/>
              <w:jc w:val="center"/>
              <w:rPr/>
            </w:pPr>
            <w:r>
              <w:rPr/>
              <w:t> </w:t>
            </w:r>
          </w:p>
        </w:tc>
      </w:tr>
      <w:tr>
        <w:trPr/>
        <w:tc>
          <w:tcPr>
            <w:tcW w:w="7014" w:type="dxa"/>
            <w:tcBorders/>
            <w:shd w:fill="FFFFFF" w:val="clear"/>
            <w:vAlign w:val="center"/>
          </w:tcPr>
          <w:p>
            <w:pPr>
              <w:pStyle w:val="TableContents"/>
              <w:bidi w:val="0"/>
              <w:spacing w:before="0" w:after="283"/>
              <w:jc w:val="left"/>
              <w:rPr/>
            </w:pPr>
            <w:r>
              <w:rPr/>
              <w:t> </w:t>
            </w:r>
          </w:p>
        </w:tc>
        <w:tc>
          <w:tcPr>
            <w:tcW w:w="100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8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701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001"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1" w:type="dxa"/>
            <w:gridSpan w:val="2"/>
            <w:tcBorders/>
            <w:shd w:fill="CFF0FC" w:val="clear"/>
            <w:vAlign w:val="center"/>
          </w:tcPr>
          <w:p>
            <w:pPr>
              <w:pStyle w:val="TableContents"/>
              <w:bidi w:val="0"/>
              <w:spacing w:before="0" w:after="283"/>
              <w:jc w:val="right"/>
              <w:rPr/>
            </w:pPr>
            <w:r>
              <w:rPr/>
              <w:t> </w:t>
            </w:r>
          </w:p>
        </w:tc>
        <w:tc>
          <w:tcPr>
            <w:tcW w:w="816" w:type="dxa"/>
            <w:tcBorders/>
            <w:shd w:fill="CFF0FC" w:val="clear"/>
            <w:vAlign w:val="center"/>
          </w:tcPr>
          <w:p>
            <w:pPr>
              <w:pStyle w:val="TableContents"/>
              <w:bidi w:val="0"/>
              <w:spacing w:before="0" w:after="283"/>
              <w:jc w:val="right"/>
              <w:rPr/>
            </w:pPr>
            <w:r>
              <w:rPr/>
              <w:t> </w:t>
            </w:r>
          </w:p>
        </w:tc>
      </w:tr>
      <w:tr>
        <w:trPr/>
        <w:tc>
          <w:tcPr>
            <w:tcW w:w="70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(88,156</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(150,968</w:t>
            </w:r>
          </w:p>
        </w:tc>
        <w:tc>
          <w:tcPr>
            <w:tcW w:w="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001"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1" w:type="dxa"/>
            <w:gridSpan w:val="2"/>
            <w:tcBorders/>
            <w:shd w:fill="CFF0FC" w:val="clear"/>
            <w:vAlign w:val="center"/>
          </w:tcPr>
          <w:p>
            <w:pPr>
              <w:pStyle w:val="TableContents"/>
              <w:bidi w:val="0"/>
              <w:spacing w:before="0" w:after="283"/>
              <w:jc w:val="right"/>
              <w:rPr/>
            </w:pPr>
            <w:r>
              <w:rPr/>
              <w:t> </w:t>
            </w:r>
          </w:p>
        </w:tc>
        <w:tc>
          <w:tcPr>
            <w:tcW w:w="816" w:type="dxa"/>
            <w:tcBorders/>
            <w:shd w:fill="CFF0FC" w:val="clear"/>
            <w:vAlign w:val="center"/>
          </w:tcPr>
          <w:p>
            <w:pPr>
              <w:pStyle w:val="TableContents"/>
              <w:bidi w:val="0"/>
              <w:spacing w:before="0" w:after="283"/>
              <w:ind w:left="0" w:right="0" w:firstLine="200"/>
              <w:jc w:val="right"/>
              <w:rPr/>
            </w:pPr>
            <w:r>
              <w:rPr/>
              <w:t> </w:t>
            </w:r>
          </w:p>
        </w:tc>
      </w:tr>
      <w:tr>
        <w:trPr/>
        <w:tc>
          <w:tcPr>
            <w:tcW w:w="701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212"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9,399</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8,568</w:t>
            </w:r>
          </w:p>
        </w:tc>
        <w:tc>
          <w:tcPr>
            <w:tcW w:w="816" w:type="dxa"/>
            <w:tcBorders/>
            <w:shd w:fill="FFFFFF" w:val="clear"/>
            <w:vAlign w:val="center"/>
          </w:tcPr>
          <w:p>
            <w:pPr>
              <w:pStyle w:val="TableContents"/>
              <w:bidi w:val="0"/>
              <w:spacing w:before="0" w:after="283"/>
              <w:ind w:left="0" w:right="0" w:firstLine="200"/>
              <w:jc w:val="left"/>
              <w:rPr/>
            </w:pPr>
            <w:r>
              <w:rPr/>
              <w:t> </w:t>
            </w:r>
          </w:p>
        </w:tc>
      </w:tr>
      <w:tr>
        <w:trPr/>
        <w:tc>
          <w:tcPr>
            <w:tcW w:w="701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12"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36,784</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51,781</w:t>
            </w:r>
          </w:p>
        </w:tc>
        <w:tc>
          <w:tcPr>
            <w:tcW w:w="816" w:type="dxa"/>
            <w:tcBorders/>
            <w:shd w:fill="CFF0FC" w:val="clear"/>
            <w:vAlign w:val="center"/>
          </w:tcPr>
          <w:p>
            <w:pPr>
              <w:pStyle w:val="TableContents"/>
              <w:bidi w:val="0"/>
              <w:spacing w:before="0" w:after="283"/>
              <w:ind w:left="0" w:right="0" w:firstLine="200"/>
              <w:jc w:val="left"/>
              <w:rPr/>
            </w:pPr>
            <w:r>
              <w:rPr/>
              <w:t> </w:t>
            </w:r>
          </w:p>
        </w:tc>
      </w:tr>
      <w:tr>
        <w:trPr/>
        <w:tc>
          <w:tcPr>
            <w:tcW w:w="701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amortization (accretion) of premium (discount) on marketable securities</w:t>
            </w:r>
          </w:p>
        </w:tc>
        <w:tc>
          <w:tcPr>
            <w:tcW w:w="212"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8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Settlement of derivative contracts</w:t>
            </w:r>
          </w:p>
        </w:tc>
        <w:tc>
          <w:tcPr>
            <w:tcW w:w="212"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8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operating lease right-of-use asset</w:t>
            </w:r>
          </w:p>
        </w:tc>
        <w:tc>
          <w:tcPr>
            <w:tcW w:w="212"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816" w:type="dxa"/>
            <w:tcBorders/>
            <w:shd w:fill="FFFFFF" w:val="clear"/>
            <w:vAlign w:val="center"/>
          </w:tcPr>
          <w:p>
            <w:pPr>
              <w:pStyle w:val="TableContents"/>
              <w:bidi w:val="0"/>
              <w:spacing w:before="0" w:after="283"/>
              <w:ind w:left="0" w:right="0" w:firstLine="200"/>
              <w:jc w:val="left"/>
              <w:rPr/>
            </w:pPr>
            <w:r>
              <w:rPr/>
              <w:t> </w:t>
            </w:r>
          </w:p>
        </w:tc>
      </w:tr>
      <w:tr>
        <w:trPr/>
        <w:tc>
          <w:tcPr>
            <w:tcW w:w="701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issuance costs</w:t>
            </w:r>
          </w:p>
        </w:tc>
        <w:tc>
          <w:tcPr>
            <w:tcW w:w="212"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color w:val="000000"/>
              </w:rPr>
            </w:pPr>
            <w:r>
              <w:rPr>
                <w:color w:val="000000"/>
              </w:rPr>
              <w:t>—</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6" w:type="dxa"/>
            <w:tcBorders/>
            <w:shd w:fill="CFF0FC" w:val="clear"/>
            <w:vAlign w:val="center"/>
          </w:tcPr>
          <w:p>
            <w:pPr>
              <w:pStyle w:val="TableContents"/>
              <w:bidi w:val="0"/>
              <w:spacing w:before="0" w:after="283"/>
              <w:ind w:left="0" w:right="0" w:firstLine="200"/>
              <w:jc w:val="left"/>
              <w:rPr/>
            </w:pPr>
            <w:r>
              <w:rPr/>
              <w:t> </w:t>
            </w:r>
          </w:p>
        </w:tc>
      </w:tr>
      <w:tr>
        <w:trPr/>
        <w:tc>
          <w:tcPr>
            <w:tcW w:w="701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1001"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816" w:type="dxa"/>
            <w:tcBorders/>
            <w:shd w:fill="FFFFFF" w:val="clear"/>
            <w:vAlign w:val="center"/>
          </w:tcPr>
          <w:p>
            <w:pPr>
              <w:pStyle w:val="TableContents"/>
              <w:bidi w:val="0"/>
              <w:spacing w:before="0" w:after="283"/>
              <w:ind w:left="0" w:right="0" w:firstLine="400"/>
              <w:jc w:val="right"/>
              <w:rPr/>
            </w:pPr>
            <w:r>
              <w:rPr/>
              <w:t> </w:t>
            </w:r>
          </w:p>
        </w:tc>
      </w:tr>
      <w:tr>
        <w:trPr/>
        <w:tc>
          <w:tcPr>
            <w:tcW w:w="701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2"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816" w:type="dxa"/>
            <w:tcBorders/>
            <w:shd w:fill="CFF0FC" w:val="clear"/>
            <w:vAlign w:val="center"/>
          </w:tcPr>
          <w:p>
            <w:pPr>
              <w:pStyle w:val="TableContents"/>
              <w:bidi w:val="0"/>
              <w:spacing w:before="0" w:after="283"/>
              <w:ind w:left="0" w:right="0" w:firstLine="400"/>
              <w:jc w:val="left"/>
              <w:rPr/>
            </w:pPr>
            <w:r>
              <w:rPr/>
              <w:t> </w:t>
            </w:r>
          </w:p>
        </w:tc>
      </w:tr>
      <w:tr>
        <w:trPr/>
        <w:tc>
          <w:tcPr>
            <w:tcW w:w="701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assets</w:t>
            </w:r>
          </w:p>
        </w:tc>
        <w:tc>
          <w:tcPr>
            <w:tcW w:w="212"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816" w:type="dxa"/>
            <w:tcBorders/>
            <w:shd w:fill="FFFFFF" w:val="clear"/>
            <w:vAlign w:val="center"/>
          </w:tcPr>
          <w:p>
            <w:pPr>
              <w:pStyle w:val="TableContents"/>
              <w:bidi w:val="0"/>
              <w:spacing w:before="0" w:after="283"/>
              <w:ind w:left="0" w:right="0" w:firstLine="400"/>
              <w:jc w:val="left"/>
              <w:rPr/>
            </w:pPr>
            <w:r>
              <w:rPr/>
              <w:t> </w:t>
            </w:r>
          </w:p>
        </w:tc>
      </w:tr>
      <w:tr>
        <w:trPr/>
        <w:tc>
          <w:tcPr>
            <w:tcW w:w="701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212"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w:t>
            </w:r>
          </w:p>
        </w:tc>
        <w:tc>
          <w:tcPr>
            <w:tcW w:w="816" w:type="dxa"/>
            <w:tcBorders/>
            <w:shd w:fill="CFF0FC" w:val="clear"/>
            <w:vAlign w:val="center"/>
          </w:tcPr>
          <w:p>
            <w:pPr>
              <w:pStyle w:val="TableContents"/>
              <w:bidi w:val="0"/>
              <w:spacing w:before="0" w:after="283"/>
              <w:ind w:left="0" w:right="0" w:firstLine="400"/>
              <w:jc w:val="left"/>
              <w:rPr/>
            </w:pPr>
            <w:r>
              <w:rPr/>
              <w:t> </w:t>
            </w:r>
          </w:p>
        </w:tc>
      </w:tr>
      <w:tr>
        <w:trPr/>
        <w:tc>
          <w:tcPr>
            <w:tcW w:w="701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and other current liabilities</w:t>
            </w:r>
          </w:p>
        </w:tc>
        <w:tc>
          <w:tcPr>
            <w:tcW w:w="212"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w:t>
            </w:r>
          </w:p>
        </w:tc>
        <w:tc>
          <w:tcPr>
            <w:tcW w:w="8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(89,180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001"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1" w:type="dxa"/>
            <w:gridSpan w:val="2"/>
            <w:tcBorders/>
            <w:shd w:fill="CFF0FC" w:val="clear"/>
            <w:vAlign w:val="center"/>
          </w:tcPr>
          <w:p>
            <w:pPr>
              <w:pStyle w:val="TableContents"/>
              <w:bidi w:val="0"/>
              <w:spacing w:before="0" w:after="283"/>
              <w:jc w:val="right"/>
              <w:rPr/>
            </w:pPr>
            <w:r>
              <w:rPr/>
              <w:t> </w:t>
            </w:r>
          </w:p>
        </w:tc>
        <w:tc>
          <w:tcPr>
            <w:tcW w:w="816" w:type="dxa"/>
            <w:tcBorders/>
            <w:shd w:fill="CFF0FC" w:val="clear"/>
            <w:vAlign w:val="center"/>
          </w:tcPr>
          <w:p>
            <w:pPr>
              <w:pStyle w:val="TableContents"/>
              <w:bidi w:val="0"/>
              <w:spacing w:before="0" w:after="283"/>
              <w:jc w:val="right"/>
              <w:rPr/>
            </w:pPr>
            <w:r>
              <w:rPr/>
              <w:t> </w:t>
            </w:r>
          </w:p>
        </w:tc>
      </w:tr>
      <w:tr>
        <w:trPr/>
        <w:tc>
          <w:tcPr>
            <w:tcW w:w="70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212"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(13,640</w:t>
            </w:r>
          </w:p>
        </w:tc>
        <w:tc>
          <w:tcPr>
            <w:tcW w:w="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on property and equipment</w:t>
            </w:r>
          </w:p>
        </w:tc>
        <w:tc>
          <w:tcPr>
            <w:tcW w:w="212"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color w:val="000000"/>
              </w:rPr>
            </w:pPr>
            <w:r>
              <w:rPr>
                <w:color w:val="000000"/>
              </w:rPr>
              <w:t>—</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marketable securities</w:t>
            </w:r>
          </w:p>
        </w:tc>
        <w:tc>
          <w:tcPr>
            <w:tcW w:w="212"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(49,347</w:t>
            </w:r>
          </w:p>
        </w:tc>
        <w:tc>
          <w:tcPr>
            <w:tcW w:w="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212"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color w:val="000000"/>
              </w:rPr>
            </w:pPr>
            <w:r>
              <w:rPr>
                <w:color w:val="000000"/>
              </w:rPr>
              <w:t>—</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340,000</w:t>
            </w:r>
          </w:p>
        </w:tc>
        <w:tc>
          <w:tcPr>
            <w:tcW w:w="816" w:type="dxa"/>
            <w:tcBorders/>
            <w:shd w:fill="CFF0FC" w:val="clear"/>
            <w:vAlign w:val="center"/>
          </w:tcPr>
          <w:p>
            <w:pPr>
              <w:pStyle w:val="TableContents"/>
              <w:bidi w:val="0"/>
              <w:spacing w:before="0" w:after="283"/>
              <w:jc w:val="left"/>
              <w:rPr/>
            </w:pPr>
            <w:r>
              <w:rPr/>
              <w:t> </w:t>
            </w:r>
          </w:p>
        </w:tc>
      </w:tr>
      <w:tr>
        <w:trPr/>
        <w:tc>
          <w:tcPr>
            <w:tcW w:w="70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derivative contracts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14"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277,250</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001"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816" w:type="dxa"/>
            <w:tcBorders/>
            <w:shd w:fill="FFFFFF" w:val="clear"/>
            <w:vAlign w:val="center"/>
          </w:tcPr>
          <w:p>
            <w:pPr>
              <w:pStyle w:val="TableContents"/>
              <w:bidi w:val="0"/>
              <w:spacing w:before="0" w:after="283"/>
              <w:jc w:val="right"/>
              <w:rPr/>
            </w:pPr>
            <w:r>
              <w:rPr/>
              <w:t> </w:t>
            </w:r>
          </w:p>
        </w:tc>
      </w:tr>
      <w:tr>
        <w:trPr/>
        <w:tc>
          <w:tcPr>
            <w:tcW w:w="70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upon options exercise</w:t>
            </w:r>
          </w:p>
        </w:tc>
        <w:tc>
          <w:tcPr>
            <w:tcW w:w="212"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816" w:type="dxa"/>
            <w:tcBorders/>
            <w:shd w:fill="CFF0FC" w:val="clear"/>
            <w:vAlign w:val="center"/>
          </w:tcPr>
          <w:p>
            <w:pPr>
              <w:pStyle w:val="TableContents"/>
              <w:bidi w:val="0"/>
              <w:spacing w:before="0" w:after="283"/>
              <w:jc w:val="left"/>
              <w:rPr/>
            </w:pPr>
            <w:r>
              <w:rPr/>
              <w:t> </w:t>
            </w:r>
          </w:p>
        </w:tc>
      </w:tr>
      <w:tr>
        <w:trPr/>
        <w:tc>
          <w:tcPr>
            <w:tcW w:w="70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pursuant to employee stock purchase plan</w:t>
            </w:r>
          </w:p>
        </w:tc>
        <w:tc>
          <w:tcPr>
            <w:tcW w:w="212"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816" w:type="dxa"/>
            <w:tcBorders/>
            <w:shd w:fill="FFFFFF" w:val="clear"/>
            <w:vAlign w:val="center"/>
          </w:tcPr>
          <w:p>
            <w:pPr>
              <w:pStyle w:val="TableContents"/>
              <w:bidi w:val="0"/>
              <w:spacing w:before="0" w:after="283"/>
              <w:jc w:val="left"/>
              <w:rPr/>
            </w:pPr>
            <w:r>
              <w:rPr/>
              <w:t> </w:t>
            </w:r>
          </w:p>
        </w:tc>
      </w:tr>
      <w:tr>
        <w:trPr/>
        <w:tc>
          <w:tcPr>
            <w:tcW w:w="70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of tenant improvement allowance payable</w:t>
            </w:r>
          </w:p>
        </w:tc>
        <w:tc>
          <w:tcPr>
            <w:tcW w:w="212"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color w:val="000000"/>
              </w:rPr>
            </w:pPr>
            <w:r>
              <w:rPr>
                <w:color w:val="000000"/>
              </w:rPr>
              <w:t>—</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816"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2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8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212"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(66,422</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188,237</w:t>
            </w:r>
          </w:p>
        </w:tc>
        <w:tc>
          <w:tcPr>
            <w:tcW w:w="816" w:type="dxa"/>
            <w:tcBorders/>
            <w:shd w:fill="CFF0FC" w:val="clear"/>
            <w:vAlign w:val="center"/>
          </w:tcPr>
          <w:p>
            <w:pPr>
              <w:pStyle w:val="TableContents"/>
              <w:bidi w:val="0"/>
              <w:spacing w:before="0" w:after="283"/>
              <w:jc w:val="left"/>
              <w:rPr/>
            </w:pPr>
            <w:r>
              <w:rPr/>
              <w:t> </w:t>
            </w:r>
          </w:p>
        </w:tc>
      </w:tr>
      <w:tr>
        <w:trPr/>
        <w:tc>
          <w:tcPr>
            <w:tcW w:w="70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291,831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196,757</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225,409</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384,994</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consolidated balance sheets</w:t>
            </w:r>
          </w:p>
        </w:tc>
        <w:tc>
          <w:tcPr>
            <w:tcW w:w="1001"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816" w:type="dxa"/>
            <w:tcBorders/>
            <w:shd w:fill="FFFFFF" w:val="clear"/>
            <w:vAlign w:val="center"/>
          </w:tcPr>
          <w:p>
            <w:pPr>
              <w:pStyle w:val="TableContents"/>
              <w:bidi w:val="0"/>
              <w:spacing w:before="0" w:after="283"/>
              <w:jc w:val="right"/>
              <w:rPr/>
            </w:pPr>
            <w:r>
              <w:rPr/>
              <w:t> </w:t>
            </w:r>
          </w:p>
        </w:tc>
      </w:tr>
      <w:tr>
        <w:trPr/>
        <w:tc>
          <w:tcPr>
            <w:tcW w:w="70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219,225</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378,670</w:t>
            </w:r>
          </w:p>
        </w:tc>
        <w:tc>
          <w:tcPr>
            <w:tcW w:w="816" w:type="dxa"/>
            <w:tcBorders/>
            <w:shd w:fill="CFF0FC" w:val="clear"/>
            <w:vAlign w:val="center"/>
          </w:tcPr>
          <w:p>
            <w:pPr>
              <w:pStyle w:val="TableContents"/>
              <w:bidi w:val="0"/>
              <w:spacing w:before="0" w:after="283"/>
              <w:jc w:val="left"/>
              <w:rPr/>
            </w:pPr>
            <w:r>
              <w:rPr/>
              <w:t> </w:t>
            </w:r>
          </w:p>
        </w:tc>
      </w:tr>
      <w:tr>
        <w:trPr/>
        <w:tc>
          <w:tcPr>
            <w:tcW w:w="70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6,324</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 in consolidated balance sheets</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225,409</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384,994</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FFFFFF" w:val="clear"/>
            <w:vAlign w:val="center"/>
          </w:tcPr>
          <w:p>
            <w:pPr>
              <w:pStyle w:val="TableContents"/>
              <w:bidi w:val="0"/>
              <w:spacing w:before="0" w:after="283"/>
              <w:jc w:val="left"/>
              <w:rPr/>
            </w:pPr>
            <w:r>
              <w:rPr/>
              <w:t> </w:t>
            </w:r>
          </w:p>
        </w:tc>
        <w:tc>
          <w:tcPr>
            <w:tcW w:w="1001"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816" w:type="dxa"/>
            <w:tcBorders/>
            <w:shd w:fill="FFFFFF" w:val="clear"/>
            <w:vAlign w:val="center"/>
          </w:tcPr>
          <w:p>
            <w:pPr>
              <w:pStyle w:val="TableContents"/>
              <w:bidi w:val="0"/>
              <w:spacing w:before="0" w:after="283"/>
              <w:jc w:val="right"/>
              <w:rPr/>
            </w:pPr>
            <w:r>
              <w:rPr/>
              <w:t> </w:t>
            </w:r>
          </w:p>
        </w:tc>
      </w:tr>
      <w:tr>
        <w:trPr/>
        <w:tc>
          <w:tcPr>
            <w:tcW w:w="701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information:</w:t>
            </w:r>
          </w:p>
        </w:tc>
        <w:tc>
          <w:tcPr>
            <w:tcW w:w="1001"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816" w:type="dxa"/>
            <w:tcBorders/>
            <w:shd w:fill="FFFFFF" w:val="clear"/>
            <w:vAlign w:val="center"/>
          </w:tcPr>
          <w:p>
            <w:pPr>
              <w:pStyle w:val="TableContents"/>
              <w:bidi w:val="0"/>
              <w:spacing w:before="0" w:after="283"/>
              <w:jc w:val="right"/>
              <w:rPr/>
            </w:pPr>
            <w:r>
              <w:rPr/>
              <w:t> </w:t>
            </w:r>
          </w:p>
        </w:tc>
      </w:tr>
      <w:tr>
        <w:trPr/>
        <w:tc>
          <w:tcPr>
            <w:tcW w:w="70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operating lease liability</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816" w:type="dxa"/>
            <w:tcBorders/>
            <w:shd w:fill="CFF0FC" w:val="clear"/>
            <w:vAlign w:val="center"/>
          </w:tcPr>
          <w:p>
            <w:pPr>
              <w:pStyle w:val="TableContents"/>
              <w:bidi w:val="0"/>
              <w:spacing w:before="0" w:after="283"/>
              <w:jc w:val="left"/>
              <w:rPr/>
            </w:pPr>
            <w:r>
              <w:rPr/>
              <w:t> </w:t>
            </w:r>
          </w:p>
        </w:tc>
      </w:tr>
      <w:tr>
        <w:trPr/>
        <w:tc>
          <w:tcPr>
            <w:tcW w:w="70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 under accounts payable and accruals</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27,662</w:t>
            </w:r>
          </w:p>
        </w:tc>
        <w:tc>
          <w:tcPr>
            <w:tcW w:w="8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Sciences Inc. (the “Company”) is a clinical stage biopharmaceutical company committed to researching, developing and commercializing transformative therapeutics to treat a broad spectrum of retinal diseases.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the Company had cash and cash equivalents of $219.2 million. Although the Company has incurred significant operating losses since inception and expects to continue to incur operating losses and negative operating cash flows for the foreseeable future, the Company believes that the cash and cash equivalents will be sufficient to meet the anticipated operating and capital expenditure requirements for the 12 months following the date of this Quarterly Report on Form 10-Q.</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state fairly the Company's financial position and results of operations for the reported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have been prepared on a basis substantially consistent with, and should be read in conjunction with the audited financial statements for the year ended December 31, 2023 and notes thereto, including the Company’s critical accounting policies for accrued research and development, stock-based compensation, and impairment of long-lived assets, the Company’s Annual Report on Form 10-K filed with the Securities and Exchange Commission (“SEC”) on March 28, 2024.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2024, or for any future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reflect the operations of the Company and its wholly owned subsidiaries. All intercompany accounts and transactions have been eliminated.</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stock-based compensation and impairment of long-lived assets.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uncertainties, including health epidemics, labor shortages, bank failures, inflation and monetary supply shifts, recession risks and potential disruptions from the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contract manufacturer and research organizations, and other suppliers.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used in preparation of these condensed consolidated financial statements for the three and six months ended June 30, 2024, are consistent with those discussed in Note 2 to the consolidated financial statements in the Company’s Annual Report on Form 10-K for the year ended December 31, 2023, except as noted below within the “Recent Accounting Pronouncements” section.</w:t>
      </w:r>
    </w:p>
    <w:p>
      <w:pPr>
        <w:pStyle w:val="TextBody"/>
        <w:bidi w:val="0"/>
        <w:spacing w:before="240" w:after="283"/>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under its Accounting Standards Codification ("ASC") or other standard setting bodies and adopted by the Company as of the specified effective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ASU 2023-07, Segment Reporting (Topic 280), which requires disclosure of incremental segment information on an annual and interim basis, including enhanced disclosures for companies that have a single reportable segment. The amendment is effective for fiscal years beginning after December 15, 2023 and interim periods beginning after December 15, 2024, and early adoption is permitted. The Company is currently assessing the impact of this amendment on its consolidated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which enhances the disclosures required for income taxes in annual consolidated financial statements. The amendment is effective for fiscal years beginning after December 15, 2024, and early adoption is permitted. The Company is currently assessing the impact of this amendment on its consolidated financial statements and related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3.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consist of the following (in thousands): </w:t>
      </w:r>
    </w:p>
    <w:p>
      <w:pPr>
        <w:pStyle w:val="TextBody"/>
        <w:bidi w:val="0"/>
        <w:jc w:val="left"/>
        <w:rPr/>
      </w:pPr>
      <w:r>
        <w:rPr/>
        <w:t> </w:t>
      </w:r>
    </w:p>
    <w:tbl>
      <w:tblPr>
        <w:tblW w:w="7530" w:type="dxa"/>
        <w:jc w:val="left"/>
        <w:tblInd w:w="0" w:type="dxa"/>
        <w:tblLayout w:type="fixed"/>
        <w:tblCellMar>
          <w:top w:w="28" w:type="dxa"/>
          <w:left w:w="28" w:type="dxa"/>
          <w:bottom w:w="28" w:type="dxa"/>
          <w:right w:w="28" w:type="dxa"/>
        </w:tblCellMar>
      </w:tblPr>
      <w:tblGrid>
        <w:gridCol w:w="4831"/>
        <w:gridCol w:w="146"/>
        <w:gridCol w:w="218"/>
        <w:gridCol w:w="592"/>
        <w:gridCol w:w="146"/>
        <w:gridCol w:w="146"/>
        <w:gridCol w:w="299"/>
        <w:gridCol w:w="961"/>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benefits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manufacturing and research &amp; development costs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and related costs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 and professional fees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the Company’s fair value hierarchy for assets measured at fair value on a recurring basis (in thousands): </w:t>
      </w:r>
    </w:p>
    <w:p>
      <w:pPr>
        <w:pStyle w:val="TextBody"/>
        <w:bidi w:val="0"/>
        <w:jc w:val="left"/>
        <w:rPr/>
      </w:pPr>
      <w:r>
        <w:rPr/>
        <w:t> </w:t>
      </w:r>
    </w:p>
    <w:tbl>
      <w:tblPr>
        <w:tblW w:w="6668" w:type="dxa"/>
        <w:jc w:val="left"/>
        <w:tblInd w:w="0" w:type="dxa"/>
        <w:tblLayout w:type="fixed"/>
        <w:tblCellMar>
          <w:top w:w="28" w:type="dxa"/>
          <w:left w:w="28" w:type="dxa"/>
          <w:bottom w:w="28" w:type="dxa"/>
          <w:right w:w="28" w:type="dxa"/>
        </w:tblCellMar>
      </w:tblPr>
      <w:tblGrid>
        <w:gridCol w:w="1901"/>
        <w:gridCol w:w="146"/>
        <w:gridCol w:w="211"/>
        <w:gridCol w:w="781"/>
        <w:gridCol w:w="146"/>
        <w:gridCol w:w="146"/>
        <w:gridCol w:w="277"/>
        <w:gridCol w:w="458"/>
        <w:gridCol w:w="146"/>
        <w:gridCol w:w="146"/>
        <w:gridCol w:w="277"/>
        <w:gridCol w:w="458"/>
        <w:gridCol w:w="146"/>
        <w:gridCol w:w="146"/>
        <w:gridCol w:w="211"/>
        <w:gridCol w:w="781"/>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9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215,146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9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215,146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215,146</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9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9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274,466</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the fair value of the liability related to sale of future royalties is based on the Company's current estimates of future royalties expected to be paid to Baker Bros. Advisors, LP (“BBA”), which are considered Level 3 inputs.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Palo Alto, California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the Company entered into lease agreements for two buildings at 1200 and 1250 Page Mill Road in Palo Alto, California, which are now the Company’s U.S. corporate offices. Under ASC 842, the Company classified these leases as operating leases and recorded right-of-use assets and lease liabilities on the lease commencement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Switzerland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2020, the Company entered into a lease agreement for office and laboratory space at Rottenstrasse 5 in Visp, Switzerland. Under ASC 842, the Company classified this lease as an operating lease and recorded a right-of-use asset and lease liability on the lease commencement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Ursus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facility. 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 The Company concluded that this agreement contained an embedded lease as the custom-built manufacturing suite would be dedicated for the Company’s use. Under ASC 842, the Company classified the lease portion as an operating lease and recorded a right-of-use asset and lease liability on the lease commencement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Manufacturing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service and equipment purchase agreements and manufacturing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Funding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 </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 </w:t>
      </w:r>
    </w:p>
    <w:p>
      <w:pPr>
        <w:pStyle w:val="TextBody"/>
        <w:bidi w:val="0"/>
        <w:spacing w:before="240" w:after="283"/>
        <w:jc w:val="left"/>
        <w:rPr>
          <w:rFonts w:ascii="Times New Roman" w:hAnsi="Times New Roman"/>
          <w:sz w:val="20"/>
        </w:rPr>
      </w:pPr>
      <w:r>
        <w:rPr>
          <w:rFonts w:ascii="Times New Roman" w:hAnsi="Times New Roman"/>
          <w:b/>
          <w:color w:val="000000"/>
          <w:sz w:val="20"/>
        </w:rPr>
        <w:t>6.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and 2023, the number of shares of common stock available for issuance under the 2018 Equity Incentive Plan (the "2018 Plan") was increased by approximately 2.1 million shares in each period, as a result of the automatic increase provision in the 2018 Plan. </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activity, including stock options and performance-based stock options under the 2021 Long-Term Performance Incentive Plan (“2021 LTPIP”), 2018 Plan and 2015 Plan is summarized as follows:</w:t>
      </w:r>
    </w:p>
    <w:p>
      <w:pPr>
        <w:pStyle w:val="TextBody"/>
        <w:bidi w:val="0"/>
        <w:jc w:val="left"/>
        <w:rPr/>
      </w:pPr>
      <w:r>
        <w:rPr/>
        <w:t> </w:t>
      </w:r>
    </w:p>
    <w:tbl>
      <w:tblPr>
        <w:tblW w:w="8673" w:type="dxa"/>
        <w:jc w:val="left"/>
        <w:tblInd w:w="0" w:type="dxa"/>
        <w:tblLayout w:type="fixed"/>
        <w:tblCellMar>
          <w:top w:w="28" w:type="dxa"/>
          <w:left w:w="28" w:type="dxa"/>
          <w:bottom w:w="28" w:type="dxa"/>
          <w:right w:w="28" w:type="dxa"/>
        </w:tblCellMar>
      </w:tblPr>
      <w:tblGrid>
        <w:gridCol w:w="2941"/>
        <w:gridCol w:w="146"/>
        <w:gridCol w:w="146"/>
        <w:gridCol w:w="1036"/>
        <w:gridCol w:w="166"/>
        <w:gridCol w:w="146"/>
        <w:gridCol w:w="247"/>
        <w:gridCol w:w="669"/>
        <w:gridCol w:w="146"/>
        <w:gridCol w:w="146"/>
        <w:gridCol w:w="268"/>
        <w:gridCol w:w="858"/>
        <w:gridCol w:w="146"/>
        <w:gridCol w:w="146"/>
        <w:gridCol w:w="424"/>
        <w:gridCol w:w="851"/>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17,601,466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canceled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17,720,119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share activity, including restricted stock awards, restricted stock units, and performance-based restricted stock units, under the 2018 Plan is summarized as follows:</w:t>
      </w:r>
    </w:p>
    <w:p>
      <w:pPr>
        <w:pStyle w:val="TextBody"/>
        <w:bidi w:val="0"/>
        <w:jc w:val="left"/>
        <w:rPr/>
      </w:pPr>
      <w:r>
        <w:rPr/>
        <w:t> </w:t>
      </w:r>
    </w:p>
    <w:tbl>
      <w:tblPr>
        <w:tblW w:w="5405" w:type="dxa"/>
        <w:jc w:val="left"/>
        <w:tblInd w:w="0" w:type="dxa"/>
        <w:tblLayout w:type="fixed"/>
        <w:tblCellMar>
          <w:top w:w="28" w:type="dxa"/>
          <w:left w:w="28" w:type="dxa"/>
          <w:bottom w:w="28" w:type="dxa"/>
          <w:right w:w="28" w:type="dxa"/>
        </w:tblCellMar>
      </w:tblPr>
      <w:tblGrid>
        <w:gridCol w:w="2701"/>
        <w:gridCol w:w="146"/>
        <w:gridCol w:w="158"/>
        <w:gridCol w:w="847"/>
        <w:gridCol w:w="166"/>
        <w:gridCol w:w="146"/>
        <w:gridCol w:w="283"/>
        <w:gridCol w:w="767"/>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Restricted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2023</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2024</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is classified in the condensed consolidated statements of operations and comprehensive loss as follows (in thousands): </w:t>
      </w:r>
    </w:p>
    <w:p>
      <w:pPr>
        <w:pStyle w:val="TextBody"/>
        <w:bidi w:val="0"/>
        <w:jc w:val="left"/>
        <w:rPr/>
      </w:pPr>
      <w:r>
        <w:rPr/>
        <w:t> </w:t>
      </w:r>
    </w:p>
    <w:tbl>
      <w:tblPr>
        <w:tblW w:w="7507" w:type="dxa"/>
        <w:jc w:val="left"/>
        <w:tblInd w:w="0" w:type="dxa"/>
        <w:tblLayout w:type="fixed"/>
        <w:tblCellMar>
          <w:top w:w="28" w:type="dxa"/>
          <w:left w:w="28" w:type="dxa"/>
          <w:bottom w:w="28" w:type="dxa"/>
          <w:right w:w="28" w:type="dxa"/>
        </w:tblCellMar>
      </w:tblPr>
      <w:tblGrid>
        <w:gridCol w:w="2746"/>
        <w:gridCol w:w="146"/>
        <w:gridCol w:w="211"/>
        <w:gridCol w:w="676"/>
        <w:gridCol w:w="146"/>
        <w:gridCol w:w="146"/>
        <w:gridCol w:w="211"/>
        <w:gridCol w:w="676"/>
        <w:gridCol w:w="146"/>
        <w:gridCol w:w="146"/>
        <w:gridCol w:w="211"/>
        <w:gridCol w:w="676"/>
        <w:gridCol w:w="146"/>
        <w:gridCol w:w="146"/>
        <w:gridCol w:w="211"/>
        <w:gridCol w:w="676"/>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29,360</w:t>
            </w:r>
          </w:p>
        </w:tc>
        <w:tc>
          <w:tcPr>
            <w:tcW w:w="1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common share equivalents were excluded from the computation of diluted net loss per common share for the periods presented because their inclusion would have been antidilutive: </w:t>
      </w:r>
    </w:p>
    <w:p>
      <w:pPr>
        <w:pStyle w:val="TextBody"/>
        <w:bidi w:val="0"/>
        <w:jc w:val="left"/>
        <w:rPr/>
      </w:pPr>
      <w:r>
        <w:rPr/>
        <w:t> </w:t>
      </w:r>
    </w:p>
    <w:tbl>
      <w:tblPr>
        <w:tblW w:w="5259" w:type="dxa"/>
        <w:jc w:val="left"/>
        <w:tblInd w:w="0" w:type="dxa"/>
        <w:tblLayout w:type="fixed"/>
        <w:tblCellMar>
          <w:top w:w="28" w:type="dxa"/>
          <w:left w:w="28" w:type="dxa"/>
          <w:bottom w:w="28" w:type="dxa"/>
          <w:right w:w="28" w:type="dxa"/>
        </w:tblCellMar>
      </w:tblPr>
      <w:tblGrid>
        <w:gridCol w:w="2266"/>
        <w:gridCol w:w="146"/>
        <w:gridCol w:w="146"/>
        <w:gridCol w:w="1036"/>
        <w:gridCol w:w="146"/>
        <w:gridCol w:w="146"/>
        <w:gridCol w:w="146"/>
        <w:gridCol w:w="103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17,720,119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19,743,781</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212,977</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17,847,640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19,956,758</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_item2"/>
      <w:bookmarkEnd w:id="9"/>
      <w:r>
        <w:rPr>
          <w:rFonts w:ascii="Times New Roman" w:hAnsi="Times New Roman"/>
          <w:b/>
          <w:color w:val="000000"/>
          <w:sz w:val="20"/>
        </w:rPr>
        <w:t xml:space="preserve">Item 2. Management’s Discussion and Analysis of </w:t>
      </w:r>
      <w:bookmarkStart w:id="10" w:name="item_2_managements_discussion_analysis_f"/>
      <w:bookmarkEnd w:id="10"/>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2023, included in our Annual Report on Form 10-K filed with the Securities and Exchange Commission, or the SEC, on March 28, 2024.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 Sciences (“we,” the “Company” or "Kodiak") is a biopharmaceutical company committed to researching, developing, and commercializing transformative therapeutics to treat a broad spectrum of retinal diseases. We are focused on bringing new science to the design and manufacture of next generation retinal medicines to prevent and treat the leading causes of blindness globally. Our ABC Platform uses molecular engineering to merge the fields of protein-based and chemistry-based therapies and has been at the core of Kodiak's discovery engine. We are developing a portfolio of three clinical programs, two of which are late-stage today and derived from our ABC Platform and one which is platform-independent and which we believe can progress rapidly into pivotal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Kodiak's lead investigational medicine, tarcocimab, is a novel anti-VEGF antibody biopolymer conjugate under development for the treatment of high prevalence retinal vascular diseases including diabetic retinopathy, the leading cause of blindness in working-age patients in the developed world, and wet age-related macular degeneration, the leading cause of blindness in elderly patients in the developed world. Tarcocimab is currently being studied in two Phase 3 clinical trials, GLOW2 in patients with diabetic retinopathy and DAYBREAK in patients with wet AMD. Both studies are actively enrolling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is our second investigational medicine, a first-in-class anti-IL-6, VEGF-trap bispecific antibody biopolymer conjugate designed to inhibit both IL-6 mediated inflammation and VEGF-mediated angiogenesis and vascular permeability. KSI-501 is being developed for the treatment of high prevalence retinal vascular diseases to address the unmet needs of extended durability and targeting multiple disease biologies for differentiated efficacy. Phase 1b data for KSI-501 was presented in February 2024, and the Phase 3 DAYBREAK study of KSI-501 in wet AMD is actively enrolling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KSI-101, our third product candidate, is a novel anti-IL-6, VEGF-trap bispecific protein, the unconjugated protein portion of KSI-501. Kodiak is developing KSI-101 for the treatment of retinal inflammatory diseases, as currently there are no available intravitreal biologic therapies addressing the spectrum of inflammatory conditions of the retina. The Phase 1b APEX study of KSI-101 is actively enrolling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 has expanded its early research pipeline of duet and triplet inhibitors that embed small molecules and other active pharmaceutical ingredients (“APIs”) in the biopolymer backbone to enable high drug-antibody 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ophthalmic and systemic diseases. </w:t>
      </w:r>
    </w:p>
    <w:p>
      <w:pPr>
        <w:pStyle w:val="TextBody"/>
        <w:bidi w:val="0"/>
        <w:jc w:val="left"/>
        <w:rPr>
          <w:rFonts w:ascii="Times New Roman" w:hAnsi="Times New Roman"/>
          <w:b/>
          <w:color w:val="000000"/>
          <w:sz w:val="20"/>
        </w:rPr>
      </w:pPr>
      <w:r>
        <w:rPr>
          <w:rFonts w:ascii="Times New Roman" w:hAnsi="Times New Roman"/>
          <w:b/>
          <w:color w:val="000000"/>
          <w:sz w:val="20"/>
        </w:rPr>
        <w:t>Recent Updates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New leadership appointments: </w:t>
      </w:r>
      <w:r>
        <w:rPr>
          <w:rFonts w:ascii="Times New Roman" w:hAnsi="Times New Roman"/>
          <w:color w:val="000000"/>
          <w:sz w:val="20"/>
        </w:rPr>
        <w:t>We strengthened our executive team with the appointment of leaders from both outside and inside our organization in the second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welcomed Dolly Chang, M.D., M.P.H., Ph.D. as Chief Scientific Officer. Dr. Chang joins Kodiak from Genentech, where she held positions of increasing responsibility and directed the early-stage research and clinical ophthalmology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Almas Qudrat, M.Sc., was appointed Chief Quality Officer, in recognition of Kodiak’s increasing commercial-facing manufacturing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Wayne To, M.Phil., was appointed Chief Technology Officer to oversee the maturation of our biopolymer derived triplets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Pablo Velazquez-Martin, M.D., was appointed Chief Medical Officer, in recognition of Kodiak’s increasing BLA-facing clinical activities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Tarcocimab pivotal program: </w:t>
      </w:r>
      <w:r>
        <w:rPr>
          <w:rFonts w:ascii="Times New Roman" w:hAnsi="Times New Roman"/>
          <w:color w:val="000000"/>
          <w:sz w:val="20"/>
        </w:rPr>
        <w:t>We previously announced that first patients were treated in the GLOW2 Phase 3 study of tarcocimab in diabetic retinopathy (“DR”).</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3 GLOW2 study is a prospective, randomized, double-masked, multi-center pivotal superiority study designed to evaluate the efficacy and safety of tarcocimab tedromer in treatment-naïve patients with DR. Patients are randomized 1:1 to receive either sham injections or tarcocimab via intravitreal injection at baseline, Week 4, Week 8, Week 20 and Week 44. The primary endpoint is the proportion of eyes improving ≥2 steps on Diabetic Retinopathy Severity Scale (“DRSS”) from baseline at Week 48. Additional outcome measures include the proportion of eyes developing a sight threatening complication of diabetic retinopathy and the proportion of eyes improving ≥3 steps on DRSS from baseline at Week 48.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GLOW2 is the second Phase 3 study of tarcocimab in DR in which all patients randomized to investigational therapy will receive tarcocimab on extended, 6-month dosing. The GLOW2 study design mirrors that of the successful GLOW1 Phase 3 study with the benefit of an additional, third monthly loading dose (weeks 0, 4, and 8). We completed site activations for GLOW2 in the second quarter. Accelerated patient screenings and randomizations are ongoing. If successful, GLOW2 could serve as one of the two successful pivotal studies in one foundational indication, diabetic retinopathy, to support the marketing authorization application for tarcocimab.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announced our intention to study tarcocimab as a second investigational arm in the Phase 3 DAYBREAK study to assess its 6-month durability potential, strengthen its competitive position in wet AMD and bolster its regulatory application package. Treatment-naïve wet AMD patients randomized to tarcocimab will receive individualized dosing every 4 to 24 weeks on an as needed basis following four monthly loading doses. Patients randomized to aflibercept will be dosed per its label.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GLOW2 and DAYBREAK are being run using tarcocimab’s enhanced 50 mg/mL formulation containing both conjugated and unconjugated antibody that is intended to balance durability and immediacy. The product vision for tarcocimab in wet AMD is a drug that can be used in any wet AMD patient whether they be in the loading (immediacy) phase or in the maintenance (durability) phase.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submission of the study protocol to the FDA in the first quarter of 2024, we began to operationalize the study including site selection in the second quarter of this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DAYBREAK Phase 3 study is now actively enrolling patients.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KSI-501 clinical program: </w:t>
      </w:r>
      <w:r>
        <w:rPr>
          <w:rFonts w:ascii="Times New Roman" w:hAnsi="Times New Roman"/>
          <w:color w:val="000000"/>
          <w:sz w:val="20"/>
        </w:rPr>
        <w:t xml:space="preserve">We completed the Phase 1 study of KSI-501 in patients with diabetic macular edema (“DME”) in the first quarter of 2024 and shared the study results at the Angiogenesis, Exudation, and Degeneration 2024 Virtual Meeting. The results of the Phase 1 study demonstrated that repeated monthly dosing of KSI-501 was safe and well tolerated and achieved clinically meaningful and sustained visual acuity gains and fluid reductions in patients with diabetic macular edema.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announced in the second quarter of 2024 that we intend to advance KSI-501 into the Phase 3 DAYBREAK study to evaluate its efficacy and safety in wet AMD. The DAYBREAK study is a non-inferiority study including parallel investigational arms of KSI-501 and tarcocimab against active comparator aflibercept. Patients randomized to KSI-501 will receive fixed every 8-week dosing with additional individualized dosing (up to monthly dosing) on an as needed basis after four monthly loading doses. Patients randomized to aflibercept will be dosed per its label.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DAYBREAK will use KSI-501’s enhanced 50 mg/mL formulation containing both conjugated and unconjugated antibody that is intended to balance durability and immediacy. The objective for KSI-501 in DAYBREAK is to explore the efficacy potential of potent dual inhibition of VEGF and IL-6 in a broad treatment-naïve wet AMD population. In preclinical models, KSI-501 was shown to be a potent inhibitor of VEGF and IL-6 and, further, was shown to normalize the blood retinal barrier opening the possibility that KSI-501 may be a disease-modifying therapy for retinal vascular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DAYBREAK Phase 3 study is now actively enrolling patients.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KSI-101 clinical program: </w:t>
      </w:r>
      <w:r>
        <w:rPr>
          <w:rFonts w:ascii="Times New Roman" w:hAnsi="Times New Roman"/>
          <w:color w:val="000000"/>
          <w:sz w:val="20"/>
        </w:rPr>
        <w:t>KSI-101 is</w:t>
      </w:r>
      <w:r>
        <w:rPr>
          <w:color w:val="000000"/>
        </w:rPr>
        <w:t xml:space="preserve"> </w:t>
      </w:r>
      <w:r>
        <w:rPr>
          <w:rFonts w:ascii="Times New Roman" w:hAnsi="Times New Roman"/>
          <w:color w:val="000000"/>
          <w:sz w:val="20"/>
        </w:rPr>
        <w:t xml:space="preserve">a novel, potent and high-strength (100 mg/mL) bispecific protein targeting IL-6 and VEGF. With KSI-101, we are seeking to develop an intravitreal biologic therapy whose commercial opportunity sits outside of today’s anti-VEGF retinal vascular disease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held a pre-IND meeting with the FDA in the second quarter of 2024, followed by the IND submission, including the protocol for the Phase 1b APEX study. The APEX study will evaluate KSI-101 in two new cohorts. Cohort 1 is investigating KSI-101 in patients with DME. Cohort 2 is investigating KSI-101 in patients with macular edema secondary to inflammation (“MESI”). The goal of the APEX study is to evaluate the safety and tolerability of KSI-101 and to identify two dose levels to progress into dual Phase 2b/3 studies (PEAK and PINNACLE) in MESI.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APEX study is now actively enrolling patients.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ABC Platform evolution: </w:t>
      </w:r>
      <w:r>
        <w:rPr>
          <w:rFonts w:ascii="Times New Roman" w:hAnsi="Times New Roman"/>
          <w:color w:val="000000"/>
          <w:sz w:val="20"/>
        </w:rPr>
        <w:t xml:space="preserve">We are working to expand our early research pipeline of duets and triplets built from our modular ABC Platform that embeds diverse active pharmaceutical ingredients (“API”) including small molecules, proteins, peptides, macrocycles, and oligonucleotides in the biopolymer backbone to enable high drug antibody ratio (“DAR”) medicines with targeted, multi-specific, tailored modulation of biological pathways for ophthalmic and systemic diseases.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Recent scientific presentations: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Association for Research in Vision and Ophthalmology (“ARVO”) 2024 Annual Meeting, we presented a breadth of data on our early- and late-phase retina pipeline. Our presentations included clinical and non-clinical data on our ABC Platform investigational medicines tarcocimab and KSI-501, and we highlighted progress on our duet and triplet platform including discovery and characterization of novel small molecules and biologics.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Clinical Trials at the Summit 2024 meeting in the second quarter, we presented on Kodiak’s tarcocimab, KSI-501 and KSI-101 programs as well as on the ABC Platform. The presentations highlighted the scientific rationale underlying our ABC Platform medicines, both their ocular durability and, with our new enhanced formulations, the ability to balance both conjugated and unconjugated forms to optimize for durability without compromising immediacy of effect.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 focus on science:</w:t>
      </w:r>
      <w:r>
        <w:rPr>
          <w:color w:val="000000"/>
        </w:rPr>
        <w:t xml:space="preserve"> </w:t>
      </w:r>
      <w:r>
        <w:rPr>
          <w:rFonts w:ascii="Times New Roman" w:hAnsi="Times New Roman"/>
          <w:color w:val="000000"/>
          <w:sz w:val="20"/>
        </w:rPr>
        <w:t>We have launched a new web page called Scientific Presentations under Our Science on kodiak.com. The new page aggregates scientific presentations and posters we have presented on our preclinical, non-clinical and clinical data at various scientific meetings since 2018 in an easily searchable format. This new web page is intended to serve as a user-friendly tool to help communicate our science.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equipment, depreciation and utilities; and other general operating expenses not otherwise classified as research and development expenses.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income earned on our cash and cash equivalents.</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primarily of the change in fair value and settlement of derivative contracts and tax expense.</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for the periods indicated,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1"/>
        <w:gridCol w:w="146"/>
        <w:gridCol w:w="211"/>
        <w:gridCol w:w="736"/>
        <w:gridCol w:w="166"/>
        <w:gridCol w:w="146"/>
        <w:gridCol w:w="211"/>
        <w:gridCol w:w="736"/>
        <w:gridCol w:w="166"/>
        <w:gridCol w:w="146"/>
        <w:gridCol w:w="211"/>
        <w:gridCol w:w="736"/>
        <w:gridCol w:w="166"/>
        <w:gridCol w:w="146"/>
        <w:gridCol w:w="211"/>
        <w:gridCol w:w="736"/>
        <w:gridCol w:w="166"/>
        <w:gridCol w:w="146"/>
        <w:gridCol w:w="211"/>
        <w:gridCol w:w="841"/>
        <w:gridCol w:w="166"/>
        <w:gridCol w:w="146"/>
        <w:gridCol w:w="211"/>
        <w:gridCol w:w="736"/>
        <w:gridCol w:w="3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24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(61,036</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65,409</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4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4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1"/>
        <w:gridCol w:w="146"/>
        <w:gridCol w:w="211"/>
        <w:gridCol w:w="676"/>
        <w:gridCol w:w="146"/>
        <w:gridCol w:w="146"/>
        <w:gridCol w:w="211"/>
        <w:gridCol w:w="676"/>
        <w:gridCol w:w="146"/>
        <w:gridCol w:w="146"/>
        <w:gridCol w:w="211"/>
        <w:gridCol w:w="736"/>
        <w:gridCol w:w="166"/>
        <w:gridCol w:w="146"/>
        <w:gridCol w:w="211"/>
        <w:gridCol w:w="676"/>
        <w:gridCol w:w="146"/>
        <w:gridCol w:w="146"/>
        <w:gridCol w:w="211"/>
        <w:gridCol w:w="781"/>
        <w:gridCol w:w="146"/>
        <w:gridCol w:w="146"/>
        <w:gridCol w:w="211"/>
        <w:gridCol w:w="73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Tarcocimab program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KSI-501 and KSI-101 program </w:t>
              <w:br/>
              <w:t>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211" w:type="dxa"/>
            <w:tcBorders/>
            <w:shd w:fill="FFFFFF" w:val="cle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ABC Platform and other </w:t>
              <w:br/>
              <w:t>   program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Facilities and other research and </w:t>
              <w:br/>
              <w:t>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Total research and development </w:t>
              <w:br/>
              <w: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Tarcocimab program expenses decreased $25.5 million and $45.7 million during the three and six months ended June 30, 2024 as compared to the same periods in 2023, primarily driven by reduced manufacturing and clinical activities for the tarcocimab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and KSI-101 program expenses increased $0.1 million and $1.6 million during the three and six months ended June 30, 2024 as compared to the same periods in 2023, due to increased manufacturing activities, offset by decreased clinical costs from the completion of the Phase 1 clinical study of KSI-501.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ABC Platform and other program expenses decreased $2.0 million and $3.5 million during the three and six months ended June 30, 2024 as compared to the same periods in 2023, due to fewer biopolymer manufacturing runs in the current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 and personnel expenses decreased $5.6 million and $11.3 million during the three and six months ended June 30, 2024 as compared to the same periods in 2023. The decrease in payroll and personnel expenses was primarily driven by forfeitures related to 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research and development expenses decreased $1.5 million and $2.1 million during the three and six months ended June 30, 2024 as compared to the same periods in 2023, primarily driven by reduced costs for digital transformation activities as well as currency fluctuations in the revaluation of our lease and capital obligations.</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$2.4 million and $4.4 million during the three and six months ended June 30, 2024 as compared to the same periods in 2023. The decrease was primarily driven by stock-based compensation expense related to previously issued awards becoming fully vested in prior periods.</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 Plan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the sale and issuance of common stock, redeemable convertible preferred stock, convertible notes, warrants and the sale of royalties. As of June 30, 2024, we had cash and cash equivalents of $219.2 million. We believe that our current cash and cash equivalents will be sufficient to support our current and planned operations into 2026.</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since our inception. For the three and six months ended June 30, 2024, we had net loss of $45.1 million and $88.2 million, of which $18.4 million and $36.8 million related to non-cash stock-based compensation expense, respectively. We expect to continue to incur additional losses in future periods. As of June 30, 2024, we had an accumulated deficit of $1,240.7 million. We believe that the cash and cash equivalents will be sufficient to meet our anticipated operating and capital expenditure requirements at least 12 months following the date of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estimates on assumptions that may prove to be wrong, and we could deplete our capital resources sooner than we expect. The timing and amount of our operating expenditures and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rate of progress and costs of our drug discovery, preclinical development activities, laboratory testing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costs of manufacturing development and commercial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associated with commercializing our product candidates, if they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significant uncertainties caused by any public health crises, the on-going geopolitical conflicts, inflation, rising interest rates, bank failures,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for each of the periods presented below, in thousands: </w:t>
      </w:r>
    </w:p>
    <w:p>
      <w:pPr>
        <w:pStyle w:val="TextBody"/>
        <w:bidi w:val="0"/>
        <w:jc w:val="left"/>
        <w:rPr/>
      </w:pPr>
      <w:r>
        <w:rPr/>
        <w:t> </w:t>
      </w:r>
    </w:p>
    <w:tbl>
      <w:tblPr>
        <w:tblW w:w="8174"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8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(89,180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277,250</w:t>
            </w:r>
          </w:p>
        </w:tc>
        <w:tc>
          <w:tcPr>
            <w:tcW w:w="2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$66.1 million for the six months ended June 30, 2024, based on operational spend of $37.7 million and changes in operating assets and liabilities of $28.4 million.</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disclosure of our contractual obligations and commitments is set forth under the heading “Management’s Discussion and Analysis of Financial Condition and Results of Operations — Material Cash Requirements and Material Known Contractual Obligations and Commitments” in our Annual Report on Form 10-K for the year ended December 31, 2023, which was filed with the SEC on March 28, 2024. There have been no material changes in our contractual obligations and commitments since December 31, 2023, except as otherwise described in Note 5 to our unaudited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2024, there were no material changes to our critical accounting policies as reported in our Annual Report on Form 10-K for the year ended December 31, 2023, which was filed with the SEC on March 28, 2024, except as otherwise described in Note 2 to our unaudited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discussed under Note 2 to our unaudited condensed consolidated financial statements included in this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_item3"/>
      <w:bookmarkEnd w:id="11"/>
      <w:r>
        <w:rPr>
          <w:rFonts w:ascii="Times New Roman" w:hAnsi="Times New Roman"/>
          <w:b/>
          <w:color w:val="000000"/>
          <w:sz w:val="20"/>
        </w:rPr>
        <w:t>Item 3. Quantitative and Qualitati</w:t>
      </w:r>
      <w:bookmarkStart w:id="12" w:name="item_3_quantitative_qualitative_disclosu"/>
      <w:bookmarkEnd w:id="12"/>
      <w:r>
        <w:rPr>
          <w:rFonts w:ascii="Times New Roman" w:hAnsi="Times New Roman"/>
          <w:b/>
          <w:color w:val="000000"/>
          <w:sz w:val="20"/>
        </w:rPr>
        <w:t>ve Disclosures About Market Risk.</w:t>
      </w:r>
    </w:p>
    <w:p>
      <w:pPr>
        <w:pStyle w:val="TextBody"/>
        <w:bidi w:val="0"/>
        <w:spacing w:before="120" w:after="283"/>
        <w:jc w:val="left"/>
        <w:rPr>
          <w:rFonts w:ascii="Times New Roman" w:hAnsi="Times New Roman"/>
          <w:color w:val="000000"/>
          <w:sz w:val="20"/>
        </w:rPr>
      </w:pPr>
      <w:bookmarkStart w:id="13" w:name="s161692780"/>
      <w:bookmarkEnd w:id="13"/>
      <w:r>
        <w:rPr>
          <w:rFonts w:ascii="Times New Roman" w:hAnsi="Times New Roman"/>
          <w:color w:val="000000"/>
          <w:sz w:val="20"/>
        </w:rPr>
        <w:t>During the six months ended June 30, 2024, there were no material changes to our market risk disclosures as reported in our Annual Report on Form 10-K for the year ended December 31, 2023, which was filed with the SEC on March 28, 2024.</w:t>
      </w:r>
    </w:p>
    <w:p>
      <w:pPr>
        <w:pStyle w:val="TextBody"/>
        <w:bidi w:val="0"/>
        <w:spacing w:before="240" w:after="283"/>
        <w:jc w:val="left"/>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Evaluation of our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June 30, 2024. Based upon such evaluation, our principal executive officer and principal financial officer concluded that the design and operation of our disclosure controls and procedures were effective at a reasonable assurance level as of June 30,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during the quarter ended June 30, 2024, that has materially affected, or is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i_item4t"/>
      <w:bookmarkEnd w:id="15"/>
      <w:r>
        <w:rPr>
          <w:rFonts w:ascii="Times New Roman" w:hAnsi="Times New Roman"/>
          <w:b/>
          <w:color w:val="000000"/>
          <w:sz w:val="20"/>
        </w:rPr>
        <w:t>PART II—OTHER</w:t>
      </w:r>
      <w:bookmarkStart w:id="16" w:name="part_iior_information"/>
      <w:bookmarkEnd w:id="16"/>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7" w:name="item_1_legal_proceedings"/>
      <w:bookmarkEnd w:id="17"/>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pStyle w:val="TextBody"/>
        <w:bidi w:val="0"/>
        <w:spacing w:before="240" w:after="283"/>
        <w:jc w:val="left"/>
        <w:rPr>
          <w:rFonts w:ascii="Times New Roman" w:hAnsi="Times New Roman"/>
          <w:b/>
          <w:color w:val="000000"/>
          <w:sz w:val="20"/>
        </w:rPr>
      </w:pPr>
      <w:bookmarkStart w:id="18" w:name="item_1a_risk_factors"/>
      <w:bookmarkEnd w:id="18"/>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may make from time to time. You should consider all of the risk factors described when evaluating our business. We have marked with an asterisk (*) those risk factors that were not included as separate risk factors in, or reflect changes to, the similarly titled risk factors included in Part I, Item 1A, Risk Factors, in our Annual Report on Form 10-K, filed with the SEC on March 28,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in the clinical stage of drug development and have a very limited operating history and no products approved for commercial sale, which may make it difficult to evaluate our current business and predict our future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 stage biopharmaceutical company committed to researching, developing and commercializing transformative therapeutics to treat a broad spectrum of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 DR and RVO. In May 2024, we dosed the first patients in the Phase 3 GLOW2 study of tarcocimab in patients with DR. We have initiated an additional Phase 3 clinical trial of tarcocimab and KSI-501 in wet AMD and a Phase 1b trial in patients who have retinal fluid and inflammation.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obtained marketing approval for any of our product candidates, including tarcocimab, KSI-501 or KSI-101, manufactured a commercial scale product, or conducted sales and marketing activities necessary for successful product commercialization. Our limited operating history as a company and stage of drug development make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suffer.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prospects are heavily dependent on our tarcocimab, KSI-501 and KSI-101 product candidates, which are currently in clinical development for multiple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will be heavily dependent on our tarcocimab, KSI-501 and KSI-101 product candidates and the results of planned or pending clinical studies. We cannot be certain that our product candidates will be successful in any of the planned or pending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previous clinical trial results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previous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clinical study designs and data are not necessarily predictive of the final marketed product label. FDA may not approve a label for a particular dosing frequency, even if we believe the data demonstrate support for that dosing.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a Phase 1 study of KSI-501 to evaluate the safety, tolerability and bioactivity of KSI-501 in DME. Although we have begun enrolling patients in the Phase 3 DAYBREAK study for patients with wet AMD, it could take years before a registrational-type trial is completed, if at all. In addition, we have initiated a dose-finding Phase 1b APEX study in 2024 and may initiate dual Phase 2b/3 studies, PEAK and PINNACLE, in late 2024. We may in the future develop other product candidates, advance additional product candidates into clinical trials and terminate such trials prior to their completion. It will take additional investment and time for such programs to reach the same stage of development as tarcocimab, KSI-501 and KSI-101.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plan for the development of tarcocimab may be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resumed further development of tarcocimab in November 2023 following the outcomes of two other trials that were then underway. While we have previous trials with favorable results and we have since resumed development of tarcocimab, further development of tarcocimab may ultimately not be successful. In connection with our development program, we developed an enhanced, commercial formulation of tarcocimab. While the FDA has advised that the additional clinical studies to be conducted with the revised formulation should be sufficient to bridge the former material to the go-to-market material, we cannot be sure that the FDA, EMA or comparable foreign regulatory authorities would agree or accept our planned BLA even if our planned additional trial is successful.</w:t>
      </w:r>
    </w:p>
    <w:p>
      <w:pPr>
        <w:pStyle w:val="TextBody"/>
        <w:bidi w:val="0"/>
        <w:jc w:val="left"/>
        <w:rPr>
          <w:rFonts w:ascii="Times New Roman" w:hAnsi="Times New Roman"/>
          <w:b/>
          <w:i/>
          <w:color w:val="000000"/>
          <w:sz w:val="20"/>
        </w:rPr>
      </w:pPr>
      <w:r>
        <w:rPr>
          <w:rFonts w:ascii="Times New Roman" w:hAnsi="Times New Roman"/>
          <w:b/>
          <w:i/>
          <w:color w:val="000000"/>
          <w:sz w:val="20"/>
        </w:rPr>
        <w:t>The failure of pivotal studies of tarcocimab to meet their primary efficacy endpoints may lead us to pause, change or discontinue development of other product candidates based on our ABC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we announced that two of our pivotal Phase 3 clinical trials of tarcocimab did not meet their primary efficacy endpoints and, as a result, we paused further development of tarcocimab pending review of data from the BEACON study in patients with macular edema due to RVO and the GLOW1 study patients with diabetic retinopathy. Although we resumed the development of tarcocimab in November 2023, we may again determine to discontinue development of tarcocimab or our ABC Platform or other product candidates using our ABC Platform based on future information or trials results, which could prevent us from, or significantly delay, achieving profitability and could result in disruptions to our business including potential impairment charges, restructuring costs, or costs that are greater than expected.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of biopharmaceutical products is inherently risky. We cannot give any assurance that any of our product candidates will receive regulatory, including marketing, approval, which is necessary before they can be commercialized.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have in the past and may in the future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candidate obtains regulatory approval, approval may be for indications, dosage and administration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on further study, be shown to have harmful side effects or other characteristics that indicate it is unlikely to be effective or otherwise does not meet applicable regulatory criteria, for example a positive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platform technologies that render our ABC Platform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candidates and ABC Platform that we develop may not be sufficiently covered by intellectual property for which we hold exclusive rights or may be covered by third 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if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may not be successful in our efforts to further develop our product candidates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in any jurisdiction.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by the reviewing regulatory authority to require more costly or lengthy clinical trials than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CROs, and clinical trial sites, the terms of which can be subject to extensive negotiation and may vary significantly among different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Institutional Review Board, or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our CROs, other third parties, or us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in accordance with the FDA’s or any other regulatory authority’s good clinical practices, or GCPs, requirements, or applicable EMA or other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CMOs or by us, and delays or failure by our CMOs or us to make any necessary changes to such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manufacturing, testing, releasing, validating, or importing/exporting sufficient stable quantities of our product candidates for use in clinical trials and for use in regulatory filings or the inability to do any of the foregoing.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Regulatory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commencement, conduct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halt their clinical development, prevent their regulatory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completed GLEAM and GLIMMER clinical trials, we observed an unexpected increase in cataracts, which we believe may have contributed meaningfully to the failure of each study to meet its primary efficacy endpoint.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most advanced product candidate, tarcocimab, is an anti-VEGF biologic that we have studied in wet AMD, DME, DR and RVO. Our KSI-501 product candidate is a first-in-class bispecific antibody conjugate designed to inhibit two mechanisms implicated in retinal diseases: IL-6 and VEGF. Our KSI-101 product candidate is the unconjugated protein portion of KSI-501 and is a novel bispecific protein targeting IL-6 and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KSI-501 and KSI-101 may heighten the risk of adverse effects associated with anti-VEGF treatments generally, both in the eye and in the rest of the body. There are risks inherent in the intravitreal injection procedure of drugs like tarcocimab, KSI-501 and KSI-101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KSI-501 and KSI-101 in broader populations and impact clinical trial enrollment, regulatory approval and commercial success.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if approved, and could significantly harm our business,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encounter difficulties enrolling patients in our clinical trials, and our clinical development activities could thereby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study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a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health epidemics, including the resulting shelter-in-place, travel or similar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safety events may cause physicians to decrease patient enrollment in our current or planned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for similar therapies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and side effects of the product candidate being studied in relation to other available therapies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complete such trials, for any reason.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clinical trials may fail to demonstrate substantial evidence of the durability, efficacy and safety of our product candidates, which would prevent,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Eylea and Avastin are established products with accepted safety profiles.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 Most product candidates that begin clinical trials are never approved by regulatory authorities for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large pharmaceutical and biotechnology companies that are currently pursuing the development of products for the treatment of the retinal diseases for which we have product candidates. Certain of our competitors have commercially approved products for the treatment of retinal diseases that we are pursuing or may pursue in the future, including Roche, Regeneron and Novartis for the treatment of wet AMD, DME, DR and RVO. These drugs are well established therapies and are widely accepted by physicians, patients and third-party payors, which may make it difficult to educate these parties on the benefits of switching to any product candidates developed by us. Companies that we are aware are developing and/or commercializing therapeutics in the retinal disease area include large companies with significant financial resources, such as Roche, Novartis, Bayer and Regeneron, AbbVie, Boehringer Ingelheim, Amgen, Johnson &amp; Johnson, and Samsung Bioepis. In addition to competition from other companies targeting retinal indications, any products we may develop may also face competition from other types of therapies, such as gene-editing therapies and drug delivery devices.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Two Lucentis biosimilars were approved in the United States in 2022, and their approval may impact market dynamics and payor policies negatively for our product candidates. Roche’s product, Vabysmo (faricimab) received FDA approval for the treatment of wet AMD and DME in January 2022 and received FDA approval for RVO in October 2023. Vabysmo has gained rapid adoption since launch, and we believe it will become an important product in the marketplace. Regeneron’s product, Eylea HD (high dose aflibercept) gained FDA approval for the treatment of wet AMD, DME and DR in August 2023. We believe it will become an important therapy in the marketplace given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Quarterly Report on Form 10-Q titled “Risks Related to Our Intellectual Property.”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manufacture of our product candidates is highly complex and requires substantial lead time to produce.*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for raw materials needed for manufacturing our product candidates. We may not be able to obtain adequate amounts in the future. These challenges are magnified by the international nature of our supply chain, which, for tarcocimab, KSI-501 and KSI-101, requires drug substance and drug product sourced from single source suppliers from China, Japan, the United Kingdom, the United States and Switzerland.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limited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p>
    <w:p>
      <w:pPr>
        <w:pStyle w:val="TextBody"/>
        <w:bidi w:val="0"/>
        <w:spacing w:before="120" w:after="283"/>
        <w:jc w:val="left"/>
        <w:rPr>
          <w:rFonts w:ascii="Times New Roman" w:hAnsi="Times New Roman"/>
          <w:sz w:val="20"/>
        </w:rPr>
      </w:pPr>
      <w:r>
        <w:rPr>
          <w:rFonts w:ascii="Times New Roman" w:hAnsi="Times New Roman"/>
          <w:color w:val="000000"/>
          <w:sz w:val="20"/>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w:t>
      </w:r>
      <w:r>
        <w:rPr>
          <w:rFonts w:ascii="Times New Roman" w:hAnsi="Times New Roman"/>
          <w:color w:val="FF0000"/>
          <w:sz w:val="20"/>
        </w:rPr>
        <w:t xml:space="preserve"> </w:t>
      </w:r>
      <w:r>
        <w:rPr>
          <w:rFonts w:ascii="Times New Roman" w:hAnsi="Times New Roman"/>
          <w:color w:val="000000"/>
          <w:sz w:val="20"/>
        </w:rPr>
        <w:t>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methods of manufacturing or formulation of product candidates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recently created a scale-up formulation of tarcocimab in a manner that we believe may improve manufacturability and usability.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jc w:val="left"/>
        <w:rPr>
          <w:rFonts w:ascii="Times New Roman" w:hAnsi="Times New Roman"/>
          <w:color w:val="000000"/>
          <w:sz w:val="20"/>
        </w:rPr>
      </w:pPr>
      <w:r>
        <w:rPr>
          <w:rFonts w:ascii="Times New Roman" w:hAnsi="Times New Roman"/>
          <w:color w:val="000000"/>
          <w:sz w:val="20"/>
        </w:rPr>
        <w:t xml:space="preserve">Factors that may inhibit our efforts to commercialize any approved product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and retain adequate numbers of effective sales, marketing,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educate adequate numbers of physicians on the benefits of prescribing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commercialization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label as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appropriate patient access programs, such as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coverage or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product candidates we develop do not achieve an adequate level of acceptance, we may not generate significant product revenue, and we may not become profitable.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pricing and access policies in the United States and internationally may change and negatively impact the commercial viability of our product candidates. Proposed policy changes, including the potential for Medicare to negotiate with drug manufacturers under the Inflation Reduction Act of 2022, or the IRA,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 candidates may face competition from biological products that are biosimilar to or interchangeable with our product candidates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development program and timeline of tarcocimab may impact our ability to use the Ursus facility as intended, which could result in an excess of 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we, together with our wholly owned subsidiary Kodiak Sciences GmbH, entered into a manufacturing agreement with Lonza Ltd for the clinical and commercial supply of the Company’s antibody biopolymer conjugate drug substance, which included a custom-built manufacturing facility for the potential clinical and commercial supply of tarcocimab, or the Ursus facility. The development plan for tarcocimab, and any further changes thereto, as well as the timeline and success of tarcocimab, 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successful in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the design, implementation or results of our clinical trials or the portfolio of clinical trials planned for submission in our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EMA or comparable foreign regulatory authorities that a product candidate’s risk-benefit ratio for its proposed indication(s), when compared to the standard of care,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data may not be positive in all clinical trials demonstrating a mix of positive and negative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fail to approve the chemistry, manufacturing and controls processes, test procedures and specifications, or facilities or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conducted clinical trials for our product candidates outside the United States (or the respective jurisdictions of other regulatory authorities), and the FDA (or EMA and applicable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we obtain regulatory approval for a product candidate, our products will remain subject to extensive regulatory scrutiny.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warning letters that would result in adverse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or detain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any additional healthcare reform measures of the Biden administration will impact the ACA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including the Infrastructure Investment and Jobs Act and Consolidated Appropriations Act of 2023, will remain in effect until 2032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for single source and innovator multiple source drugs, effective January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the ACA, the IRA,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comply with healthcare laws, we could face substantial penalties and our business, operations and financial conditions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stringent and evolving obligations related to data privacy and security. These obligations include U.S. and foreign laws, regulations and rules; contractual obligations; industry standards; and policies. Our actual or perceived failure to comply with such obligations could lead to regulatory investigations and actions; litigation (including class claims) and arbitration; fines and penalties; disruptions of our business operations; reputational harm; loss of revenue and profits; loss of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(commonly known as processing)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provincial, state, national, and foreign laws and regulations, as well as policies, contracts and other obligations. Data privacy and security laws and regulations are evolving and may result in ever-increasing regulatory and public scrutiny and escalating levels of enforcement and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data privacy and security laws, including data breach notification laws, personal data privacy laws, consumer protection laws and other similar laws. In the past few years, numerous U.S. states — including California, Colorado, Connecticut, Utah and Virginia — have enacted comprehensive privacy laws that impose certain obligations on covered businesses, including providing specific disclosures in privacy notices and affording residents with certain rights concerning their personal data. As applicable, such rights may include, in relation to their personal data, the right to access, correct, delete and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California Consumer Privacy Act (the CCPA) provides for civil penalties for violations (up to $7,500 per violation) and a private right of action for certain data breaches(which could lead to the recovery of significant statutory damages). Although these laws may exempt some data processed in the context of clinical trials, these laws increase compliance costs and potential liability in the general data processing industry. Similar laws are being considered in other states as well as at the federal and local levels. We expect more laws to apply to our data processing activities. These laws will further complicate our compliance efforts and increase our legal risks and compliance costs (including of third parties upon whom we rely).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the European Union’s General Data Protection Regulation, or EU GDPR, and the United Kingdom’s GDPR, or UK GDPR, impose strict requirements for processing personal data. Violators of these laws face significant penalties. For example, government regulators may impose temporary or definitive bans on data processing, as well as fines of up to 20 million Euros (under the EU GDPR) or 17.5 million pounds sterling (under the UK GDPR), or 4% of annual global revenue, whichever is greater, under either law. Further, the EU and UK GDPR also provide for private litigation related to the processing of personal data that can be brought by classes of data subjects or consumer protection organizations authorized at law to represent the data subjects’ interests.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transfers. Although there are various mechanisms (such as the European Economic Area standard contractual clauses, the UK’s International Data Transfer Agreement/Addendum, and the EU-U.S. Data Privacy Framework and the UK extension), that may be used in some cases to lawfully transfer personal data to the United States or other countries, these mechanisms are subject to legal challenges and may not be available to us. An inability or material limitation on our ability to transfer personal data to the United States or other countries could materially impact our business operations. If we cannot implement a valid compliance mechanism for cross-border data transfers, we may face increased exposure to regulatory actions, substantial fines, and injunctions against processing or transferring personal data from Europe and other foreign jurisdictions. The inability to import personal data to the United States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entities that transfer personal data across borders are subject to increased regulator, individual and activist group scrutiny. Some European regulators have ordered certain companies to suspend or permanently cease certain data transfers out of Europe for allegedly violating the GDPR’s cross-border data transfer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individuals’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120" w:after="283"/>
        <w:jc w:val="left"/>
        <w:rPr>
          <w:rFonts w:ascii="Times New Roman" w:hAnsi="Times New Roman"/>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upon whom we rely may fail to comply with such obligations which could negatively impact our business. If we or any third party on which we rely fail or are perceived to have failed to address or comply with applicable obligations relating to data privacy and security, we could face significant consequences including but not limited to: regulatory fines and bans on processing personal data; investigations and enforcement actions, penalties and other liabilities, litigation (including class action claims and mass arbitration demands); additional reporting requirements and/or oversight; orders to destroy or not use personal data; interruptions to our development process; and damage to our reputation, any of which could materially affect our business, financial condition, results of operations and growth prospects</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business activities may be subject to the Foreign Corrupt Practices Act, or FCPA, and similar anti-bribery and anti-corruption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on a third-party manufacturer, Lonza AG, for the manufacture of our materials for preclinical studies and clinical trials and expect to continue to do so for preclinical studies, clinical trials and for commercial supply of any product candidates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establish any further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early termination of the agreement by us at a time that requires us to pay a cancellation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quality assurance, safety and pharmacovigilance and related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produce required volume in a timely manner and to quality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medicines that we may develop may compete with other product candidates and products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rely on third-party suppliers for key raw materials used in our manufacturing processes, and the loss of these third-party suppliers or their inability to supply us with adequate raw materials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product candidates we may develop,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undergo a change of control and the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bankrupt, which may significantly delay our research or development programs, or may cause us to lose access to valuable technology, know-how or intellectual property of the collaborator relating to our products,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or our ABC Platform;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any of our patent applications does not issue as a patent in any jurisdiction,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KSI-501 and KSI-101, if we rely on a different product, its development could involve the use of government funds, which can require additional compliance aspects to make certain all rights are transferred to or remain with us.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Issued patents may be challenged or invalidated, and relatively recent changes in U.S. patent law have diminished and may further diminish the value of patents in general. We rely on patents to protect our products, and any diminishment in the scope or value of our patents would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 </w:t>
      </w:r>
    </w:p>
    <w:p>
      <w:pPr>
        <w:pStyle w:val="TextBody"/>
        <w:bidi w:val="0"/>
        <w:jc w:val="left"/>
        <w:rPr>
          <w:rFonts w:ascii="Times New Roman" w:hAnsi="Times New Roman"/>
          <w:sz w:val="20"/>
        </w:rPr>
      </w:pPr>
      <w:r>
        <w:rPr>
          <w:rFonts w:ascii="Times New Roman" w:hAnsi="Times New Roman"/>
          <w:b/>
          <w:i/>
          <w:color w:val="000000"/>
          <w:sz w:val="20"/>
        </w:rPr>
        <w:t>Third-party claims of intellectual property infringement, misappropriation or other violation against us or our collaborators may prevent or delay the development and commercialization of our product candidates, the ABC Platform and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 w:hAnsi="Times New Roman"/>
          <w:i/>
          <w:color w:val="000000"/>
          <w:sz w:val="20"/>
        </w:rPr>
        <w:t xml:space="preserve">inter partes </w:t>
      </w:r>
      <w:r>
        <w:rPr>
          <w:rFonts w:ascii="Times New Roman" w:hAnsi="Times New Roman"/>
          <w:color w:val="000000"/>
          <w:sz w:val="20"/>
        </w:rPr>
        <w:t xml:space="preserve">review and post-grant review have been implemented. As stated above, this reform adds uncertainty to the possibility of challenge to our patents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number of patents and patent applications that are directed to one or more aspects of tarcocimab and KSI-501. Our intent is to maintain our development efforts under 35 U.S.C. Section 271(e)(1) (which provides a safe harbor from patent infringement claims related to certain drug development activities) through to at least the launch of any tarcocimab and KSI-501 product. We are aware of at least one pending patent application with claims that are directed to some aspect of tarcocimab and KSI-501, and that could, if issued, result in a patent term beyond a potential launch date for tarcocimab or KSI-501. If this were to occur, we may be required to challenge the validity of the claims, obtain a license, modify tarcocimab or KSI-501, or delay launch. We are also aware of at least one issued patent family with claims that may be related to some potential future aspect(s) of KSI-501 and that has a patent term beyond a potential launch date for KSI-501. If this or any other patent family were perceived relevant, we may be required to challenge the validity of the claims, obtain a license, modify KSI-501, or delay launch.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to further the pipeline and develop a different product, such a product would be delayed until the expiration of any valid patent that is still in force on such product. Alternatively, our options for addressing any such patents relating to these non- tarcocimab and KSI-501 products would include the following: challenge the validity of the claims, obtain a license, or modify the non- tarcocimab and non-KSI-501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or utilize similar technology but that are not covered by the claims of the patents that we may license or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the issued patent or pending patent application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current or future pending owned or licensed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prospects.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we had 111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increasing operational and managerial complexity.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engage in acquisitions, in-licensing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engage in various acquisitions and strategic partnerships in the future, including licensing or acquiring complementary products, intellectual property rights, technologies or businesses. Any acquisition or strategic partnership may entail numerous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undertake such a transaction, we may incur large one-time expenses and acquire intangible assets that could result in significant future amortization expense.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our security measures, or those maintained on our behalf by CROs, service providers or other third parties, are compromised now, or in the future, or the security, confidentiality, integrity or availability of our or others' information technology, software, services, networks, communications or data is compromised, limited or fails, this could result in significant fines or other liability, interrupt our development programs, harm our reputation, or otherwise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others upon which we rely process personal data and other sensitive information, including proprietary and confidential business data, trade secrets, intellectual property, data collected about trial participants in connection with clinical trials, and sensitive third-party data. We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CROs, contractors, consultants, and other third parties on which we depend to operate our business, may be vulnerable to these threats. These threats come from a variety of sources, including traditional computer “hackers,” threat actors, personnel (such as through theft or misuse), sophisticated nation-states, and nation-state-supported actors. During times of war and other major conflicts, we and the third parties upon which we rely may be vulnerable to a heightened risk of attacks, including cyber-attacks that could materially disrupt our systems and operations and supply chain. We and the third parties upon which we rely may be subject to a variety of evolving threats, including but not limited to social-engineering attacks (including through deep fakes and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attacks enhanced or facilitated by artificial intelligence (AI),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certain personnel may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A security incident or other interruption could result in unauthorized, unlawful, or accidental acquisition, modification, destruction, loss, alteration, encryption, disclosure of, access to our sensitive information, or interruptions or stoppages in our business operations (including our clinical trials).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developed systems and processes designed to protect the integrity, confidentiality and security of the sensitive information under our control, we cannot assure you that our security measures or those of the third parties we depend on will be effective in preventing security incidents. There are many different and rapidly evolving cybercrime and hacking techniques, and we may be unable to anticipate attempted security incidents, identify them before our information is exploited, or react in a timely manner. We may be unable to detect vulnerabilities in our information technology systems and software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applicable data protection requirements, including, without limitation, laws, regulations, guidance as well as our internal and external policies and our contractual obligations, may require us to notify relevant stakeholders of security incident,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Any limitations or exclusions of liability in our contracts may not be enforceable or adequate or protect us from liability or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business is subject to economic, political, regulatory and other risks associated with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risks associated with conducting business internationally. Some of our suppliers and collaborative relationships are located outside the United States. Accordingly, our future results could be harmed by a variety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non-U.S.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changing regulatory requirements, pricing and reimbursement regimes in non-U.S.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compliance with non-U.S.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regulations and customs, tariffs and trade barriers;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currency exchange rates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 specific country’s or region’s political or 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protection measures, import or export licensing requirements or other restrictive actions by U.S. or non-U.S. governments;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consequences from changes in tax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associated with staffing and managing international operations, including differing labor relations;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liability under the FCPA or comparable foreign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In addition, increasing inflation rates and the responses by central banking authorities to control such inflation have contributed to uncertainty and volatility in U.S. and global markets. Rising inflation rates in the United States have begun to affect businesses across many industries, including ours, by increasing costs of operations such as labor.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planned international operations may materially adversely affect our business, financial condition, and ability to attain profitable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the effects of disease outbreaks, epidemics and pandemics, as well as the business or operations of our manufacturers, CROs or other third parties with whom we conduct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materially and adversely affected by health epidemics in regions where we have concentrations of clinical trial sites or other business operations and could cause significant disruption in the operations of third-party manufacturers and CROs upon whom we 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health epidemics. To date, we continue to see low levels of patient missed visits.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Company had $83.8 million of federal and $616.3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Business, Financial Condition and Capital Requirements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Unfavorable U.S. and global economic conditions could adversely affect our business, financial condition or results of operations</w:t>
      </w:r>
      <w:r>
        <w:rPr>
          <w:rFonts w:ascii="Arial" w:hAnsi="Arial"/>
          <w:b/>
          <w:i/>
          <w:color w:val="000000"/>
          <w:sz w:val="17"/>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increasing inflation rates and the responses by central banking authorities to control such inflation, geopolitical conflicts, and bank failures,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financial markets around the world experienced volatility following the invasion of Ukraine by Russia.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incurred significant net losses in each period since our inception and anticipate that we will continue to incur significant and increasing net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in each reporting period since our inception, including net losses of $88.2 million for the six months ended June 30, 2024. As of June 30, 2024, we had an accumulated deficit of $1,240.7 million.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and increasingly higher expenses and operating losses for the foreseeable future.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 with our contract manufacturers to scale up the manufacturing processes for our product candidates or, in the future, establish and operate a manufacturing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conduct additional preclinical, clinical or other studies for our current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the development of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 the requirements and demands of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defend against any product liability claims or other lawsuits related to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Drug development is a highly uncertain undertaking and involves a substantial degree of risk. We have never generated any revenue from product sales, and we may never generate revenue or be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successfully commercializing product candidates for which we obtain regulatory and marketing approval, either by collaborating with a partner or, if launched independently, by establishing a sales, marketing and distribution infrastructure;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an adequate price for our product candidates, both in the United States and in foreign countries where our products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adequate reimbursement for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obtain additional financing, we may be unable to complete the development and, if approved,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required substantial amounts of cash since inception. To date, we have funded our operations primarily through the sale of equity securities.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for the further development and, if approved, commercialization of our product candidates. Additional capital may not be available when we need it, on terms acceptable to us or at all. For example, recent geopolitical conflicts in Europe and the Middle East created extreme volatility in the global capital markets and are expected to have further global economic consequences, including disruptions of the global supply chain. Further, inflation rates, particularly in the United States, have increased recently to levels not seen in decades, and the Federal Reserve has raised, and may again raise, interest rates. These conditions of economic uncertainty and market volatility could limit additional capital available to us, if and when needed, and increase its cost if available.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Foreign currency exchange rate risk may impact our financial position and results.</w:t>
      </w:r>
    </w:p>
    <w:p>
      <w:pPr>
        <w:pStyle w:val="TextBody"/>
        <w:bidi w:val="0"/>
        <w:spacing w:before="120" w:after="283"/>
        <w:jc w:val="left"/>
        <w:rPr>
          <w:rFonts w:ascii="Times New Roman" w:hAnsi="Times New Roman"/>
          <w:sz w:val="20"/>
        </w:rPr>
      </w:pPr>
      <w:r>
        <w:rPr>
          <w:rFonts w:ascii="Times New Roman" w:hAnsi="Times New Roman"/>
          <w:color w:val="000000"/>
          <w:sz w:val="20"/>
        </w:rPr>
        <w:t>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w:t>
      </w:r>
      <w:r>
        <w:rPr>
          <w:rFonts w:ascii="Times New Roman" w:hAnsi="Times New Roman"/>
          <w:b/>
          <w:color w:val="000000"/>
          <w:sz w:val="20"/>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market price of our common stock may be volatile, which could result in substantial losses for investors purchasing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may be volatile. For example, the closing price of our common stock from December 31, 2022 to December 31, 2023 ranged from a low of $1.40 to a high of $9.48 and from January 1, 2024 to July 31, 2024, ranged from a low of $2.20 to a high of $7.45. As a result, shareholders may not be able to sell their common stock at or above the price that they paid for such shares. Some of the factors that may cause the market price of our common stock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results of clinical trials for our current product candidates and any future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develop our ABC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research programs,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the current inflationary environment, lowered consumer confidence, bank failures, major geopolitical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interest rate increases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principal stockholders own a significant percentage of our common stock,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by a majority vote,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the Court of Chancery of the State of Delaware will be the exclusive forum for: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DGCL, our certificate of incorporation, or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further provide that the U.S. federal district courts will be the exclusive forum for resolving any complaint asserting a cause of action arising under the Securities Act of 1933, as amended.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Future sales of our common stock in the public market could cause our share price to decline,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i_item2"/>
      <w:bookmarkEnd w:id="19"/>
      <w:r>
        <w:rPr>
          <w:rFonts w:ascii="Times New Roman" w:hAnsi="Times New Roman"/>
          <w:b/>
          <w:color w:val="000000"/>
          <w:sz w:val="20"/>
        </w:rPr>
        <w:t xml:space="preserve">Item 2. </w:t>
      </w:r>
      <w:bookmarkStart w:id="20" w:name="item_2_unregistered_sales_equity_securit"/>
      <w:bookmarkEnd w:id="20"/>
      <w:r>
        <w:rPr>
          <w:rFonts w:ascii="Times New Roman" w:hAnsi="Times New Roman"/>
          <w:b/>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1" w:name="item_3_defaults_upon_senior_securities"/>
      <w:bookmarkEnd w:id="21"/>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2" w:name="item_4_mine_safety_disclosures"/>
      <w:bookmarkEnd w:id="2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3" w:name="item_5_or_information"/>
      <w:bookmarkEnd w:id="23"/>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4" w:name="ii_item6"/>
      <w:bookmarkEnd w:id="24"/>
      <w:r>
        <w:rPr>
          <w:rFonts w:ascii="Times New Roman" w:hAnsi="Times New Roman"/>
          <w:b/>
          <w:color w:val="000000"/>
          <w:sz w:val="20"/>
        </w:rPr>
        <w:t>Item 6. E</w:t>
      </w:r>
      <w:bookmarkStart w:id="25" w:name="item_6_exhibits"/>
      <w:bookmarkEnd w:id="25"/>
      <w:r>
        <w:rPr>
          <w:rFonts w:ascii="Times New Roman" w:hAnsi="Times New Roman"/>
          <w:b/>
          <w:color w:val="000000"/>
          <w:sz w:val="20"/>
        </w:rPr>
        <w:t>xhibits.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6001"/>
        <w:gridCol w:w="146"/>
        <w:gridCol w:w="527"/>
        <w:gridCol w:w="146"/>
        <w:gridCol w:w="842"/>
        <w:gridCol w:w="146"/>
        <w:gridCol w:w="631"/>
        <w:gridCol w:w="146"/>
        <w:gridCol w:w="726"/>
      </w:tblGrid>
      <w:tr>
        <w:trPr/>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6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4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Kodiak Sciences Inc.</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11/16/2018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Kodiak Sciences Inc.</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11/16/2018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333-227237</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9/24/2018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Class B Share Warrant</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333-227237</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Registration Rights Agreement, dated March 1, 2021, by and among the registrant and the investors named therein</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3/1/2021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2.htm">
              <w:r>
                <w:rPr>
                  <w:rStyle w:val="InternetLink"/>
                  <w:rFonts w:ascii="Times New Roman" w:hAnsi="Times New Roman"/>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2.htm">
              <w:r>
                <w:rPr>
                  <w:rStyle w:val="InternetLink"/>
                  <w:rFonts w:ascii="Times New Roman" w:hAnsi="Times New Roman"/>
                  <w:color w:val="0000FF"/>
                  <w:sz w:val="20"/>
                  <w:u w:val="single"/>
                </w:rPr>
                <w:t>Certification of Principal Accounting and Financial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signatures"/>
      <w:bookmarkEnd w:id="26"/>
      <w:r>
        <w:rPr>
          <w:rFonts w:ascii="Times New Roman" w:hAnsi="Times New Roman"/>
          <w:b/>
          <w:color w:val="000000"/>
          <w:sz w:val="20"/>
        </w:rPr>
        <w:t>SIGNAT</w:t>
      </w:r>
      <w:bookmarkStart w:id="27" w:name="signature"/>
      <w:bookmarkEnd w:id="27"/>
      <w:r>
        <w:rPr>
          <w:rFonts w:ascii="Times New Roman" w:hAnsi="Times New Roman"/>
          <w:b/>
          <w:color w:val="000000"/>
          <w:sz w:val="20"/>
        </w:rPr>
        <w: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KODIAK SCIENCES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bookmarkStart w:id="28" w:name="kod-ex31_1.htm"/>
      <w:bookmarkStart w:id="29" w:name="kskod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Victor Perlroth,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72" w:type="dxa"/>
        <w:jc w:val="left"/>
        <w:tblInd w:w="0" w:type="dxa"/>
        <w:tblLayout w:type="fixed"/>
        <w:tblCellMar>
          <w:top w:w="28" w:type="dxa"/>
          <w:left w:w="28" w:type="dxa"/>
          <w:bottom w:w="28" w:type="dxa"/>
          <w:right w:w="28" w:type="dxa"/>
        </w:tblCellMar>
      </w:tblPr>
      <w:tblGrid>
        <w:gridCol w:w="1951"/>
        <w:gridCol w:w="109"/>
        <w:gridCol w:w="406"/>
        <w:gridCol w:w="34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kod-ex31_2.htm"/>
      <w:bookmarkStart w:id="31" w:name="kskod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Borgeson,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kod-ex32_1.htm"/>
      <w:bookmarkStart w:id="33" w:name="kskodex32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Kodiak Sciences Inc. (the “Company”) on Form 10-Q for the period ended June 30, 2024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872" w:type="dxa"/>
        <w:jc w:val="left"/>
        <w:tblInd w:w="0" w:type="dxa"/>
        <w:tblLayout w:type="fixed"/>
        <w:tblCellMar>
          <w:top w:w="28" w:type="dxa"/>
          <w:left w:w="28" w:type="dxa"/>
          <w:bottom w:w="28" w:type="dxa"/>
          <w:right w:w="28" w:type="dxa"/>
        </w:tblCellMar>
      </w:tblPr>
      <w:tblGrid>
        <w:gridCol w:w="1951"/>
        <w:gridCol w:w="109"/>
        <w:gridCol w:w="406"/>
        <w:gridCol w:w="34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kod-ex32_2.htm"/>
      <w:bookmarkStart w:id="35" w:name="kskodex32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Kodiak Sciences Inc. (the “Company”) on Form 10-Q for the period ended June 30, 2024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748/000156459018029743/kod-ex31_303.htm" TargetMode="External"/><Relationship Id="rId3" Type="http://schemas.openxmlformats.org/officeDocument/2006/relationships/hyperlink" Target="https://www.sec.gov/Archives/edgar/data/1468748/000156459018029743/kod-ex32_302.htm" TargetMode="External"/><Relationship Id="rId4" Type="http://schemas.openxmlformats.org/officeDocument/2006/relationships/hyperlink" Target="https://www.sec.gov/Archives/edgar/data/1468748/000119312518280419/d516071dex41.htm" TargetMode="External"/><Relationship Id="rId5" Type="http://schemas.openxmlformats.org/officeDocument/2006/relationships/hyperlink" Target="https://www.sec.gov/Archives/edgar/data/1468748/000119312518269221/d516071dex45.htm" TargetMode="External"/><Relationship Id="rId6" Type="http://schemas.openxmlformats.org/officeDocument/2006/relationships/hyperlink" Target="https://www.sec.gov/Archives/edgar/data/1468748/000156459021009946/kod-ex47_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48272</Words>
  <Characters>272990</Characters>
  <CharactersWithSpaces>321703</CharactersWithSpaces>
  <Paragraphs>4294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