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720" w:hanging="3652"/>
        <w:spacing w:after="0" w:line="387" w:lineRule="auto"/>
        <w:tabs>
          <w:tab w:leader="none" w:pos="3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460" w:right="1720" w:hanging="3452"/>
        <w:spacing w:after="0" w:line="391" w:lineRule="auto"/>
        <w:tabs>
          <w:tab w:leader="none" w:pos="36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333"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27-0476525</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87" w:lineRule="exact"/>
        <w:rPr>
          <w:sz w:val="24"/>
          <w:szCs w:val="24"/>
          <w:color w:val="auto"/>
        </w:rPr>
      </w:pPr>
    </w:p>
    <w:p>
      <w:pPr>
        <w:sectPr>
          <w:pgSz w:w="11900" w:h="16838" w:orient="portrait"/>
          <w:cols w:equalWidth="0" w:num="2">
            <w:col w:w="7140" w:space="720"/>
            <w:col w:w="3380"/>
          </w:cols>
          <w:pgMar w:left="320" w:top="638" w:right="339" w:bottom="1440" w:gutter="0" w:footer="0" w:header="0"/>
          <w:type w:val="continuous"/>
        </w:sectPr>
      </w:pPr>
    </w:p>
    <w:p>
      <w:pPr>
        <w:ind w:left="2020"/>
        <w:spacing w:after="0"/>
        <w:rPr>
          <w:sz w:val="20"/>
          <w:szCs w:val="20"/>
          <w:color w:val="auto"/>
        </w:rPr>
      </w:pPr>
      <w:r>
        <w:rPr>
          <w:rFonts w:ascii="Arial" w:cs="Arial" w:eastAsia="Arial" w:hAnsi="Arial"/>
          <w:sz w:val="18"/>
          <w:szCs w:val="18"/>
          <w:b w:val="1"/>
          <w:bCs w:val="1"/>
          <w:color w:val="auto"/>
        </w:rPr>
        <w:t>1200 Page Mill Road</w:t>
      </w:r>
    </w:p>
    <w:p>
      <w:pPr>
        <w:spacing w:after="0" w:line="27"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8"/>
          <w:szCs w:val="18"/>
          <w:b w:val="1"/>
          <w:bCs w:val="1"/>
          <w:color w:val="auto"/>
        </w:rPr>
        <w:t>Palo Alto, CA</w:t>
      </w:r>
      <w:r>
        <w:rPr>
          <w:sz w:val="20"/>
          <w:szCs w:val="20"/>
          <w:color w:val="auto"/>
        </w:rPr>
        <w:tab/>
      </w:r>
      <w:r>
        <w:rPr>
          <w:rFonts w:ascii="Arial" w:cs="Arial" w:eastAsia="Arial" w:hAnsi="Arial"/>
          <w:sz w:val="16"/>
          <w:szCs w:val="16"/>
          <w:b w:val="1"/>
          <w:bCs w:val="1"/>
          <w:color w:val="auto"/>
        </w:rPr>
        <w:t>94304</w:t>
      </w:r>
    </w:p>
    <w:p>
      <w:pPr>
        <w:spacing w:after="0" w:line="40"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67"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33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2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25" w:lineRule="exact"/>
        <w:rPr>
          <w:sz w:val="24"/>
          <w:szCs w:val="24"/>
          <w:color w:val="auto"/>
        </w:rPr>
      </w:pPr>
    </w:p>
    <w:p>
      <w:pPr>
        <w:ind w:firstLine="509"/>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09"/>
        <w:spacing w:after="0" w:line="22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8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73"/>
        </w:trPr>
        <w:tc>
          <w:tcPr>
            <w:tcW w:w="1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7" w:lineRule="exact"/>
        <w:rPr>
          <w:sz w:val="24"/>
          <w:szCs w:val="24"/>
          <w:color w:val="auto"/>
        </w:rPr>
      </w:pPr>
    </w:p>
    <w:p>
      <w:pPr>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left="520" w:right="246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29, 2021, the registrant had 51,717,286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3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continued durability, efficacy and safety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portfolio of clinical trials planned for submission in our Biologics License Application, or BLA, of KSI-301;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present clinical data across our pivotal trials beginning in early 2022;</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and Lonza’s ability to successfully execute on our manufacturing development plan;</w:t>
      </w:r>
    </w:p>
    <w:p>
      <w:pPr>
        <w:spacing w:after="0" w:line="131" w:lineRule="exact"/>
        <w:rPr>
          <w:sz w:val="20"/>
          <w:szCs w:val="20"/>
          <w:color w:val="auto"/>
        </w:rPr>
      </w:pPr>
    </w:p>
    <w:p>
      <w:pPr>
        <w:ind w:left="700" w:right="20"/>
        <w:spacing w:after="0" w:line="279" w:lineRule="auto"/>
        <w:rPr>
          <w:sz w:val="20"/>
          <w:szCs w:val="20"/>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5" w:lineRule="exact"/>
        <w:rPr>
          <w:sz w:val="20"/>
          <w:szCs w:val="20"/>
          <w:color w:val="auto"/>
        </w:rPr>
      </w:pPr>
    </w:p>
    <w:p>
      <w:pPr>
        <w:ind w:left="700" w:right="100"/>
        <w:spacing w:after="0" w:line="293" w:lineRule="auto"/>
        <w:rPr>
          <w:sz w:val="20"/>
          <w:szCs w:val="20"/>
          <w:color w:val="auto"/>
        </w:rPr>
      </w:pPr>
      <w:r>
        <w:rPr>
          <w:rFonts w:ascii="Arial" w:cs="Arial" w:eastAsia="Arial" w:hAnsi="Arial"/>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62" w:lineRule="exact"/>
        <w:rPr>
          <w:sz w:val="20"/>
          <w:szCs w:val="20"/>
          <w:color w:val="auto"/>
        </w:rPr>
      </w:pPr>
    </w:p>
    <w:p>
      <w:pPr>
        <w:ind w:left="700" w:right="340"/>
        <w:spacing w:after="0" w:line="293" w:lineRule="auto"/>
        <w:rPr>
          <w:sz w:val="20"/>
          <w:szCs w:val="20"/>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rate and degree of market acceptance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competing products or platform technologies that are or may become available;</w:t>
      </w:r>
    </w:p>
    <w:p>
      <w:pPr>
        <w:spacing w:after="0" w:line="131" w:lineRule="exact"/>
        <w:rPr>
          <w:sz w:val="20"/>
          <w:szCs w:val="20"/>
          <w:color w:val="auto"/>
        </w:rPr>
      </w:pPr>
    </w:p>
    <w:p>
      <w:pPr>
        <w:ind w:left="700" w:right="280"/>
        <w:spacing w:after="0" w:line="293" w:lineRule="auto"/>
        <w:rPr>
          <w:sz w:val="20"/>
          <w:szCs w:val="20"/>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existing regulations and regulatory developments in the United States and foreign countries;</w:t>
      </w:r>
    </w:p>
    <w:p>
      <w:pPr>
        <w:spacing w:after="0" w:line="13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ind w:left="700" w:right="380"/>
        <w:spacing w:after="0" w:line="293" w:lineRule="auto"/>
        <w:rPr>
          <w:sz w:val="20"/>
          <w:szCs w:val="20"/>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potential claims relating to our intellectual property and third-party intellectual property;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pricing and reimbursement of our product candidates, if approved;</w:t>
      </w:r>
    </w:p>
    <w:p>
      <w:pPr>
        <w:spacing w:after="0" w:line="13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sz w:val="20"/>
          <w:szCs w:val="20"/>
          <w:color w:val="auto"/>
        </w:rPr>
      </w:pPr>
    </w:p>
    <w:p>
      <w:pPr>
        <w:ind w:left="700" w:right="3180"/>
        <w:spacing w:after="0" w:line="391" w:lineRule="auto"/>
        <w:rPr>
          <w:sz w:val="20"/>
          <w:szCs w:val="20"/>
          <w:color w:val="auto"/>
        </w:rPr>
      </w:pPr>
      <w:r>
        <w:rPr>
          <w:rFonts w:ascii="Arial" w:cs="Arial" w:eastAsia="Arial" w:hAnsi="Arial"/>
          <w:sz w:val="18"/>
          <w:szCs w:val="18"/>
          <w:color w:val="auto"/>
        </w:rPr>
        <w:t>our aspirational goals and objectives related to our human capital resources and workforce objectives; our ability to attract and retain key managerial, scientific and medical personnel;</w:t>
      </w:r>
    </w:p>
    <w:p>
      <w:pPr>
        <w:spacing w:after="0" w:line="1" w:lineRule="exact"/>
        <w:rPr>
          <w:sz w:val="20"/>
          <w:szCs w:val="20"/>
          <w:color w:val="auto"/>
        </w:rPr>
      </w:pPr>
    </w:p>
    <w:p>
      <w:pPr>
        <w:ind w:left="700" w:right="560"/>
        <w:spacing w:after="0" w:line="293" w:lineRule="auto"/>
        <w:rPr>
          <w:sz w:val="20"/>
          <w:szCs w:val="20"/>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financial performance.</w:t>
      </w:r>
    </w:p>
    <w:p>
      <w:pPr>
        <w:spacing w:after="0" w:line="131" w:lineRule="exact"/>
        <w:rPr>
          <w:sz w:val="20"/>
          <w:szCs w:val="20"/>
          <w:color w:val="auto"/>
        </w:rPr>
      </w:pPr>
    </w:p>
    <w:p>
      <w:pPr>
        <w:ind w:right="80" w:firstLine="509"/>
        <w:spacing w:after="0" w:line="269"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8"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91" w:lineRule="exact"/>
        <w:rPr>
          <w:sz w:val="20"/>
          <w:szCs w:val="20"/>
          <w:color w:val="auto"/>
        </w:rPr>
      </w:pPr>
    </w:p>
    <w:p>
      <w:pPr>
        <w:ind w:right="720" w:firstLine="509"/>
        <w:spacing w:after="0" w:line="324" w:lineRule="auto"/>
        <w:rPr>
          <w:sz w:val="20"/>
          <w:szCs w:val="20"/>
          <w:color w:val="auto"/>
        </w:rPr>
      </w:pPr>
      <w:r>
        <w:rPr>
          <w:rFonts w:ascii="Arial" w:cs="Arial" w:eastAsia="Arial" w:hAnsi="Arial"/>
          <w:sz w:val="17"/>
          <w:szCs w:val="17"/>
          <w:i w:val="1"/>
          <w:iCs w:val="1"/>
          <w:color w:val="auto"/>
        </w:rPr>
        <w:t>All brand names or trademarks appearing in this report are the property of their respective holders. Unless the context requires otherwise, references in this report to “Kodiak” the “Company,” “we,” “us,” and “our” refer to Kodiak Sciences Inc. and its subsidiaries.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130"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failure of KSI-301 in clinical development may require us to discontinue development of other product candidates based on our ABC Platform.</w:t>
      </w:r>
    </w:p>
    <w:p>
      <w:pPr>
        <w:spacing w:after="0" w:line="154" w:lineRule="exact"/>
        <w:rPr>
          <w:sz w:val="20"/>
          <w:szCs w:val="20"/>
          <w:color w:val="auto"/>
        </w:rPr>
      </w:pPr>
    </w:p>
    <w:p>
      <w:pPr>
        <w:ind w:left="700" w:right="280"/>
        <w:spacing w:after="0" w:line="293" w:lineRule="auto"/>
        <w:rPr>
          <w:sz w:val="20"/>
          <w:szCs w:val="20"/>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left="700" w:right="700"/>
        <w:spacing w:after="0" w:line="293" w:lineRule="auto"/>
        <w:rPr>
          <w:sz w:val="20"/>
          <w:szCs w:val="20"/>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sz w:val="20"/>
          <w:szCs w:val="20"/>
          <w:color w:val="auto"/>
        </w:rPr>
      </w:pPr>
    </w:p>
    <w:p>
      <w:pPr>
        <w:ind w:left="700"/>
        <w:spacing w:after="0" w:line="275" w:lineRule="auto"/>
        <w:rPr>
          <w:sz w:val="20"/>
          <w:szCs w:val="20"/>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31" w:lineRule="exact"/>
        <w:rPr>
          <w:sz w:val="20"/>
          <w:szCs w:val="20"/>
          <w:color w:val="auto"/>
        </w:rPr>
      </w:pPr>
    </w:p>
    <w:p>
      <w:pPr>
        <w:ind w:left="700" w:right="80"/>
        <w:spacing w:after="0" w:line="319" w:lineRule="auto"/>
        <w:rPr>
          <w:sz w:val="20"/>
          <w:szCs w:val="20"/>
          <w:color w:val="auto"/>
        </w:rPr>
      </w:pPr>
      <w:r>
        <w:rPr>
          <w:rFonts w:ascii="Arial" w:cs="Arial" w:eastAsia="Arial" w:hAnsi="Arial"/>
          <w:sz w:val="16"/>
          <w:szCs w:val="16"/>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BLA filing, or our ability to supply our products for patients, if approved, could be delayed or stopped, or we may be unable to establish a commercially viable cost structure.</w:t>
      </w:r>
    </w:p>
    <w:p>
      <w:pPr>
        <w:spacing w:after="0" w:line="48" w:lineRule="exact"/>
        <w:rPr>
          <w:sz w:val="20"/>
          <w:szCs w:val="20"/>
          <w:color w:val="auto"/>
        </w:rPr>
      </w:pPr>
    </w:p>
    <w:p>
      <w:pPr>
        <w:ind w:left="700" w:right="340"/>
        <w:spacing w:after="0" w:line="279" w:lineRule="auto"/>
        <w:rPr>
          <w:sz w:val="20"/>
          <w:szCs w:val="20"/>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5" w:lineRule="exact"/>
        <w:rPr>
          <w:sz w:val="20"/>
          <w:szCs w:val="20"/>
          <w:color w:val="auto"/>
        </w:rPr>
      </w:pPr>
    </w:p>
    <w:p>
      <w:pPr>
        <w:ind w:left="700" w:right="640"/>
        <w:spacing w:after="0" w:line="293" w:lineRule="auto"/>
        <w:rPr>
          <w:sz w:val="20"/>
          <w:szCs w:val="20"/>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62"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5" w:lineRule="exact"/>
        <w:rPr>
          <w:sz w:val="20"/>
          <w:szCs w:val="20"/>
          <w:color w:val="auto"/>
        </w:rPr>
      </w:pPr>
    </w:p>
    <w:p>
      <w:pPr>
        <w:ind w:left="700" w:right="20"/>
        <w:spacing w:after="0" w:line="324" w:lineRule="auto"/>
        <w:rPr>
          <w:sz w:val="20"/>
          <w:szCs w:val="20"/>
          <w:color w:val="auto"/>
        </w:rPr>
      </w:pPr>
      <w:r>
        <w:rPr>
          <w:rFonts w:ascii="Arial" w:cs="Arial" w:eastAsia="Arial" w:hAnsi="Arial"/>
          <w:sz w:val="17"/>
          <w:szCs w:val="17"/>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39" w:lineRule="exact"/>
        <w:rPr>
          <w:sz w:val="20"/>
          <w:szCs w:val="20"/>
          <w:color w:val="auto"/>
        </w:rPr>
      </w:pPr>
    </w:p>
    <w:p>
      <w:pPr>
        <w:ind w:left="700" w:right="40"/>
        <w:spacing w:after="0" w:line="359" w:lineRule="auto"/>
        <w:rPr>
          <w:sz w:val="20"/>
          <w:szCs w:val="20"/>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120"/>
        <w:spacing w:after="0" w:line="279" w:lineRule="auto"/>
        <w:rPr>
          <w:sz w:val="20"/>
          <w:szCs w:val="20"/>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5" w:lineRule="exact"/>
        <w:rPr>
          <w:sz w:val="20"/>
          <w:szCs w:val="20"/>
          <w:color w:val="auto"/>
        </w:rPr>
      </w:pPr>
    </w:p>
    <w:p>
      <w:pPr>
        <w:ind w:right="500"/>
        <w:spacing w:after="0" w:line="324" w:lineRule="auto"/>
        <w:rPr>
          <w:sz w:val="20"/>
          <w:szCs w:val="20"/>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 Our manufacturers are also engaged in the manufacturing of COVID-19 related vaccines and therapeutic treatments, and the success of and demand for these vaccines and therapeutic treatments means we and our programs are competing for scarce manufacturing resources.</w:t>
      </w:r>
    </w:p>
    <w:p>
      <w:pPr>
        <w:spacing w:after="0" w:line="31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1020" w:top="476"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Page</w:t>
            </w: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160" w:type="dxa"/>
            <w:vAlign w:val="bottom"/>
            <w:gridSpan w:val="23"/>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FINANCIAL INFORMATION</w:t>
              </w:r>
            </w:hyperlink>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Statements (Unaudited)</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40" w:type="dxa"/>
            <w:vAlign w:val="bottom"/>
            <w:tcBorders>
              <w:bottom w:val="single" w:sz="8" w:color="0000FF"/>
            </w:tcBorders>
            <w:gridSpan w:val="12"/>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20" w:type="dxa"/>
            <w:vAlign w:val="bottom"/>
            <w:tcBorders>
              <w:bottom w:val="single" w:sz="8" w:color="0000EE"/>
            </w:tcBorders>
          </w:tcPr>
          <w:p>
            <w:pPr>
              <w:spacing w:after="0"/>
              <w:rPr>
                <w:sz w:val="19"/>
                <w:szCs w:val="19"/>
                <w:color w:val="auto"/>
              </w:rPr>
            </w:pPr>
          </w:p>
        </w:tc>
        <w:tc>
          <w:tcPr>
            <w:tcW w:w="6200" w:type="dxa"/>
            <w:vAlign w:val="bottom"/>
            <w:gridSpan w:val="10"/>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160" w:type="dxa"/>
            <w:vAlign w:val="bottom"/>
            <w:gridSpan w:val="2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Operations and Comprehensive Loss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Condensed Consolidated Statements of Stockholders’ Equity</w:t>
              </w:r>
            </w:hyperlink>
          </w:p>
        </w:tc>
        <w:tc>
          <w:tcPr>
            <w:tcW w:w="1120" w:type="dxa"/>
            <w:vAlign w:val="bottom"/>
            <w:tcBorders>
              <w:top w:val="single" w:sz="8" w:color="0000FF"/>
            </w:tcBorders>
            <w:gridSpan w:val="3"/>
          </w:tcPr>
          <w:p>
            <w:pPr>
              <w:spacing w:after="0"/>
              <w:rPr>
                <w:sz w:val="19"/>
                <w:szCs w:val="19"/>
                <w:color w:val="auto"/>
              </w:rPr>
            </w:pPr>
          </w:p>
        </w:tc>
        <w:tc>
          <w:tcPr>
            <w:tcW w:w="3640" w:type="dxa"/>
            <w:vAlign w:val="bottom"/>
            <w:gridSpan w:val="2"/>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19"/>
                <w:szCs w:val="19"/>
                <w:color w:val="auto"/>
              </w:rPr>
            </w:pPr>
          </w:p>
        </w:tc>
        <w:tc>
          <w:tcPr>
            <w:tcW w:w="5420" w:type="dxa"/>
            <w:vAlign w:val="bottom"/>
            <w:gridSpan w:val="8"/>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340" w:type="dxa"/>
            <w:vAlign w:val="bottom"/>
            <w:gridSpan w:val="3"/>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2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360" w:type="dxa"/>
            <w:vAlign w:val="bottom"/>
            <w:gridSpan w:val="16"/>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27">
              <w:r>
                <w:rPr>
                  <w:rFonts w:ascii="Arial" w:cs="Arial" w:eastAsia="Arial" w:hAnsi="Arial"/>
                  <w:sz w:val="18"/>
                  <w:szCs w:val="18"/>
                  <w:color w:val="0000FF"/>
                  <w:w w:val="96"/>
                </w:rPr>
                <w:t>OTHER INFORMATION</w:t>
              </w:r>
            </w:hyperlink>
          </w:p>
        </w:tc>
        <w:tc>
          <w:tcPr>
            <w:tcW w:w="7260" w:type="dxa"/>
            <w:vAlign w:val="bottom"/>
            <w:gridSpan w:val="15"/>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Legal Proceedings</w:t>
              </w:r>
            </w:hyperlink>
          </w:p>
        </w:tc>
        <w:tc>
          <w:tcPr>
            <w:tcW w:w="7820" w:type="dxa"/>
            <w:vAlign w:val="bottom"/>
            <w:gridSpan w:val="18"/>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9"/>
                <w:szCs w:val="19"/>
                <w:color w:val="auto"/>
              </w:rPr>
            </w:pPr>
          </w:p>
        </w:tc>
        <w:tc>
          <w:tcPr>
            <w:tcW w:w="8220" w:type="dxa"/>
            <w:vAlign w:val="bottom"/>
            <w:gridSpan w:val="20"/>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Unregistered Sales of Equity Securities and Use of Proceeds</w:t>
              </w:r>
            </w:hyperlink>
          </w:p>
        </w:tc>
        <w:tc>
          <w:tcPr>
            <w:tcW w:w="4800" w:type="dxa"/>
            <w:vAlign w:val="bottom"/>
            <w:gridSpan w:val="7"/>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23"/>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Defaults Upon Senior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4"/>
          </w:tcPr>
          <w:p>
            <w:pPr>
              <w:spacing w:after="0"/>
              <w:rPr>
                <w:sz w:val="19"/>
                <w:szCs w:val="19"/>
                <w:color w:val="auto"/>
              </w:rPr>
            </w:pPr>
          </w:p>
        </w:tc>
        <w:tc>
          <w:tcPr>
            <w:tcW w:w="6840" w:type="dxa"/>
            <w:vAlign w:val="bottom"/>
            <w:gridSpan w:val="13"/>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68">
              <w:r>
                <w:rPr>
                  <w:rFonts w:ascii="Arial" w:cs="Arial" w:eastAsia="Arial" w:hAnsi="Arial"/>
                  <w:sz w:val="18"/>
                  <w:szCs w:val="18"/>
                  <w:color w:val="0000FF"/>
                  <w:w w:val="92"/>
                </w:rPr>
                <w:t>Other Information</w:t>
              </w:r>
            </w:hyperlink>
          </w:p>
        </w:tc>
        <w:tc>
          <w:tcPr>
            <w:tcW w:w="7840" w:type="dxa"/>
            <w:vAlign w:val="bottom"/>
            <w:gridSpan w:val="19"/>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60" w:type="dxa"/>
            <w:vAlign w:val="bottom"/>
            <w:gridSpan w:val="2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Exhibits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900" w:type="dxa"/>
            <w:vAlign w:val="bottom"/>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89"/>
              </w:rPr>
              <w:t>Kodiak Sciences Inc.</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799,247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944,396</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805,506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972,005</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22,939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1"/>
                <w:szCs w:val="21"/>
                <w:color w:val="auto"/>
              </w:rPr>
            </w:pPr>
          </w:p>
        </w:tc>
      </w:tr>
      <w:tr>
        <w:trPr>
          <w:trHeight w:val="29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958,206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13,761</w:t>
            </w: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54,396</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77,338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75,028</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99,929</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99,890</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231,886</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80" w:type="dxa"/>
            <w:vAlign w:val="bottom"/>
          </w:tcPr>
          <w:p>
            <w:pPr>
              <w:ind w:left="200"/>
              <w:spacing w:after="0"/>
              <w:rPr>
                <w:sz w:val="20"/>
                <w:szCs w:val="20"/>
                <w:color w:val="auto"/>
              </w:rPr>
            </w:pPr>
            <w:r>
              <w:rPr>
                <w:rFonts w:ascii="Arial" w:cs="Arial" w:eastAsia="Arial" w:hAnsi="Arial"/>
                <w:sz w:val="18"/>
                <w:szCs w:val="18"/>
                <w:color w:val="auto"/>
              </w:rPr>
              <w:t>Preferred stock, $0.0001 par value, 10,000,000 shares authorized;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0 shares issued and outstanding at September 30, 2021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490,000,000 shares authorized</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at September 30, 2021 and December 31, 2020; 51,698,775 and</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51,112,302 shares issued and outstanding at September 30, 2021 and</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2020, respectively</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1,191,367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1,151,920</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(465,052 )</w:t>
            </w:r>
          </w:p>
        </w:tc>
        <w:tc>
          <w:tcPr>
            <w:tcW w:w="2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(291,227 )</w:t>
            </w: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726,320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958,206</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1,067,347</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-4908550</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-4908550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-3916680</wp:posOffset>
            </wp:positionV>
            <wp:extent cx="180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-3899535</wp:posOffset>
            </wp:positionV>
            <wp:extent cx="180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-3916680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-3899535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-2242185</wp:posOffset>
            </wp:positionV>
            <wp:extent cx="1803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-2242185</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80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56,002</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29,306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141,743</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(67,535 )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(36,663 )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(174,002 )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(89,165 )</w:t>
            </w: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(6 )</w:t>
            </w: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(17 )</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(98 )</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(67,526 )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(36,122 )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(173,825 )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(86,513 )</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(0.80 )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used in</w:t>
            </w:r>
          </w:p>
        </w:tc>
        <w:tc>
          <w:tcPr>
            <w:tcW w:w="26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51,875,315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45,119,885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51,722,611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44,972,085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computing net loss per common share, basic and diluted</w:t>
            </w: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unrealized gains related to available-for-sale</w:t>
            </w:r>
          </w:p>
        </w:tc>
        <w:tc>
          <w:tcPr>
            <w:tcW w:w="26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(349 )</w:t>
            </w:r>
          </w:p>
        </w:tc>
        <w:tc>
          <w:tcPr>
            <w:tcW w:w="240" w:type="dxa"/>
            <w:vAlign w:val="bottom"/>
            <w:shd w:val="clear" w:color="auto" w:fill="CFF0FC"/>
          </w:tcPr>
          <w:p>
            <w:pPr>
              <w:spacing w:after="0"/>
              <w:rPr>
                <w:sz w:val="21"/>
                <w:szCs w:val="21"/>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(53 )</w:t>
            </w:r>
          </w:p>
        </w:tc>
        <w:tc>
          <w:tcPr>
            <w:tcW w:w="240" w:type="dxa"/>
            <w:vAlign w:val="bottom"/>
            <w:shd w:val="clear" w:color="auto" w:fill="CFF0FC"/>
          </w:tcPr>
          <w:p>
            <w:pPr>
              <w:spacing w:after="0"/>
              <w:rPr>
                <w:sz w:val="21"/>
                <w:szCs w:val="2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debt securities, net of tax</w:t>
            </w:r>
          </w:p>
        </w:tc>
        <w:tc>
          <w:tcPr>
            <w:tcW w:w="26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(349 )</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(53 )</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(67,526 )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(36,471 )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(173,878 )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(86,278 )</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-2353945</wp:posOffset>
            </wp:positionV>
            <wp:extent cx="1631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-2353945</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-2353945</wp:posOffset>
            </wp:positionV>
            <wp:extent cx="146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-1353820</wp:posOffset>
            </wp:positionV>
            <wp:extent cx="163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-1336675</wp:posOffset>
            </wp:positionV>
            <wp:extent cx="163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-1353820</wp:posOffset>
            </wp:positionV>
            <wp:extent cx="146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-1336675</wp:posOffset>
            </wp:positionV>
            <wp:extent cx="1460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-1353820</wp:posOffset>
            </wp:positionV>
            <wp:extent cx="146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-1336675</wp:posOffset>
            </wp:positionV>
            <wp:extent cx="146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-856615</wp:posOffset>
            </wp:positionV>
            <wp:extent cx="163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-839470</wp:posOffset>
            </wp:positionV>
            <wp:extent cx="163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-856615</wp:posOffset>
            </wp:positionV>
            <wp:extent cx="146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-839470</wp:posOffset>
            </wp:positionV>
            <wp:extent cx="1460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-856615</wp:posOffset>
            </wp:positionV>
            <wp:extent cx="1460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-839470</wp:posOffset>
            </wp:positionV>
            <wp:extent cx="14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-365125</wp:posOffset>
            </wp:positionV>
            <wp:extent cx="1631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-365125</wp:posOffset>
            </wp:positionV>
            <wp:extent cx="1460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-365125</wp:posOffset>
            </wp:positionV>
            <wp:extent cx="1460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63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631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146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46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460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46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440" w:type="dxa"/>
            <w:vAlign w:val="bottom"/>
            <w:gridSpan w:val="3"/>
            <w:vMerge w:val="restart"/>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24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December 31, 2020</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51,112,302</w:t>
            </w:r>
          </w:p>
        </w:tc>
        <w:tc>
          <w:tcPr>
            <w:tcW w:w="1180" w:type="dxa"/>
            <w:vAlign w:val="bottom"/>
            <w:gridSpan w:val="2"/>
            <w:shd w:val="clear" w:color="auto" w:fill="CFF0FC"/>
          </w:tcPr>
          <w:p>
            <w:pPr>
              <w:jc w:val="right"/>
              <w:ind w:right="8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40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1,151,920</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(291,227 )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860,751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3"/>
                <w:szCs w:val="13"/>
                <w:color w:val="auto"/>
              </w:rPr>
              <w:t>113,559</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1,483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(35 )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(50,447 )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(50,447 )</w:t>
            </w:r>
          </w:p>
        </w:tc>
        <w:tc>
          <w:tcPr>
            <w:tcW w:w="0" w:type="dxa"/>
            <w:vAlign w:val="bottom"/>
          </w:tcPr>
          <w:p>
            <w:pPr>
              <w:spacing w:after="0"/>
              <w:rPr>
                <w:sz w:val="1"/>
                <w:szCs w:val="1"/>
                <w:color w:val="auto"/>
              </w:rPr>
            </w:pPr>
          </w:p>
        </w:tc>
      </w:tr>
      <w:tr>
        <w:trPr>
          <w:trHeight w:val="21"/>
        </w:trPr>
        <w:tc>
          <w:tcPr>
            <w:tcW w:w="27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Balances at March 31, 2021</w:t>
            </w:r>
          </w:p>
        </w:tc>
        <w:tc>
          <w:tcPr>
            <w:tcW w:w="1260" w:type="dxa"/>
            <w:vAlign w:val="bottom"/>
          </w:tcPr>
          <w:p>
            <w:pPr>
              <w:jc w:val="right"/>
              <w:spacing w:after="0"/>
              <w:rPr>
                <w:sz w:val="20"/>
                <w:szCs w:val="20"/>
                <w:color w:val="auto"/>
              </w:rPr>
            </w:pPr>
            <w:r>
              <w:rPr>
                <w:rFonts w:ascii="Arial" w:cs="Arial" w:eastAsia="Arial" w:hAnsi="Arial"/>
                <w:sz w:val="13"/>
                <w:szCs w:val="13"/>
                <w:color w:val="auto"/>
              </w:rPr>
              <w:t>51,225,861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1,163,328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(341,674 )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821,677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131,276</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2,228</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300"/>
              <w:spacing w:after="0"/>
              <w:rPr>
                <w:sz w:val="20"/>
                <w:szCs w:val="20"/>
                <w:color w:val="auto"/>
              </w:rPr>
            </w:pPr>
            <w:r>
              <w:rPr>
                <w:rFonts w:ascii="Arial" w:cs="Arial" w:eastAsia="Arial" w:hAnsi="Arial"/>
                <w:sz w:val="13"/>
                <w:szCs w:val="13"/>
                <w:color w:val="auto"/>
              </w:rPr>
              <w:t>vesting of restricted stock units,</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net of taxes withheld</w:t>
            </w:r>
          </w:p>
        </w:tc>
        <w:tc>
          <w:tcPr>
            <w:tcW w:w="1260" w:type="dxa"/>
            <w:vAlign w:val="bottom"/>
          </w:tcPr>
          <w:p>
            <w:pPr>
              <w:jc w:val="right"/>
              <w:spacing w:after="0"/>
              <w:rPr>
                <w:sz w:val="20"/>
                <w:szCs w:val="20"/>
                <w:color w:val="auto"/>
              </w:rPr>
            </w:pPr>
            <w:r>
              <w:rPr>
                <w:rFonts w:ascii="Arial" w:cs="Arial" w:eastAsia="Arial" w:hAnsi="Arial"/>
                <w:sz w:val="13"/>
                <w:szCs w:val="13"/>
                <w:color w:val="auto"/>
              </w:rPr>
              <w:t>72,976</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pursuant</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 employee stock purchase plans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4,295</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(55,852 )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(55,852 )</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June 30, 2021</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51,434,408</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1,176,948</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(397,526 )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779,427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3"/>
                <w:szCs w:val="13"/>
                <w:color w:val="auto"/>
              </w:rPr>
              <w:t>103,585</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2,042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vesting of restricted stock units,</w:t>
            </w:r>
          </w:p>
        </w:tc>
        <w:tc>
          <w:tcPr>
            <w:tcW w:w="1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of taxes withheld</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10,799</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exercise of common stock warrants</w:t>
            </w:r>
          </w:p>
        </w:tc>
        <w:tc>
          <w:tcPr>
            <w:tcW w:w="1260" w:type="dxa"/>
            <w:vAlign w:val="bottom"/>
          </w:tcPr>
          <w:p>
            <w:pPr>
              <w:jc w:val="right"/>
              <w:spacing w:after="0"/>
              <w:rPr>
                <w:sz w:val="20"/>
                <w:szCs w:val="20"/>
                <w:color w:val="auto"/>
              </w:rPr>
            </w:pPr>
            <w:r>
              <w:rPr>
                <w:rFonts w:ascii="Arial" w:cs="Arial" w:eastAsia="Arial" w:hAnsi="Arial"/>
                <w:sz w:val="13"/>
                <w:szCs w:val="13"/>
                <w:color w:val="auto"/>
              </w:rPr>
              <w:t>149,983</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12,377</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(67,526 )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(67,526 )</w:t>
            </w: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September 30, 2021</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51,698,775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1,191,367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(465,052 )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726,320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76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Borders>
              <w:top w:val="single" w:sz="8" w:color="CFF0FC"/>
            </w:tcBorders>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440" w:type="dxa"/>
            <w:vAlign w:val="bottom"/>
            <w:gridSpan w:val="3"/>
            <w:vMerge w:val="restart"/>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24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15"/>
                <w:szCs w:val="15"/>
                <w:color w:val="auto"/>
              </w:rPr>
            </w:pP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6"/>
              </w:rPr>
              <w:t>Income (Loss)</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
              <w:spacing w:after="0"/>
              <w:rPr>
                <w:sz w:val="20"/>
                <w:szCs w:val="20"/>
                <w:color w:val="auto"/>
              </w:rPr>
            </w:pPr>
            <w:r>
              <w:rPr>
                <w:rFonts w:ascii="Arial" w:cs="Arial" w:eastAsia="Arial" w:hAnsi="Arial"/>
                <w:sz w:val="13"/>
                <w:szCs w:val="13"/>
                <w:color w:val="auto"/>
              </w:rPr>
              <w:t>Balances at December 31, 2019</w:t>
            </w:r>
          </w:p>
        </w:tc>
        <w:tc>
          <w:tcPr>
            <w:tcW w:w="1260" w:type="dxa"/>
            <w:vAlign w:val="bottom"/>
          </w:tcPr>
          <w:p>
            <w:pPr>
              <w:jc w:val="right"/>
              <w:spacing w:after="0"/>
              <w:rPr>
                <w:sz w:val="20"/>
                <w:szCs w:val="20"/>
                <w:color w:val="auto"/>
              </w:rPr>
            </w:pPr>
            <w:r>
              <w:rPr>
                <w:rFonts w:ascii="Arial" w:cs="Arial" w:eastAsia="Arial" w:hAnsi="Arial"/>
                <w:sz w:val="13"/>
                <w:szCs w:val="13"/>
                <w:color w:val="auto"/>
              </w:rPr>
              <w:t>44,413,404</w:t>
            </w:r>
          </w:p>
        </w:tc>
        <w:tc>
          <w:tcPr>
            <w:tcW w:w="1180" w:type="dxa"/>
            <w:vAlign w:val="bottom"/>
            <w:gridSpan w:val="2"/>
          </w:tcPr>
          <w:p>
            <w:pPr>
              <w:jc w:val="right"/>
              <w:ind w:right="837"/>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40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503,475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(158,131 )</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345,359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39,297</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6,082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(24,392 )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(24,392 )</w:t>
            </w: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March 31, 2020</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44,452,701</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509,716</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(182,523 )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327,687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3"/>
                <w:szCs w:val="13"/>
                <w:color w:val="auto"/>
              </w:rPr>
              <w:t>203,373</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vesting of restricted stock units,</w:t>
            </w:r>
          </w:p>
        </w:tc>
        <w:tc>
          <w:tcPr>
            <w:tcW w:w="1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of taxes withheld</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10,942</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(206 )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(206 )</w:t>
            </w: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(25,999 )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(25,999 )</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Balances at June 30, 2020</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44,667,016</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517,120</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(208,522 )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309,197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200"/>
              <w:spacing w:after="0"/>
              <w:rPr>
                <w:sz w:val="20"/>
                <w:szCs w:val="20"/>
                <w:color w:val="auto"/>
              </w:rPr>
            </w:pPr>
            <w:r>
              <w:rPr>
                <w:rFonts w:ascii="Arial" w:cs="Arial" w:eastAsia="Arial" w:hAnsi="Arial"/>
                <w:sz w:val="13"/>
                <w:szCs w:val="13"/>
                <w:color w:val="auto"/>
              </w:rPr>
              <w:t>Issuance of common stock upon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760" w:type="dxa"/>
            <w:vAlign w:val="bottom"/>
          </w:tcPr>
          <w:p>
            <w:pPr>
              <w:ind w:left="300"/>
              <w:spacing w:after="0"/>
              <w:rPr>
                <w:sz w:val="20"/>
                <w:szCs w:val="20"/>
                <w:color w:val="auto"/>
              </w:rPr>
            </w:pPr>
            <w:r>
              <w:rPr>
                <w:rFonts w:ascii="Arial" w:cs="Arial" w:eastAsia="Arial" w:hAnsi="Arial"/>
                <w:sz w:val="13"/>
                <w:szCs w:val="13"/>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3"/>
                <w:szCs w:val="13"/>
                <w:color w:val="auto"/>
              </w:rPr>
              <w:t>93,497</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expense</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(349 )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(349 )</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(36,122 )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(36,122 )</w:t>
            </w:r>
          </w:p>
        </w:tc>
        <w:tc>
          <w:tcPr>
            <w:tcW w:w="0" w:type="dxa"/>
            <w:vAlign w:val="bottom"/>
          </w:tcPr>
          <w:p>
            <w:pPr>
              <w:spacing w:after="0"/>
              <w:rPr>
                <w:sz w:val="1"/>
                <w:szCs w:val="1"/>
                <w:color w:val="auto"/>
              </w:rPr>
            </w:pPr>
          </w:p>
        </w:tc>
      </w:tr>
      <w:tr>
        <w:trPr>
          <w:trHeight w:val="21"/>
        </w:trPr>
        <w:tc>
          <w:tcPr>
            <w:tcW w:w="27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Pr>
          <w:p>
            <w:pPr>
              <w:ind w:left="20"/>
              <w:spacing w:after="0"/>
              <w:rPr>
                <w:sz w:val="20"/>
                <w:szCs w:val="20"/>
                <w:color w:val="auto"/>
              </w:rPr>
            </w:pPr>
            <w:r>
              <w:rPr>
                <w:rFonts w:ascii="Arial" w:cs="Arial" w:eastAsia="Arial" w:hAnsi="Arial"/>
                <w:sz w:val="13"/>
                <w:szCs w:val="13"/>
                <w:color w:val="auto"/>
              </w:rPr>
              <w:t>Balances at September 30, 2020</w:t>
            </w:r>
          </w:p>
        </w:tc>
        <w:tc>
          <w:tcPr>
            <w:tcW w:w="1260" w:type="dxa"/>
            <w:vAlign w:val="bottom"/>
          </w:tcPr>
          <w:p>
            <w:pPr>
              <w:jc w:val="right"/>
              <w:spacing w:after="0"/>
              <w:rPr>
                <w:sz w:val="20"/>
                <w:szCs w:val="20"/>
                <w:color w:val="auto"/>
              </w:rPr>
            </w:pPr>
            <w:r>
              <w:rPr>
                <w:rFonts w:ascii="Arial" w:cs="Arial" w:eastAsia="Arial" w:hAnsi="Arial"/>
                <w:sz w:val="13"/>
                <w:szCs w:val="13"/>
                <w:color w:val="auto"/>
              </w:rPr>
              <w:t>44,760,513</w:t>
            </w:r>
          </w:p>
        </w:tc>
        <w:tc>
          <w:tcPr>
            <w:tcW w:w="200" w:type="dxa"/>
            <w:vAlign w:val="bottom"/>
          </w:tcPr>
          <w:p>
            <w:pPr>
              <w:spacing w:after="0"/>
              <w:rPr>
                <w:sz w:val="15"/>
                <w:szCs w:val="15"/>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526,174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(244,644 )</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281,780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-6245860</wp:posOffset>
            </wp:positionV>
            <wp:extent cx="1289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-6245860</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-6245860</wp:posOffset>
            </wp:positionV>
            <wp:extent cx="431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-6245860</wp:posOffset>
            </wp:positionV>
            <wp:extent cx="431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-6245860</wp:posOffset>
            </wp:positionV>
            <wp:extent cx="431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-6245860</wp:posOffset>
            </wp:positionV>
            <wp:extent cx="431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-3514090</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-3496945</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-3514090</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-3496945</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-3514090</wp:posOffset>
            </wp:positionV>
            <wp:extent cx="1200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-3496945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-3514090</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-3496945</wp:posOffset>
            </wp:positionV>
            <wp:extent cx="120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-3514090</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-3496945</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-3514090</wp:posOffset>
            </wp:positionV>
            <wp:extent cx="43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-3496945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-150495</wp:posOffset>
            </wp:positionV>
            <wp:extent cx="1289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-150495</wp:posOffset>
            </wp:positionV>
            <wp:extent cx="1289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-150495</wp:posOffset>
            </wp:positionV>
            <wp:extent cx="1200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-150495</wp:posOffset>
            </wp:positionV>
            <wp:extent cx="1200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-150495</wp:posOffset>
            </wp:positionV>
            <wp:extent cx="1200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76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(173,825 )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(86,513 )</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33,389</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21,213</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(145 )</w:t>
            </w: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operating lease right-of-use asset</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0"/>
              <w:spacing w:after="0"/>
              <w:rPr>
                <w:sz w:val="20"/>
                <w:szCs w:val="20"/>
                <w:color w:val="auto"/>
              </w:rPr>
            </w:pPr>
            <w:r>
              <w:rPr>
                <w:rFonts w:ascii="Arial" w:cs="Arial" w:eastAsia="Arial" w:hAnsi="Arial"/>
                <w:sz w:val="18"/>
                <w:szCs w:val="18"/>
                <w:color w:val="auto"/>
              </w:rPr>
              <w:t>Amortization of issuance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(3,228 )</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(936 )</w:t>
            </w:r>
          </w:p>
        </w:tc>
        <w:tc>
          <w:tcPr>
            <w:tcW w:w="5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(3,654 )</w:t>
            </w:r>
          </w:p>
        </w:tc>
      </w:tr>
      <w:tr>
        <w:trPr>
          <w:trHeight w:val="250"/>
        </w:trPr>
        <w:tc>
          <w:tcPr>
            <w:tcW w:w="7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3,255</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and other current liabilities</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10,547</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380"/>
              <w:spacing w:after="0"/>
              <w:rPr>
                <w:sz w:val="20"/>
                <w:szCs w:val="20"/>
                <w:color w:val="auto"/>
              </w:rPr>
            </w:pPr>
            <w:r>
              <w:rPr>
                <w:rFonts w:ascii="Arial" w:cs="Arial" w:eastAsia="Arial" w:hAnsi="Arial"/>
                <w:sz w:val="18"/>
                <w:szCs w:val="18"/>
                <w:color w:val="auto"/>
              </w:rPr>
              <w:t>Operating lease liability</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(156 )</w:t>
            </w:r>
          </w:p>
        </w:tc>
      </w:tr>
      <w:tr>
        <w:trPr>
          <w:trHeight w:val="20"/>
        </w:trPr>
        <w:tc>
          <w:tcPr>
            <w:tcW w:w="7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(123,235 )</w:t>
            </w:r>
          </w:p>
        </w:tc>
        <w:tc>
          <w:tcPr>
            <w:tcW w:w="5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(56,409 )</w:t>
            </w:r>
          </w:p>
        </w:tc>
      </w:tr>
      <w:tr>
        <w:trPr>
          <w:trHeight w:val="250"/>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(8,598 )</w:t>
            </w:r>
          </w:p>
        </w:tc>
        <w:tc>
          <w:tcPr>
            <w:tcW w:w="5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(1,855 )</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Deposits on property and equipment</w:t>
            </w:r>
          </w:p>
        </w:tc>
        <w:tc>
          <w:tcPr>
            <w:tcW w:w="3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(43,841 )</w:t>
            </w:r>
          </w:p>
        </w:tc>
        <w:tc>
          <w:tcPr>
            <w:tcW w:w="5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(86,317 )</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w:t>
            </w: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134,148</w:t>
            </w:r>
          </w:p>
        </w:tc>
        <w:tc>
          <w:tcPr>
            <w:tcW w:w="100" w:type="dxa"/>
            <w:vAlign w:val="bottom"/>
          </w:tcPr>
          <w:p>
            <w:pPr>
              <w:spacing w:after="0"/>
              <w:rPr>
                <w:sz w:val="21"/>
                <w:szCs w:val="21"/>
                <w:color w:val="auto"/>
              </w:rPr>
            </w:pPr>
          </w:p>
        </w:tc>
      </w:tr>
      <w:tr>
        <w:trPr>
          <w:trHeight w:val="250"/>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(27,939 )</w:t>
            </w: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45,976</w:t>
            </w:r>
          </w:p>
        </w:tc>
        <w:tc>
          <w:tcPr>
            <w:tcW w:w="100" w:type="dxa"/>
            <w:vAlign w:val="bottom"/>
            <w:shd w:val="clear" w:color="auto" w:fill="CFF0FC"/>
          </w:tcPr>
          <w:p>
            <w:pPr>
              <w:spacing w:after="0"/>
              <w:rPr>
                <w:sz w:val="21"/>
                <w:szCs w:val="21"/>
                <w:color w:val="auto"/>
              </w:rPr>
            </w:pPr>
          </w:p>
        </w:tc>
      </w:tr>
      <w:tr>
        <w:trPr>
          <w:trHeight w:val="250"/>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options exercise</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Payments for restricted stock units, net of taxes withheld</w:t>
            </w:r>
          </w:p>
        </w:tc>
        <w:tc>
          <w:tcPr>
            <w:tcW w:w="38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(206 )</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pursuant to employee stock purchase plans</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sale of future royalties, net of issuance costs</w:t>
            </w:r>
          </w:p>
        </w:tc>
        <w:tc>
          <w:tcPr>
            <w:tcW w:w="38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99,643</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payments of capital lease</w:t>
            </w:r>
          </w:p>
        </w:tc>
        <w:tc>
          <w:tcPr>
            <w:tcW w:w="38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Principal payments of tenant improvement allowance payable</w:t>
            </w:r>
          </w:p>
        </w:tc>
        <w:tc>
          <w:tcPr>
            <w:tcW w:w="3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(33 )</w:t>
            </w:r>
          </w:p>
        </w:tc>
        <w:tc>
          <w:tcPr>
            <w:tcW w:w="5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r>
      <w:tr>
        <w:trPr>
          <w:trHeight w:val="250"/>
        </w:trPr>
        <w:tc>
          <w:tcPr>
            <w:tcW w:w="7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6,025</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(145,149 )</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90,663</w:t>
            </w:r>
          </w:p>
        </w:tc>
        <w:tc>
          <w:tcPr>
            <w:tcW w:w="100" w:type="dxa"/>
            <w:vAlign w:val="bottom"/>
          </w:tcPr>
          <w:p>
            <w:pPr>
              <w:spacing w:after="0"/>
              <w:rPr>
                <w:sz w:val="21"/>
                <w:szCs w:val="21"/>
                <w:color w:val="auto"/>
              </w:rPr>
            </w:pPr>
          </w:p>
        </w:tc>
      </w:tr>
      <w:tr>
        <w:trPr>
          <w:trHeight w:val="25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950,720</w:t>
            </w:r>
          </w:p>
        </w:tc>
        <w:tc>
          <w:tcPr>
            <w:tcW w:w="3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805,571</w:t>
            </w:r>
          </w:p>
        </w:tc>
        <w:tc>
          <w:tcPr>
            <w:tcW w:w="3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302,600</w:t>
            </w:r>
          </w:p>
        </w:tc>
        <w:tc>
          <w:tcPr>
            <w:tcW w:w="100" w:type="dxa"/>
            <w:vAlign w:val="bottom"/>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cash, cash equivalents and restricted cash to consolidated balance sheets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799,247</w:t>
            </w:r>
          </w:p>
        </w:tc>
        <w:tc>
          <w:tcPr>
            <w:tcW w:w="3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291,585</w:t>
            </w:r>
          </w:p>
        </w:tc>
        <w:tc>
          <w:tcPr>
            <w:tcW w:w="100" w:type="dxa"/>
            <w:vAlign w:val="bottom"/>
          </w:tcPr>
          <w:p>
            <w:pPr>
              <w:spacing w:after="0"/>
              <w:rPr>
                <w:sz w:val="21"/>
                <w:szCs w:val="21"/>
                <w:color w:val="auto"/>
              </w:rPr>
            </w:pPr>
          </w:p>
        </w:tc>
      </w:tr>
      <w:tr>
        <w:trPr>
          <w:trHeight w:val="25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3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805,571</w:t>
            </w:r>
          </w:p>
        </w:tc>
        <w:tc>
          <w:tcPr>
            <w:tcW w:w="3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302,600</w:t>
            </w:r>
          </w:p>
        </w:tc>
        <w:tc>
          <w:tcPr>
            <w:tcW w:w="100" w:type="dxa"/>
            <w:vAlign w:val="bottom"/>
          </w:tcPr>
          <w:p>
            <w:pPr>
              <w:spacing w:after="0"/>
              <w:rPr>
                <w:sz w:val="21"/>
                <w:szCs w:val="2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583</w:t>
            </w:r>
          </w:p>
        </w:tc>
        <w:tc>
          <w:tcPr>
            <w:tcW w:w="3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75,545</w:t>
            </w: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under accounts payable and accruals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34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-4179570</wp:posOffset>
            </wp:positionV>
            <wp:extent cx="21463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-3185160</wp:posOffset>
            </wp:positionV>
            <wp:extent cx="21463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-3185160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-1864995</wp:posOffset>
            </wp:positionV>
            <wp:extent cx="21463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-1864995</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-1530985</wp:posOffset>
            </wp:positionV>
            <wp:extent cx="21463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-845185</wp:posOffset>
            </wp:positionV>
            <wp:extent cx="21463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200" w:firstLine="509"/>
        <w:spacing w:after="0" w:line="319" w:lineRule="auto"/>
        <w:rPr>
          <w:sz w:val="20"/>
          <w:szCs w:val="20"/>
          <w:color w:val="auto"/>
        </w:rPr>
      </w:pPr>
      <w:r>
        <w:rPr>
          <w:rFonts w:ascii="Arial" w:cs="Arial" w:eastAsia="Arial" w:hAnsi="Arial"/>
          <w:sz w:val="16"/>
          <w:szCs w:val="16"/>
          <w:color w:val="auto"/>
        </w:rPr>
        <w:t>Kodiak Sciences Inc. (the “Company”) is a clinical stage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As of September 30, 2021, the Company had cash and cash equivalents of $799.2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1"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7"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These condensed consolidated financial statements have been prepared on a basis substantially consistent with, and should be read in conjunction with the audited financial statements for the year ended December 31, 2020 and notes thereto, the Company’s Annual Report on Form 10-K filed with the Securities and Exchange Commission (“SEC”) on March 1, 2021.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2021, or for any future period.</w:t>
      </w:r>
    </w:p>
    <w:p>
      <w:pPr>
        <w:spacing w:after="0" w:line="66"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31"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three and nine months ended September 30, 2021. As events continue to unfold and additional information becomes available, these estimates may change materially in future periods. Actual results could differ from those estimates.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31" w:lineRule="exact"/>
        <w:rPr>
          <w:sz w:val="20"/>
          <w:szCs w:val="20"/>
          <w:color w:val="auto"/>
        </w:rPr>
      </w:pPr>
    </w:p>
    <w:p>
      <w:pPr>
        <w:ind w:right="80" w:firstLine="509"/>
        <w:spacing w:after="0" w:line="304" w:lineRule="auto"/>
        <w:rPr>
          <w:sz w:val="20"/>
          <w:szCs w:val="20"/>
          <w:color w:val="auto"/>
        </w:rPr>
      </w:pPr>
      <w:r>
        <w:rPr>
          <w:rFonts w:ascii="Arial" w:cs="Arial" w:eastAsia="Arial" w:hAnsi="Arial"/>
          <w:sz w:val="16"/>
          <w:szCs w:val="16"/>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During this pandemic, the Company continues to work closely with its manufacturing suppliers, partners and facilities to maintain the supply of its product candidates needed for the expansion of clinical trials and to retain the number, scale and design of manufacturing runs that regulatory authorities may require to obtain marketing approval, including those required to support a BLA submission. Despite these efforts, the ongoing COVID-19 pandemic could significantly impact the timing or likelihood of clinical resupply and of regulatory filings and approvals. The Company will continue to monitor the COVID-19 situation and its impact on the ability to continue the development of, and seek regulatory approvals for, the Company’s product candidates, and begin to commercialize any approved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31" w:lineRule="exact"/>
        <w:rPr>
          <w:sz w:val="20"/>
          <w:szCs w:val="20"/>
          <w:color w:val="auto"/>
        </w:rPr>
      </w:pPr>
    </w:p>
    <w:p>
      <w:pPr>
        <w:jc w:val="both"/>
        <w:ind w:right="220" w:firstLine="509"/>
        <w:spacing w:after="0" w:line="275"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2021, respectively, are consistent with those discussed in Note 2 to the consolidated financial statements in the Company’s Annual Report on Form 10-K for the year ended December 31, 2020, except as noted within the “Recent Accounting Pronouncements – Recently Adopted Accounting Pronouncements” section.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180" w:firstLine="509"/>
        <w:spacing w:after="0" w:line="359"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under its Accounting Standards Codification or other standard setting bodies, and adopted by the Company as of the specified effective date, unless otherwise discussed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31" w:lineRule="exact"/>
        <w:rPr>
          <w:sz w:val="20"/>
          <w:szCs w:val="20"/>
          <w:color w:val="auto"/>
        </w:rPr>
      </w:pPr>
    </w:p>
    <w:p>
      <w:pPr>
        <w:jc w:val="both"/>
        <w:ind w:right="280" w:firstLine="509"/>
        <w:spacing w:after="0" w:line="303" w:lineRule="auto"/>
        <w:rPr>
          <w:sz w:val="20"/>
          <w:szCs w:val="20"/>
          <w:color w:val="auto"/>
        </w:rPr>
      </w:pPr>
      <w:r>
        <w:rPr>
          <w:rFonts w:ascii="Arial" w:cs="Arial" w:eastAsia="Arial" w:hAnsi="Arial"/>
          <w:sz w:val="17"/>
          <w:szCs w:val="17"/>
          <w:color w:val="auto"/>
        </w:rPr>
        <w:t xml:space="preserve">In October 2020, the FASB issued Accounting Standards Update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which updates various codification topics and disclosure requirements to improve alignment with the SEC's regulations. The Company adopted this new guidance as of January 1, 2021, and this guidance did not have a material impact on its consolidated financial statements and related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Company continues to monitor new accounting pronouncements issued by the FASB. All other newly issued accounting pronouncements issued through the date of this report have been deemed either immaterial or 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trial and related costs</w:t>
            </w:r>
          </w:p>
        </w:tc>
        <w:tc>
          <w:tcPr>
            <w:tcW w:w="3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21,762</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leasehold improvements</w:t>
            </w:r>
          </w:p>
        </w:tc>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7,470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salaries and benefits</w:t>
            </w:r>
          </w:p>
        </w:tc>
        <w:tc>
          <w:tcPr>
            <w:tcW w:w="3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legal fees</w:t>
            </w:r>
          </w:p>
        </w:tc>
        <w:tc>
          <w:tcPr>
            <w:tcW w:w="3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other liabilities</w:t>
            </w:r>
          </w:p>
        </w:tc>
        <w:tc>
          <w:tcPr>
            <w:tcW w:w="34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39,016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20,402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0" w:type="dxa"/>
            <w:vAlign w:val="bottom"/>
            <w:vMerge w:val="restart"/>
          </w:tcPr>
          <w:p>
            <w:pPr>
              <w:jc w:val="right"/>
              <w:ind w:right="193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-639445</wp:posOffset>
            </wp:positionV>
            <wp:extent cx="1714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September 30,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762,550</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762,550</w:t>
            </w:r>
          </w:p>
        </w:tc>
        <w:tc>
          <w:tcPr>
            <w:tcW w:w="100" w:type="dxa"/>
            <w:vAlign w:val="bottom"/>
            <w:tcBorders>
              <w:bottom w:val="single" w:sz="8" w:color="CFF0FC"/>
            </w:tcBorders>
          </w:tcPr>
          <w:p>
            <w:pPr>
              <w:spacing w:after="0"/>
              <w:rPr>
                <w:sz w:val="21"/>
                <w:szCs w:val="21"/>
                <w:color w:val="auto"/>
              </w:rPr>
            </w:pPr>
          </w:p>
        </w:tc>
      </w:tr>
      <w:tr>
        <w:trPr>
          <w:trHeight w:val="290"/>
        </w:trPr>
        <w:tc>
          <w:tcPr>
            <w:tcW w:w="5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762,550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-25400</wp:posOffset>
            </wp:positionV>
            <wp:extent cx="163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163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-196850</wp:posOffset>
            </wp:positionV>
            <wp:extent cx="163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154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1543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-196850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146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46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-196850</wp:posOffset>
            </wp:positionV>
            <wp:extent cx="146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rPr>
              <w:t>Fair Value Measurements at December 31,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1"/>
                <w:szCs w:val="21"/>
                <w:color w:val="auto"/>
              </w:rPr>
            </w:pP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917,485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917,485</w:t>
            </w:r>
          </w:p>
        </w:tc>
        <w:tc>
          <w:tcPr>
            <w:tcW w:w="100" w:type="dxa"/>
            <w:vAlign w:val="bottom"/>
          </w:tcPr>
          <w:p>
            <w:pPr>
              <w:spacing w:after="0"/>
              <w:rPr>
                <w:sz w:val="21"/>
                <w:szCs w:val="21"/>
                <w:color w:val="auto"/>
              </w:rPr>
            </w:pPr>
          </w:p>
        </w:tc>
      </w:tr>
      <w:tr>
        <w:trPr>
          <w:trHeight w:val="26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r>
      <w:tr>
        <w:trPr>
          <w:trHeight w:val="257"/>
        </w:trPr>
        <w:tc>
          <w:tcPr>
            <w:tcW w:w="5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917,485</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24,578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942,063</w:t>
            </w:r>
          </w:p>
        </w:tc>
        <w:tc>
          <w:tcPr>
            <w:tcW w:w="10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-193675</wp:posOffset>
            </wp:positionV>
            <wp:extent cx="16319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-193675</wp:posOffset>
            </wp:positionV>
            <wp:extent cx="1543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-193675</wp:posOffset>
            </wp:positionV>
            <wp:extent cx="1460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ind w:right="80" w:firstLine="509"/>
        <w:spacing w:after="0" w:line="324" w:lineRule="auto"/>
        <w:rPr>
          <w:sz w:val="20"/>
          <w:szCs w:val="20"/>
          <w:color w:val="auto"/>
        </w:rPr>
      </w:pPr>
      <w:r>
        <w:rPr>
          <w:rFonts w:ascii="Arial" w:cs="Arial" w:eastAsia="Arial" w:hAnsi="Arial"/>
          <w:sz w:val="17"/>
          <w:szCs w:val="17"/>
          <w:color w:val="auto"/>
        </w:rPr>
        <w:t>As of September 30, 2021 and December 31, 2020, the fair value of the liability related to sale of future royalties is based on the Company's current estimates of future royalties expected to be paid to Baker Bros. Advisors, LP (“BBA”), which are considered Level 3 inputs.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35" w:lineRule="exact"/>
        <w:rPr>
          <w:sz w:val="20"/>
          <w:szCs w:val="20"/>
          <w:color w:val="auto"/>
        </w:rPr>
      </w:pPr>
    </w:p>
    <w:p>
      <w:pPr>
        <w:jc w:val="both"/>
        <w:ind w:right="80" w:firstLine="509"/>
        <w:spacing w:after="0" w:line="303" w:lineRule="auto"/>
        <w:rPr>
          <w:sz w:val="20"/>
          <w:szCs w:val="20"/>
          <w:color w:val="auto"/>
        </w:rPr>
      </w:pPr>
      <w:r>
        <w:rPr>
          <w:rFonts w:ascii="Arial" w:cs="Arial" w:eastAsia="Arial" w:hAnsi="Arial"/>
          <w:sz w:val="17"/>
          <w:szCs w:val="17"/>
          <w:color w:val="auto"/>
        </w:rPr>
        <w:t>The marketable securities are classified as available-for-sale and consist of U.S. treasury securities and corporate notes.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had no marketable securities at September 30, 2021. The following table summarizes the marketable securities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Amortized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9"/>
                <w:szCs w:val="19"/>
                <w:color w:val="auto"/>
              </w:rPr>
            </w:pPr>
          </w:p>
        </w:tc>
      </w:tr>
      <w:tr>
        <w:trPr>
          <w:trHeight w:val="248"/>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1"/>
                <w:szCs w:val="21"/>
                <w:color w:val="auto"/>
              </w:rPr>
            </w:pPr>
          </w:p>
        </w:tc>
      </w:tr>
      <w:tr>
        <w:trPr>
          <w:trHeight w:val="25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shd w:val="clear" w:color="auto" w:fill="CFF0FC"/>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r>
      <w:tr>
        <w:trPr>
          <w:trHeight w:val="290"/>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marketable securities, current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1631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1631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1631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1631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14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ind w:right="80" w:firstLine="509"/>
        <w:spacing w:after="0" w:line="292" w:lineRule="auto"/>
        <w:rPr>
          <w:sz w:val="20"/>
          <w:szCs w:val="20"/>
          <w:color w:val="auto"/>
        </w:rPr>
      </w:pPr>
      <w:r>
        <w:rPr>
          <w:rFonts w:ascii="Arial" w:cs="Arial" w:eastAsia="Arial" w:hAnsi="Arial"/>
          <w:sz w:val="17"/>
          <w:szCs w:val="17"/>
          <w:color w:val="auto"/>
        </w:rPr>
        <w:t>All marketable securities held at December 31, 2020 had effective maturities of less than one year. There were no realized gains or losses recognized on the sale or maturity of available-for-sale debt securities during the three and nine months ended September 30, 2021, respectively and, as a result, the Company did not reclassify any amounts out of accumulated comprehensive loss. As of September 30, 2021 and December 31, 2020, the Company had no allowance for credit losses for available-for-sale debt securities. There were no impairment charges or recoveries recorded during each of the nine months ended September 30, 2021 and September 30, 2020,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Lease</w:t>
      </w:r>
    </w:p>
    <w:p>
      <w:pPr>
        <w:spacing w:after="0" w:line="1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KSI-301.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35.0 million Swiss Francs of the capital contribution, equivalent to $38.7 million U.S. Dollars, which is recorded in other assets on the consolidated balance sheet as of September 30, 2021. Over the period from 2022 through 2029, manufacturing payments totaling approximately 150.0 million Swiss Francs may be incurred for potential commercial supply of KSI-301 drug substance.</w:t>
      </w:r>
    </w:p>
    <w:p>
      <w:pPr>
        <w:spacing w:after="0" w:line="66"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September 30, 2021, the Company did not have control of this manufacturing space and therefore, did not record a right-of-use asset and corresponding lease liability.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applicable agreement. The actual amounts and timing of payments under these agreements are uncertain and contingent upon the initiation and completion of services to be provided to the Company.</w:t>
      </w:r>
    </w:p>
    <w:p>
      <w:pPr>
        <w:spacing w:after="0" w:line="7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35" w:lineRule="exact"/>
        <w:rPr>
          <w:sz w:val="20"/>
          <w:szCs w:val="20"/>
          <w:color w:val="auto"/>
        </w:rPr>
      </w:pPr>
    </w:p>
    <w:p>
      <w:pPr>
        <w:ind w:firstLine="509"/>
        <w:spacing w:after="0" w:line="359" w:lineRule="auto"/>
        <w:rPr>
          <w:sz w:val="20"/>
          <w:szCs w:val="20"/>
          <w:color w:val="auto"/>
        </w:rPr>
      </w:pPr>
      <w:r>
        <w:rPr>
          <w:rFonts w:ascii="Arial" w:cs="Arial" w:eastAsia="Arial" w:hAnsi="Arial"/>
          <w:sz w:val="16"/>
          <w:szCs w:val="16"/>
          <w:color w:val="auto"/>
        </w:rPr>
        <w:t>In January 2021 and 2020, the number of shares of common stock available for issuance under the 2018 Equity Incentive Plan (the "2018 Plan") was increased by approximately 2.0 million and 1.8 million shares, respectively, as a result of the automatic increase provision in the 2018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the 2018 Plan and 2015 Equity Incentive Plan (the "2015 Plan")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9"/>
                <w:szCs w:val="19"/>
                <w:color w:val="auto"/>
              </w:rPr>
            </w:pPr>
          </w:p>
        </w:tc>
      </w:tr>
      <w:tr>
        <w:trPr>
          <w:trHeight w:val="229"/>
        </w:trPr>
        <w:tc>
          <w:tcPr>
            <w:tcW w:w="452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9"/>
                <w:szCs w:val="19"/>
                <w:color w:val="auto"/>
              </w:rPr>
            </w:pPr>
          </w:p>
        </w:tc>
      </w:tr>
      <w:tr>
        <w:trPr>
          <w:trHeight w:val="229"/>
        </w:trPr>
        <w:tc>
          <w:tcPr>
            <w:tcW w:w="4520" w:type="dxa"/>
            <w:vAlign w:val="bottom"/>
          </w:tcPr>
          <w:p>
            <w:pPr>
              <w:spacing w:after="0"/>
              <w:rPr>
                <w:sz w:val="19"/>
                <w:szCs w:val="19"/>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r>
      <w:tr>
        <w:trPr>
          <w:trHeight w:val="241"/>
        </w:trPr>
        <w:tc>
          <w:tcPr>
            <w:tcW w:w="45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 years)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r>
      <w:tr>
        <w:trPr>
          <w:trHeight w:val="257"/>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6,897,276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841,704</w:t>
            </w:r>
          </w:p>
        </w:tc>
        <w:tc>
          <w:tcPr>
            <w:tcW w:w="100" w:type="dxa"/>
            <w:vAlign w:val="bottom"/>
            <w:shd w:val="clear" w:color="auto" w:fill="CFF0FC"/>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1,478,994</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94.80</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(348,420 )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6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Forfeited or canceled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(228,118 )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41.86</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7,799,732</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37.62</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431,288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188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1885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31" w:lineRule="exact"/>
        <w:rPr>
          <w:sz w:val="20"/>
          <w:szCs w:val="20"/>
          <w:color w:val="auto"/>
        </w:rPr>
      </w:pPr>
    </w:p>
    <w:p>
      <w:pPr>
        <w:jc w:val="both"/>
        <w:ind w:right="120" w:firstLine="509"/>
        <w:spacing w:after="0" w:line="293"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9"/>
                <w:szCs w:val="19"/>
                <w:color w:val="auto"/>
              </w:rPr>
            </w:pPr>
          </w:p>
        </w:tc>
      </w:tr>
      <w:tr>
        <w:trPr>
          <w:trHeight w:val="230"/>
        </w:trPr>
        <w:tc>
          <w:tcPr>
            <w:tcW w:w="6540" w:type="dxa"/>
            <w:vAlign w:val="bottom"/>
          </w:tcPr>
          <w:p>
            <w:pPr>
              <w:spacing w:after="0"/>
              <w:rPr>
                <w:sz w:val="19"/>
                <w:szCs w:val="19"/>
                <w:color w:val="auto"/>
              </w:rPr>
            </w:pPr>
          </w:p>
        </w:tc>
        <w:tc>
          <w:tcPr>
            <w:tcW w:w="1500" w:type="dxa"/>
            <w:vAlign w:val="bottom"/>
          </w:tcPr>
          <w:p>
            <w:pPr>
              <w:jc w:val="center"/>
              <w:ind w:left="530"/>
              <w:spacing w:after="0"/>
              <w:rPr>
                <w:sz w:val="20"/>
                <w:szCs w:val="20"/>
                <w:color w:val="auto"/>
              </w:rPr>
            </w:pPr>
            <w:r>
              <w:rPr>
                <w:rFonts w:ascii="Arial" w:cs="Arial" w:eastAsia="Arial" w:hAnsi="Arial"/>
                <w:sz w:val="18"/>
                <w:szCs w:val="18"/>
                <w:b w:val="1"/>
                <w:bCs w:val="1"/>
                <w:color w:val="auto"/>
                <w:w w:val="93"/>
              </w:rPr>
              <w:t>Number of</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r>
      <w:tr>
        <w:trPr>
          <w:trHeight w:val="230"/>
        </w:trPr>
        <w:tc>
          <w:tcPr>
            <w:tcW w:w="6540" w:type="dxa"/>
            <w:vAlign w:val="bottom"/>
          </w:tcPr>
          <w:p>
            <w:pPr>
              <w:spacing w:after="0"/>
              <w:rPr>
                <w:sz w:val="19"/>
                <w:szCs w:val="19"/>
                <w:color w:val="auto"/>
              </w:rPr>
            </w:pPr>
          </w:p>
        </w:tc>
        <w:tc>
          <w:tcPr>
            <w:tcW w:w="150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Restricted</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9"/>
                <w:szCs w:val="19"/>
                <w:color w:val="auto"/>
              </w:rPr>
            </w:pPr>
          </w:p>
        </w:tc>
      </w:tr>
      <w:tr>
        <w:trPr>
          <w:trHeight w:val="241"/>
        </w:trPr>
        <w:tc>
          <w:tcPr>
            <w:tcW w:w="6540" w:type="dxa"/>
            <w:vAlign w:val="bottom"/>
          </w:tcPr>
          <w:p>
            <w:pPr>
              <w:spacing w:after="0"/>
              <w:rPr>
                <w:sz w:val="20"/>
                <w:szCs w:val="20"/>
                <w:color w:val="auto"/>
              </w:rPr>
            </w:pPr>
          </w:p>
        </w:tc>
        <w:tc>
          <w:tcPr>
            <w:tcW w:w="15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56"/>
        </w:trPr>
        <w:tc>
          <w:tcPr>
            <w:tcW w:w="8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at December 31, 2020</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359,945</w:t>
            </w:r>
          </w:p>
        </w:tc>
        <w:tc>
          <w:tcPr>
            <w:tcW w:w="3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170,150</w:t>
            </w:r>
          </w:p>
        </w:tc>
        <w:tc>
          <w:tcPr>
            <w:tcW w:w="3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90.75</w:t>
            </w:r>
          </w:p>
        </w:tc>
        <w:tc>
          <w:tcPr>
            <w:tcW w:w="100" w:type="dxa"/>
            <w:vAlign w:val="bottom"/>
          </w:tcPr>
          <w:p>
            <w:pPr>
              <w:spacing w:after="0"/>
              <w:rPr>
                <w:sz w:val="21"/>
                <w:szCs w:val="21"/>
                <w:color w:val="auto"/>
              </w:rPr>
            </w:pPr>
          </w:p>
        </w:tc>
      </w:tr>
      <w:tr>
        <w:trPr>
          <w:trHeight w:val="263"/>
        </w:trPr>
        <w:tc>
          <w:tcPr>
            <w:tcW w:w="8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4"/>
              </w:rPr>
              <w:t>(83,775 )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Canceled</w:t>
            </w:r>
          </w:p>
        </w:tc>
        <w:tc>
          <w:tcPr>
            <w:tcW w:w="15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(34,033 )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21"/>
                <w:szCs w:val="21"/>
                <w:color w:val="auto"/>
              </w:rPr>
            </w:pPr>
          </w:p>
        </w:tc>
      </w:tr>
      <w:tr>
        <w:trPr>
          <w:trHeight w:val="290"/>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September 30, 2021</w:t>
            </w:r>
          </w:p>
        </w:tc>
        <w:tc>
          <w:tcPr>
            <w:tcW w:w="150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412,287</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2146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2146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31" w:lineRule="exact"/>
        <w:rPr>
          <w:sz w:val="20"/>
          <w:szCs w:val="20"/>
          <w:color w:val="auto"/>
        </w:rPr>
      </w:pPr>
    </w:p>
    <w:p>
      <w:pPr>
        <w:jc w:val="both"/>
        <w:ind w:right="560" w:firstLine="509"/>
        <w:spacing w:after="0" w:line="279" w:lineRule="auto"/>
        <w:rPr>
          <w:sz w:val="20"/>
          <w:szCs w:val="20"/>
          <w:color w:val="auto"/>
        </w:rPr>
      </w:pPr>
      <w:r>
        <w:rPr>
          <w:rFonts w:ascii="Arial" w:cs="Arial" w:eastAsia="Arial" w:hAnsi="Arial"/>
          <w:sz w:val="18"/>
          <w:szCs w:val="18"/>
          <w:color w:val="auto"/>
        </w:rPr>
        <w:t>The Company granted 669,581 performance-based stock options during the nine months ended September 30, 2021 (the "2021 PSAs"). The Company did not grant any performance-based equity awards during 2020. The Company granted 170,150 performance-based options and 128,900 performance-based restricted stock units to employees in 2019 (the "2019 PSAs").</w:t>
      </w:r>
    </w:p>
    <w:p>
      <w:pPr>
        <w:spacing w:after="0" w:line="75" w:lineRule="exact"/>
        <w:rPr>
          <w:sz w:val="20"/>
          <w:szCs w:val="20"/>
          <w:color w:val="auto"/>
        </w:rPr>
      </w:pPr>
    </w:p>
    <w:p>
      <w:pPr>
        <w:ind w:right="520" w:firstLine="509"/>
        <w:spacing w:after="0" w:line="279" w:lineRule="auto"/>
        <w:rPr>
          <w:sz w:val="20"/>
          <w:szCs w:val="20"/>
          <w:color w:val="auto"/>
        </w:rPr>
      </w:pPr>
      <w:r>
        <w:rPr>
          <w:rFonts w:ascii="Arial" w:cs="Arial" w:eastAsia="Arial" w:hAnsi="Arial"/>
          <w:sz w:val="18"/>
          <w:szCs w:val="18"/>
          <w:color w:val="auto"/>
        </w:rPr>
        <w:t>The performance-based equity awards granted will vest one-quarter upon the achievement of specific clinical development milestones. The remaining shares will then vest ratably over three years thereafter. Performance-based stock options and performance-based restricted stock units are recorded as expense beginning when vesting events are determined to be probable.</w:t>
      </w:r>
    </w:p>
    <w:p>
      <w:pPr>
        <w:spacing w:after="0" w:line="7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The milestone for the 2019 PSAs was achieved during the second quarter of 2021. As of September 30, 2021, 42,536 performance-based stock options and 28,905 performance-based restricted stock units granted during 2019 have vested. The Company believes that the achievement of the requisite performance condition for 2021 PSAs granted in the first quarter of 2021 continues to be probable.</w:t>
      </w:r>
    </w:p>
    <w:p>
      <w:pPr>
        <w:spacing w:after="0" w:line="75" w:lineRule="exact"/>
        <w:rPr>
          <w:sz w:val="20"/>
          <w:szCs w:val="20"/>
          <w:color w:val="auto"/>
        </w:rPr>
      </w:pPr>
    </w:p>
    <w:p>
      <w:pPr>
        <w:ind w:right="440" w:firstLine="509"/>
        <w:spacing w:after="0" w:line="324" w:lineRule="auto"/>
        <w:rPr>
          <w:sz w:val="20"/>
          <w:szCs w:val="20"/>
          <w:color w:val="auto"/>
        </w:rPr>
      </w:pPr>
      <w:r>
        <w:rPr>
          <w:rFonts w:ascii="Arial" w:cs="Arial" w:eastAsia="Arial" w:hAnsi="Arial"/>
          <w:sz w:val="17"/>
          <w:szCs w:val="17"/>
          <w:color w:val="auto"/>
        </w:rPr>
        <w:t>Stock-based compensation expense recognized was $2.1 million and $8.3 million during the three and nine months ended September 30, 2021, respectively, and $1.8 million and $5.5 million during the three and nine months ended September 30, 2020, respectively.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11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 August 2018, the Company adopted the 2018 Employee Share Purchase Plan (“ESPP”), which became effective on the business day prior to the effectiveness of the registration statement relating to the Company's initial public offering. A total of 460,000 shares of common stock were initially reserved for issuance under the ESPP. The initial offering period of the ESPP was authorized by the Company’s board of directors and commenced on January 4, 2021. Each offering period is approximately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w:t>
      </w:r>
    </w:p>
    <w:p>
      <w:pPr>
        <w:spacing w:after="0" w:line="83" w:lineRule="exact"/>
        <w:rPr>
          <w:sz w:val="20"/>
          <w:szCs w:val="20"/>
          <w:color w:val="auto"/>
        </w:rPr>
      </w:pPr>
    </w:p>
    <w:p>
      <w:pPr>
        <w:jc w:val="both"/>
        <w:ind w:right="360" w:firstLine="509"/>
        <w:spacing w:after="0" w:line="279" w:lineRule="auto"/>
        <w:rPr>
          <w:sz w:val="20"/>
          <w:szCs w:val="20"/>
          <w:color w:val="auto"/>
        </w:rPr>
      </w:pPr>
      <w:r>
        <w:rPr>
          <w:rFonts w:ascii="Arial" w:cs="Arial" w:eastAsia="Arial" w:hAnsi="Arial"/>
          <w:sz w:val="18"/>
          <w:szCs w:val="18"/>
          <w:color w:val="auto"/>
        </w:rPr>
        <w:t>The Company issued no shares and 4,295 shares under the ESPP during the three and nine months ended September 30, 2021, respectively. The stock-based compensation expense related to the ESPP was less than $0.1 million and $0.2 million during the three and nine months ended September 30,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ind w:right="720" w:firstLine="509"/>
        <w:spacing w:after="0" w:line="293" w:lineRule="auto"/>
        <w:rPr>
          <w:sz w:val="20"/>
          <w:szCs w:val="20"/>
          <w:color w:val="auto"/>
        </w:rPr>
      </w:pPr>
      <w:r>
        <w:rPr>
          <w:rFonts w:ascii="Arial" w:cs="Arial" w:eastAsia="Arial" w:hAnsi="Arial"/>
          <w:sz w:val="18"/>
          <w:szCs w:val="18"/>
          <w:color w:val="auto"/>
        </w:rPr>
        <w:t>Stock-based compensation for options, restricted shares, and ESPP is classified in the condensed consolidated statements of operations and comprehensive loss as follows (in thousands):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6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r>
      <w:tr>
        <w:trPr>
          <w:trHeight w:val="241"/>
        </w:trPr>
        <w:tc>
          <w:tcPr>
            <w:tcW w:w="4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5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57"/>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6,429</w:t>
            </w:r>
          </w:p>
        </w:tc>
        <w:tc>
          <w:tcPr>
            <w:tcW w:w="122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4,759</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17,598</w:t>
            </w:r>
          </w:p>
        </w:tc>
        <w:tc>
          <w:tcPr>
            <w:tcW w:w="7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shd w:val="clear" w:color="auto" w:fill="CFF0FC"/>
          </w:tcPr>
          <w:p>
            <w:pPr>
              <w:spacing w:after="0"/>
              <w:rPr>
                <w:sz w:val="22"/>
                <w:szCs w:val="22"/>
                <w:color w:val="auto"/>
              </w:rPr>
            </w:pPr>
          </w:p>
        </w:tc>
      </w:tr>
      <w:tr>
        <w:trPr>
          <w:trHeight w:val="250"/>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3,482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21"/>
                <w:szCs w:val="21"/>
                <w:color w:val="auto"/>
              </w:rPr>
            </w:pPr>
          </w:p>
        </w:tc>
      </w:tr>
      <w:tr>
        <w:trPr>
          <w:trHeight w:val="29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12,377</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8,241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33,389</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-25400</wp:posOffset>
            </wp:positionV>
            <wp:extent cx="1803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180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631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63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right="40" w:firstLine="509"/>
        <w:spacing w:after="0" w:line="293" w:lineRule="auto"/>
        <w:rPr>
          <w:sz w:val="20"/>
          <w:szCs w:val="20"/>
          <w:color w:val="auto"/>
        </w:rPr>
      </w:pPr>
      <w:r>
        <w:rPr>
          <w:rFonts w:ascii="Arial" w:cs="Arial" w:eastAsia="Arial" w:hAnsi="Arial"/>
          <w:sz w:val="18"/>
          <w:szCs w:val="18"/>
          <w:color w:val="auto"/>
        </w:rPr>
        <w:t>As of September 30, 2021, total unrecognized compensation cost related to the unvested share-based awards and ESPP was $122.4 million, which is expected to be recognized over a weighted-average period of 2.8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35" w:lineRule="exact"/>
        <w:rPr>
          <w:sz w:val="20"/>
          <w:szCs w:val="20"/>
          <w:color w:val="auto"/>
        </w:rPr>
      </w:pPr>
    </w:p>
    <w:p>
      <w:pPr>
        <w:ind w:right="500" w:firstLine="509"/>
        <w:spacing w:after="0" w:line="293"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98"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057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7,799,732</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7,238,363</w:t>
            </w:r>
          </w:p>
        </w:tc>
        <w:tc>
          <w:tcPr>
            <w:tcW w:w="100" w:type="dxa"/>
            <w:vAlign w:val="bottom"/>
            <w:shd w:val="clear" w:color="auto" w:fill="CFF0FC"/>
          </w:tcPr>
          <w:p>
            <w:pPr>
              <w:spacing w:after="0"/>
              <w:rPr>
                <w:sz w:val="22"/>
                <w:szCs w:val="22"/>
                <w:color w:val="auto"/>
              </w:rPr>
            </w:pPr>
          </w:p>
        </w:tc>
      </w:tr>
      <w:tr>
        <w:trPr>
          <w:trHeight w:val="250"/>
        </w:trPr>
        <w:tc>
          <w:tcPr>
            <w:tcW w:w="65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Unvested restricted shares</w:t>
            </w:r>
          </w:p>
        </w:tc>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412,287</w:t>
            </w:r>
          </w:p>
        </w:tc>
        <w:tc>
          <w:tcPr>
            <w:tcW w:w="360" w:type="dxa"/>
            <w:vAlign w:val="bottom"/>
            <w:tcBorders>
              <w:bottom w:val="single" w:sz="8" w:color="CFF0FC"/>
            </w:tcBorders>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363,195</w:t>
            </w:r>
          </w:p>
        </w:tc>
        <w:tc>
          <w:tcPr>
            <w:tcW w:w="100" w:type="dxa"/>
            <w:vAlign w:val="bottom"/>
            <w:tcBorders>
              <w:bottom w:val="single" w:sz="8" w:color="CFF0FC"/>
            </w:tcBorders>
          </w:tcPr>
          <w:p>
            <w:pPr>
              <w:spacing w:after="0"/>
              <w:rPr>
                <w:sz w:val="21"/>
                <w:szCs w:val="21"/>
                <w:color w:val="auto"/>
              </w:rPr>
            </w:pPr>
          </w:p>
        </w:tc>
      </w:tr>
      <w:tr>
        <w:trPr>
          <w:trHeight w:val="29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8,212,019</w:t>
            </w:r>
          </w:p>
        </w:tc>
        <w:tc>
          <w:tcPr>
            <w:tcW w:w="360" w:type="dxa"/>
            <w:vAlign w:val="bottom"/>
            <w:tcBorders>
              <w:bottom w:val="single" w:sz="8" w:color="CFF0FC"/>
            </w:tcBorders>
            <w:shd w:val="clear" w:color="auto" w:fill="CFF0FC"/>
          </w:tcPr>
          <w:p>
            <w:pPr>
              <w:spacing w:after="0"/>
              <w:rPr>
                <w:sz w:val="24"/>
                <w:szCs w:val="24"/>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7,601,558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231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2317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-196215</wp:posOffset>
            </wp:positionV>
            <wp:extent cx="231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right="80" w:firstLine="509"/>
        <w:spacing w:after="0" w:line="314" w:lineRule="auto"/>
        <w:rPr>
          <w:sz w:val="20"/>
          <w:szCs w:val="20"/>
          <w:color w:val="auto"/>
        </w:rPr>
      </w:pPr>
      <w:r>
        <w:rPr>
          <w:rFonts w:ascii="Arial" w:cs="Arial" w:eastAsia="Arial" w:hAnsi="Arial"/>
          <w:sz w:val="16"/>
          <w:szCs w:val="16"/>
          <w:color w:val="auto"/>
        </w:rPr>
        <w:t>On October 13, 2021, stockholders of the Company approved the Kodiak Sciences Inc. 2021 Long-Term Performance Incentive Plan (the “LTPIP”) as described in the Company's Definitive Proxy Statement on Schedule 14A filed with the SEC on September 13, 2021. Stock options were granted under the LTPIP, contingent on stockholder approval of the LTPIP, to named executive officers and other eligible employees at the vice president level who made a one-time election to participate in the LTPIP and agreed to forgo a portion of their annual long-term incentive awards over the seven-year performance period ending on August 11, 2028. A total of 5,502,334 shares of common stock were reserved for issuance under the LTPIP.</w:t>
      </w:r>
    </w:p>
    <w:p>
      <w:pPr>
        <w:spacing w:after="0" w:line="52"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The options can be earned based on the achievement of the performance-based requirement and/or certain operational milestones. The performance-based requirement consists of seven tranches of options that are earned based on meeting or exceeding stock price goals between $200 and $800 per share for 90 consecutive trading days.</w:t>
      </w:r>
    </w:p>
    <w:p>
      <w:pPr>
        <w:spacing w:after="0" w:line="75"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Up to 35% of the options may be earned through the attainment of certain operational milestones to the extent that number of options has not yet been earned from stock appreciation. A participant may earn up to 25% upon approval by the U.S. Food and Drug Administration of a Biologics License Application for KSI-301 in the three major anti-VEGF indications and up to 10% from generating sales of at least $2.5 billion in a fiscal year. Once earned, options are subject to a service-based requirement and will vest through the remainder of the seven-year performance period in equal monthly installments.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Performance-based stock options totaling 1,920,625 with the same terms and conditions as the LTPIP were also granted to employees below the vice president level under the 2018 Plan. These stock option awards were also contingent on stockholder approval of the LTPIP. As discussed above, the LTPIP was approved by the stockholders of the Company on October 13, 2021.</w:t>
      </w:r>
    </w:p>
    <w:p>
      <w:pPr>
        <w:spacing w:after="0" w:line="7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The Company is currently evaluating the LTPIP approved in October 2021 and its accounting impact as a modification of the portion of the annual long-term incentive awards granted in 2021 that were foregone.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2020, included in our Annual Report on Form 10-K filed with the Securities and Exchange Commission, or the SEC, on March 1, 2021.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7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Kodiak has progressed its lead investigational therapy, KSI-301, into six registrational clinical trials. The comprehensive clinical program targets high prevalence anti-VEGF dependent retinal diseases with studies designed as a package to support a broad product label, which we hope will include the key diseases and the longest dosing intervals. KSI-301 is being developed as a first line therapy for use in any patient who may benefit from anti-VEGF therapy. At the same time, Kodiak is investing in commercial scale manufacturing with a capacity goal to supply 100% of today’s branded anti-VEGF market. We hope to be able to provide a pre-filled syringe early in commercialization, with a stretch goal of having this available at launch. Combining these ambitious clinical and manufacturing efforts sets the stage for early market share capture when and if KSI-301 is approved.</w:t>
      </w:r>
    </w:p>
    <w:p>
      <w:pPr>
        <w:spacing w:after="0" w:line="46" w:lineRule="exact"/>
        <w:rPr>
          <w:sz w:val="20"/>
          <w:szCs w:val="20"/>
          <w:color w:val="auto"/>
        </w:rPr>
      </w:pPr>
    </w:p>
    <w:p>
      <w:pPr>
        <w:ind w:right="160" w:firstLine="509"/>
        <w:spacing w:after="0" w:line="250" w:lineRule="auto"/>
        <w:rPr>
          <w:sz w:val="20"/>
          <w:szCs w:val="20"/>
          <w:color w:val="auto"/>
        </w:rPr>
      </w:pPr>
      <w:r>
        <w:rPr>
          <w:rFonts w:ascii="Arial" w:cs="Arial" w:eastAsia="Arial" w:hAnsi="Arial"/>
          <w:sz w:val="18"/>
          <w:szCs w:val="18"/>
          <w:color w:val="auto"/>
        </w:rPr>
        <w:t>In addition, Kodiak is investing in its pipeline. The Company is progressing its Antibody Biopolymer Conjugate (or ABC) Platform</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towards suboptimal anti-VEGF responder patients, a group as large as 30% of treated patients, with its bispecific conjugate KSI-501. And beyond today’s anti-VEGF market, Kodiak’s new triplet medicines are being designed on its ABC Platform in an effort to bring new capabilities to treat the retina in the even higher prevalence diseases of dry AMD and glaucoma.</w:t>
      </w:r>
    </w:p>
    <w:p>
      <w:pPr>
        <w:spacing w:after="0" w:line="330"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Notably, up to this point, Kodiak has retained all global rights to make, use and sell its products, preserving future value and allowing for agile decision-making.</w:t>
      </w:r>
    </w:p>
    <w:p>
      <w:pPr>
        <w:spacing w:after="0" w:line="62"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While engaged in these research and development efforts, the Company has also demonstrated a disciplined and creative approach to building and financing the company, so Kodiak today is well capitalized with more than $799.2 million in cash as of September 30, 2021.</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Our objective is to develop our retina-focused product candidates, seek FDA and worldwide health authority marketing authorization approvals, and ultimately commercialize our product candidates.</w:t>
      </w:r>
    </w:p>
    <w:p>
      <w:pPr>
        <w:spacing w:after="0" w:line="62"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Following from these efforts, we believe Kodiak has the potential to achieve our ambition of becoming a significant incumbent retinal development and commercialization franchise on a global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Updates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Clinical Program Highlights</w:t>
      </w:r>
    </w:p>
    <w:p>
      <w:pPr>
        <w:spacing w:after="0" w:line="131" w:lineRule="exact"/>
        <w:rPr>
          <w:sz w:val="20"/>
          <w:szCs w:val="20"/>
          <w:color w:val="auto"/>
        </w:rPr>
      </w:pPr>
    </w:p>
    <w:p>
      <w:pPr>
        <w:ind w:right="140" w:firstLine="509"/>
        <w:spacing w:after="0" w:line="290" w:lineRule="auto"/>
        <w:rPr>
          <w:sz w:val="20"/>
          <w:szCs w:val="20"/>
          <w:color w:val="auto"/>
        </w:rPr>
      </w:pPr>
      <w:r>
        <w:rPr>
          <w:rFonts w:ascii="Arial" w:cs="Arial" w:eastAsia="Arial" w:hAnsi="Arial"/>
          <w:sz w:val="17"/>
          <w:szCs w:val="17"/>
          <w:color w:val="auto"/>
        </w:rPr>
        <w:t>We are engaged in a broad development program for KSI-301 with concurrent late-stage development activities across all of the major disease indications for which intravitreal anti-VEGF therapies are used and have made considerable progress in prosecuting the KSI-301 pivotal study program over this past quarter. We expect to include the results of all our pivotal clinical trials in wet AMD, DME and RVO in a single initial BLA. The ambitious program for KSI-301 reflects our conviction in KSI-301 (and our ABC Platform) and seeks labeling at launch that is supportive of a broad range of individualized dosing intervals, from every 4-week dosing up to once every 20-week dosing for wet AMD patients; from every 4-week dosing up to once every 24-week dosing for DME patients; and from every 4-week dosing up to once every 8-week dosing for RVO patients.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DAZZLE – Phase 2b/3 Study in Patients with Treatment-Naïve Wet Age-Related Macular Degeneration (Wet AMD)</w:t>
      </w:r>
    </w:p>
    <w:p>
      <w:pPr>
        <w:spacing w:after="0" w:line="117"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The Phase 2b/3 DAZZLE study is a global, multi-center, randomized pivotal study designed to evaluate the durability efficacy and safety of KSI-301 in patients with treatment-naïve wet AMD. Patients are randomized to receive either KSI-301 on an individualized dosing regimen as infrequently as every five months and no more often than every three months or to receive aflibercept on its labeled every eight-week dosing regimen, each after three monthly initiating doses.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8" w:name="page19"/>
    <w:bookmarkEnd w:id="18"/>
    <w:p>
      <w:pPr>
        <w:jc w:val="both"/>
        <w:ind w:left="520"/>
        <w:spacing w:after="0" w:line="342" w:lineRule="auto"/>
        <w:rPr>
          <w:sz w:val="20"/>
          <w:szCs w:val="20"/>
          <w:color w:val="auto"/>
        </w:rPr>
      </w:pPr>
      <w:r>
        <w:rPr>
          <w:rFonts w:ascii="Arial" w:cs="Arial" w:eastAsia="Arial" w:hAnsi="Arial"/>
          <w:sz w:val="16"/>
          <w:szCs w:val="16"/>
          <w:color w:val="auto"/>
        </w:rPr>
        <w:t>We initiated the DAZZLE pivotal study in October 2019 and completed enrollment in November 2020 with over 550 patients enrolled globally. We expect the last patient’s primary endpoint visit to occur in the fourth quarter of 2021 and to announce topline data in the first quarter of 2022.</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BEACON – Phase 3 Study in Patients with Treatment-Naïve Retinal Vein Occlusion (RVO)</w:t>
      </w:r>
    </w:p>
    <w:p>
      <w:pPr>
        <w:spacing w:after="0" w:line="117"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We began enrolling patients into BEACON in the third quarter of 2020. With over 475 patients randomized, we believe we are on track to complete enrollment into BEACON before the end of this year. Based on the 24-week primary endpoint for BEACON, we expect to announce topline data in mid-2022.</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GLEAM / GLIMMER – Paired Phase 3 Studies in Patients with Treatment-Naïve Diabetic Macular Edema (DME)</w:t>
      </w:r>
    </w:p>
    <w:p>
      <w:pPr>
        <w:spacing w:after="0" w:line="117" w:lineRule="exact"/>
        <w:rPr>
          <w:sz w:val="20"/>
          <w:szCs w:val="20"/>
          <w:color w:val="auto"/>
        </w:rPr>
      </w:pPr>
    </w:p>
    <w:p>
      <w:pPr>
        <w:ind w:left="520" w:right="40"/>
        <w:spacing w:after="0" w:line="275" w:lineRule="auto"/>
        <w:rPr>
          <w:sz w:val="20"/>
          <w:szCs w:val="20"/>
          <w:color w:val="auto"/>
        </w:rPr>
      </w:pPr>
      <w:r>
        <w:rPr>
          <w:rFonts w:ascii="Arial" w:cs="Arial" w:eastAsia="Arial" w:hAnsi="Arial"/>
          <w:sz w:val="17"/>
          <w:szCs w:val="17"/>
          <w:color w:val="auto"/>
        </w:rPr>
        <w:t>The Phase 3 GLEAM and GLIMMER studies are global, multi-center, randomized pivotal studies designed to evaluate the durability, efficacy and safety of KSI-301 in patients with treatment-naïve diabetic macular edema (DME). In each study, patients are randomized to receive either intravitreal KSI-301 on an individualized dosing regimen every eight to 24 weeks after only three loading doses or intravitreal aflibercept every eight weeks after five loading doses per its label. Each study is expected to enroll approximately 450 patients worldwide. The primary endpoint for both studies is at one year, and patients will be treated and followed for a total of two years.</w:t>
      </w:r>
    </w:p>
    <w:p>
      <w:pPr>
        <w:spacing w:after="0" w:line="68" w:lineRule="exact"/>
        <w:rPr>
          <w:sz w:val="20"/>
          <w:szCs w:val="20"/>
          <w:color w:val="auto"/>
        </w:rPr>
      </w:pPr>
    </w:p>
    <w:p>
      <w:pPr>
        <w:ind w:left="520" w:right="300"/>
        <w:spacing w:after="0" w:line="263" w:lineRule="auto"/>
        <w:rPr>
          <w:sz w:val="20"/>
          <w:szCs w:val="20"/>
          <w:color w:val="auto"/>
        </w:rPr>
      </w:pPr>
      <w:r>
        <w:rPr>
          <w:rFonts w:ascii="Arial" w:cs="Arial" w:eastAsia="Arial" w:hAnsi="Arial"/>
          <w:sz w:val="18"/>
          <w:szCs w:val="18"/>
          <w:color w:val="auto"/>
        </w:rPr>
        <w:t>We initiated GLEAM and GLIMMER in the third quarter of 2020. Continued elevated COVID-19 transmission rates globally have impacted enrollment rates for patients with treatment naïve DME. With GLEAM more than two-thirds enrolled and GLIMMER more than three-quarters enrolled, we expect to complete enrollment in the first quarter of 2022.</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DAYLIGHT – Phase 3 Study in Patients with Treatment-Naïve Wet AMD</w:t>
      </w:r>
    </w:p>
    <w:p>
      <w:pPr>
        <w:spacing w:after="0" w:line="117" w:lineRule="exact"/>
        <w:rPr>
          <w:sz w:val="20"/>
          <w:szCs w:val="20"/>
          <w:color w:val="auto"/>
        </w:rPr>
      </w:pPr>
    </w:p>
    <w:p>
      <w:pPr>
        <w:jc w:val="both"/>
        <w:ind w:left="520" w:right="120"/>
        <w:spacing w:after="0" w:line="279" w:lineRule="auto"/>
        <w:rPr>
          <w:sz w:val="20"/>
          <w:szCs w:val="20"/>
          <w:color w:val="auto"/>
        </w:rPr>
      </w:pPr>
      <w:r>
        <w:rPr>
          <w:rFonts w:ascii="Arial" w:cs="Arial" w:eastAsia="Arial" w:hAnsi="Arial"/>
          <w:sz w:val="17"/>
          <w:szCs w:val="17"/>
          <w:color w:val="auto"/>
        </w:rPr>
        <w:t>The Phase 3 DAYLIGHT study is a global, multi-center, randomized pivotal study designed to evaluate the efficacy and safety of high-frequency KSI-301 in patients with treatment-naïve wet AMD. Patients are randomized to receive either KSI-301 on a monthly dosing regimen or to receive standard-of-care aflibercept. The study is expected to enroll approximately 500 patients worldwide. The primary endpoint is at 40 weeks, and the study is being planned and executed to allow for inclusion of its results in the initial BLA for KSI-301.</w:t>
      </w:r>
    </w:p>
    <w:p>
      <w:pPr>
        <w:spacing w:after="0" w:line="63" w:lineRule="exact"/>
        <w:rPr>
          <w:sz w:val="20"/>
          <w:szCs w:val="20"/>
          <w:color w:val="auto"/>
        </w:rPr>
      </w:pPr>
    </w:p>
    <w:p>
      <w:pPr>
        <w:jc w:val="both"/>
        <w:ind w:left="520" w:right="80"/>
        <w:spacing w:after="0" w:line="263" w:lineRule="auto"/>
        <w:rPr>
          <w:sz w:val="20"/>
          <w:szCs w:val="20"/>
          <w:color w:val="auto"/>
        </w:rPr>
      </w:pPr>
      <w:r>
        <w:rPr>
          <w:rFonts w:ascii="Arial" w:cs="Arial" w:eastAsia="Arial" w:hAnsi="Arial"/>
          <w:sz w:val="18"/>
          <w:szCs w:val="18"/>
          <w:color w:val="auto"/>
        </w:rPr>
        <w:t>In June 2021, we randomized the first patients into DAYLIGHT. Study enrollment has been strong with recruitment now underway both in the US and EU. Additional global study sites will be activated through the fourth quarter of 2021, and we believe we can complete enrollment in the first half of 2022.</w:t>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GLOW – Phase 3 Study in Patients with Non-Proliferative Diabetic Retinopathy without DME</w:t>
      </w:r>
    </w:p>
    <w:p>
      <w:pPr>
        <w:spacing w:after="0" w:line="117"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We began screening patients into GLOW in the second quarter of 2021 and randomized the first patients in September. We are not planning for this study and indication to be included in our initial BLA filing given our expectations for a longer recruitment timeframe. We are excited to be recruiting patients in this chronic, more preventive disease indication and believe KSI-301 can be a new longest-interval therapeutic option for patients with diabetic retinopathy.</w:t>
      </w:r>
    </w:p>
    <w:p>
      <w:pPr>
        <w:spacing w:after="0" w:line="92"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To date, we are pleased with the continued operational progress across our pivotal program. We believe we are on track for a series of KSI-301 topline data readouts beginning in early 2022 with DAZZLE in the first quarter of 2022, BEACON in mid-2022 and then DAYLIGHT and GLEAM/GLIMMER tracking towards early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3"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234315</wp:posOffset>
            </wp:positionV>
            <wp:extent cx="6172200" cy="3472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Our KSI-301 pivotal program is designed to support a full range of individualized dosing regimens and we hope to position KSI-301 to be the therapy of choice for all patients with retinal vascular disease and which can meet the distinct needs of patients, physicians, caregivers and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-48895</wp:posOffset>
            </wp:positionV>
            <wp:extent cx="6155055" cy="3463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50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Kodiak Stockholder Approval of the Kodiak 2021 Long-term Performance Incentive Plan (LTPIP)</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On August 12, 2021, the Board of Directors of Kodiak Sciences Inc. approved the Kodiak 2021 Long-Term Performance Incentive Plan (LTPIP), subject to approval by Kodiak stockholders. The LTPIP was approved by Kodiak’s stockholders on October 13, 2021, with 75% of all votes cast voting in favor of approving the LTPIP, excluding votes cast by any participant in the LTPIP.</w:t>
      </w:r>
    </w:p>
    <w:p>
      <w:pPr>
        <w:spacing w:after="0" w:line="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believe the LTPIP aligns management incentives to significant value creation. The plan covers the next seven years and was open to a significant number of our existing employees – not just senior management. Employees had a one-time opportunity to “opt-in” to the plan by agreeing to forego up to 75% of their annual equity incentive compensation for the next seven years via a one-time election. Shares can be earned based on significant stock price appreciation over the seven-year performance period, with the possibility to earn up to 35% of the award based on achieving substantive operational goals. Earned awards begin vesting once earned and vest through the remainder of the seven-year period in equal monthly increments, ensuring what we believe is a true long-term incentive program.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INDs</w:t>
      </w:r>
    </w:p>
    <w:p>
      <w:pPr>
        <w:spacing w:after="0" w:line="117"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In March 2021, our investigational new drug (IND) applications for KSI-301 in RVO and DME were approved by China’s National Medicinal Products Administration (NMPA). The IND approval allows Kodiak to enroll patients from China into the BEACON and GLIMMER studies; we believe that inclusion of patients from China in these studies could be beneficial for the potential future approval of KSI-301 in China.</w:t>
      </w:r>
    </w:p>
    <w:p>
      <w:pPr>
        <w:spacing w:after="0" w:line="5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The first Chinese patients are expected to be randomized in the fourth quarter of 2021. We are excited to embark on this important milestone in China as we believe there is substantial clinical unmet need in China for the type of long-interval dosing which KSI-301 and our ABC Platform may provide.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Phase 1b Study</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February 2021, we presented Year 1 durability, efficacy and safety data from our ongoing Phase 1b trial of KSI-301 in patients with treatment naïve wet AMD, DME or RVO at the Angiogenesis, Exudation, and Degeneration 2021 – Virtual Edition meeting. The data showed 2 in every 3 patients are on a 6-month or longer treatment-free interval at Year 1 in each of the three major retinal vascular diseases after only three loading doses. Robust vision gains (particularly notable in the context of very good baseline vision) and robust retinal drying (when baseline anatomical characteristics are considered) were seen across all three diseases being studied. Strong anti-VEGF efficacy (achieving at Year 1 approximately 20/40 eye chart vision on average in wet AMD and approximately 20/32 vision on average in DME and RVO) and an encouraging safety profile continued to be observed across all three diseases. We believe the data support the “anti-VEGF Generation 2.0” profile of KSI-301.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Track Record of KSI-301 Safety</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believe the safety profile of KSI-301 continues to be very encouraging. In the pivotal study program, in which the data remain masked (blinded) as the studies are ongoing, we estimate that over 4,500 KSI-301 injections have been given. Additionally, more than 750 injections have been given in the open-label Phase 1a/1b program. The total safety database now includes an estimated &gt;800 patient-years of exposure to KSI-301. Our ongoing reviews of safety data from the open-label Phase 1b study and the masked pivotal studies continue to suggest that the safety of KSI-301 is tracking with the expectations set by the safety profile of the current standard of care intravitreal medicines.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are continuing to monitor the global ongoing COVID-19 pandemic. We and our key clinical and manufacturing partners have been able to continue to advance our operations. Through this pandemic, we continue to work closely with our clinical sites towards patient safety and low number of missed visits and study discontinuations. The overall rate of missed study visits remains &lt;5%.</w:t>
      </w:r>
    </w:p>
    <w:p>
      <w:pPr>
        <w:spacing w:after="0" w:line="76"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 we have taken steps in line with guidance from the U.S. Centers for Disease Control and Prevention, or CDC, and the State of California to protect the health and safety of our employees and our community.</w:t>
      </w:r>
    </w:p>
    <w:p>
      <w:pPr>
        <w:spacing w:after="0" w:line="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4"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31"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Other income (expense), net consists primarily of accretion income and amortization expense on marketable debt securities net of amortized issuance costs from the liability related to the future sale of royalties to BBA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Three Months Ended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Nine Months Ended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Change</w:t>
            </w: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Change</w:t>
            </w:r>
          </w:p>
        </w:tc>
      </w:tr>
      <w:tr>
        <w:trPr>
          <w:trHeight w:val="257"/>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4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56,002</w:t>
            </w:r>
          </w:p>
        </w:tc>
        <w:tc>
          <w:tcPr>
            <w:tcW w:w="12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29,306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26,696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141,743</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71,710</w:t>
            </w:r>
          </w:p>
        </w:tc>
        <w:tc>
          <w:tcPr>
            <w:tcW w:w="100" w:type="dxa"/>
            <w:vAlign w:val="bottom"/>
          </w:tcPr>
          <w:p>
            <w:pPr>
              <w:spacing w:after="0"/>
              <w:rPr>
                <w:sz w:val="21"/>
                <w:szCs w:val="21"/>
                <w:color w:val="auto"/>
              </w:rPr>
            </w:pPr>
          </w:p>
        </w:tc>
      </w:tr>
      <w:tr>
        <w:trPr>
          <w:trHeight w:val="257"/>
        </w:trPr>
        <w:tc>
          <w:tcPr>
            <w:tcW w:w="4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11,533</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32,259</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19,132</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(67,535 )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(36,663 )</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(30,872 )</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(174,002 )</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(89,165 )</w:t>
            </w: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(84,837 )</w:t>
            </w:r>
          </w:p>
        </w:tc>
      </w:tr>
      <w:tr>
        <w:trPr>
          <w:trHeight w:val="263"/>
        </w:trPr>
        <w:tc>
          <w:tcPr>
            <w:tcW w:w="4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(605 )</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(2,281 )</w:t>
            </w:r>
          </w:p>
        </w:tc>
      </w:tr>
      <w:tr>
        <w:trPr>
          <w:trHeight w:val="250"/>
        </w:trPr>
        <w:tc>
          <w:tcPr>
            <w:tcW w:w="44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56"/>
        </w:trPr>
        <w:tc>
          <w:tcPr>
            <w:tcW w:w="4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(98 )</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(76 )</w:t>
            </w: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(196 )</w:t>
            </w:r>
          </w:p>
        </w:tc>
      </w:tr>
      <w:tr>
        <w:trPr>
          <w:trHeight w:val="20"/>
        </w:trPr>
        <w:tc>
          <w:tcPr>
            <w:tcW w:w="4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(67,526 )</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(36,122 )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(31,404 )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(173,825 )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(86,513 )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(87,312 )</w:t>
            </w: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-1299210</wp:posOffset>
            </wp:positionV>
            <wp:extent cx="1460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-1299210</wp:posOffset>
            </wp:positionV>
            <wp:extent cx="1460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-1299210</wp:posOffset>
            </wp:positionV>
            <wp:extent cx="1454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-1299210</wp:posOffset>
            </wp:positionV>
            <wp:extent cx="1289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-1299210</wp:posOffset>
            </wp:positionV>
            <wp:extent cx="12890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-1299210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-639445</wp:posOffset>
            </wp:positionV>
            <wp:extent cx="14605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-639445</wp:posOffset>
            </wp:positionV>
            <wp:extent cx="14605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-639445</wp:posOffset>
            </wp:positionV>
            <wp:extent cx="1454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-639445</wp:posOffset>
            </wp:positionV>
            <wp:extent cx="1289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-639445</wp:posOffset>
            </wp:positionV>
            <wp:extent cx="1289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8920" w:type="dxa"/>
            <w:vAlign w:val="bottom"/>
            <w:gridSpan w:val="12"/>
          </w:tcPr>
          <w:p>
            <w:pPr>
              <w:jc w:val="right"/>
              <w:ind w:right="250"/>
              <w:spacing w:after="0"/>
              <w:rPr>
                <w:sz w:val="20"/>
                <w:szCs w:val="20"/>
                <w:color w:val="auto"/>
              </w:rPr>
            </w:pPr>
            <w:r>
              <w:rPr>
                <w:rFonts w:ascii="Arial" w:cs="Arial" w:eastAsia="Arial" w:hAnsi="Arial"/>
                <w:sz w:val="18"/>
                <w:szCs w:val="18"/>
                <w:color w:val="auto"/>
                <w:w w:val="95"/>
              </w:rPr>
              <w:t>The following table summarizes our research and development expenses for the periods indicated, in thousands: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4"/>
              </w:rPr>
              <w:t>Three Months Ended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Nine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Change</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1"/>
                <w:szCs w:val="21"/>
                <w:color w:val="auto"/>
              </w:rPr>
            </w:pPr>
          </w:p>
        </w:tc>
      </w:tr>
      <w:tr>
        <w:trPr>
          <w:trHeight w:val="25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KSI-301 program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89,557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51,970</w:t>
            </w:r>
          </w:p>
        </w:tc>
        <w:tc>
          <w:tcPr>
            <w:tcW w:w="100" w:type="dxa"/>
            <w:vAlign w:val="bottom"/>
            <w:shd w:val="clear" w:color="auto" w:fill="CFF0FC"/>
          </w:tcPr>
          <w:p>
            <w:pPr>
              <w:spacing w:after="0"/>
              <w:rPr>
                <w:sz w:val="22"/>
                <w:szCs w:val="22"/>
                <w:color w:val="auto"/>
              </w:rPr>
            </w:pP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KSI-501 program expenses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r>
      <w:tr>
        <w:trPr>
          <w:trHeight w:val="26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ABC Platform and other program expenses</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(429 )</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(172 )</w:t>
            </w:r>
          </w:p>
        </w:tc>
      </w:tr>
      <w:tr>
        <w:trPr>
          <w:trHeight w:val="250"/>
        </w:trPr>
        <w:tc>
          <w:tcPr>
            <w:tcW w:w="4460" w:type="dxa"/>
            <w:vAlign w:val="bottom"/>
          </w:tcPr>
          <w:p>
            <w:pPr>
              <w:ind w:left="20"/>
              <w:spacing w:after="0"/>
              <w:rPr>
                <w:sz w:val="20"/>
                <w:szCs w:val="20"/>
                <w:color w:val="auto"/>
              </w:rPr>
            </w:pPr>
            <w:r>
              <w:rPr>
                <w:rFonts w:ascii="Arial" w:cs="Arial" w:eastAsia="Arial" w:hAnsi="Arial"/>
                <w:sz w:val="18"/>
                <w:szCs w:val="18"/>
                <w:color w:val="auto"/>
              </w:rPr>
              <w:t>Payroll and personnel expenses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30,483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20,850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21"/>
                <w:szCs w:val="21"/>
                <w:color w:val="auto"/>
              </w:rPr>
            </w:pPr>
          </w:p>
        </w:tc>
      </w:tr>
      <w:tr>
        <w:trPr>
          <w:trHeight w:val="257"/>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7"/>
              </w:rPr>
              <w:t>Facilities and other research and development expenses</w:t>
            </w:r>
          </w:p>
        </w:tc>
        <w:tc>
          <w:tcPr>
            <w:tcW w:w="1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12,173</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46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56,002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29,306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26,696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141,743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70,033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71,710</w:t>
            </w:r>
          </w:p>
        </w:tc>
        <w:tc>
          <w:tcPr>
            <w:tcW w:w="10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-193675</wp:posOffset>
            </wp:positionV>
            <wp:extent cx="1371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-193675</wp:posOffset>
            </wp:positionV>
            <wp:extent cx="13716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-193675</wp:posOffset>
            </wp:positionV>
            <wp:extent cx="1454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-193675</wp:posOffset>
            </wp:positionV>
            <wp:extent cx="1200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-193675</wp:posOffset>
            </wp:positionV>
            <wp:extent cx="1200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KSI-301 program expenses increased $23.0 million and $52.0 million during the three and nine months ended September 30, 2021, respectively, as compared to 2020. The increase was primarily due to clinical trial costs to support ongoing trials, as well as manufacturing progress for KSI-301. We initiated two pivotal Phase 3 clinical studies in DME (GLEAM and GLIMMER) and one pivotal Phase 3 clinical study in RVO (BEACON) in the third quarter of 2020. In June 2021, we randomized the first patients into an additional Phase 3 study in wet AMD (DAYLIGHT) designed to broaden KSI-301’s product labeling.</w:t>
      </w:r>
    </w:p>
    <w:p>
      <w:pPr>
        <w:spacing w:after="0" w:line="83"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KSI-501 program increased $0.5 million and $3.4 million during the three and nine months ended September 30, 2021, respectively, as compared to 2020, primarily due to increased research and development activities for KSI-501.</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Payroll and personnel expenses increased $2.6 million and $9.6 million during the three and nine months ended September 30, 2021, respectively, as compared to 2020, due to increased headcount and stock-based compensation expense.</w:t>
      </w:r>
    </w:p>
    <w:p>
      <w:pPr>
        <w:spacing w:after="0" w:line="62" w:lineRule="exact"/>
        <w:rPr>
          <w:sz w:val="20"/>
          <w:szCs w:val="20"/>
          <w:color w:val="auto"/>
        </w:rPr>
      </w:pPr>
    </w:p>
    <w:p>
      <w:pPr>
        <w:ind w:right="140" w:firstLine="509"/>
        <w:spacing w:after="0" w:line="324" w:lineRule="auto"/>
        <w:rPr>
          <w:sz w:val="20"/>
          <w:szCs w:val="20"/>
          <w:color w:val="auto"/>
        </w:rPr>
      </w:pPr>
      <w:r>
        <w:rPr>
          <w:rFonts w:ascii="Arial" w:cs="Arial" w:eastAsia="Arial" w:hAnsi="Arial"/>
          <w:sz w:val="17"/>
          <w:szCs w:val="17"/>
          <w:color w:val="auto"/>
        </w:rPr>
        <w:t>Facilities and other research and development expenses increased $1.1 million and $6.8 million during the three and nine months ended September 30, 2021, respectively, as compared to 2020, primarily due to lease costs for our Palo Alto and Switzerland facilities expansion.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620" w:firstLine="509"/>
        <w:spacing w:after="0" w:line="279" w:lineRule="auto"/>
        <w:rPr>
          <w:sz w:val="20"/>
          <w:szCs w:val="20"/>
          <w:color w:val="auto"/>
        </w:rPr>
      </w:pPr>
      <w:r>
        <w:rPr>
          <w:rFonts w:ascii="Arial" w:cs="Arial" w:eastAsia="Arial" w:hAnsi="Arial"/>
          <w:sz w:val="18"/>
          <w:szCs w:val="18"/>
          <w:color w:val="auto"/>
        </w:rPr>
        <w:t>General and administrative expenses increased $4.2 million and $13.1 million during the three and nine months ended September 30, 2021, respectively, as compared to 2020, primarily driven by increased headcount and stock-based compensation expense, professional services related to consulting, legal and accounting, and lease costs for Palo Alto facilities expansion.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warrants and the sale of royalties. As of September 30, 2021, we had cash and cash equivalents of $799.2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jc w:val="both"/>
        <w:ind w:right="380" w:firstLine="509"/>
        <w:spacing w:after="0" w:line="279" w:lineRule="auto"/>
        <w:rPr>
          <w:sz w:val="20"/>
          <w:szCs w:val="20"/>
          <w:color w:val="auto"/>
        </w:rPr>
      </w:pPr>
      <w:r>
        <w:rPr>
          <w:rFonts w:ascii="Arial" w:cs="Arial" w:eastAsia="Arial" w:hAnsi="Arial"/>
          <w:sz w:val="18"/>
          <w:szCs w:val="18"/>
          <w:color w:val="auto"/>
        </w:rPr>
        <w:t>We have incurred net losses since our inception. For the three and nine months ended September 30, 2021, we had net loss of $67.5 million and $173.8 million, respectively, and we expect to continue to incur additional losses in future periods. As of September 30, 2021, we had an accumulated deficit of $465.1 million.</w:t>
      </w:r>
    </w:p>
    <w:p>
      <w:pPr>
        <w:spacing w:after="0" w:line="75"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160" w:firstLine="509"/>
        <w:spacing w:after="0" w:line="293"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700" w:right="100"/>
        <w:spacing w:after="0" w:line="293" w:lineRule="auto"/>
        <w:rPr>
          <w:sz w:val="20"/>
          <w:szCs w:val="20"/>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number and scope of clinical programs we decide to pursue;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scope and costs of manufacturing development and commercial manufacturing activities;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timing and outcome of regulatory review of our product candidates;</w:t>
      </w:r>
    </w:p>
    <w:p>
      <w:pPr>
        <w:spacing w:after="0" w:line="131" w:lineRule="exact"/>
        <w:rPr>
          <w:sz w:val="20"/>
          <w:szCs w:val="20"/>
          <w:color w:val="auto"/>
        </w:rPr>
      </w:pPr>
    </w:p>
    <w:p>
      <w:pPr>
        <w:ind w:left="700" w:right="62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establish and maintain collaborations on favorable terms, if at all;</w:t>
      </w:r>
    </w:p>
    <w:p>
      <w:pPr>
        <w:spacing w:after="0" w:line="131" w:lineRule="exact"/>
        <w:rPr>
          <w:sz w:val="20"/>
          <w:szCs w:val="20"/>
          <w:color w:val="auto"/>
        </w:rPr>
      </w:pPr>
    </w:p>
    <w:p>
      <w:pPr>
        <w:ind w:left="700" w:right="620"/>
        <w:spacing w:after="0" w:line="293" w:lineRule="auto"/>
        <w:rPr>
          <w:sz w:val="20"/>
          <w:szCs w:val="20"/>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3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significant uncertainties caused by the evolving effects of the ongoing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3"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67"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5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0"/>
        </w:trPr>
        <w:tc>
          <w:tcPr>
            <w:tcW w:w="5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24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(123,235 )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(56,409 )</w:t>
            </w:r>
          </w:p>
        </w:tc>
      </w:tr>
      <w:tr>
        <w:trPr>
          <w:trHeight w:val="26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(27,939 )</w:t>
            </w: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45,976</w:t>
            </w:r>
          </w:p>
        </w:tc>
        <w:tc>
          <w:tcPr>
            <w:tcW w:w="100" w:type="dxa"/>
            <w:vAlign w:val="bottom"/>
            <w:shd w:val="clear" w:color="auto" w:fill="CFF0FC"/>
          </w:tcPr>
          <w:p>
            <w:pPr>
              <w:spacing w:after="0"/>
              <w:rPr>
                <w:sz w:val="22"/>
                <w:szCs w:val="22"/>
                <w:color w:val="auto"/>
              </w:rPr>
            </w:pPr>
          </w:p>
        </w:tc>
      </w:tr>
      <w:tr>
        <w:trPr>
          <w:trHeight w:val="250"/>
        </w:trPr>
        <w:tc>
          <w:tcPr>
            <w:tcW w:w="52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101,096</w:t>
            </w:r>
          </w:p>
        </w:tc>
        <w:tc>
          <w:tcPr>
            <w:tcW w:w="100" w:type="dxa"/>
            <w:vAlign w:val="bottom"/>
          </w:tcPr>
          <w:p>
            <w:pPr>
              <w:spacing w:after="0"/>
              <w:rPr>
                <w:sz w:val="21"/>
                <w:szCs w:val="21"/>
                <w:color w:val="auto"/>
              </w:rPr>
            </w:pPr>
          </w:p>
        </w:tc>
      </w:tr>
      <w:tr>
        <w:trPr>
          <w:trHeight w:val="29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Net increase (decrease) in cash, cash equivalents and restricted cash</w:t>
            </w:r>
          </w:p>
        </w:tc>
        <w:tc>
          <w:tcPr>
            <w:tcW w:w="2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(145,149 )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90,663</w:t>
            </w:r>
          </w:p>
        </w:tc>
        <w:tc>
          <w:tcPr>
            <w:tcW w:w="100" w:type="dxa"/>
            <w:vAlign w:val="bottom"/>
            <w:shd w:val="clear" w:color="auto" w:fill="CFF0FC"/>
          </w:tcPr>
          <w:p>
            <w:pPr>
              <w:spacing w:after="0"/>
              <w:rPr>
                <w:sz w:val="24"/>
                <w:szCs w:val="24"/>
                <w:color w:val="auto"/>
              </w:rPr>
            </w:pPr>
          </w:p>
        </w:tc>
      </w:tr>
      <w:tr>
        <w:trPr>
          <w:trHeight w:val="554"/>
        </w:trPr>
        <w:tc>
          <w:tcPr>
            <w:tcW w:w="522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jc w:val="right"/>
              <w:ind w:right="183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-470535</wp:posOffset>
            </wp:positionV>
            <wp:extent cx="1803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-453390</wp:posOffset>
            </wp:positionV>
            <wp:extent cx="1803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3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Net cash used in operating activities was $123.2 million for the nine months ended September 30, 2021,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Net cash used in investing activities was $27.9 million for the nine months ended September 30, 2021, primarily related to maturities of marketable securities net of purchases of and deposits related to property and equipment during the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Net cash provided by financing activities was $6.0 million for the nine months ended September 30, 2021, primarily due to the proceeds from stock option exercises and proceeds from issuances of common stock pursuant to employee stock purchase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60" w:firstLine="509"/>
        <w:spacing w:after="0" w:line="296" w:lineRule="auto"/>
        <w:rPr>
          <w:sz w:val="20"/>
          <w:szCs w:val="20"/>
          <w:color w:val="auto"/>
        </w:rPr>
      </w:pPr>
      <w:r>
        <w:rPr>
          <w:rFonts w:ascii="Arial" w:cs="Arial" w:eastAsia="Arial" w:hAnsi="Arial"/>
          <w:sz w:val="17"/>
          <w:szCs w:val="17"/>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2020, which was filed with the SEC on March 1, 2021. There have been no material changes in our contractual obligations and commitments since December 31, 2020, except as otherwise described in Note 6 to our unaudited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During the nine months ended September 30, 2021, there were no material changes to our critical accounting policies as reported in our Annual Report on Form 10-K for the year ended December 31, 2020, which was filed with the SEC on March 1, 2021, except as otherwise described in Note 2 to our unaudited condensed consolidated financial statements included in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During the nine months ended September 30, 2021, there were no material changes to our market risk disclosures as reported in our Annual Report on Form 10-K for the year ended December 31, 2020, which was filed with the SEC on March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31"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8" w:lineRule="exact"/>
        <w:rPr>
          <w:sz w:val="20"/>
          <w:szCs w:val="20"/>
          <w:color w:val="auto"/>
        </w:rPr>
      </w:pPr>
    </w:p>
    <w:p>
      <w:pPr>
        <w:ind w:right="40" w:firstLine="509"/>
        <w:spacing w:after="0" w:line="314"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September 30, 2021. Based upon such evaluation, our principal executive officer and principal financial officer concluded that the design and operation of our disclosure controls and procedures were effective at a reasonable assurance level as of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2021, that has materially affected, or is reasonably likely to materially affect, our internal control over financial reporting.</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42" w:lineRule="exact"/>
        <w:rPr>
          <w:sz w:val="20"/>
          <w:szCs w:val="20"/>
          <w:color w:val="auto"/>
        </w:rPr>
      </w:pPr>
    </w:p>
    <w:p>
      <w:pPr>
        <w:ind w:right="100" w:firstLine="509"/>
        <w:spacing w:after="0" w:line="293" w:lineRule="auto"/>
        <w:rPr>
          <w:sz w:val="20"/>
          <w:szCs w:val="20"/>
          <w:color w:val="auto"/>
        </w:rPr>
      </w:pPr>
      <w:r>
        <w:rPr>
          <w:rFonts w:ascii="Arial" w:cs="Arial" w:eastAsia="Arial" w:hAnsi="Arial"/>
          <w:sz w:val="18"/>
          <w:szCs w:val="18"/>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Our early encouraging preclinical and Phase 1/1b clinical trial results for KSI-301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7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KSI-301 clinical study designs and data are not necessarily predictive of KSI-301’s final marketed product label. FDA may not approve a label for once every five or six months even if we believe the data demonstrate that type of durability.</w:t>
      </w:r>
    </w:p>
    <w:p>
      <w:pPr>
        <w:spacing w:after="0" w:line="5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such as KSI-501 and KSI-601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right="30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2"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sz w:val="20"/>
          <w:szCs w:val="20"/>
          <w:color w:val="auto"/>
        </w:rPr>
      </w:pPr>
    </w:p>
    <w:p>
      <w:pPr>
        <w:ind w:left="700" w:right="880"/>
        <w:spacing w:after="0" w:line="277" w:lineRule="auto"/>
        <w:rPr>
          <w:sz w:val="20"/>
          <w:szCs w:val="20"/>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29" w:lineRule="exact"/>
        <w:rPr>
          <w:sz w:val="20"/>
          <w:szCs w:val="20"/>
          <w:color w:val="auto"/>
        </w:rPr>
      </w:pPr>
    </w:p>
    <w:p>
      <w:pPr>
        <w:ind w:right="420" w:firstLine="509"/>
        <w:spacing w:after="0" w:line="279" w:lineRule="auto"/>
        <w:rPr>
          <w:sz w:val="20"/>
          <w:szCs w:val="20"/>
          <w:color w:val="auto"/>
        </w:rPr>
      </w:pPr>
      <w:r>
        <w:rPr>
          <w:rFonts w:ascii="Arial" w:cs="Arial" w:eastAsia="Arial" w:hAnsi="Arial"/>
          <w:sz w:val="17"/>
          <w:szCs w:val="17"/>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8" w:name="page29"/>
    <w:bookmarkEnd w:id="28"/>
    <w:p>
      <w:pPr>
        <w:ind w:right="80" w:firstLine="509"/>
        <w:spacing w:after="0" w:line="287"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4"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4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9"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delays in identifying, recruiting and training suitable clinical investigators;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84"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difficulty collaborating with patient groups and investigators;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NMPA or other regulatory guidelines in other countries;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clinical trials of our product candidates being greater than we anticipate;</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700" w:right="20"/>
        <w:spacing w:after="0" w:line="277" w:lineRule="auto"/>
        <w:rPr>
          <w:sz w:val="20"/>
          <w:szCs w:val="20"/>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NMPA or other regulatory authorities regarding CMC matters, including methodologies for, and assessment of, comparability of manufacturing procedures and lots.</w:t>
      </w:r>
    </w:p>
    <w:p>
      <w:pPr>
        <w:spacing w:after="0" w:line="5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76"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KSI-301 and in the masked (blinded) pivotal data thus far may not be representative of the safety profile we observe when data is unmasked. We may still observe significant safety events that may negatively impact the KSI-301 program and the ABC platform. Even with a safety database through pivotal studies of approximately 1,500 patients, a safety profile for KSI-301 in line with today’s standard of care agents may not be sustained when administered to 100,000s of patients at varying dose intervals after commercialization.</w:t>
      </w:r>
    </w:p>
    <w:p>
      <w:pPr>
        <w:spacing w:after="0" w:line="7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ind w:right="20" w:firstLine="509"/>
        <w:spacing w:after="0" w:line="289" w:lineRule="auto"/>
        <w:rPr>
          <w:sz w:val="20"/>
          <w:szCs w:val="20"/>
          <w:color w:val="auto"/>
        </w:rPr>
      </w:pPr>
      <w:r>
        <w:rPr>
          <w:rFonts w:ascii="Arial" w:cs="Arial" w:eastAsia="Arial" w:hAnsi="Arial"/>
          <w:sz w:val="16"/>
          <w:szCs w:val="16"/>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 KSI-301 is also being explored clinically with higher frequency dosing</w:t>
      </w:r>
      <w:r>
        <w:rPr>
          <w:rFonts w:ascii="Arial" w:cs="Arial" w:eastAsia="Arial" w:hAnsi="Arial"/>
          <w:sz w:val="16"/>
          <w:szCs w:val="16"/>
          <w:b w:val="1"/>
          <w:bCs w:val="1"/>
          <w:color w:val="auto"/>
        </w:rPr>
        <w:t>.</w:t>
      </w:r>
      <w:r>
        <w:rPr>
          <w:rFonts w:ascii="Arial" w:cs="Arial" w:eastAsia="Arial" w:hAnsi="Arial"/>
          <w:sz w:val="16"/>
          <w:szCs w:val="16"/>
          <w:color w:val="auto"/>
        </w:rPr>
        <w:t xml:space="preserve"> Although not predicated with today’s standard of care agents historically, higher frequency dosing may increase the risk of potential adverse events. Our expectation is for KSI-301 to be used at high frequency (for example, monthly dosing) in a minority of patients, yet any additional toxicology signal observed, be it real or perceived, may negatively impact perceptions of KSI-301 in broader populations and impact clinical trial enrollment, regulatory approval and commercial success.</w:t>
      </w:r>
    </w:p>
    <w:p>
      <w:pPr>
        <w:spacing w:after="0" w:line="5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3" w:lineRule="exact"/>
        <w:rPr>
          <w:sz w:val="20"/>
          <w:szCs w:val="20"/>
          <w:color w:val="auto"/>
        </w:rPr>
      </w:pPr>
    </w:p>
    <w:p>
      <w:pPr>
        <w:ind w:right="580" w:firstLine="509"/>
        <w:spacing w:after="0" w:line="359"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authorities may withdraw approvals of such product;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31" w:lineRule="exact"/>
        <w:rPr>
          <w:sz w:val="20"/>
          <w:szCs w:val="20"/>
          <w:color w:val="auto"/>
        </w:rPr>
      </w:pPr>
    </w:p>
    <w:p>
      <w:pPr>
        <w:ind w:left="700" w:right="380"/>
        <w:spacing w:after="0" w:line="293" w:lineRule="auto"/>
        <w:rPr>
          <w:sz w:val="20"/>
          <w:szCs w:val="20"/>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could be sued and held liable for harm caused to patients;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reputation may suffer.</w:t>
      </w:r>
    </w:p>
    <w:p>
      <w:pPr>
        <w:spacing w:after="0" w:line="131"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size and nature of the patient population;</w:t>
      </w:r>
    </w:p>
    <w:p>
      <w:pPr>
        <w:spacing w:after="0" w:line="131"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size of the study population required for analysis of the trial’s primary endpoints;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proximity of patients to a trial site;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design of the trial;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safety events may cause physicians to decrease patient enrollment in our studies;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recruit clinical trial investigators with the appropriate competencies and experience;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ind w:left="700" w:right="440"/>
        <w:spacing w:after="0" w:line="293" w:lineRule="auto"/>
        <w:rPr>
          <w:sz w:val="20"/>
          <w:szCs w:val="20"/>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obtain and maintain patient consents;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risk that patients enrolled in clinical trials will not complete such trials, for any reason.</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KSI-301 pivotal study program relies on a single active arm in each study at a single dose (5 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right="4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3"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55"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The first Lucentis biosimilar was approved this year in the USA, and its approval may impact market dynamics and payor policies negatively for KSI-301. Roche’s product candidate, faricimab, was filed for approval in May 2021 for wet AMD and DME and is currently enrolling pivotal studies in RVO. We believe faricimab’s clinical profile together with physician enthusiasm for a new branded anti-VEGF will make it an important product in the marketplace. Even if KSI-301 presents a compelling clinical profile, we may not be able to market our product candidates as effectively as our competitors. For example, entrenched franchises may seek to impede adoption of KSI-301 through significant discounts or rebates.</w:t>
      </w:r>
    </w:p>
    <w:p>
      <w:pPr>
        <w:spacing w:after="0" w:line="66"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4"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31"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COVID-19 or other reasons.</w:t>
      </w:r>
    </w:p>
    <w:p>
      <w:pPr>
        <w:spacing w:after="0" w:line="73" w:lineRule="exact"/>
        <w:rPr>
          <w:sz w:val="20"/>
          <w:szCs w:val="20"/>
          <w:color w:val="auto"/>
        </w:rPr>
      </w:pPr>
    </w:p>
    <w:p>
      <w:pPr>
        <w:ind w:right="180" w:firstLine="509"/>
        <w:spacing w:after="0" w:line="296"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0"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rely on third parties for raw materials needed for manufacturing KSI-301. We may not be able to obtain adequate amounts in the future. These challenges are magnified by the international nature of our supply chain, which, for KSI-301, requires drug substance and drug product sourced from single source suppliers from China, Japan, the United Kingdom, the United States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7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ind w:firstLine="509"/>
        <w:spacing w:after="0" w:line="304" w:lineRule="auto"/>
        <w:rPr>
          <w:sz w:val="20"/>
          <w:szCs w:val="20"/>
          <w:color w:val="auto"/>
        </w:rPr>
      </w:pPr>
      <w:r>
        <w:rPr>
          <w:rFonts w:ascii="Arial" w:cs="Arial" w:eastAsia="Arial" w:hAnsi="Arial"/>
          <w:sz w:val="16"/>
          <w:szCs w:val="16"/>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related vaccines and therapeutic treatments, and the success of and demand for these vaccines and therapeutic treatments means we and our programs are competing for scarce manufacturing resources. We aim to distribute KSI-301 in a prefilled syringe early in our commercial rollout. We may not be able to complete our prefilled syringe activities in a timely manner, or we may fail technically to design and develop a prefilled syringe for KSI-301. If we require large volumes of glass vials, we may not be able to secure a sufficient supply due to COVID-19 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66"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7" w:lineRule="exact"/>
        <w:rPr>
          <w:sz w:val="20"/>
          <w:szCs w:val="20"/>
          <w:color w:val="auto"/>
        </w:rPr>
      </w:pPr>
    </w:p>
    <w:p>
      <w:pPr>
        <w:ind w:right="360" w:firstLine="509"/>
        <w:spacing w:after="0" w:line="319"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sz w:val="20"/>
          <w:szCs w:val="20"/>
          <w:color w:val="auto"/>
        </w:rPr>
      </w:pPr>
    </w:p>
    <w:p>
      <w:pPr>
        <w:ind w:left="700" w:right="340"/>
        <w:spacing w:after="0" w:line="397" w:lineRule="auto"/>
        <w:rPr>
          <w:sz w:val="20"/>
          <w:szCs w:val="20"/>
          <w:color w:val="auto"/>
        </w:rPr>
      </w:pPr>
      <w:r>
        <w:rPr>
          <w:rFonts w:ascii="Arial" w:cs="Arial" w:eastAsia="Arial" w:hAnsi="Arial"/>
          <w:sz w:val="17"/>
          <w:szCs w:val="17"/>
          <w:color w:val="auto"/>
        </w:rPr>
        <w:t>the inability of reimbursement professionals to negotiate arrangements for formulary access, reimbursement, and other acceptance by payors; the inability to price our products at a sufficient price point to ensure an adequate and attractive level of profitability; restricted or closed distribution channels that make it difficult to distribute our products to segments of the patient population;</w:t>
      </w:r>
    </w:p>
    <w:p>
      <w:pPr>
        <w:spacing w:after="0" w:line="2"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potential and perceived advantages of our product or product label as compared to alternative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offer our products for sale at competitive prices;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extent to which physicians recommend our products to their patients;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restrictions on how the product is distributed;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of market introduction of competitive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publicity concerning our products or competing products and treatments;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strength of marketing and distribution support;</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sufficient third-party coverage or reimbursement;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Drug pricing and access policies in the U.S. and abroad may change and negatively impact KSI-301’s commercial viability. Proposed policy changes, including the potential for Medicare to negotiate with drug manufacturers, may limit our ability to competitively price KSI-301. Further, commercial insurers may limit patient access to KSI-301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4"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ind w:right="220"/>
        <w:spacing w:after="0" w:line="277" w:lineRule="auto"/>
        <w:rPr>
          <w:sz w:val="20"/>
          <w:szCs w:val="20"/>
          <w:color w:val="auto"/>
        </w:rPr>
      </w:pPr>
      <w:r>
        <w:rPr>
          <w:rFonts w:ascii="Arial" w:cs="Arial" w:eastAsia="Arial" w:hAnsi="Arial"/>
          <w:sz w:val="18"/>
          <w:szCs w:val="18"/>
          <w:color w:val="auto"/>
        </w:rPr>
        <w:t>the prices charged for medical products. We cannot be sure that reimbursement will be available for any product candidate that we commercialize and, if reimbursement is available, that the level of reimbursement will be sufficient.</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decreased or interrupted demand for our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injury to our reputation;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7" w:name="page38"/>
    <w:bookmarkEnd w:id="37"/>
    <w:p>
      <w:pPr>
        <w:ind w:left="700"/>
        <w:spacing w:after="0"/>
        <w:rPr>
          <w:sz w:val="20"/>
          <w:szCs w:val="20"/>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initiation of investigations by regulators;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to defend the related litigation;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diversion of management’s time and our resources;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exhaustion of any available insurance and our capital resources;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inability to commercialize any product candidate;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04"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auto"/>
        </w:rPr>
        <w:t>the FDA, EMA, NMPA or comparable foreign regulatory authorities may disagree with the design, implementation or results of our clinical trials or the portfolio of clinical trials planned for submission in our BLA;</w:t>
      </w:r>
    </w:p>
    <w:p>
      <w:pPr>
        <w:spacing w:after="0" w:line="63" w:lineRule="exact"/>
        <w:rPr>
          <w:sz w:val="20"/>
          <w:szCs w:val="20"/>
          <w:color w:val="auto"/>
        </w:rPr>
      </w:pPr>
    </w:p>
    <w:p>
      <w:pPr>
        <w:ind w:left="700" w:right="180"/>
        <w:spacing w:after="0" w:line="248" w:lineRule="auto"/>
        <w:rPr>
          <w:sz w:val="20"/>
          <w:szCs w:val="20"/>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4"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3"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indication(s), when compared to the standard of care, is acceptable;</w:t>
      </w:r>
    </w:p>
    <w:p>
      <w:pPr>
        <w:spacing w:after="0" w:line="63" w:lineRule="exact"/>
        <w:rPr>
          <w:sz w:val="20"/>
          <w:szCs w:val="20"/>
          <w:color w:val="auto"/>
        </w:rPr>
      </w:pPr>
    </w:p>
    <w:p>
      <w:pPr>
        <w:ind w:left="700" w:right="420"/>
        <w:spacing w:after="0" w:line="261" w:lineRule="auto"/>
        <w:rPr>
          <w:sz w:val="20"/>
          <w:szCs w:val="20"/>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63" w:lineRule="exact"/>
        <w:rPr>
          <w:sz w:val="20"/>
          <w:szCs w:val="20"/>
          <w:color w:val="auto"/>
        </w:rPr>
      </w:pPr>
    </w:p>
    <w:p>
      <w:pPr>
        <w:ind w:left="700" w:right="140"/>
        <w:spacing w:after="0" w:line="261"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study data may not be positive in all clinical trials demonstrating a mix of positive and negative clinical trial results;</w:t>
      </w:r>
    </w:p>
    <w:p>
      <w:pPr>
        <w:spacing w:after="0" w:line="104" w:lineRule="exact"/>
        <w:rPr>
          <w:sz w:val="20"/>
          <w:szCs w:val="20"/>
          <w:color w:val="auto"/>
        </w:rPr>
      </w:pPr>
    </w:p>
    <w:p>
      <w:pPr>
        <w:ind w:left="700" w:right="240"/>
        <w:spacing w:after="0" w:line="324" w:lineRule="auto"/>
        <w:rPr>
          <w:sz w:val="20"/>
          <w:szCs w:val="20"/>
          <w:color w:val="auto"/>
        </w:rPr>
      </w:pPr>
      <w:r>
        <w:rPr>
          <w:rFonts w:ascii="Arial" w:cs="Arial" w:eastAsia="Arial" w:hAnsi="Arial"/>
          <w:sz w:val="16"/>
          <w:szCs w:val="16"/>
          <w:color w:val="auto"/>
        </w:rPr>
        <w:t>the FDA, EMA, NMPA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38" w:name="page39"/>
    <w:bookmarkEnd w:id="38"/>
    <w:p>
      <w:pPr>
        <w:ind w:left="700" w:right="40"/>
        <w:spacing w:after="0" w:line="261" w:lineRule="auto"/>
        <w:rPr>
          <w:sz w:val="20"/>
          <w:szCs w:val="20"/>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1"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i w:val="1"/>
          <w:iCs w:val="1"/>
          <w:color w:val="auto"/>
        </w:rPr>
        <w:t>We plan to conduct clinical trials for our product candidates outside the United States (or the respective jurisdictions of other regulatory authorities), and the FDA, (or EMA, NMPA and applicable foreign regulatory authorities) may not accept data from such trials.</w:t>
      </w:r>
    </w:p>
    <w:p>
      <w:pPr>
        <w:spacing w:after="0" w:line="3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global clinical trials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their respective jurisdictions.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9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80" w:firstLine="509"/>
        <w:spacing w:after="0" w:line="30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31" w:lineRule="exact"/>
        <w:rPr>
          <w:sz w:val="20"/>
          <w:szCs w:val="20"/>
          <w:color w:val="auto"/>
        </w:rPr>
      </w:pPr>
    </w:p>
    <w:p>
      <w:pPr>
        <w:jc w:val="both"/>
        <w:ind w:right="400" w:firstLine="509"/>
        <w:spacing w:after="0" w:line="329"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0"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66"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9" w:name="page40"/>
    <w:bookmarkEnd w:id="39"/>
    <w:p>
      <w:pPr>
        <w:spacing w:after="0" w:line="288" w:lineRule="auto"/>
        <w:rPr>
          <w:sz w:val="20"/>
          <w:szCs w:val="20"/>
          <w:color w:val="auto"/>
        </w:rPr>
      </w:pPr>
      <w:r>
        <w:rPr>
          <w:rFonts w:ascii="Arial" w:cs="Arial" w:eastAsia="Arial" w:hAnsi="Arial"/>
          <w:sz w:val="17"/>
          <w:szCs w:val="17"/>
          <w:color w:val="auto"/>
        </w:rPr>
        <w:t>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issue warning letters that would result in adverse publicity;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impose civil or criminal penalties;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suspend or withdraw regulatory approvals;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suspend any of our ongoing clinical trials;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refuse to approve pending applications or supplements to approved applications submitted by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impose restrictions on our operations, including closing our contract manufacturers’ facilities;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seize or detain products; 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require a product recall.</w:t>
      </w:r>
    </w:p>
    <w:p>
      <w:pPr>
        <w:spacing w:after="0" w:line="131"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54"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40" w:name="page41"/>
    <w:bookmarkEnd w:id="40"/>
    <w:p>
      <w:pPr>
        <w:ind w:right="240"/>
        <w:spacing w:after="0" w:line="293" w:lineRule="auto"/>
        <w:rPr>
          <w:sz w:val="20"/>
          <w:szCs w:val="20"/>
          <w:color w:val="auto"/>
        </w:rPr>
      </w:pPr>
      <w:r>
        <w:rPr>
          <w:rFonts w:ascii="Arial" w:cs="Arial" w:eastAsia="Arial" w:hAnsi="Arial"/>
          <w:sz w:val="18"/>
          <w:szCs w:val="18"/>
          <w:color w:val="auto"/>
        </w:rPr>
        <w:t>Congressional challenges in the future. It is unclear how such challenges and the healthcare reform measures of the Biden administration will impact the ACA and our business.</w:t>
      </w:r>
    </w:p>
    <w:p>
      <w:pPr>
        <w:spacing w:after="0" w:line="62"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However, COVID-19 relief support legislation suspended the 2% Medicare sequester from May 1, 2020 through December 31, 2021.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as part of the budget reconciliation process. In addition, Congress is considering additional health reform measures, such as capping the costs for prescription drugs covered by Medicare Part D and by setting the annual out-of-pocket limit at $2,000 beginning in 2024, as part of the budget reconciliation process.</w:t>
      </w:r>
    </w:p>
    <w:p>
      <w:pPr>
        <w:spacing w:after="0" w:line="5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demand for our product candidates, if we obtain regulatory approval;</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generate revenue and achieve or maintain profitability;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level of taxes that we are required to pay;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the Centers for Medicare &amp; Medicaid Services, or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August 10, 2021, CMS published a proposed rule that seeks to rescind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260"/>
        <w:spacing w:after="0" w:line="263" w:lineRule="auto"/>
        <w:rPr>
          <w:sz w:val="20"/>
          <w:szCs w:val="20"/>
          <w:color w:val="auto"/>
        </w:rPr>
      </w:pPr>
      <w:r>
        <w:rPr>
          <w:rFonts w:ascii="Arial" w:cs="Arial" w:eastAsia="Arial" w:hAnsi="Arial"/>
          <w:sz w:val="18"/>
          <w:szCs w:val="18"/>
          <w:color w:val="auto"/>
        </w:rPr>
        <w:t>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COVID-19 pandemic.</w:t>
      </w:r>
    </w:p>
    <w:p>
      <w:pPr>
        <w:spacing w:after="0" w:line="184"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700" w:right="40"/>
        <w:spacing w:after="0" w:line="272" w:lineRule="auto"/>
        <w:rPr>
          <w:sz w:val="20"/>
          <w:szCs w:val="20"/>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80" w:lineRule="exact"/>
        <w:rPr>
          <w:sz w:val="20"/>
          <w:szCs w:val="20"/>
          <w:color w:val="auto"/>
        </w:rPr>
      </w:pPr>
    </w:p>
    <w:p>
      <w:pPr>
        <w:ind w:left="700" w:right="60"/>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69"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2" w:name="page43"/>
    <w:bookmarkEnd w:id="42"/>
    <w:p>
      <w:pPr>
        <w:ind w:left="700" w:right="560"/>
        <w:spacing w:after="0" w:line="263" w:lineRule="auto"/>
        <w:rPr>
          <w:sz w:val="20"/>
          <w:szCs w:val="20"/>
          <w:color w:val="auto"/>
        </w:rPr>
      </w:pPr>
      <w:r>
        <w:rPr>
          <w:rFonts w:ascii="Arial" w:cs="Arial" w:eastAsia="Arial" w:hAnsi="Arial"/>
          <w:sz w:val="18"/>
          <w:szCs w:val="18"/>
          <w:color w:val="auto"/>
        </w:rPr>
        <w:t>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w:t>
      </w:r>
    </w:p>
    <w:p>
      <w:pPr>
        <w:spacing w:after="0" w:line="89" w:lineRule="exact"/>
        <w:rPr>
          <w:sz w:val="20"/>
          <w:szCs w:val="20"/>
          <w:color w:val="auto"/>
        </w:rPr>
      </w:pPr>
    </w:p>
    <w:p>
      <w:pPr>
        <w:ind w:left="700" w:right="20"/>
        <w:spacing w:after="0" w:line="309" w:lineRule="auto"/>
        <w:rPr>
          <w:sz w:val="20"/>
          <w:szCs w:val="20"/>
          <w:color w:val="auto"/>
        </w:rPr>
      </w:pPr>
      <w:r>
        <w:rPr>
          <w:rFonts w:ascii="Arial" w:cs="Arial" w:eastAsia="Arial" w:hAnsi="Arial"/>
          <w:sz w:val="16"/>
          <w:szCs w:val="16"/>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related to payments or other transfers of value made during the previous year to physician assistants, nurse practitioners, clinical nurse specialists, anesthesiologist assistants, certified registered nurse anesthetists and certified nurse midwives;</w:t>
      </w:r>
    </w:p>
    <w:p>
      <w:pPr>
        <w:spacing w:after="0" w:line="56" w:lineRule="exact"/>
        <w:rPr>
          <w:sz w:val="20"/>
          <w:szCs w:val="20"/>
          <w:color w:val="auto"/>
        </w:rPr>
      </w:pPr>
    </w:p>
    <w:p>
      <w:pPr>
        <w:ind w:left="700" w:right="52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sz w:val="20"/>
          <w:szCs w:val="20"/>
          <w:color w:val="auto"/>
        </w:rPr>
      </w:pPr>
    </w:p>
    <w:p>
      <w:pPr>
        <w:ind w:left="700" w:right="60"/>
        <w:spacing w:after="0" w:line="286" w:lineRule="auto"/>
        <w:rPr>
          <w:sz w:val="20"/>
          <w:szCs w:val="20"/>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4"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5"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5" w:lineRule="exact"/>
        <w:rPr>
          <w:sz w:val="20"/>
          <w:szCs w:val="20"/>
          <w:color w:val="auto"/>
        </w:rPr>
      </w:pPr>
    </w:p>
    <w:p>
      <w:pPr>
        <w:ind w:right="180" w:firstLine="509"/>
        <w:spacing w:after="0" w:line="303" w:lineRule="auto"/>
        <w:rPr>
          <w:sz w:val="20"/>
          <w:szCs w:val="20"/>
          <w:color w:val="auto"/>
        </w:rPr>
      </w:pPr>
      <w:r>
        <w:rPr>
          <w:rFonts w:ascii="Arial" w:cs="Arial" w:eastAsia="Arial" w:hAnsi="Arial"/>
          <w:sz w:val="17"/>
          <w:szCs w:val="17"/>
          <w:color w:val="auto"/>
        </w:rPr>
        <w:t>A wide variety of provincial, state, national, and foreign laws and regulations, as well as policies, contracts and other obligations apply to the collection, use, retention, protection, disclosure and transfer of personal data. These data protection and privacy-related laws and regulations are evolving and may result in ever-increasing regulatory and public scrutiny and escalating levels of enforcement and sanctions.</w:t>
      </w:r>
    </w:p>
    <w:p>
      <w:pPr>
        <w:spacing w:after="0" w:line="5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For example, the European Union’s General Data Protection Regulation, or GDPR, which took effect on May 25, 2018, imposes stringent data protection requirements and provides for material penalties for noncompliance. The GDPR applies to processing operations carried out in the context of the activities of an establishment in the European Economic Area, or EEA, and any processing relating to the offering of goods or services to individuals in the EEA and/or the monitoring of their behavior in the EEA. Also, notwithstanding the United Kingdom’s withdrawal from the EU, by operation of the so-called UK GDPR,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Kingdom—so, when we refer to the GDPR in this section, we are also making reference to the UK GDPR in the context of the United Kingdom, unless the context requires otherwise. These laws may apply in the context of our processing of personal data related to the conduct of clinical trials in the EEA and/or UK.</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3" w:name="page44"/>
    <w:bookmarkEnd w:id="43"/>
    <w:p>
      <w:pPr>
        <w:ind w:right="140" w:firstLine="509"/>
        <w:spacing w:after="0" w:line="272" w:lineRule="auto"/>
        <w:rPr>
          <w:sz w:val="20"/>
          <w:szCs w:val="20"/>
          <w:color w:val="auto"/>
        </w:rPr>
      </w:pPr>
      <w:r>
        <w:rPr>
          <w:rFonts w:ascii="Arial" w:cs="Arial" w:eastAsia="Arial" w:hAnsi="Arial"/>
          <w:sz w:val="18"/>
          <w:szCs w:val="18"/>
          <w:color w:val="auto"/>
        </w:rPr>
        <w:t>The GDPR requires organizations to give detailed disclosures about how they collect, use and share personal information; in certain cases, obtain explicit consent to process special categories of personal data, such as the health or genetic information referred to above;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83"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European data protection laws, including the GDPR, also restrict transfers of personal data from Europe, including the EEA, the United Kingdom and Switzerland, to the United States and most other countries unless the parties to the transfer have implemented specific safeguards to protect the transferred personal data. One of the primary safeguards that allowed U.S. companies to import personal data from Europe had been certification to the EU-U.S. Privacy Shield and Swiss-U.S. Privacy Shield frameworks administered by the U.S. Department of Commerce. However, the Court of Justice of the European Union, or CJEU, adopted a decision in July 2020 that invalidated the EU U.S. Privacy Shield. Following this decision, the United Kingdom government has similarly invalidated use of the EU U.S. Privacy Shield as a mechanism for lawful personal data transfers from the United Kingdom to the United States under the UK GDPR; and the Swiss Federal Data Protection and Information Commissioner announced that the Swiss-U.S. Privacy Shield does not provide adequate safeguards for the purposes of personal data transfers from Switzerland to the United States. The CJEU’s decision in this case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it made clear that reliance on the Standard Contractual Clauses alone may not necessarily be sufficient in all circumstances. Despite updated forms of the Standard Contractual Clauses having been issued by the European Commission following this case, use of the Standard Contractual Clauses must be assessed on a case-by-case basis. In the context of any given transfer, where the legal regime applicable in the destination country may or does conflict with the intended operation of the Standard Contractual Clauses and/or applicable European data protection laws, the CJEU’s decision in this case, subsequent guidance from the European Data Protection Board, or EDPB, and those updated Standard Contractual Clauses, would require the parties to that transfer to implement supplementary technical, organizational and/or contractual measures in order to rely on the Standard Contractual Clauses as a compliant ‘transfer mechanism.’ However, the EDPB draft guidance appears to conclude that no combination of supplementary measures could be sufficient to allow effective reliance on the Standard Contractual Clauses in the context of transfers of personal data ‘in the clear’ to recipients in countries where the power granted to public authorities to access the transferred personal data goes beyond that which is ‘necessary and proportionate in a democratic society’ – which may, following the CJEU’s conclusions in this case on relevant powers of United States public authorities and commentary in that EDPB guidance, include the United States in certain circumstances. At present, there are few, if any, viable alternatives to the Standard Contractual Clauses.</w:t>
      </w:r>
    </w:p>
    <w:p>
      <w:pPr>
        <w:spacing w:after="0" w:line="50"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On June 28, 2021, the European Commission issued an adequacy decision under the GDPR which allows transfers (other than those carried out for the purposes of United Kingdom immigration control) of personal data from the EEA to the United Kingdom to continue without restriction for a period of four years ending June 27, 2025. After that period, the adequacy decision may be renewed only if the United Kingdom continues to ensure an adequate level of data protection. During these four years, the European Commission will continue to monitor the legal situation in the United Kingdom and could intervene at any point if the United Kingdom deviates from the level of data protection in place at the time of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 which could disrupt our operations.</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(i) restrict our activities in Europe; (ii) limit our ability to collaborate with partners as well as other service providers, contractors and other companies subject to European data protection laws; or (iii) require us to increase our data processing capabilities in Europe at significant expense or otherwise cause us to change the geographical location or segregation of our relevant systems and operations—any or all of which could adversely affect our financial results.</w:t>
      </w:r>
    </w:p>
    <w:p>
      <w:pPr>
        <w:spacing w:after="0" w:line="87"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which could increase the cost and complexity of operating our business. The type of challenges we face in Europe will likely also arise in other jurisdictions that adopt laws similar in construction to the GDPR or regulatory frameworks of equivalent complexity.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firstLine="509"/>
        <w:spacing w:after="0" w:line="270" w:lineRule="auto"/>
        <w:rPr>
          <w:sz w:val="20"/>
          <w:szCs w:val="20"/>
          <w:color w:val="auto"/>
        </w:rPr>
      </w:pPr>
      <w:r>
        <w:rPr>
          <w:rFonts w:ascii="Arial" w:cs="Arial" w:eastAsia="Arial" w:hAnsi="Arial"/>
          <w:sz w:val="17"/>
          <w:szCs w:val="17"/>
          <w:color w:val="auto"/>
        </w:rPr>
        <w:t>As noted above, the GDPR also provides for more robust regulatory enforcement and greater penalties for noncompliance than previously applicable data protection laws, including fines of up to €20 million or 4% of an undertaking’s total worldwide annual turnover for the preceding financial year, whichever is higher. In addition to administrative fines, supervisory authorities have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Additionally, as noted above, the United Kingdom has transposed the GDPR into the laws of the United Kingdom, which could expose us to two parallel regimes, each of which potentially authorizes similar fines, with the UK GDPR permitting fines of up to the higher of £17.5 million or 4% of global annual revenue of any noncompliant organizations for the preceding financial year, as well as other potentially divergent enforcement actions for certain violations.</w:t>
      </w:r>
    </w:p>
    <w:p>
      <w:pPr>
        <w:spacing w:after="0" w:line="289" w:lineRule="exact"/>
        <w:rPr>
          <w:sz w:val="20"/>
          <w:szCs w:val="20"/>
          <w:color w:val="auto"/>
        </w:rPr>
      </w:pPr>
    </w:p>
    <w:p>
      <w:pPr>
        <w:ind w:right="180" w:firstLine="509"/>
        <w:spacing w:after="0" w:line="286"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 While certain clinical trial activities are exempt from the CCPA’s requirements, other personal information that we handle may be subject to the CCPA, which may increase our compliance costs, exposure to regulatory enforcement action and other liabilities.</w:t>
      </w:r>
    </w:p>
    <w:p>
      <w:pPr>
        <w:spacing w:after="0" w:line="83"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GDPR, CCPA and many other laws and regulations relating to privacy and data protection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8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privacy and data protection, or to protect personal data and other data we process or maintain, could result in regulatory fines and bans on processing personal information,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42"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35" w:lineRule="exact"/>
        <w:rPr>
          <w:sz w:val="20"/>
          <w:szCs w:val="20"/>
          <w:color w:val="auto"/>
        </w:rPr>
      </w:pPr>
    </w:p>
    <w:p>
      <w:pPr>
        <w:ind w:right="60"/>
        <w:spacing w:after="0" w:line="324"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9" w:lineRule="exact"/>
        <w:rPr>
          <w:sz w:val="20"/>
          <w:szCs w:val="20"/>
          <w:color w:val="auto"/>
        </w:rPr>
      </w:pPr>
    </w:p>
    <w:p>
      <w:pPr>
        <w:ind w:right="300" w:firstLine="509"/>
        <w:spacing w:after="0" w:line="275"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7"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68"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6"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8"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right="600" w:firstLine="509"/>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breach of the manufacturing agreement by the third party or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47" w:name="page48"/>
    <w:bookmarkEnd w:id="47"/>
    <w:p>
      <w:pPr>
        <w:ind w:right="120"/>
        <w:spacing w:after="0" w:line="359"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7"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42" w:lineRule="exact"/>
        <w:rPr>
          <w:sz w:val="20"/>
          <w:szCs w:val="20"/>
          <w:color w:val="auto"/>
        </w:rPr>
      </w:pPr>
    </w:p>
    <w:p>
      <w:pPr>
        <w:ind w:left="700" w:right="40"/>
        <w:spacing w:after="0" w:line="279" w:lineRule="auto"/>
        <w:rPr>
          <w:sz w:val="20"/>
          <w:szCs w:val="20"/>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sz w:val="20"/>
          <w:szCs w:val="20"/>
          <w:color w:val="auto"/>
        </w:rPr>
      </w:pPr>
    </w:p>
    <w:p>
      <w:pPr>
        <w:ind w:left="700" w:right="10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31" w:lineRule="exact"/>
        <w:rPr>
          <w:sz w:val="20"/>
          <w:szCs w:val="20"/>
          <w:color w:val="auto"/>
        </w:rPr>
      </w:pPr>
    </w:p>
    <w:p>
      <w:pPr>
        <w:ind w:left="700" w:right="680"/>
        <w:spacing w:after="0" w:line="293" w:lineRule="auto"/>
        <w:rPr>
          <w:sz w:val="20"/>
          <w:szCs w:val="20"/>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sz w:val="20"/>
          <w:szCs w:val="20"/>
          <w:color w:val="auto"/>
        </w:rPr>
      </w:pPr>
    </w:p>
    <w:p>
      <w:pPr>
        <w:ind w:left="700" w:right="100"/>
        <w:spacing w:after="0" w:line="342"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6" w:lineRule="exact"/>
        <w:rPr>
          <w:sz w:val="20"/>
          <w:szCs w:val="20"/>
          <w:color w:val="auto"/>
        </w:rPr>
      </w:pPr>
    </w:p>
    <w:p>
      <w:pPr>
        <w:ind w:left="700" w:right="20"/>
        <w:spacing w:after="0" w:line="263" w:lineRule="auto"/>
        <w:rPr>
          <w:sz w:val="20"/>
          <w:szCs w:val="20"/>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6"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jc w:val="both"/>
        <w:ind w:left="700" w:right="60"/>
        <w:spacing w:after="0" w:line="263"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29"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sz w:val="20"/>
          <w:szCs w:val="20"/>
          <w:color w:val="auto"/>
        </w:rPr>
      </w:pPr>
    </w:p>
    <w:p>
      <w:pPr>
        <w:ind w:left="700" w:right="860"/>
        <w:spacing w:after="0" w:line="342" w:lineRule="auto"/>
        <w:rPr>
          <w:sz w:val="20"/>
          <w:szCs w:val="20"/>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6" w:lineRule="exact"/>
        <w:rPr>
          <w:sz w:val="20"/>
          <w:szCs w:val="20"/>
          <w:color w:val="auto"/>
        </w:rPr>
      </w:pPr>
    </w:p>
    <w:p>
      <w:pPr>
        <w:ind w:left="700" w:right="380"/>
        <w:spacing w:after="0" w:line="308" w:lineRule="auto"/>
        <w:rPr>
          <w:sz w:val="20"/>
          <w:szCs w:val="20"/>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8" w:name="page49"/>
    <w:bookmarkEnd w:id="48"/>
    <w:p>
      <w:pPr>
        <w:ind w:left="700"/>
        <w:spacing w:after="0"/>
        <w:rPr>
          <w:sz w:val="20"/>
          <w:szCs w:val="20"/>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sz w:val="20"/>
          <w:szCs w:val="20"/>
          <w:color w:val="auto"/>
        </w:rPr>
      </w:pPr>
    </w:p>
    <w:p>
      <w:pPr>
        <w:ind w:left="700" w:right="1280"/>
        <w:spacing w:after="0" w:line="277"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9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right="60" w:firstLine="509"/>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98"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3"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54"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3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8"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2"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4"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ind w:right="200"/>
        <w:spacing w:after="0" w:line="293"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7"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5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76"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100" w:firstLine="509"/>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6"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3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sz w:val="20"/>
          <w:szCs w:val="20"/>
          <w:color w:val="auto"/>
        </w:rPr>
      </w:pPr>
    </w:p>
    <w:p>
      <w:pPr>
        <w:ind w:left="700" w:right="580"/>
        <w:spacing w:after="0" w:line="293" w:lineRule="auto"/>
        <w:rPr>
          <w:sz w:val="20"/>
          <w:szCs w:val="20"/>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sz w:val="20"/>
          <w:szCs w:val="20"/>
          <w:color w:val="auto"/>
        </w:rPr>
      </w:pPr>
    </w:p>
    <w:p>
      <w:pPr>
        <w:ind w:left="700" w:right="420"/>
        <w:spacing w:after="0" w:line="293" w:lineRule="auto"/>
        <w:rPr>
          <w:sz w:val="20"/>
          <w:szCs w:val="20"/>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sz w:val="20"/>
          <w:szCs w:val="20"/>
          <w:color w:val="auto"/>
        </w:rPr>
      </w:pPr>
    </w:p>
    <w:p>
      <w:pPr>
        <w:ind w:left="700" w:right="54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31"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sz w:val="20"/>
          <w:szCs w:val="20"/>
          <w:color w:val="auto"/>
        </w:rPr>
      </w:pPr>
    </w:p>
    <w:p>
      <w:pPr>
        <w:ind w:left="700" w:right="60"/>
        <w:spacing w:after="0" w:line="324" w:lineRule="auto"/>
        <w:rPr>
          <w:sz w:val="20"/>
          <w:szCs w:val="20"/>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may not develop additional proprietary technologies that are patentable;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patents of others may harm our business; and</w:t>
      </w:r>
    </w:p>
    <w:p>
      <w:pPr>
        <w:spacing w:after="0" w:line="117"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Developing and commercializing new medicines is a challenging exercise and requires diverse expertise in a variety of scientific, clinical, manufacturing, commercial, financial, people and legal functions. Failure to adequately develop these functions at Kodiak will hurt our ability to compete effectively.</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of September 30, 2021, we had 85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sz w:val="20"/>
          <w:szCs w:val="20"/>
          <w:color w:val="auto"/>
        </w:rPr>
      </w:pPr>
    </w:p>
    <w:p>
      <w:pPr>
        <w:ind w:left="700" w:right="760"/>
        <w:spacing w:after="0" w:line="277" w:lineRule="auto"/>
        <w:rPr>
          <w:sz w:val="20"/>
          <w:szCs w:val="20"/>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76" w:lineRule="exact"/>
        <w:rPr>
          <w:sz w:val="20"/>
          <w:szCs w:val="20"/>
          <w:color w:val="auto"/>
        </w:rPr>
      </w:pPr>
    </w:p>
    <w:p>
      <w:pPr>
        <w:ind w:left="700" w:right="3180"/>
        <w:spacing w:after="0" w:line="391" w:lineRule="auto"/>
        <w:rPr>
          <w:sz w:val="20"/>
          <w:szCs w:val="20"/>
          <w:color w:val="auto"/>
        </w:rPr>
      </w:pPr>
      <w:r>
        <w:rPr>
          <w:rFonts w:ascii="Arial" w:cs="Arial" w:eastAsia="Arial" w:hAnsi="Arial"/>
          <w:sz w:val="18"/>
          <w:szCs w:val="18"/>
          <w:color w:val="auto"/>
        </w:rPr>
        <w:t>expanding our operational, financial and management controls, reporting systems and procedures; and managing increasing operational and managerial complexity.</w:t>
      </w:r>
    </w:p>
    <w:p>
      <w:pPr>
        <w:spacing w:after="0" w:line="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5"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09"/>
        <w:spacing w:after="0" w:line="324"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increased operating expenses and cash requirements;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 of indebtedness or contingent liabilities;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issuance of our equity securities which would result in dilution to our stockholders;</w:t>
      </w:r>
    </w:p>
    <w:p>
      <w:pPr>
        <w:spacing w:after="0" w:line="13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sz w:val="20"/>
          <w:szCs w:val="20"/>
          <w:color w:val="auto"/>
        </w:rPr>
      </w:pPr>
    </w:p>
    <w:p>
      <w:pPr>
        <w:ind w:left="700" w:right="480"/>
        <w:spacing w:after="0" w:line="293" w:lineRule="auto"/>
        <w:rPr>
          <w:sz w:val="20"/>
          <w:szCs w:val="20"/>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1"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7" w:name="page58"/>
    <w:bookmarkEnd w:id="57"/>
    <w:p>
      <w:pPr>
        <w:ind w:right="180"/>
        <w:spacing w:after="0" w:line="275"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77"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with which we work,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68"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our security measures or those of the third parties we depend on will be effective in preventing cybersecurity incidents. There are many different and rapidly evolving cybercrime and hacking techniques, and we may be unable to anticipate attempted security breaches, identify them before our information is exploited, or react in a timely manner.</w:t>
      </w:r>
    </w:p>
    <w:p>
      <w:pPr>
        <w:spacing w:after="0" w:line="62" w:lineRule="exact"/>
        <w:rPr>
          <w:sz w:val="20"/>
          <w:szCs w:val="20"/>
          <w:color w:val="auto"/>
        </w:rPr>
      </w:pPr>
    </w:p>
    <w:p>
      <w:pPr>
        <w:jc w:val="both"/>
        <w:ind w:right="40" w:firstLine="509"/>
        <w:spacing w:after="0" w:line="275" w:lineRule="auto"/>
        <w:rPr>
          <w:sz w:val="20"/>
          <w:szCs w:val="20"/>
          <w:color w:val="auto"/>
        </w:rPr>
      </w:pPr>
      <w:r>
        <w:rPr>
          <w:rFonts w:ascii="Arial" w:cs="Arial" w:eastAsia="Arial" w:hAnsi="Arial"/>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7"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or potential vulnerabilities. Although to our knowledge, we have not experienced a material system failure or cybersecurity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6" w:lineRule="exact"/>
        <w:rPr>
          <w:sz w:val="20"/>
          <w:szCs w:val="20"/>
          <w:color w:val="auto"/>
        </w:rPr>
      </w:pPr>
    </w:p>
    <w:p>
      <w:pPr>
        <w:ind w:firstLine="509"/>
        <w:spacing w:after="0" w:line="319" w:lineRule="auto"/>
        <w:rPr>
          <w:sz w:val="20"/>
          <w:szCs w:val="20"/>
          <w:color w:val="auto"/>
        </w:rPr>
      </w:pPr>
      <w:r>
        <w:rPr>
          <w:rFonts w:ascii="Arial" w:cs="Arial" w:eastAsia="Arial" w:hAnsi="Arial"/>
          <w:sz w:val="16"/>
          <w:szCs w:val="16"/>
          <w:color w:val="auto"/>
        </w:rPr>
        <w:t>Cybersecurity incidents and any unauthorized access or disclosure of our information or intellectual property could also compromise our intellectual property, expose sensitive business information, expose the personal information of our employees, require us to incur significant remediation costs, disrupt key business operations and divert attention of management and key information technology resources. Such incidents could also subject us to significant liability, harm our competitive position and delay the further development and commercialization of our product candidates.</w:t>
      </w:r>
    </w:p>
    <w:p>
      <w:pPr>
        <w:spacing w:after="0" w:line="48" w:lineRule="exact"/>
        <w:rPr>
          <w:sz w:val="20"/>
          <w:szCs w:val="20"/>
          <w:color w:val="auto"/>
        </w:rPr>
      </w:pPr>
    </w:p>
    <w:p>
      <w:pPr>
        <w:ind w:right="120" w:firstLine="509"/>
        <w:spacing w:after="0" w:line="314" w:lineRule="auto"/>
        <w:rPr>
          <w:sz w:val="20"/>
          <w:szCs w:val="20"/>
          <w:color w:val="auto"/>
        </w:rPr>
      </w:pPr>
      <w:r>
        <w:rPr>
          <w:rFonts w:ascii="Arial" w:cs="Arial" w:eastAsia="Arial" w:hAnsi="Arial"/>
          <w:sz w:val="16"/>
          <w:szCs w:val="16"/>
          <w:color w:val="auto"/>
        </w:rPr>
        <w:t>Additionally, applicable data protection requirements, including, without limitation, laws, regulations, guidance as well as our internal and external policies and our contractual obligations, may require us to notify relevant stakeholders of security breaches,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w:t>
      </w:r>
    </w:p>
    <w:p>
      <w:pPr>
        <w:spacing w:after="0" w:line="52"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1"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7"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3" w:lineRule="exact"/>
        <w:rPr>
          <w:sz w:val="20"/>
          <w:szCs w:val="20"/>
          <w:color w:val="auto"/>
        </w:rPr>
      </w:pPr>
    </w:p>
    <w:p>
      <w:pPr>
        <w:ind w:right="200" w:firstLine="509"/>
        <w:spacing w:after="0" w:line="329" w:lineRule="auto"/>
        <w:rPr>
          <w:sz w:val="20"/>
          <w:szCs w:val="20"/>
          <w:color w:val="auto"/>
        </w:rPr>
      </w:pPr>
      <w:r>
        <w:rPr>
          <w:rFonts w:ascii="Arial" w:cs="Arial" w:eastAsia="Arial" w:hAnsi="Arial"/>
          <w:sz w:val="16"/>
          <w:szCs w:val="16"/>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700" w:right="2680"/>
        <w:spacing w:after="0" w:line="440" w:lineRule="auto"/>
        <w:rPr>
          <w:sz w:val="20"/>
          <w:szCs w:val="20"/>
          <w:color w:val="auto"/>
        </w:rPr>
      </w:pPr>
      <w:r>
        <w:rPr>
          <w:rFonts w:ascii="Arial" w:cs="Arial" w:eastAsia="Arial" w:hAnsi="Arial"/>
          <w:sz w:val="16"/>
          <w:szCs w:val="16"/>
          <w:color w:val="auto"/>
        </w:rPr>
        <w:t>economic weakness, including inflation or political instability in particular non-U.S. economies and markets; differing and changing regulatory requirements, pricing and reimbursement regimes in non-U.S. countries;</w:t>
      </w:r>
    </w:p>
    <w:p>
      <w:pPr>
        <w:ind w:left="700" w:right="74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difficulties in compliance with non-U.S. laws and regulations;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non-U.S. regulations and customs, tariffs and trade barriers;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non-U.S. currency exchange rates and currency controls;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a specific country’s or region’s political or economic environment;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negative consequences from changes in tax laws;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compliance with tax, employment, immigration and labor laws for employees living or traveling abroad;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potential liability under the FCPA or comparable foreign laws;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ind w:right="140" w:firstLine="509"/>
        <w:spacing w:after="0" w:line="314"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5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55"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0"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firstLine="509"/>
        <w:spacing w:after="0" w:line="271" w:lineRule="auto"/>
        <w:rPr>
          <w:sz w:val="20"/>
          <w:szCs w:val="20"/>
          <w:color w:val="auto"/>
        </w:rPr>
      </w:pPr>
      <w:r>
        <w:rPr>
          <w:rFonts w:ascii="Arial" w:cs="Arial" w:eastAsia="Arial" w:hAnsi="Arial"/>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U.S. and in other countries to contain and treat the disease, including the effectiveness and timing of vaccine programs in the U.S. and worldwide. The COVID-19 pandemic may also have the effect of heightening many of the other risks described in this “Risk Factors” section.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As of December 31, 2020, the Company had $50.1 million of federal and $171.0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4"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91"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29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35"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1" w:name="page62"/>
    <w:bookmarkEnd w:id="61"/>
    <w:p>
      <w:pPr>
        <w:ind w:right="180"/>
        <w:spacing w:after="0" w:line="293"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780" w:firstLine="509"/>
        <w:spacing w:after="0" w:line="293" w:lineRule="auto"/>
        <w:rPr>
          <w:sz w:val="20"/>
          <w:szCs w:val="20"/>
          <w:color w:val="auto"/>
        </w:rPr>
      </w:pPr>
      <w:r>
        <w:rPr>
          <w:rFonts w:ascii="Arial" w:cs="Arial" w:eastAsia="Arial" w:hAnsi="Arial"/>
          <w:sz w:val="18"/>
          <w:szCs w:val="18"/>
          <w:color w:val="auto"/>
        </w:rPr>
        <w:t>We have incurred net losses in each reporting period since our inception, including net losses of $173.8 million for the nine months ended September 30, 2021. As of September 30, 2021, we had an accumulated deficit of $465.1 million.</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progress our current and any future product candidates through preclinical and clinical development;</w:t>
      </w:r>
    </w:p>
    <w:p>
      <w:pPr>
        <w:spacing w:after="0" w:line="131"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our research and discovery activities;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continue the development of our ABC Platform;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 or add additional contract manufacturers or suppliers;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seek regulatory approvals and marketing authorizations for our product candidates, including KSI-301;</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 or in-license product candidates, intellectual property and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 maintain, expand, protect and enforce our intellectual property portfolio;</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 hire and retain qualified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experience any delays or encounter other issues related to our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meet the requirements and demands of being a public company;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defend against any product liability claims or other lawsuits related to our products.</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5" w:lineRule="exact"/>
        <w:rPr>
          <w:sz w:val="20"/>
          <w:szCs w:val="20"/>
          <w:color w:val="auto"/>
        </w:rPr>
      </w:pPr>
    </w:p>
    <w:p>
      <w:pPr>
        <w:jc w:val="center"/>
        <w:ind w:right="254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successfully completing research and preclinical and clinical development of our product candidates;</w:t>
      </w:r>
    </w:p>
    <w:p>
      <w:pPr>
        <w:spacing w:after="0" w:line="131" w:lineRule="exact"/>
        <w:rPr>
          <w:sz w:val="20"/>
          <w:szCs w:val="20"/>
          <w:color w:val="auto"/>
        </w:rPr>
      </w:pPr>
    </w:p>
    <w:p>
      <w:pPr>
        <w:ind w:left="700" w:right="40"/>
        <w:spacing w:after="0" w:line="293" w:lineRule="auto"/>
        <w:rPr>
          <w:sz w:val="20"/>
          <w:szCs w:val="20"/>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sz w:val="20"/>
          <w:szCs w:val="20"/>
          <w:color w:val="auto"/>
        </w:rPr>
      </w:pPr>
    </w:p>
    <w:p>
      <w:pPr>
        <w:jc w:val="both"/>
        <w:ind w:left="700" w:right="260"/>
        <w:spacing w:after="0" w:line="279" w:lineRule="auto"/>
        <w:rPr>
          <w:sz w:val="20"/>
          <w:szCs w:val="20"/>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identifying, assessing, acquiring and/or developing new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2" w:name="page63"/>
    <w:bookmarkEnd w:id="62"/>
    <w:p>
      <w:pPr>
        <w:ind w:left="700" w:right="200"/>
        <w:spacing w:after="0" w:line="293" w:lineRule="auto"/>
        <w:rPr>
          <w:sz w:val="20"/>
          <w:szCs w:val="20"/>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sz w:val="20"/>
          <w:szCs w:val="20"/>
          <w:color w:val="auto"/>
        </w:rPr>
      </w:pPr>
    </w:p>
    <w:p>
      <w:pPr>
        <w:ind w:left="700" w:right="80"/>
        <w:spacing w:after="0" w:line="293" w:lineRule="auto"/>
        <w:rPr>
          <w:sz w:val="20"/>
          <w:szCs w:val="20"/>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adequate reimbursement for our product candidates from payors;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obtaining market acceptance of our product candidates as viable treatment options;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addressing any competing technological and market developments;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attracting, hiring and retaining qualified personnel.</w:t>
      </w:r>
    </w:p>
    <w:p>
      <w:pPr>
        <w:spacing w:after="0" w:line="131"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right="20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success of existing or new competitive products or technologies;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commencement or termination of collaborations for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or discontinuation of any of our product candidates;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failure to develop our ABC Platform;</w:t>
      </w:r>
    </w:p>
    <w:p>
      <w:pPr>
        <w:spacing w:after="0" w:line="131" w:lineRule="exact"/>
        <w:rPr>
          <w:sz w:val="20"/>
          <w:szCs w:val="20"/>
          <w:color w:val="auto"/>
        </w:rPr>
      </w:pPr>
    </w:p>
    <w:p>
      <w:pPr>
        <w:ind w:left="700" w:right="600"/>
        <w:spacing w:after="0" w:line="293" w:lineRule="auto"/>
        <w:rPr>
          <w:sz w:val="20"/>
          <w:szCs w:val="20"/>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commencement of litigation;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level of expenses related to any of our research programs, product candidates that we may develop;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results of our efforts to develop additional product candidates or products;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of our common stock by us, our insiders, or other stockholders;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estimates or recommendations by securities analysts, if any, that cover our stock;</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4" w:name="page65"/>
    <w:bookmarkEnd w:id="64"/>
    <w:p>
      <w:pPr>
        <w:ind w:left="700" w:right="980"/>
        <w:spacing w:after="0" w:line="293" w:lineRule="auto"/>
        <w:rPr>
          <w:sz w:val="20"/>
          <w:szCs w:val="20"/>
          <w:color w:val="auto"/>
        </w:rPr>
      </w:pPr>
      <w:r>
        <w:rPr>
          <w:rFonts w:ascii="Arial" w:cs="Arial" w:eastAsia="Arial" w:hAnsi="Arial"/>
          <w:sz w:val="18"/>
          <w:szCs w:val="18"/>
          <w:color w:val="auto"/>
        </w:rPr>
        <w:t>general economic, industry, and market conditions, including fluctuations attributable to the ongoing COVID-19 pandemic and other unforeseeable circumstances; and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13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7" w:lineRule="exact"/>
        <w:rPr>
          <w:sz w:val="20"/>
          <w:szCs w:val="20"/>
          <w:color w:val="auto"/>
        </w:rPr>
      </w:pPr>
    </w:p>
    <w:p>
      <w:pPr>
        <w:ind w:left="700" w:right="440"/>
        <w:spacing w:after="0" w:line="391" w:lineRule="auto"/>
        <w:rPr>
          <w:sz w:val="20"/>
          <w:szCs w:val="20"/>
          <w:color w:val="auto"/>
        </w:rPr>
      </w:pPr>
      <w:r>
        <w:rPr>
          <w:rFonts w:ascii="Arial" w:cs="Arial" w:eastAsia="Arial" w:hAnsi="Arial"/>
          <w:sz w:val="18"/>
          <w:szCs w:val="18"/>
          <w:color w:val="auto"/>
        </w:rPr>
        <w:t>provide that vacancies on our board of directors may be filled only by a majority of directors then in office, even though less than a quorum; eliminate cumulative voting in the election of directors;</w:t>
      </w:r>
    </w:p>
    <w:p>
      <w:pPr>
        <w:spacing w:after="0" w:line="1"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prohibit stockholders from calling a special meeting of stockholders;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authorize our board of directors, by a majority vote, to amend the bylaws; and</w:t>
      </w:r>
    </w:p>
    <w:p>
      <w:pPr>
        <w:spacing w:after="0" w:line="1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ind w:left="700" w:right="260"/>
        <w:spacing w:after="0" w:line="293" w:lineRule="auto"/>
        <w:rPr>
          <w:sz w:val="20"/>
          <w:szCs w:val="20"/>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7" w:lineRule="exact"/>
        <w:rPr>
          <w:sz w:val="20"/>
          <w:szCs w:val="20"/>
          <w:color w:val="auto"/>
        </w:rPr>
      </w:pPr>
    </w:p>
    <w:p>
      <w:pPr>
        <w:jc w:val="both"/>
        <w:ind w:right="200" w:firstLine="509"/>
        <w:spacing w:after="0" w:line="279"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3" w:lineRule="exact"/>
        <w:rPr>
          <w:sz w:val="20"/>
          <w:szCs w:val="20"/>
          <w:color w:val="auto"/>
        </w:rPr>
      </w:pPr>
    </w:p>
    <w:p>
      <w:pPr>
        <w:jc w:val="both"/>
        <w:ind w:right="500"/>
        <w:spacing w:after="0" w:line="279"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509"/>
        <w:spacing w:after="0" w:line="329"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6" w:name="page67"/>
    <w:bookmarkEnd w:id="66"/>
    <w:p>
      <w:pPr>
        <w:jc w:val="both"/>
        <w:ind w:right="80"/>
        <w:spacing w:after="0" w:line="303"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6" w:lineRule="exact"/>
        <w:rPr>
          <w:sz w:val="20"/>
          <w:szCs w:val="20"/>
          <w:color w:val="auto"/>
        </w:rPr>
      </w:pPr>
    </w:p>
    <w:p>
      <w:pPr>
        <w:jc w:val="both"/>
        <w:ind w:right="260" w:firstLine="509"/>
        <w:spacing w:after="0" w:line="293"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40" w:firstLine="509"/>
        <w:spacing w:after="0" w:line="299"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40"/>
        <w:spacing w:after="0" w:line="292"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78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780" w:type="dxa"/>
            <w:vAlign w:val="bottom"/>
          </w:tcPr>
          <w:p>
            <w:pPr>
              <w:ind w:left="520"/>
              <w:spacing w:after="0"/>
              <w:rPr>
                <w:sz w:val="20"/>
                <w:szCs w:val="20"/>
                <w:color w:val="auto"/>
              </w:rPr>
            </w:pPr>
            <w:r>
              <w:rPr>
                <w:rFonts w:ascii="Arial" w:cs="Arial" w:eastAsia="Arial" w:hAnsi="Arial"/>
                <w:sz w:val="18"/>
                <w:szCs w:val="18"/>
                <w:i w:val="1"/>
                <w:iCs w:val="1"/>
                <w:color w:val="auto"/>
              </w:rPr>
              <w:t>(a)</w:t>
            </w:r>
          </w:p>
        </w:tc>
        <w:tc>
          <w:tcPr>
            <w:tcW w:w="7000" w:type="dxa"/>
            <w:vAlign w:val="bottom"/>
            <w:gridSpan w:val="14"/>
          </w:tcPr>
          <w:p>
            <w:pPr>
              <w:ind w:left="60"/>
              <w:spacing w:after="0"/>
              <w:rPr>
                <w:sz w:val="20"/>
                <w:szCs w:val="20"/>
                <w:color w:val="auto"/>
              </w:rPr>
            </w:pPr>
            <w:r>
              <w:rPr>
                <w:rFonts w:ascii="Arial" w:cs="Arial" w:eastAsia="Arial" w:hAnsi="Arial"/>
                <w:sz w:val="18"/>
                <w:szCs w:val="18"/>
                <w:i w:val="1"/>
                <w:iCs w:val="1"/>
                <w:color w:val="auto"/>
              </w:rPr>
              <w:t>Exhibits.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2"/>
              </w:rPr>
              <w:t>Incorporated by Reference</w:t>
            </w:r>
          </w:p>
        </w:tc>
        <w:tc>
          <w:tcPr>
            <w:tcW w:w="900" w:type="dxa"/>
            <w:vAlign w:val="bottom"/>
            <w:tcBorders>
              <w:bottom w:val="single" w:sz="8" w:color="auto"/>
            </w:tcBorders>
          </w:tcPr>
          <w:p>
            <w:pPr>
              <w:spacing w:after="0"/>
              <w:rPr>
                <w:sz w:val="24"/>
                <w:szCs w:val="24"/>
                <w:color w:val="auto"/>
              </w:rPr>
            </w:pPr>
          </w:p>
        </w:tc>
      </w:tr>
      <w:tr>
        <w:trPr>
          <w:trHeight w:val="166"/>
        </w:trPr>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5"/>
        </w:trPr>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Filing Date</w:t>
            </w:r>
          </w:p>
        </w:tc>
      </w:tr>
      <w:tr>
        <w:trPr>
          <w:trHeight w:val="344"/>
        </w:trPr>
        <w:tc>
          <w:tcPr>
            <w:tcW w:w="78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2021 Long-Term Performance Incentive Plan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8"/>
        </w:trPr>
        <w:tc>
          <w:tcPr>
            <w:tcW w:w="780" w:type="dxa"/>
            <w:vAlign w:val="bottom"/>
          </w:tcPr>
          <w:p>
            <w:pPr>
              <w:ind w:lef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w w:val="95"/>
              </w:rPr>
            </w:pPr>
            <w:hyperlink r:id="rId235">
              <w:r>
                <w:rPr>
                  <w:rFonts w:ascii="Arial" w:cs="Arial" w:eastAsia="Arial" w:hAnsi="Arial"/>
                  <w:sz w:val="18"/>
                  <w:szCs w:val="18"/>
                  <w:color w:val="0000FF"/>
                  <w:w w:val="95"/>
                </w:rPr>
                <w:t>Letter Agreement, dated July 22, 2021, between Kodiak Sciences Inc., Kodiak Sciences</w:t>
              </w:r>
            </w:hyperlink>
          </w:p>
        </w:tc>
        <w:tc>
          <w:tcPr>
            <w:tcW w:w="580" w:type="dxa"/>
            <w:vAlign w:val="bottom"/>
          </w:tcPr>
          <w:p>
            <w:pPr>
              <w:ind w:left="20"/>
              <w:spacing w:after="0"/>
              <w:rPr>
                <w:sz w:val="20"/>
                <w:szCs w:val="20"/>
                <w:color w:val="auto"/>
              </w:rPr>
            </w:pPr>
            <w:r>
              <w:rPr>
                <w:rFonts w:ascii="Arial" w:cs="Arial" w:eastAsia="Arial" w:hAnsi="Arial"/>
                <w:sz w:val="18"/>
                <w:szCs w:val="18"/>
                <w:color w:val="auto"/>
              </w:rPr>
              <w:t>8-K</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001-38682</w:t>
            </w:r>
          </w:p>
        </w:tc>
        <w:tc>
          <w:tcPr>
            <w:tcW w:w="740" w:type="dxa"/>
            <w:vAlign w:val="bottom"/>
            <w:gridSpan w:val="2"/>
          </w:tcPr>
          <w:p>
            <w:pPr>
              <w:jc w:val="right"/>
              <w:ind w:right="248"/>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w w:val="92"/>
              </w:rPr>
              <w:t>7/23/2021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rPr>
            </w:pPr>
            <w:hyperlink r:id="rId235">
              <w:r>
                <w:rPr>
                  <w:rFonts w:ascii="Arial" w:cs="Arial" w:eastAsia="Arial" w:hAnsi="Arial"/>
                  <w:sz w:val="18"/>
                  <w:szCs w:val="18"/>
                  <w:color w:val="0000FF"/>
                </w:rPr>
                <w:t>GmbH and Edison ICAV, as assignee of Baker Bros. Advisors, LP</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780" w:type="dxa"/>
            <w:vAlign w:val="bottom"/>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w w:val="98"/>
              </w:rPr>
            </w:pPr>
            <w:hyperlink w:anchor="page105">
              <w:r>
                <w:rPr>
                  <w:rFonts w:ascii="Arial" w:cs="Arial" w:eastAsia="Arial" w:hAnsi="Arial"/>
                  <w:sz w:val="18"/>
                  <w:szCs w:val="18"/>
                  <w:color w:val="0000FF"/>
                  <w:w w:val="98"/>
                </w:rPr>
                <w:t>Certification of Principal Executive Officer Pursuant to Rules 13a-14(a) and 15d-14(a)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w w:val="97"/>
              </w:rPr>
            </w:pPr>
            <w:hyperlink w:anchor="page105">
              <w:r>
                <w:rPr>
                  <w:rFonts w:ascii="Arial" w:cs="Arial" w:eastAsia="Arial" w:hAnsi="Arial"/>
                  <w:sz w:val="18"/>
                  <w:szCs w:val="18"/>
                  <w:color w:val="0000FF"/>
                  <w:w w:val="97"/>
                </w:rPr>
                <w:t>under the Securities Exchange Act of 1934, as Adopted Pursuant to Section 302 of the</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Sarbanes-Oxley Act of 2002</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780" w:type="dxa"/>
            <w:vAlign w:val="bottom"/>
          </w:tcPr>
          <w:p>
            <w:pPr>
              <w:ind w:left="1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w w:val="97"/>
              </w:rPr>
            </w:pPr>
            <w:hyperlink w:anchor="page106">
              <w:r>
                <w:rPr>
                  <w:rFonts w:ascii="Arial" w:cs="Arial" w:eastAsia="Arial" w:hAnsi="Arial"/>
                  <w:sz w:val="18"/>
                  <w:szCs w:val="18"/>
                  <w:color w:val="0000FF"/>
                  <w:w w:val="97"/>
                </w:rPr>
                <w:t>Certification of Principal Accounting and Financial Officer Pursuant to Rules 13a-14(a)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Borders>
              <w:right w:val="single" w:sz="8" w:color="0000FF"/>
            </w:tcBorders>
            <w:gridSpan w:val="2"/>
            <w:shd w:val="clear" w:color="auto" w:fill="0000FF"/>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and 15d-14(a) under the Securities Exchange Act of 1934, as Adopted Pursuant to Section</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Borders>
              <w:right w:val="single" w:sz="8" w:color="0000FF"/>
            </w:tcBorders>
            <w:gridSpan w:val="2"/>
            <w:shd w:val="clear" w:color="auto" w:fill="0000FF"/>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302 of the Sarbanes-Oxley Act of 2002</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2"/>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78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Principal Executive Officer Pursuant to 18 U.S.C. Section 1350, as</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4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Adopted Pursuant to Section 906 of the Sarbanes-Oxley Act of 2002</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40" w:type="dxa"/>
            <w:vAlign w:val="bottom"/>
            <w:tcBorders>
              <w:right w:val="single" w:sz="8" w:color="0000EE"/>
            </w:tcBorders>
            <w:gridSpan w:val="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780" w:type="dxa"/>
            <w:vAlign w:val="bottom"/>
          </w:tcPr>
          <w:p>
            <w:pPr>
              <w:ind w:left="1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rFonts w:ascii="Arial" w:cs="Arial" w:eastAsia="Arial" w:hAnsi="Arial"/>
                <w:sz w:val="18"/>
                <w:szCs w:val="18"/>
                <w:color w:val="0000FF"/>
                <w:w w:val="95"/>
              </w:rPr>
            </w:pPr>
            <w:hyperlink w:anchor="page108">
              <w:r>
                <w:rPr>
                  <w:rFonts w:ascii="Arial" w:cs="Arial" w:eastAsia="Arial" w:hAnsi="Arial"/>
                  <w:sz w:val="18"/>
                  <w:szCs w:val="18"/>
                  <w:color w:val="0000FF"/>
                  <w:w w:val="95"/>
                </w:rPr>
                <w:t>Certification of Principal Accounting and Financial Officer Pursuant to 18 U.S.C. Section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80" w:type="dxa"/>
            <w:vAlign w:val="bottom"/>
            <w:tcBorders>
              <w:right w:val="single" w:sz="8" w:color="0000FF"/>
            </w:tcBorders>
            <w:gridSpan w:val="6"/>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720" w:type="dxa"/>
            <w:vAlign w:val="bottom"/>
            <w:gridSpan w:val="12"/>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1350, as Adopted Pursuant to Section 906 of the Sarbanes-Oxley Act of 2002</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580" w:type="dxa"/>
            <w:vAlign w:val="bottom"/>
            <w:tcBorders>
              <w:right w:val="single" w:sz="8" w:color="0000EE"/>
            </w:tcBorders>
            <w:gridSpan w:val="6"/>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5"/>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5"/>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9"/>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88" w:lineRule="exact"/>
        <w:rPr>
          <w:sz w:val="20"/>
          <w:szCs w:val="20"/>
          <w:color w:val="auto"/>
        </w:rPr>
      </w:pPr>
    </w:p>
    <w:p>
      <w:pPr>
        <w:ind w:left="1040" w:right="3940" w:hanging="1019"/>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60"/>
        <w:spacing w:after="0" w:line="296" w:lineRule="auto"/>
        <w:rPr>
          <w:rFonts w:ascii="Arial" w:cs="Arial" w:eastAsia="Arial" w:hAnsi="Arial"/>
          <w:sz w:val="18"/>
          <w:szCs w:val="18"/>
          <w:color w:val="auto"/>
        </w:rPr>
      </w:pPr>
      <w:r>
        <w:rPr>
          <w:rFonts w:ascii="Arial" w:cs="Arial" w:eastAsia="Arial" w:hAnsi="Arial"/>
          <w:sz w:val="17"/>
          <w:szCs w:val="17"/>
          <w:color w:val="auto"/>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9512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79"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78"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ODIAK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34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right="20" w:firstLine="757"/>
        <w:spacing w:after="0" w:line="276" w:lineRule="auto"/>
        <w:tabs>
          <w:tab w:leader="none" w:pos="1109"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As part of its employee compensation program, Kodiak 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this 2021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effective as of August 12,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subject to Section 2 below. The purpose of the Plan is to help attract and retain key employees by providing them with additional incentives and to encourage such employees to contribute maximum effort towards supporting the Company’s next phase of transformational performance and growth.</w:t>
      </w:r>
    </w:p>
    <w:p>
      <w:pPr>
        <w:spacing w:after="0" w:line="181" w:lineRule="exact"/>
        <w:rPr>
          <w:rFonts w:ascii="Arial" w:cs="Arial" w:eastAsia="Arial" w:hAnsi="Arial"/>
          <w:sz w:val="18"/>
          <w:szCs w:val="18"/>
          <w:b w:val="1"/>
          <w:bCs w:val="1"/>
          <w:color w:val="auto"/>
        </w:rPr>
      </w:pPr>
    </w:p>
    <w:p>
      <w:pPr>
        <w:ind w:right="80" w:firstLine="757"/>
        <w:spacing w:after="0" w:line="297" w:lineRule="auto"/>
        <w:tabs>
          <w:tab w:leader="none" w:pos="1109"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Employees. </w:t>
      </w:r>
      <w:r>
        <w:rPr>
          <w:rFonts w:ascii="Arial" w:cs="Arial" w:eastAsia="Arial" w:hAnsi="Arial"/>
          <w:sz w:val="17"/>
          <w:szCs w:val="17"/>
          <w:color w:val="auto"/>
        </w:rPr>
        <w:t>An employee of the Company shall be eligible to participate in the Plan if (i) such employee is at Grade Level 10 or</w:t>
      </w:r>
      <w:r>
        <w:rPr>
          <w:rFonts w:ascii="Arial" w:cs="Arial" w:eastAsia="Arial" w:hAnsi="Arial"/>
          <w:sz w:val="17"/>
          <w:szCs w:val="17"/>
          <w:b w:val="1"/>
          <w:bCs w:val="1"/>
          <w:color w:val="auto"/>
        </w:rPr>
        <w:t xml:space="preserve"> </w:t>
      </w:r>
      <w:r>
        <w:rPr>
          <w:rFonts w:ascii="Arial" w:cs="Arial" w:eastAsia="Arial" w:hAnsi="Arial"/>
          <w:sz w:val="17"/>
          <w:szCs w:val="17"/>
          <w:color w:val="auto"/>
        </w:rPr>
        <w:t>above at the Company and (ii) such employee has agreed to participate in the Plan by executing and returning an Election Form to the Company within the time period required therein. Notwithstanding the foregoing, the determination of whether an employee may participate in the Plan shall be made by the Administrator, in its sole discretion, and such determination shall be binding and conclusive on all persons.</w:t>
      </w:r>
    </w:p>
    <w:p>
      <w:pPr>
        <w:spacing w:after="0" w:line="274" w:lineRule="exact"/>
        <w:rPr>
          <w:rFonts w:ascii="Arial" w:cs="Arial" w:eastAsia="Arial" w:hAnsi="Arial"/>
          <w:sz w:val="17"/>
          <w:szCs w:val="17"/>
          <w:b w:val="1"/>
          <w:bCs w:val="1"/>
          <w:color w:val="auto"/>
        </w:rPr>
      </w:pPr>
    </w:p>
    <w:p>
      <w:pPr>
        <w:ind w:left="360" w:hanging="352"/>
        <w:spacing w:after="0"/>
        <w:tabs>
          <w:tab w:leader="none" w:pos="3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TOCKHOLDER</w:t>
      </w:r>
      <w:r>
        <w:rPr>
          <w:rFonts w:ascii="Arial" w:cs="Arial" w:eastAsia="Arial" w:hAnsi="Arial"/>
          <w:sz w:val="16"/>
          <w:szCs w:val="16"/>
          <w:b w:val="1"/>
          <w:bCs w:val="1"/>
          <w:color w:val="auto"/>
        </w:rPr>
        <w:t xml:space="preserve"> A</w:t>
      </w:r>
      <w:r>
        <w:rPr>
          <w:rFonts w:ascii="Arial" w:cs="Arial" w:eastAsia="Arial" w:hAnsi="Arial"/>
          <w:sz w:val="11"/>
          <w:szCs w:val="11"/>
          <w:b w:val="1"/>
          <w:bCs w:val="1"/>
          <w:color w:val="auto"/>
        </w:rPr>
        <w:t>PPROVAL</w:t>
      </w:r>
      <w:r>
        <w:rPr>
          <w:rFonts w:ascii="Arial" w:cs="Arial" w:eastAsia="Arial" w:hAnsi="Arial"/>
          <w:sz w:val="16"/>
          <w:szCs w:val="16"/>
          <w:b w:val="1"/>
          <w:bCs w:val="1"/>
          <w:color w:val="auto"/>
        </w:rPr>
        <w:t xml:space="preserve"> R</w:t>
      </w:r>
      <w:r>
        <w:rPr>
          <w:rFonts w:ascii="Arial" w:cs="Arial" w:eastAsia="Arial" w:hAnsi="Arial"/>
          <w:sz w:val="11"/>
          <w:szCs w:val="11"/>
          <w:b w:val="1"/>
          <w:bCs w:val="1"/>
          <w:color w:val="auto"/>
        </w:rPr>
        <w:t>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subject to stockholder approval at a special meeting of the Company’s stockholders to be held as</w:t>
      </w:r>
    </w:p>
    <w:p>
      <w:pPr>
        <w:spacing w:after="0" w:line="50"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soon as practicable following the Effective Date. If such stockholder approval is not obtained, then each Award granted under the Plan will be forfeited and each Participant will receive 100% of his or her Annual LTI Awards for fiscal year 2021. If such stockholder approval is obtained, each Participant will forego a portion of each Annual LTI Award that may be granted by the Company to the Participant during the Performance Period, with such foregone portion being specified in his or her Election Form.</w:t>
      </w:r>
    </w:p>
    <w:p>
      <w:pPr>
        <w:spacing w:after="0" w:line="29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120" w:hanging="363"/>
        <w:spacing w:after="0"/>
        <w:tabs>
          <w:tab w:leader="none" w:pos="112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the Administrator. </w:t>
      </w:r>
      <w:r>
        <w:rPr>
          <w:rFonts w:ascii="Arial" w:cs="Arial" w:eastAsia="Arial" w:hAnsi="Arial"/>
          <w:sz w:val="18"/>
          <w:szCs w:val="18"/>
          <w:color w:val="auto"/>
        </w:rPr>
        <w:t>The Administrator shall have the authority, in its discretion:</w:t>
      </w:r>
    </w:p>
    <w:p>
      <w:pPr>
        <w:spacing w:after="0" w:line="242" w:lineRule="exact"/>
        <w:rPr>
          <w:rFonts w:ascii="Arial" w:cs="Arial" w:eastAsia="Arial" w:hAnsi="Arial"/>
          <w:sz w:val="18"/>
          <w:szCs w:val="18"/>
          <w:b w:val="1"/>
          <w:bCs w:val="1"/>
          <w:color w:val="auto"/>
        </w:rPr>
      </w:pPr>
    </w:p>
    <w:p>
      <w:pPr>
        <w:ind w:left="1860" w:hanging="355"/>
        <w:spacing w:after="0"/>
        <w:tabs>
          <w:tab w:leader="none" w:pos="186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select the employees to whom Awards may be granted pursuant to the Plan;</w:t>
      </w:r>
    </w:p>
    <w:p>
      <w:pPr>
        <w:spacing w:after="0" w:line="238" w:lineRule="exact"/>
        <w:rPr>
          <w:rFonts w:ascii="Arial" w:cs="Arial" w:eastAsia="Arial" w:hAnsi="Arial"/>
          <w:sz w:val="18"/>
          <w:szCs w:val="18"/>
          <w:b w:val="1"/>
          <w:bCs w:val="1"/>
          <w:color w:val="auto"/>
        </w:rPr>
      </w:pPr>
    </w:p>
    <w:p>
      <w:pPr>
        <w:ind w:left="1860" w:hanging="355"/>
        <w:spacing w:after="0"/>
        <w:tabs>
          <w:tab w:leader="none" w:pos="186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determine the number of Shares to be covered by each Award granted pursuant to the Plan;</w:t>
      </w:r>
    </w:p>
    <w:p>
      <w:pPr>
        <w:spacing w:after="0" w:line="238" w:lineRule="exact"/>
        <w:rPr>
          <w:rFonts w:ascii="Arial" w:cs="Arial" w:eastAsia="Arial" w:hAnsi="Arial"/>
          <w:sz w:val="18"/>
          <w:szCs w:val="18"/>
          <w:b w:val="1"/>
          <w:bCs w:val="1"/>
          <w:color w:val="auto"/>
        </w:rPr>
      </w:pPr>
    </w:p>
    <w:p>
      <w:pPr>
        <w:ind w:left="1860" w:hanging="355"/>
        <w:spacing w:after="0"/>
        <w:tabs>
          <w:tab w:leader="none" w:pos="186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approve the forms of Award Agreements for use under the Plan;</w:t>
      </w:r>
    </w:p>
    <w:p>
      <w:pPr>
        <w:spacing w:after="0" w:line="238" w:lineRule="exact"/>
        <w:rPr>
          <w:rFonts w:ascii="Arial" w:cs="Arial" w:eastAsia="Arial" w:hAnsi="Arial"/>
          <w:sz w:val="18"/>
          <w:szCs w:val="18"/>
          <w:b w:val="1"/>
          <w:bCs w:val="1"/>
          <w:color w:val="auto"/>
        </w:rPr>
      </w:pPr>
    </w:p>
    <w:p>
      <w:pPr>
        <w:jc w:val="both"/>
        <w:ind w:right="360" w:firstLine="1505"/>
        <w:spacing w:after="0" w:line="296" w:lineRule="auto"/>
        <w:tabs>
          <w:tab w:leader="none" w:pos="1857" w:val="left"/>
        </w:tabs>
        <w:numPr>
          <w:ilvl w:val="2"/>
          <w:numId w:val="5"/>
        </w:numPr>
        <w:rPr>
          <w:rFonts w:ascii="Arial" w:cs="Arial" w:eastAsia="Arial" w:hAnsi="Arial"/>
          <w:sz w:val="17"/>
          <w:szCs w:val="17"/>
          <w:b w:val="1"/>
          <w:bCs w:val="1"/>
          <w:color w:val="auto"/>
        </w:rPr>
      </w:pPr>
      <w:r>
        <w:rPr>
          <w:rFonts w:ascii="Arial" w:cs="Arial" w:eastAsia="Arial" w:hAnsi="Arial"/>
          <w:sz w:val="17"/>
          <w:szCs w:val="17"/>
          <w:color w:val="auto"/>
        </w:rPr>
        <w:t>to determine the terms and conditions, not inconsistent with the terms of the Plan, of any Award granted pursuant to the Plan.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shall determine;</w:t>
      </w:r>
    </w:p>
    <w:p>
      <w:pPr>
        <w:spacing w:after="0" w:line="169" w:lineRule="exact"/>
        <w:rPr>
          <w:rFonts w:ascii="Arial" w:cs="Arial" w:eastAsia="Arial" w:hAnsi="Arial"/>
          <w:sz w:val="17"/>
          <w:szCs w:val="17"/>
          <w:b w:val="1"/>
          <w:bCs w:val="1"/>
          <w:color w:val="auto"/>
        </w:rPr>
      </w:pPr>
    </w:p>
    <w:p>
      <w:pPr>
        <w:ind w:left="1860" w:hanging="355"/>
        <w:spacing w:after="0"/>
        <w:tabs>
          <w:tab w:leader="none" w:pos="186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terms of the Plan and the Awards granted pursuant to the Plan;</w:t>
      </w:r>
    </w:p>
    <w:p>
      <w:pPr>
        <w:spacing w:after="0" w:line="238" w:lineRule="exact"/>
        <w:rPr>
          <w:rFonts w:ascii="Arial" w:cs="Arial" w:eastAsia="Arial" w:hAnsi="Arial"/>
          <w:sz w:val="18"/>
          <w:szCs w:val="18"/>
          <w:b w:val="1"/>
          <w:bCs w:val="1"/>
          <w:color w:val="auto"/>
        </w:rPr>
      </w:pPr>
    </w:p>
    <w:p>
      <w:pPr>
        <w:ind w:right="840" w:firstLine="1505"/>
        <w:spacing w:after="0" w:line="293" w:lineRule="auto"/>
        <w:tabs>
          <w:tab w:leader="none" w:pos="1857"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modify or amend each Award, including but not limited to the discretionary authority to extend the post-termination exercisability period of Awards and to extend the maximum term of Awards;</w:t>
      </w:r>
    </w:p>
    <w:p>
      <w:pPr>
        <w:spacing w:after="0" w:line="169" w:lineRule="exact"/>
        <w:rPr>
          <w:rFonts w:ascii="Arial" w:cs="Arial" w:eastAsia="Arial" w:hAnsi="Arial"/>
          <w:sz w:val="18"/>
          <w:szCs w:val="18"/>
          <w:b w:val="1"/>
          <w:bCs w:val="1"/>
          <w:color w:val="auto"/>
        </w:rPr>
      </w:pPr>
    </w:p>
    <w:p>
      <w:pPr>
        <w:ind w:right="180" w:firstLine="1505"/>
        <w:spacing w:after="0" w:line="293" w:lineRule="auto"/>
        <w:tabs>
          <w:tab w:leader="none" w:pos="1857"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 and</w:t>
      </w:r>
    </w:p>
    <w:p>
      <w:pPr>
        <w:spacing w:after="0" w:line="169" w:lineRule="exact"/>
        <w:rPr>
          <w:rFonts w:ascii="Arial" w:cs="Arial" w:eastAsia="Arial" w:hAnsi="Arial"/>
          <w:sz w:val="18"/>
          <w:szCs w:val="18"/>
          <w:b w:val="1"/>
          <w:bCs w:val="1"/>
          <w:color w:val="auto"/>
        </w:rPr>
      </w:pPr>
    </w:p>
    <w:p>
      <w:pPr>
        <w:ind w:left="1860" w:hanging="355"/>
        <w:spacing w:after="0"/>
        <w:tabs>
          <w:tab w:leader="none" w:pos="186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make all other determinations deemed necessary or advisable for administering the Plan.</w:t>
      </w:r>
    </w:p>
    <w:p>
      <w:pPr>
        <w:spacing w:after="0" w:line="234" w:lineRule="exact"/>
        <w:rPr>
          <w:rFonts w:ascii="Arial" w:cs="Arial" w:eastAsia="Arial" w:hAnsi="Arial"/>
          <w:sz w:val="18"/>
          <w:szCs w:val="18"/>
          <w:b w:val="1"/>
          <w:bCs w:val="1"/>
          <w:color w:val="auto"/>
        </w:rPr>
      </w:pPr>
    </w:p>
    <w:p>
      <w:pPr>
        <w:ind w:right="100" w:firstLine="757"/>
        <w:spacing w:after="0" w:line="297" w:lineRule="auto"/>
        <w:tabs>
          <w:tab w:leader="none" w:pos="1109"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 16b-3. </w:t>
      </w:r>
      <w:r>
        <w:rPr>
          <w:rFonts w:ascii="Arial" w:cs="Arial" w:eastAsia="Arial" w:hAnsi="Arial"/>
          <w:sz w:val="18"/>
          <w:szCs w:val="18"/>
          <w:color w:val="auto"/>
        </w:rPr>
        <w:t>To the extent desirable to qualify transactions hereunder as exempt under Rule 16b-3, the transactions contemplated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structured to satisfy the requirements for exemption under Rule 16b-3.</w:t>
      </w:r>
    </w:p>
    <w:p>
      <w:pPr>
        <w:spacing w:after="0" w:line="162" w:lineRule="exact"/>
        <w:rPr>
          <w:rFonts w:ascii="Arial" w:cs="Arial" w:eastAsia="Arial" w:hAnsi="Arial"/>
          <w:sz w:val="18"/>
          <w:szCs w:val="18"/>
          <w:b w:val="1"/>
          <w:bCs w:val="1"/>
          <w:color w:val="auto"/>
        </w:rPr>
      </w:pPr>
    </w:p>
    <w:p>
      <w:pPr>
        <w:ind w:left="1120" w:hanging="363"/>
        <w:spacing w:after="0"/>
        <w:tabs>
          <w:tab w:leader="none" w:pos="112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Administrator’s Decision. </w:t>
      </w:r>
      <w:r>
        <w:rPr>
          <w:rFonts w:ascii="Arial" w:cs="Arial" w:eastAsia="Arial" w:hAnsi="Arial"/>
          <w:sz w:val="17"/>
          <w:szCs w:val="17"/>
          <w:color w:val="auto"/>
        </w:rPr>
        <w:t>The Administrator’s decisions, determinations and interpretations shall be final and binding on all</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Participants.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ind w:firstLine="8"/>
        <w:spacing w:after="0" w:line="297" w:lineRule="auto"/>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6 of the Plan, the maximum aggregate number of Shares that may be issued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5,502,334 Shares. The Shares may be authorized, but unissued, or reacquired Common Stock.</w:t>
      </w:r>
    </w:p>
    <w:p>
      <w:pPr>
        <w:spacing w:after="0" w:line="270" w:lineRule="exact"/>
        <w:rPr>
          <w:rFonts w:ascii="Arial" w:cs="Arial" w:eastAsia="Arial" w:hAnsi="Arial"/>
          <w:sz w:val="18"/>
          <w:szCs w:val="18"/>
          <w:b w:val="1"/>
          <w:bCs w:val="1"/>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120" w:hanging="363"/>
        <w:spacing w:after="0"/>
        <w:tabs>
          <w:tab w:leader="none" w:pos="112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Each Award granted under the Plan will be a Nonstatutory Stock Option.</w:t>
      </w:r>
    </w:p>
    <w:p>
      <w:pPr>
        <w:spacing w:after="0" w:line="238" w:lineRule="exact"/>
        <w:rPr>
          <w:rFonts w:ascii="Arial" w:cs="Arial" w:eastAsia="Arial" w:hAnsi="Arial"/>
          <w:sz w:val="18"/>
          <w:szCs w:val="18"/>
          <w:b w:val="1"/>
          <w:bCs w:val="1"/>
          <w:color w:val="auto"/>
        </w:rPr>
      </w:pPr>
    </w:p>
    <w:p>
      <w:pPr>
        <w:ind w:left="1120" w:hanging="363"/>
        <w:spacing w:after="0"/>
        <w:tabs>
          <w:tab w:leader="none" w:pos="112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term of each Award will be stated in the Award Agreement.</w:t>
      </w:r>
    </w:p>
    <w:p>
      <w:pPr>
        <w:spacing w:after="0" w:line="234" w:lineRule="exact"/>
        <w:rPr>
          <w:rFonts w:ascii="Arial" w:cs="Arial" w:eastAsia="Arial" w:hAnsi="Arial"/>
          <w:sz w:val="18"/>
          <w:szCs w:val="18"/>
          <w:b w:val="1"/>
          <w:bCs w:val="1"/>
          <w:color w:val="auto"/>
        </w:rPr>
      </w:pPr>
    </w:p>
    <w:p>
      <w:pPr>
        <w:ind w:left="1120" w:hanging="363"/>
        <w:spacing w:after="0"/>
        <w:tabs>
          <w:tab w:leader="none" w:pos="11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ind w:left="1860" w:hanging="355"/>
        <w:spacing w:after="0"/>
        <w:tabs>
          <w:tab w:leader="none" w:pos="1860" w:val="left"/>
        </w:tabs>
        <w:numPr>
          <w:ilvl w:val="2"/>
          <w:numId w:val="6"/>
        </w:numPr>
        <w:rPr>
          <w:rFonts w:ascii="Arial" w:cs="Arial" w:eastAsia="Arial" w:hAnsi="Arial"/>
          <w:sz w:val="16"/>
          <w:szCs w:val="16"/>
          <w:b w:val="1"/>
          <w:bCs w:val="1"/>
          <w:color w:val="auto"/>
        </w:rPr>
      </w:pPr>
      <w:r>
        <w:rPr>
          <w:rFonts w:ascii="Arial" w:cs="Arial" w:eastAsia="Arial" w:hAnsi="Arial"/>
          <w:sz w:val="16"/>
          <w:szCs w:val="16"/>
          <w:color w:val="auto"/>
        </w:rPr>
        <w:t>The per Share exercise price of each Award will be no less than one hundred percent (100%) of the Fair Market Value per Share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on the date of grant.</w:t>
      </w:r>
    </w:p>
    <w:p>
      <w:pPr>
        <w:spacing w:after="0" w:line="237" w:lineRule="exact"/>
        <w:rPr>
          <w:rFonts w:ascii="Arial" w:cs="Arial" w:eastAsia="Arial" w:hAnsi="Arial"/>
          <w:sz w:val="16"/>
          <w:szCs w:val="16"/>
          <w:b w:val="1"/>
          <w:bCs w:val="1"/>
          <w:color w:val="auto"/>
        </w:rPr>
      </w:pPr>
    </w:p>
    <w:p>
      <w:pPr>
        <w:ind w:right="680" w:firstLine="1505"/>
        <w:spacing w:after="0" w:line="293" w:lineRule="auto"/>
        <w:tabs>
          <w:tab w:leader="none" w:pos="1857"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At the time an Award is granted, the Administrator will fix the period within which the Award may be exercised and will determine any conditions that must be satisfied before the Award may be exercised.</w:t>
      </w:r>
    </w:p>
    <w:p>
      <w:pPr>
        <w:spacing w:after="0" w:line="169" w:lineRule="exact"/>
        <w:rPr>
          <w:rFonts w:ascii="Arial" w:cs="Arial" w:eastAsia="Arial" w:hAnsi="Arial"/>
          <w:sz w:val="18"/>
          <w:szCs w:val="18"/>
          <w:b w:val="1"/>
          <w:bCs w:val="1"/>
          <w:color w:val="auto"/>
        </w:rPr>
      </w:pPr>
    </w:p>
    <w:p>
      <w:pPr>
        <w:ind w:right="20" w:firstLine="1505"/>
        <w:spacing w:after="0" w:line="309" w:lineRule="auto"/>
        <w:tabs>
          <w:tab w:leader="none" w:pos="1857" w:val="left"/>
        </w:tabs>
        <w:numPr>
          <w:ilvl w:val="2"/>
          <w:numId w:val="6"/>
        </w:numPr>
        <w:rPr>
          <w:rFonts w:ascii="Arial" w:cs="Arial" w:eastAsia="Arial" w:hAnsi="Arial"/>
          <w:sz w:val="16"/>
          <w:szCs w:val="16"/>
          <w:b w:val="1"/>
          <w:bCs w:val="1"/>
          <w:color w:val="auto"/>
        </w:rPr>
      </w:pPr>
      <w:r>
        <w:rPr>
          <w:rFonts w:ascii="Arial" w:cs="Arial" w:eastAsia="Arial" w:hAnsi="Arial"/>
          <w:sz w:val="16"/>
          <w:szCs w:val="16"/>
          <w:color w:val="auto"/>
        </w:rPr>
        <w:t>The Administrator will determine the acceptable form of consideration for exercising an Award, including the method of payment.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Award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60" w:lineRule="exact"/>
        <w:rPr>
          <w:rFonts w:ascii="Arial" w:cs="Arial" w:eastAsia="Arial" w:hAnsi="Arial"/>
          <w:sz w:val="16"/>
          <w:szCs w:val="16"/>
          <w:b w:val="1"/>
          <w:bCs w:val="1"/>
          <w:color w:val="auto"/>
        </w:rPr>
      </w:pPr>
    </w:p>
    <w:p>
      <w:pPr>
        <w:ind w:left="1120" w:hanging="363"/>
        <w:spacing w:after="0"/>
        <w:tabs>
          <w:tab w:leader="none" w:pos="11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Award.</w:t>
      </w:r>
    </w:p>
    <w:p>
      <w:pPr>
        <w:spacing w:after="0" w:line="242" w:lineRule="exact"/>
        <w:rPr>
          <w:rFonts w:ascii="Arial" w:cs="Arial" w:eastAsia="Arial" w:hAnsi="Arial"/>
          <w:sz w:val="18"/>
          <w:szCs w:val="18"/>
          <w:b w:val="1"/>
          <w:bCs w:val="1"/>
          <w:color w:val="auto"/>
        </w:rPr>
      </w:pPr>
    </w:p>
    <w:p>
      <w:pPr>
        <w:ind w:right="120" w:firstLine="1505"/>
        <w:spacing w:after="0" w:line="324" w:lineRule="auto"/>
        <w:tabs>
          <w:tab w:leader="none" w:pos="1857" w:val="left"/>
        </w:tabs>
        <w:numPr>
          <w:ilvl w:val="2"/>
          <w:numId w:val="6"/>
        </w:numPr>
        <w:rPr>
          <w:rFonts w:ascii="Arial" w:cs="Arial" w:eastAsia="Arial" w:hAnsi="Arial"/>
          <w:sz w:val="17"/>
          <w:szCs w:val="17"/>
          <w:b w:val="1"/>
          <w:bCs w:val="1"/>
          <w:color w:val="auto"/>
        </w:rPr>
      </w:pPr>
      <w:r>
        <w:rPr>
          <w:rFonts w:ascii="Arial" w:cs="Arial" w:eastAsia="Arial" w:hAnsi="Arial"/>
          <w:sz w:val="17"/>
          <w:szCs w:val="17"/>
          <w:color w:val="auto"/>
        </w:rPr>
        <w:t>Any Award granted hereunder will be exercisable according to the terms of the Plan and at such times and under such conditions as determined by the Administrator and set forth in the Award Agreement. An Award may not be exercised for a fraction of a Share.</w:t>
      </w:r>
    </w:p>
    <w:p>
      <w:pPr>
        <w:spacing w:after="0" w:line="147" w:lineRule="exact"/>
        <w:rPr>
          <w:rFonts w:ascii="Arial" w:cs="Arial" w:eastAsia="Arial" w:hAnsi="Arial"/>
          <w:sz w:val="17"/>
          <w:szCs w:val="17"/>
          <w:b w:val="1"/>
          <w:bCs w:val="1"/>
          <w:color w:val="auto"/>
        </w:rPr>
      </w:pPr>
    </w:p>
    <w:p>
      <w:pPr>
        <w:ind w:right="20" w:firstLine="1505"/>
        <w:spacing w:after="0" w:line="286" w:lineRule="auto"/>
        <w:tabs>
          <w:tab w:leader="none" w:pos="1857" w:val="left"/>
        </w:tabs>
        <w:numPr>
          <w:ilvl w:val="2"/>
          <w:numId w:val="6"/>
        </w:numPr>
        <w:rPr>
          <w:rFonts w:ascii="Arial" w:cs="Arial" w:eastAsia="Arial" w:hAnsi="Arial"/>
          <w:sz w:val="17"/>
          <w:szCs w:val="17"/>
          <w:b w:val="1"/>
          <w:bCs w:val="1"/>
          <w:color w:val="auto"/>
        </w:rPr>
      </w:pPr>
      <w:r>
        <w:rPr>
          <w:rFonts w:ascii="Arial" w:cs="Arial" w:eastAsia="Arial" w:hAnsi="Arial"/>
          <w:sz w:val="17"/>
          <w:szCs w:val="17"/>
          <w:color w:val="auto"/>
        </w:rPr>
        <w:t>An Award will be deemed exercised when the Company receives: (i) a notice of exercise (in such form as the Administrator may specify from time to time) from the person entitled to exercise the Award, and (ii) full payment for the Shares with respect to which the Award is exercised (together with applicable withholding taxes). Full payment may consist of any consideration and method of payment authorized by the Administrator and permitted by the Award Agreement and the Plan. Shares issued upon exercise of an Award will be issued in the name of the Participant or, if requested by the Participant, in the name of the Participant and his or her spouse, or, if approved by the Administrator, in the name of an estate planning vehicle established for the exclusive benefit of the Participant and the Participant’s family members within the meaning of Instruction A.1.(a)(5) of Form S-8 under the Securities Act. Until the Shares are issued (as evidenced by the appropriate entry on the books of the Company or of a duly authorized transfer agent of the Company), no right to vote or receive dividends or any other rights as a stockholder will exist with respect to the Shares subject to an Award, notwithstanding the exercise of the Award. The Company will issue (or cause to be issued) such Shares promptly after the Award is exercised. No adjustment will be made for a dividend or other right for which the record date is prior to the date the Shares are issued, except as provided in Section 6 of the Plan.</w:t>
      </w:r>
    </w:p>
    <w:p>
      <w:pPr>
        <w:spacing w:after="0" w:line="178" w:lineRule="exact"/>
        <w:rPr>
          <w:rFonts w:ascii="Arial" w:cs="Arial" w:eastAsia="Arial" w:hAnsi="Arial"/>
          <w:sz w:val="17"/>
          <w:szCs w:val="17"/>
          <w:b w:val="1"/>
          <w:bCs w:val="1"/>
          <w:color w:val="auto"/>
        </w:rPr>
      </w:pPr>
    </w:p>
    <w:p>
      <w:pPr>
        <w:ind w:right="60" w:firstLine="1505"/>
        <w:spacing w:after="0" w:line="293" w:lineRule="auto"/>
        <w:tabs>
          <w:tab w:leader="none" w:pos="1857"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Exercising an Award in any manner will decrease the number of Shares thereafter available, both for purposes of the Plan and for sale under the Award, by the number of Shares as to which the Award is exercised.</w:t>
      </w:r>
    </w:p>
    <w:p>
      <w:pPr>
        <w:spacing w:after="0" w:line="169" w:lineRule="exact"/>
        <w:rPr>
          <w:rFonts w:ascii="Arial" w:cs="Arial" w:eastAsia="Arial" w:hAnsi="Arial"/>
          <w:sz w:val="18"/>
          <w:szCs w:val="18"/>
          <w:b w:val="1"/>
          <w:bCs w:val="1"/>
          <w:color w:val="auto"/>
        </w:rPr>
      </w:pPr>
    </w:p>
    <w:p>
      <w:pPr>
        <w:ind w:right="20" w:firstLine="1505"/>
        <w:spacing w:after="0" w:line="275" w:lineRule="auto"/>
        <w:tabs>
          <w:tab w:leader="none" w:pos="1857"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If a Participant ceases to be a Service Provider, the Participant may exercise his or her Award, to the extent vested, within such period of time as is specified in the Award Agreement (but in no event later than the expiration of the term of such Award as set forth in the Award Agreement). If after termination the Participant does not exercise his or her Award within the time specified by the Administrator, the Award will terminate, and the Shares covered by such Award will revert to the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ind w:left="1120" w:hanging="363"/>
        <w:spacing w:after="0"/>
        <w:tabs>
          <w:tab w:leader="none" w:pos="11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Award</w:t>
      </w:r>
      <w:r>
        <w:rPr>
          <w:rFonts w:ascii="Arial" w:cs="Arial" w:eastAsia="Arial" w:hAnsi="Arial"/>
          <w:sz w:val="18"/>
          <w:szCs w:val="18"/>
          <w:color w:val="auto"/>
        </w:rPr>
        <w:t>. A Participant’s Award shall be subject to the vesting requirements set forth in the Award Agreement.</w:t>
      </w:r>
    </w:p>
    <w:p>
      <w:pPr>
        <w:spacing w:after="0" w:line="346" w:lineRule="exact"/>
        <w:rPr>
          <w:rFonts w:ascii="Arial" w:cs="Arial" w:eastAsia="Arial" w:hAnsi="Arial"/>
          <w:sz w:val="18"/>
          <w:szCs w:val="18"/>
          <w:b w:val="1"/>
          <w:bCs w:val="1"/>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 D</w:t>
      </w:r>
      <w:r>
        <w:rPr>
          <w:rFonts w:ascii="Arial" w:cs="Arial" w:eastAsia="Arial" w:hAnsi="Arial"/>
          <w:sz w:val="12"/>
          <w:szCs w:val="12"/>
          <w:b w:val="1"/>
          <w:bCs w:val="1"/>
          <w:color w:val="auto"/>
        </w:rPr>
        <w:t>ISSOLUTION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IQUIDATION</w:t>
      </w:r>
      <w:r>
        <w:rPr>
          <w:rFonts w:ascii="Arial" w:cs="Arial" w:eastAsia="Arial" w:hAnsi="Arial"/>
          <w:sz w:val="18"/>
          <w:szCs w:val="18"/>
          <w:b w:val="1"/>
          <w:bCs w:val="1"/>
          <w:color w:val="auto"/>
        </w:rPr>
        <w:t>; M</w:t>
      </w:r>
      <w:r>
        <w:rPr>
          <w:rFonts w:ascii="Arial" w:cs="Arial" w:eastAsia="Arial" w:hAnsi="Arial"/>
          <w:sz w:val="12"/>
          <w:szCs w:val="12"/>
          <w:b w:val="1"/>
          <w:bCs w:val="1"/>
          <w:color w:val="auto"/>
        </w:rPr>
        <w:t>ERGER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right="100" w:firstLine="757"/>
        <w:spacing w:after="0" w:line="272" w:lineRule="auto"/>
        <w:tabs>
          <w:tab w:leader="none" w:pos="1109"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In the event that any dividend or other distribution (whether in the form of cash, Shares, other securities, or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4 of the Plan.</w:t>
      </w:r>
    </w:p>
    <w:p>
      <w:pPr>
        <w:spacing w:after="0" w:line="185" w:lineRule="exact"/>
        <w:rPr>
          <w:rFonts w:ascii="Arial" w:cs="Arial" w:eastAsia="Arial" w:hAnsi="Arial"/>
          <w:sz w:val="18"/>
          <w:szCs w:val="18"/>
          <w:b w:val="1"/>
          <w:bCs w:val="1"/>
          <w:color w:val="auto"/>
        </w:rPr>
      </w:pPr>
    </w:p>
    <w:p>
      <w:pPr>
        <w:ind w:right="120" w:firstLine="757"/>
        <w:spacing w:after="0" w:line="281" w:lineRule="auto"/>
        <w:tabs>
          <w:tab w:leader="none" w:pos="1109"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the proposed dissolution or liquidation of the Company, the Administrator will notify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as soon as practicable prior to the effective date of such proposed transaction. To the extent it has not been previously exercised, an Award will terminate immediately prior to the consummation of such proposed action.</w:t>
      </w:r>
    </w:p>
    <w:p>
      <w:pPr>
        <w:spacing w:after="0" w:line="177" w:lineRule="exact"/>
        <w:rPr>
          <w:rFonts w:ascii="Arial" w:cs="Arial" w:eastAsia="Arial" w:hAnsi="Arial"/>
          <w:sz w:val="18"/>
          <w:szCs w:val="18"/>
          <w:b w:val="1"/>
          <w:bCs w:val="1"/>
          <w:color w:val="auto"/>
        </w:rPr>
      </w:pPr>
    </w:p>
    <w:p>
      <w:pPr>
        <w:ind w:left="1120" w:hanging="363"/>
        <w:spacing w:after="0"/>
        <w:tabs>
          <w:tab w:leader="none" w:pos="1120"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In the event of a Change in Control, each outstanding Award will be treated as set forth in the applicable Award</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341" w:lineRule="exact"/>
        <w:rPr>
          <w:rFonts w:ascii="Arial" w:cs="Arial" w:eastAsia="Arial" w:hAnsi="Arial"/>
          <w:sz w:val="17"/>
          <w:szCs w:val="17"/>
          <w:b w:val="1"/>
          <w:bCs w:val="1"/>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right="200" w:firstLine="757"/>
        <w:spacing w:after="0" w:line="276" w:lineRule="auto"/>
        <w:tabs>
          <w:tab w:leader="none" w:pos="1109"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Requirements</w:t>
      </w:r>
      <w:r>
        <w:rPr>
          <w:rFonts w:ascii="Arial" w:cs="Arial" w:eastAsia="Arial" w:hAnsi="Arial"/>
          <w:sz w:val="18"/>
          <w:szCs w:val="18"/>
          <w:color w:val="auto"/>
        </w:rPr>
        <w:t>. Prior to the delivery of any Shares or cash pursuant to an Award (or exercise thereof) or such earlier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181" w:lineRule="exact"/>
        <w:rPr>
          <w:rFonts w:ascii="Arial" w:cs="Arial" w:eastAsia="Arial" w:hAnsi="Arial"/>
          <w:sz w:val="18"/>
          <w:szCs w:val="18"/>
          <w:b w:val="1"/>
          <w:bCs w:val="1"/>
          <w:color w:val="auto"/>
        </w:rPr>
      </w:pPr>
    </w:p>
    <w:p>
      <w:pPr>
        <w:ind w:firstLine="757"/>
        <w:spacing w:after="0" w:line="315" w:lineRule="auto"/>
        <w:tabs>
          <w:tab w:leader="none" w:pos="1109"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Arrangements</w:t>
      </w:r>
      <w:r>
        <w:rPr>
          <w:rFonts w:ascii="Arial" w:cs="Arial" w:eastAsia="Arial" w:hAnsi="Arial"/>
          <w:sz w:val="16"/>
          <w:szCs w:val="16"/>
          <w:color w:val="auto"/>
        </w:rPr>
        <w:t>. The Administrator, in its sole discretion and pursuant to such procedures as it may specify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56" w:lineRule="exact"/>
        <w:rPr>
          <w:rFonts w:ascii="Arial" w:cs="Arial" w:eastAsia="Arial" w:hAnsi="Arial"/>
          <w:sz w:val="16"/>
          <w:szCs w:val="16"/>
          <w:b w:val="1"/>
          <w:bCs w:val="1"/>
          <w:color w:val="auto"/>
        </w:rPr>
      </w:pPr>
    </w:p>
    <w:p>
      <w:pPr>
        <w:ind w:right="40" w:firstLine="757"/>
        <w:spacing w:after="0" w:line="308" w:lineRule="auto"/>
        <w:tabs>
          <w:tab w:leader="none" w:pos="1109"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w:t>
      </w:r>
      <w:r>
        <w:rPr>
          <w:rFonts w:ascii="Arial" w:cs="Arial" w:eastAsia="Arial" w:hAnsi="Arial"/>
          <w:sz w:val="16"/>
          <w:szCs w:val="16"/>
          <w:color w:val="auto"/>
        </w:rPr>
        <w:t>. Awards will be designed and operated in such a manner that they are either exempt from the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271" w:lineRule="exact"/>
        <w:rPr>
          <w:rFonts w:ascii="Arial" w:cs="Arial" w:eastAsia="Arial" w:hAnsi="Arial"/>
          <w:sz w:val="16"/>
          <w:szCs w:val="16"/>
          <w:b w:val="1"/>
          <w:bCs w:val="1"/>
          <w:color w:val="auto"/>
        </w:rPr>
      </w:pPr>
    </w:p>
    <w:p>
      <w:pPr>
        <w:ind w:left="360" w:hanging="352"/>
        <w:spacing w:after="0"/>
        <w:tabs>
          <w:tab w:leader="none" w:pos="3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MENDMENT AND</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ERMINATION OF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LAN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2 above, the Plan is effective as of the Effective Date and will continue in effect for a</w:t>
      </w:r>
    </w:p>
    <w:p>
      <w:pPr>
        <w:spacing w:after="0" w:line="39"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term of ten (10) years following the Effective Date, unless terminated earlier in accordance with this Section 8. The Board may modify, amend, or terminate the Plan at any time, provided that such modification, amendment or termination shall not cancel, reduce, or otherwise adversely affect the amount of any Award previously determined and granted to any Participant as of the date of any such modification, amendment, or termination, without the consent of the Participant unless such modification, amendment or termination is required to conform the Plan to Applicable Laws.</w:t>
      </w:r>
    </w:p>
    <w:p>
      <w:pPr>
        <w:spacing w:after="0" w:line="60" w:lineRule="exact"/>
        <w:rPr>
          <w:sz w:val="20"/>
          <w:szCs w:val="20"/>
          <w:color w:val="auto"/>
        </w:rPr>
      </w:pPr>
    </w:p>
    <w:p>
      <w:pPr>
        <w:ind w:right="160" w:firstLine="8"/>
        <w:spacing w:after="0" w:line="297" w:lineRule="auto"/>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UARANTEE OF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Plan nor any Award shall confer upon a Participant any right with respect to continuing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as a Service Provider, nor shall they interfere in any way with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right="420"/>
        <w:spacing w:after="0" w:line="293" w:lineRule="auto"/>
        <w:rPr>
          <w:sz w:val="20"/>
          <w:szCs w:val="20"/>
          <w:color w:val="auto"/>
        </w:rPr>
      </w:pPr>
      <w:r>
        <w:rPr>
          <w:rFonts w:ascii="Arial" w:cs="Arial" w:eastAsia="Arial" w:hAnsi="Arial"/>
          <w:sz w:val="18"/>
          <w:szCs w:val="18"/>
          <w:color w:val="auto"/>
        </w:rPr>
        <w:t>Participant’s right or the right of the Company to terminate such relationship at any time, with or without cause, to the extent permitted by Applicable Laws.</w:t>
      </w:r>
    </w:p>
    <w:p>
      <w:pPr>
        <w:spacing w:after="0" w:line="58" w:lineRule="exact"/>
        <w:rPr>
          <w:sz w:val="20"/>
          <w:szCs w:val="20"/>
          <w:color w:val="auto"/>
        </w:rPr>
      </w:pPr>
    </w:p>
    <w:p>
      <w:pPr>
        <w:ind w:right="60" w:firstLine="8"/>
        <w:spacing w:after="0" w:line="281" w:lineRule="auto"/>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of the State of California, without regard to conflict of law principles that would result in any application of any law other than the law of the State of California.</w:t>
      </w:r>
    </w:p>
    <w:p>
      <w:pPr>
        <w:spacing w:after="0" w:line="69" w:lineRule="exact"/>
        <w:rPr>
          <w:rFonts w:ascii="Arial" w:cs="Arial" w:eastAsia="Arial" w:hAnsi="Arial"/>
          <w:sz w:val="18"/>
          <w:szCs w:val="18"/>
          <w:b w:val="1"/>
          <w:bCs w:val="1"/>
          <w:color w:val="auto"/>
        </w:rPr>
      </w:pPr>
    </w:p>
    <w:p>
      <w:pPr>
        <w:ind w:right="60" w:firstLine="8"/>
        <w:spacing w:after="0" w:line="297" w:lineRule="auto"/>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Plan, the following definitions shall apply. Capitalized terms used but not otherwise defined in the Plan will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ascribed to such terms in the Equity Plan.</w:t>
      </w:r>
    </w:p>
    <w:p>
      <w:pPr>
        <w:spacing w:after="0" w:line="58" w:lineRule="exact"/>
        <w:rPr>
          <w:rFonts w:ascii="Arial" w:cs="Arial" w:eastAsia="Arial" w:hAnsi="Arial"/>
          <w:sz w:val="18"/>
          <w:szCs w:val="18"/>
          <w:b w:val="1"/>
          <w:bCs w:val="1"/>
          <w:color w:val="auto"/>
        </w:rPr>
      </w:pPr>
    </w:p>
    <w:p>
      <w:pPr>
        <w:ind w:firstLine="757"/>
        <w:spacing w:after="0" w:line="293" w:lineRule="auto"/>
        <w:tabs>
          <w:tab w:leader="none" w:pos="1109"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LTI Award</w:t>
      </w:r>
      <w:r>
        <w:rPr>
          <w:rFonts w:ascii="Arial" w:cs="Arial" w:eastAsia="Arial" w:hAnsi="Arial"/>
          <w:sz w:val="18"/>
          <w:szCs w:val="18"/>
          <w:color w:val="auto"/>
        </w:rPr>
        <w:t>” means an annual long-term incentive equity award that may be granted to a Participant with respect to any given fiscal year during the Performance Period.</w:t>
      </w:r>
    </w:p>
    <w:p>
      <w:pPr>
        <w:spacing w:after="0" w:line="169" w:lineRule="exact"/>
        <w:rPr>
          <w:rFonts w:ascii="Arial" w:cs="Arial" w:eastAsia="Arial" w:hAnsi="Arial"/>
          <w:sz w:val="18"/>
          <w:szCs w:val="18"/>
          <w:b w:val="1"/>
          <w:bCs w:val="1"/>
          <w:color w:val="auto"/>
        </w:rPr>
      </w:pPr>
    </w:p>
    <w:p>
      <w:pPr>
        <w:ind w:left="1120" w:hanging="363"/>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or means each Nonstatutory Stock Option granted to a Participant pursuant to the Plan.</w:t>
      </w:r>
    </w:p>
    <w:p>
      <w:pPr>
        <w:spacing w:after="0" w:line="238" w:lineRule="exact"/>
        <w:rPr>
          <w:rFonts w:ascii="Arial" w:cs="Arial" w:eastAsia="Arial" w:hAnsi="Arial"/>
          <w:sz w:val="18"/>
          <w:szCs w:val="18"/>
          <w:b w:val="1"/>
          <w:bCs w:val="1"/>
          <w:color w:val="auto"/>
        </w:rPr>
      </w:pPr>
    </w:p>
    <w:p>
      <w:pPr>
        <w:ind w:right="340" w:firstLine="757"/>
        <w:spacing w:after="0" w:line="293" w:lineRule="auto"/>
        <w:tabs>
          <w:tab w:leader="none" w:pos="1109"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xml:space="preserve">” means an agreement between a Participant and the Company evidencing the terms and conditions of the Award, in substantially the form attached hereto as </w:t>
      </w: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w:t>
      </w:r>
    </w:p>
    <w:p>
      <w:pPr>
        <w:spacing w:after="0" w:line="169" w:lineRule="exact"/>
        <w:rPr>
          <w:rFonts w:ascii="Arial" w:cs="Arial" w:eastAsia="Arial" w:hAnsi="Arial"/>
          <w:sz w:val="18"/>
          <w:szCs w:val="18"/>
          <w:b w:val="1"/>
          <w:bCs w:val="1"/>
          <w:color w:val="auto"/>
        </w:rPr>
      </w:pPr>
    </w:p>
    <w:p>
      <w:pPr>
        <w:ind w:left="1120" w:hanging="363"/>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Notice</w:t>
      </w:r>
      <w:r>
        <w:rPr>
          <w:rFonts w:ascii="Arial" w:cs="Arial" w:eastAsia="Arial" w:hAnsi="Arial"/>
          <w:sz w:val="18"/>
          <w:szCs w:val="18"/>
          <w:color w:val="auto"/>
        </w:rPr>
        <w:t>” means the “Notice of Stock Option Grant” that accompanies the Award Agreement.</w:t>
      </w:r>
    </w:p>
    <w:p>
      <w:pPr>
        <w:spacing w:after="0" w:line="234" w:lineRule="exact"/>
        <w:rPr>
          <w:rFonts w:ascii="Arial" w:cs="Arial" w:eastAsia="Arial" w:hAnsi="Arial"/>
          <w:sz w:val="18"/>
          <w:szCs w:val="18"/>
          <w:b w:val="1"/>
          <w:bCs w:val="1"/>
          <w:color w:val="auto"/>
        </w:rPr>
      </w:pPr>
    </w:p>
    <w:p>
      <w:pPr>
        <w:ind w:left="1120" w:hanging="363"/>
        <w:spacing w:after="0"/>
        <w:tabs>
          <w:tab w:leader="none" w:pos="11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xml:space="preserve">” means the Election Form for Special Equity Award in substantially the form attached hereto as </w:t>
      </w: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w:t>
      </w:r>
    </w:p>
    <w:p>
      <w:pPr>
        <w:spacing w:after="0" w:line="242" w:lineRule="exact"/>
        <w:rPr>
          <w:rFonts w:ascii="Arial" w:cs="Arial" w:eastAsia="Arial" w:hAnsi="Arial"/>
          <w:sz w:val="18"/>
          <w:szCs w:val="18"/>
          <w:b w:val="1"/>
          <w:bCs w:val="1"/>
          <w:color w:val="auto"/>
        </w:rPr>
      </w:pPr>
    </w:p>
    <w:p>
      <w:pPr>
        <w:ind w:left="1120" w:hanging="363"/>
        <w:spacing w:after="0"/>
        <w:tabs>
          <w:tab w:leader="none" w:pos="112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Plan</w:t>
      </w:r>
      <w:r>
        <w:rPr>
          <w:rFonts w:ascii="Arial" w:cs="Arial" w:eastAsia="Arial" w:hAnsi="Arial"/>
          <w:sz w:val="16"/>
          <w:szCs w:val="16"/>
          <w:color w:val="auto"/>
        </w:rPr>
        <w:t>” means the Kodiak Sciences Inc. 2018 Equity Incentive Plan, as amended from time to time, or any successor plan thereto.</w:t>
      </w:r>
    </w:p>
    <w:p>
      <w:pPr>
        <w:spacing w:after="0" w:line="261" w:lineRule="exact"/>
        <w:rPr>
          <w:rFonts w:ascii="Arial" w:cs="Arial" w:eastAsia="Arial" w:hAnsi="Arial"/>
          <w:sz w:val="16"/>
          <w:szCs w:val="16"/>
          <w:b w:val="1"/>
          <w:bCs w:val="1"/>
          <w:color w:val="auto"/>
        </w:rPr>
      </w:pPr>
    </w:p>
    <w:p>
      <w:pPr>
        <w:ind w:right="80" w:firstLine="757"/>
        <w:spacing w:after="0" w:line="293" w:lineRule="auto"/>
        <w:tabs>
          <w:tab w:leader="none" w:pos="1154"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of the Company who meets the eligibility requirements set forth in Section 1 hereof to receive, and who has received, an Award.</w:t>
      </w:r>
    </w:p>
    <w:p>
      <w:pPr>
        <w:spacing w:after="0" w:line="169" w:lineRule="exact"/>
        <w:rPr>
          <w:rFonts w:ascii="Arial" w:cs="Arial" w:eastAsia="Arial" w:hAnsi="Arial"/>
          <w:sz w:val="18"/>
          <w:szCs w:val="18"/>
          <w:b w:val="1"/>
          <w:bCs w:val="1"/>
          <w:color w:val="auto"/>
        </w:rPr>
      </w:pPr>
    </w:p>
    <w:p>
      <w:pPr>
        <w:ind w:right="580" w:firstLine="757"/>
        <w:spacing w:after="0" w:line="293" w:lineRule="auto"/>
        <w:tabs>
          <w:tab w:leader="none" w:pos="1109"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period commencing as of the Date of Grant and ending on August 11, 2028; provided, that the Performance Period may be extended as set forth in the Award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Award Agreement</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KODIAK SCIENCES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LONG-TERM PERFORMANCE INCENTIVE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43" w:lineRule="exact"/>
        <w:rPr>
          <w:sz w:val="20"/>
          <w:szCs w:val="20"/>
          <w:color w:val="auto"/>
        </w:rPr>
      </w:pPr>
    </w:p>
    <w:p>
      <w:pPr>
        <w:ind w:right="120" w:firstLine="749"/>
        <w:spacing w:after="0" w:line="329" w:lineRule="auto"/>
        <w:rPr>
          <w:sz w:val="20"/>
          <w:szCs w:val="20"/>
          <w:color w:val="auto"/>
        </w:rPr>
      </w:pPr>
      <w:r>
        <w:rPr>
          <w:rFonts w:ascii="Arial" w:cs="Arial" w:eastAsia="Arial" w:hAnsi="Arial"/>
          <w:sz w:val="16"/>
          <w:szCs w:val="16"/>
          <w:color w:val="auto"/>
        </w:rPr>
        <w:t xml:space="preserve">Unless otherwise defined herein, the terms defined in the Kodiak Sciences Inc. 2021 Long-Term Performance Incentive Plan (the “Plan”) will have the same defined meanings in this Stock Option Agreement, which includes the Notice of Stock Option Grant (the “Notice of Grant”), the Terms and Conditions of Stock Option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all appendices and exhibits attached thereto (all together, the “Option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Participant: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Address:</w:t>
      </w:r>
    </w:p>
    <w:p>
      <w:pPr>
        <w:spacing w:after="0" w:line="243" w:lineRule="exact"/>
        <w:rPr>
          <w:sz w:val="20"/>
          <w:szCs w:val="20"/>
          <w:color w:val="auto"/>
        </w:rPr>
      </w:pPr>
    </w:p>
    <w:p>
      <w:pPr>
        <w:jc w:val="both"/>
        <w:ind w:right="260" w:firstLine="749"/>
        <w:spacing w:after="0" w:line="279" w:lineRule="auto"/>
        <w:rPr>
          <w:sz w:val="20"/>
          <w:szCs w:val="20"/>
          <w:color w:val="auto"/>
        </w:rPr>
      </w:pPr>
      <w:r>
        <w:rPr>
          <w:rFonts w:ascii="Arial" w:cs="Arial" w:eastAsia="Arial" w:hAnsi="Arial"/>
          <w:sz w:val="18"/>
          <w:szCs w:val="18"/>
          <w:color w:val="auto"/>
        </w:rPr>
        <w:t>The undersigned Participant has been granted an Option to purchase Common Stock of Kodiak Sciences Inc. (the “Company”), subject to the terms and conditions of the Kodiak Sciences Inc. 2021 Long-Term Performance Incentive Plan attached hereto as Exhibit B (the “Plan”) and this Option Agreement, as follows:</w:t>
      </w:r>
    </w:p>
    <w:p>
      <w:pPr>
        <w:sectPr>
          <w:pgSz w:w="11900" w:h="16838" w:orient="portrait"/>
          <w:cols w:equalWidth="0" w:num="1">
            <w:col w:w="11240"/>
          </w:cols>
          <w:pgMar w:left="320" w:top="364" w:right="339" w:bottom="1440" w:gutter="0" w:footer="0" w:header="0"/>
        </w:sect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Shares Granted:</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Exercise Price per Share: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Exercise Price: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Option: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-593090</wp:posOffset>
            </wp:positionV>
            <wp:extent cx="23145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-284480</wp:posOffset>
            </wp:positionV>
            <wp:extent cx="23145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23495</wp:posOffset>
            </wp:positionV>
            <wp:extent cx="22288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23495</wp:posOffset>
            </wp:positionV>
            <wp:extent cx="22288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337820</wp:posOffset>
            </wp:positionV>
            <wp:extent cx="23145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3040" w:space="720"/>
            <w:col w:w="7480"/>
          </w:cols>
          <w:pgMar w:left="320" w:top="364" w:right="339" w:bottom="1440" w:gutter="0" w:footer="0" w:header="0"/>
          <w:type w:val="continuous"/>
        </w:sectPr>
      </w:pPr>
    </w:p>
    <w:p>
      <w:pPr>
        <w:spacing w:after="0" w:line="116" w:lineRule="exact"/>
        <w:rPr>
          <w:sz w:val="20"/>
          <w:szCs w:val="20"/>
          <w:color w:val="auto"/>
        </w:rPr>
      </w:pPr>
    </w:p>
    <w:p>
      <w:pPr>
        <w:ind w:right="60" w:firstLine="757"/>
        <w:spacing w:after="0" w:line="281" w:lineRule="auto"/>
        <w:tabs>
          <w:tab w:leader="none" w:pos="110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The Option will be earned, vest and become exercisable based on the attainment of the Performance-Based Requirement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Service-Based Requirement, as described below. </w:t>
      </w:r>
      <w:r>
        <w:rPr>
          <w:rFonts w:ascii="Arial" w:cs="Arial" w:eastAsia="Arial" w:hAnsi="Arial"/>
          <w:sz w:val="18"/>
          <w:szCs w:val="18"/>
          <w:b w:val="1"/>
          <w:bCs w:val="1"/>
          <w:color w:val="auto"/>
        </w:rPr>
        <w:t>[FOR CEO ONLY:</w:t>
      </w:r>
      <w:r>
        <w:rPr>
          <w:rFonts w:ascii="Arial" w:cs="Arial" w:eastAsia="Arial" w:hAnsi="Arial"/>
          <w:sz w:val="18"/>
          <w:szCs w:val="18"/>
          <w:color w:val="auto"/>
        </w:rPr>
        <w:t xml:space="preserve"> Notwithstanding the foregoing, the Option will be immediately exercisable pursuant to the Restricted Stock Purchase Agreement and related documents attached as Exhibit D hereto.</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b w:val="1"/>
          <w:bCs w:val="1"/>
          <w:color w:val="auto"/>
        </w:rPr>
      </w:pPr>
    </w:p>
    <w:p>
      <w:pPr>
        <w:jc w:val="both"/>
        <w:ind w:right="40" w:firstLine="1505"/>
        <w:spacing w:after="0" w:line="275" w:lineRule="auto"/>
        <w:tabs>
          <w:tab w:leader="none" w:pos="185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Performance-Based Requirement</w:t>
      </w:r>
      <w:r>
        <w:rPr>
          <w:rFonts w:ascii="Arial" w:cs="Arial" w:eastAsia="Arial" w:hAnsi="Arial"/>
          <w:sz w:val="18"/>
          <w:szCs w:val="18"/>
          <w:color w:val="auto"/>
        </w:rPr>
        <w:t>. Subject to the Participant continuing to be a Service Provider through each applicable date, the Option will be earned as to an applicable percentage of the Option based on the Stock Price meeting or exceeding the corresponding Stock Price Goal for a period of ninety (90) consecutive trading days during the Performance Period (such earned portion of the Option, the “Earned Option”), in accordance with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1"/>
              </w:rPr>
              <w:t>Cumulative Earning</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6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Option Tranche</w:t>
            </w:r>
          </w:p>
        </w:tc>
        <w:tc>
          <w:tcPr>
            <w:tcW w:w="2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0"/>
              </w:rPr>
              <w:t>Stock Price Goal</w:t>
            </w: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Tranche Earning Percentage</w:t>
            </w:r>
          </w:p>
        </w:tc>
        <w:tc>
          <w:tcPr>
            <w:tcW w:w="2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Percentage</w:t>
            </w:r>
          </w:p>
        </w:tc>
        <w:tc>
          <w:tcPr>
            <w:tcW w:w="560" w:type="dxa"/>
            <w:vAlign w:val="bottom"/>
          </w:tcPr>
          <w:p>
            <w:pPr>
              <w:spacing w:after="0"/>
              <w:rPr>
                <w:sz w:val="20"/>
                <w:szCs w:val="20"/>
                <w:color w:val="auto"/>
              </w:rPr>
            </w:pPr>
          </w:p>
        </w:tc>
      </w:tr>
      <w:tr>
        <w:trPr>
          <w:trHeight w:val="257"/>
        </w:trPr>
        <w:tc>
          <w:tcPr>
            <w:tcW w:w="580" w:type="dxa"/>
            <w:vAlign w:val="bottom"/>
          </w:tcPr>
          <w:p>
            <w:pPr>
              <w:spacing w:after="0"/>
              <w:rPr>
                <w:sz w:val="22"/>
                <w:szCs w:val="22"/>
                <w:color w:val="auto"/>
              </w:rPr>
            </w:pPr>
          </w:p>
        </w:tc>
        <w:tc>
          <w:tcPr>
            <w:tcW w:w="260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1</w:t>
            </w:r>
          </w:p>
        </w:tc>
        <w:tc>
          <w:tcPr>
            <w:tcW w:w="2040" w:type="dxa"/>
            <w:vAlign w:val="bottom"/>
            <w:shd w:val="clear" w:color="auto" w:fill="CCCCCC"/>
          </w:tcPr>
          <w:p>
            <w:pPr>
              <w:jc w:val="center"/>
              <w:ind w:left="190"/>
              <w:spacing w:after="0"/>
              <w:rPr>
                <w:sz w:val="20"/>
                <w:szCs w:val="20"/>
                <w:color w:val="auto"/>
              </w:rPr>
            </w:pPr>
            <w:r>
              <w:rPr>
                <w:rFonts w:ascii="Arial" w:cs="Arial" w:eastAsia="Arial" w:hAnsi="Arial"/>
                <w:sz w:val="18"/>
                <w:szCs w:val="18"/>
                <w:color w:val="auto"/>
                <w:w w:val="89"/>
              </w:rPr>
              <w:t>$200</w:t>
            </w:r>
          </w:p>
        </w:tc>
        <w:tc>
          <w:tcPr>
            <w:tcW w:w="2820" w:type="dxa"/>
            <w:vAlign w:val="bottom"/>
            <w:shd w:val="clear" w:color="auto" w:fill="CCCCCC"/>
          </w:tcPr>
          <w:p>
            <w:pPr>
              <w:jc w:val="center"/>
              <w:ind w:right="150"/>
              <w:spacing w:after="0"/>
              <w:rPr>
                <w:sz w:val="20"/>
                <w:szCs w:val="20"/>
                <w:color w:val="auto"/>
              </w:rPr>
            </w:pPr>
            <w:r>
              <w:rPr>
                <w:rFonts w:ascii="Arial" w:cs="Arial" w:eastAsia="Arial" w:hAnsi="Arial"/>
                <w:sz w:val="18"/>
                <w:szCs w:val="18"/>
                <w:color w:val="auto"/>
                <w:w w:val="92"/>
              </w:rPr>
              <w:t>7.5%</w:t>
            </w:r>
          </w:p>
        </w:tc>
        <w:tc>
          <w:tcPr>
            <w:tcW w:w="2640" w:type="dxa"/>
            <w:vAlign w:val="bottom"/>
            <w:shd w:val="clear" w:color="auto" w:fill="CCCCCC"/>
          </w:tcPr>
          <w:p>
            <w:pPr>
              <w:jc w:val="center"/>
              <w:ind w:right="50"/>
              <w:spacing w:after="0"/>
              <w:rPr>
                <w:sz w:val="20"/>
                <w:szCs w:val="20"/>
                <w:color w:val="auto"/>
              </w:rPr>
            </w:pPr>
            <w:r>
              <w:rPr>
                <w:rFonts w:ascii="Arial" w:cs="Arial" w:eastAsia="Arial" w:hAnsi="Arial"/>
                <w:sz w:val="18"/>
                <w:szCs w:val="18"/>
                <w:color w:val="auto"/>
                <w:w w:val="92"/>
              </w:rPr>
              <w:t>7.5%</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Tranche 2</w:t>
            </w:r>
          </w:p>
        </w:tc>
        <w:tc>
          <w:tcPr>
            <w:tcW w:w="2040" w:type="dxa"/>
            <w:vAlign w:val="bottom"/>
          </w:tcPr>
          <w:p>
            <w:pPr>
              <w:jc w:val="center"/>
              <w:ind w:left="190"/>
              <w:spacing w:after="0"/>
              <w:rPr>
                <w:sz w:val="20"/>
                <w:szCs w:val="20"/>
                <w:color w:val="auto"/>
              </w:rPr>
            </w:pPr>
            <w:r>
              <w:rPr>
                <w:rFonts w:ascii="Arial" w:cs="Arial" w:eastAsia="Arial" w:hAnsi="Arial"/>
                <w:sz w:val="18"/>
                <w:szCs w:val="18"/>
                <w:color w:val="auto"/>
                <w:w w:val="89"/>
              </w:rPr>
              <w:t>$300</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0"/>
              </w:rPr>
              <w:t>12.5%</w:t>
            </w:r>
          </w:p>
        </w:tc>
        <w:tc>
          <w:tcPr>
            <w:tcW w:w="2640" w:type="dxa"/>
            <w:vAlign w:val="bottom"/>
          </w:tcPr>
          <w:p>
            <w:pPr>
              <w:jc w:val="center"/>
              <w:ind w:right="70"/>
              <w:spacing w:after="0"/>
              <w:rPr>
                <w:sz w:val="20"/>
                <w:szCs w:val="20"/>
                <w:color w:val="auto"/>
              </w:rPr>
            </w:pPr>
            <w:r>
              <w:rPr>
                <w:rFonts w:ascii="Arial" w:cs="Arial" w:eastAsia="Arial" w:hAnsi="Arial"/>
                <w:sz w:val="18"/>
                <w:szCs w:val="18"/>
                <w:color w:val="auto"/>
                <w:w w:val="88"/>
              </w:rPr>
              <w:t>20%</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260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3</w:t>
            </w:r>
          </w:p>
        </w:tc>
        <w:tc>
          <w:tcPr>
            <w:tcW w:w="2040" w:type="dxa"/>
            <w:vAlign w:val="bottom"/>
            <w:shd w:val="clear" w:color="auto" w:fill="CCCCCC"/>
          </w:tcPr>
          <w:p>
            <w:pPr>
              <w:jc w:val="center"/>
              <w:ind w:left="190"/>
              <w:spacing w:after="0"/>
              <w:rPr>
                <w:sz w:val="20"/>
                <w:szCs w:val="20"/>
                <w:color w:val="auto"/>
              </w:rPr>
            </w:pPr>
            <w:r>
              <w:rPr>
                <w:rFonts w:ascii="Arial" w:cs="Arial" w:eastAsia="Arial" w:hAnsi="Arial"/>
                <w:sz w:val="18"/>
                <w:szCs w:val="18"/>
                <w:color w:val="auto"/>
                <w:w w:val="89"/>
              </w:rPr>
              <w:t>$400</w:t>
            </w:r>
          </w:p>
        </w:tc>
        <w:tc>
          <w:tcPr>
            <w:tcW w:w="2820" w:type="dxa"/>
            <w:vAlign w:val="bottom"/>
            <w:shd w:val="clear" w:color="auto" w:fill="CCCCCC"/>
          </w:tcPr>
          <w:p>
            <w:pPr>
              <w:jc w:val="center"/>
              <w:ind w:right="150"/>
              <w:spacing w:after="0"/>
              <w:rPr>
                <w:sz w:val="20"/>
                <w:szCs w:val="20"/>
                <w:color w:val="auto"/>
              </w:rPr>
            </w:pPr>
            <w:r>
              <w:rPr>
                <w:rFonts w:ascii="Arial" w:cs="Arial" w:eastAsia="Arial" w:hAnsi="Arial"/>
                <w:sz w:val="18"/>
                <w:szCs w:val="18"/>
                <w:color w:val="auto"/>
                <w:w w:val="90"/>
              </w:rPr>
              <w:t>25.0%</w:t>
            </w:r>
          </w:p>
        </w:tc>
        <w:tc>
          <w:tcPr>
            <w:tcW w:w="2640" w:type="dxa"/>
            <w:vAlign w:val="bottom"/>
            <w:shd w:val="clear" w:color="auto" w:fill="CCCCCC"/>
          </w:tcPr>
          <w:p>
            <w:pPr>
              <w:jc w:val="center"/>
              <w:ind w:right="70"/>
              <w:spacing w:after="0"/>
              <w:rPr>
                <w:sz w:val="20"/>
                <w:szCs w:val="20"/>
                <w:color w:val="auto"/>
              </w:rPr>
            </w:pPr>
            <w:r>
              <w:rPr>
                <w:rFonts w:ascii="Arial" w:cs="Arial" w:eastAsia="Arial" w:hAnsi="Arial"/>
                <w:sz w:val="18"/>
                <w:szCs w:val="18"/>
                <w:color w:val="auto"/>
                <w:w w:val="88"/>
              </w:rPr>
              <w:t>45%</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Tranche 4</w:t>
            </w:r>
          </w:p>
        </w:tc>
        <w:tc>
          <w:tcPr>
            <w:tcW w:w="2040" w:type="dxa"/>
            <w:vAlign w:val="bottom"/>
          </w:tcPr>
          <w:p>
            <w:pPr>
              <w:jc w:val="center"/>
              <w:ind w:left="190"/>
              <w:spacing w:after="0"/>
              <w:rPr>
                <w:sz w:val="20"/>
                <w:szCs w:val="20"/>
                <w:color w:val="auto"/>
              </w:rPr>
            </w:pPr>
            <w:r>
              <w:rPr>
                <w:rFonts w:ascii="Arial" w:cs="Arial" w:eastAsia="Arial" w:hAnsi="Arial"/>
                <w:sz w:val="18"/>
                <w:szCs w:val="18"/>
                <w:color w:val="auto"/>
                <w:w w:val="89"/>
              </w:rPr>
              <w:t>$500</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0"/>
              </w:rPr>
              <w:t>25.0%</w:t>
            </w:r>
          </w:p>
        </w:tc>
        <w:tc>
          <w:tcPr>
            <w:tcW w:w="2640" w:type="dxa"/>
            <w:vAlign w:val="bottom"/>
          </w:tcPr>
          <w:p>
            <w:pPr>
              <w:jc w:val="center"/>
              <w:ind w:right="70"/>
              <w:spacing w:after="0"/>
              <w:rPr>
                <w:sz w:val="20"/>
                <w:szCs w:val="20"/>
                <w:color w:val="auto"/>
              </w:rPr>
            </w:pPr>
            <w:r>
              <w:rPr>
                <w:rFonts w:ascii="Arial" w:cs="Arial" w:eastAsia="Arial" w:hAnsi="Arial"/>
                <w:sz w:val="18"/>
                <w:szCs w:val="18"/>
                <w:color w:val="auto"/>
                <w:w w:val="88"/>
              </w:rPr>
              <w:t>70%</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260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5</w:t>
            </w:r>
          </w:p>
        </w:tc>
        <w:tc>
          <w:tcPr>
            <w:tcW w:w="2040" w:type="dxa"/>
            <w:vAlign w:val="bottom"/>
            <w:shd w:val="clear" w:color="auto" w:fill="CCCCCC"/>
          </w:tcPr>
          <w:p>
            <w:pPr>
              <w:jc w:val="center"/>
              <w:ind w:left="190"/>
              <w:spacing w:after="0"/>
              <w:rPr>
                <w:sz w:val="20"/>
                <w:szCs w:val="20"/>
                <w:color w:val="auto"/>
              </w:rPr>
            </w:pPr>
            <w:r>
              <w:rPr>
                <w:rFonts w:ascii="Arial" w:cs="Arial" w:eastAsia="Arial" w:hAnsi="Arial"/>
                <w:sz w:val="18"/>
                <w:szCs w:val="18"/>
                <w:color w:val="auto"/>
                <w:w w:val="89"/>
              </w:rPr>
              <w:t>$600</w:t>
            </w:r>
          </w:p>
        </w:tc>
        <w:tc>
          <w:tcPr>
            <w:tcW w:w="2820" w:type="dxa"/>
            <w:vAlign w:val="bottom"/>
            <w:shd w:val="clear" w:color="auto" w:fill="CCCCCC"/>
          </w:tcPr>
          <w:p>
            <w:pPr>
              <w:jc w:val="center"/>
              <w:ind w:right="150"/>
              <w:spacing w:after="0"/>
              <w:rPr>
                <w:sz w:val="20"/>
                <w:szCs w:val="20"/>
                <w:color w:val="auto"/>
              </w:rPr>
            </w:pPr>
            <w:r>
              <w:rPr>
                <w:rFonts w:ascii="Arial" w:cs="Arial" w:eastAsia="Arial" w:hAnsi="Arial"/>
                <w:sz w:val="18"/>
                <w:szCs w:val="18"/>
                <w:color w:val="auto"/>
                <w:w w:val="90"/>
              </w:rPr>
              <w:t>20.0%</w:t>
            </w:r>
          </w:p>
        </w:tc>
        <w:tc>
          <w:tcPr>
            <w:tcW w:w="2640" w:type="dxa"/>
            <w:vAlign w:val="bottom"/>
            <w:shd w:val="clear" w:color="auto" w:fill="CCCCCC"/>
          </w:tcPr>
          <w:p>
            <w:pPr>
              <w:jc w:val="center"/>
              <w:ind w:right="70"/>
              <w:spacing w:after="0"/>
              <w:rPr>
                <w:sz w:val="20"/>
                <w:szCs w:val="20"/>
                <w:color w:val="auto"/>
              </w:rPr>
            </w:pPr>
            <w:r>
              <w:rPr>
                <w:rFonts w:ascii="Arial" w:cs="Arial" w:eastAsia="Arial" w:hAnsi="Arial"/>
                <w:sz w:val="18"/>
                <w:szCs w:val="18"/>
                <w:color w:val="auto"/>
                <w:w w:val="88"/>
              </w:rPr>
              <w:t>90%</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Tranche 6</w:t>
            </w:r>
          </w:p>
        </w:tc>
        <w:tc>
          <w:tcPr>
            <w:tcW w:w="2040" w:type="dxa"/>
            <w:vAlign w:val="bottom"/>
          </w:tcPr>
          <w:p>
            <w:pPr>
              <w:jc w:val="center"/>
              <w:ind w:left="190"/>
              <w:spacing w:after="0"/>
              <w:rPr>
                <w:sz w:val="20"/>
                <w:szCs w:val="20"/>
                <w:color w:val="auto"/>
              </w:rPr>
            </w:pPr>
            <w:r>
              <w:rPr>
                <w:rFonts w:ascii="Arial" w:cs="Arial" w:eastAsia="Arial" w:hAnsi="Arial"/>
                <w:sz w:val="18"/>
                <w:szCs w:val="18"/>
                <w:color w:val="auto"/>
                <w:w w:val="89"/>
              </w:rPr>
              <w:t>$700</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2"/>
              </w:rPr>
              <w:t>5.0%</w:t>
            </w:r>
          </w:p>
        </w:tc>
        <w:tc>
          <w:tcPr>
            <w:tcW w:w="2640" w:type="dxa"/>
            <w:vAlign w:val="bottom"/>
          </w:tcPr>
          <w:p>
            <w:pPr>
              <w:jc w:val="center"/>
              <w:ind w:right="70"/>
              <w:spacing w:after="0"/>
              <w:rPr>
                <w:sz w:val="20"/>
                <w:szCs w:val="20"/>
                <w:color w:val="auto"/>
              </w:rPr>
            </w:pPr>
            <w:r>
              <w:rPr>
                <w:rFonts w:ascii="Arial" w:cs="Arial" w:eastAsia="Arial" w:hAnsi="Arial"/>
                <w:sz w:val="18"/>
                <w:szCs w:val="18"/>
                <w:color w:val="auto"/>
                <w:w w:val="88"/>
              </w:rPr>
              <w:t>95%</w:t>
            </w:r>
          </w:p>
        </w:tc>
        <w:tc>
          <w:tcPr>
            <w:tcW w:w="56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260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b w:val="1"/>
                <w:bCs w:val="1"/>
                <w:color w:val="auto"/>
              </w:rPr>
              <w:t>Tranche 7</w:t>
            </w:r>
          </w:p>
        </w:tc>
        <w:tc>
          <w:tcPr>
            <w:tcW w:w="2040" w:type="dxa"/>
            <w:vAlign w:val="bottom"/>
            <w:tcBorders>
              <w:bottom w:val="single" w:sz="8" w:color="auto"/>
            </w:tcBorders>
            <w:shd w:val="clear" w:color="auto" w:fill="CCCCCC"/>
          </w:tcPr>
          <w:p>
            <w:pPr>
              <w:jc w:val="center"/>
              <w:ind w:left="190"/>
              <w:spacing w:after="0"/>
              <w:rPr>
                <w:sz w:val="20"/>
                <w:szCs w:val="20"/>
                <w:color w:val="auto"/>
              </w:rPr>
            </w:pPr>
            <w:r>
              <w:rPr>
                <w:rFonts w:ascii="Arial" w:cs="Arial" w:eastAsia="Arial" w:hAnsi="Arial"/>
                <w:sz w:val="18"/>
                <w:szCs w:val="18"/>
                <w:color w:val="auto"/>
                <w:w w:val="89"/>
              </w:rPr>
              <w:t>$800</w:t>
            </w:r>
          </w:p>
        </w:tc>
        <w:tc>
          <w:tcPr>
            <w:tcW w:w="2820" w:type="dxa"/>
            <w:vAlign w:val="bottom"/>
            <w:tcBorders>
              <w:bottom w:val="single" w:sz="8" w:color="auto"/>
            </w:tcBorders>
            <w:shd w:val="clear" w:color="auto" w:fill="CCCCCC"/>
          </w:tcPr>
          <w:p>
            <w:pPr>
              <w:jc w:val="center"/>
              <w:ind w:right="150"/>
              <w:spacing w:after="0"/>
              <w:rPr>
                <w:sz w:val="20"/>
                <w:szCs w:val="20"/>
                <w:color w:val="auto"/>
              </w:rPr>
            </w:pPr>
            <w:r>
              <w:rPr>
                <w:rFonts w:ascii="Arial" w:cs="Arial" w:eastAsia="Arial" w:hAnsi="Arial"/>
                <w:sz w:val="18"/>
                <w:szCs w:val="18"/>
                <w:color w:val="auto"/>
                <w:w w:val="92"/>
              </w:rPr>
              <w:t>5.0%</w:t>
            </w:r>
          </w:p>
        </w:tc>
        <w:tc>
          <w:tcPr>
            <w:tcW w:w="2640" w:type="dxa"/>
            <w:vAlign w:val="bottom"/>
            <w:tcBorders>
              <w:bottom w:val="single" w:sz="8" w:color="auto"/>
            </w:tcBorders>
            <w:shd w:val="clear" w:color="auto" w:fill="CCCCCC"/>
          </w:tcPr>
          <w:p>
            <w:pPr>
              <w:jc w:val="center"/>
              <w:ind w:right="50"/>
              <w:spacing w:after="0"/>
              <w:rPr>
                <w:sz w:val="20"/>
                <w:szCs w:val="20"/>
                <w:color w:val="auto"/>
              </w:rPr>
            </w:pPr>
            <w:r>
              <w:rPr>
                <w:rFonts w:ascii="Arial" w:cs="Arial" w:eastAsia="Arial" w:hAnsi="Arial"/>
                <w:sz w:val="18"/>
                <w:szCs w:val="18"/>
                <w:color w:val="auto"/>
                <w:w w:val="91"/>
              </w:rPr>
              <w:t>100%</w:t>
            </w:r>
          </w:p>
        </w:tc>
        <w:tc>
          <w:tcPr>
            <w:tcW w:w="560" w:type="dxa"/>
            <w:vAlign w:val="bottom"/>
          </w:tcPr>
          <w:p>
            <w:pPr>
              <w:spacing w:after="0"/>
              <w:rPr>
                <w:sz w:val="22"/>
                <w:szCs w:val="22"/>
                <w:color w:val="auto"/>
              </w:rPr>
            </w:pPr>
          </w:p>
        </w:tc>
      </w:tr>
      <w:tr>
        <w:trPr>
          <w:trHeight w:val="675"/>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20" w:type="dxa"/>
            <w:vAlign w:val="bottom"/>
          </w:tcPr>
          <w:p>
            <w:pPr>
              <w:ind w:left="260"/>
              <w:spacing w:after="0"/>
              <w:rPr>
                <w:sz w:val="20"/>
                <w:szCs w:val="20"/>
                <w:color w:val="auto"/>
              </w:rPr>
            </w:pPr>
            <w:r>
              <w:rPr>
                <w:rFonts w:ascii="Arial" w:cs="Arial" w:eastAsia="Arial" w:hAnsi="Arial"/>
                <w:sz w:val="18"/>
                <w:szCs w:val="18"/>
                <w:color w:val="auto"/>
              </w:rPr>
              <w:t>A-5</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5" w:name="page76"/>
    <w:bookmarkEnd w:id="75"/>
    <w:p>
      <w:pPr>
        <w:jc w:val="both"/>
        <w:ind w:right="80" w:firstLine="1505"/>
        <w:spacing w:after="0" w:line="329" w:lineRule="auto"/>
        <w:tabs>
          <w:tab w:leader="none" w:pos="185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Service-Based Requirement</w:t>
      </w:r>
      <w:r>
        <w:rPr>
          <w:rFonts w:ascii="Arial" w:cs="Arial" w:eastAsia="Arial" w:hAnsi="Arial"/>
          <w:sz w:val="16"/>
          <w:szCs w:val="16"/>
          <w:color w:val="auto"/>
        </w:rPr>
        <w:t>. Following the attainment of the Stock Price Goal in accordance with Section 1(a) above, the Earned Option will be subject to additional time-based vesting and will vest in substantially equal monthly installments on the first day of each complete calendar month that occurs during the Service-Based Period, subject to the Participant continuing to be a Service Provider through each applicable vesting date.</w:t>
      </w:r>
    </w:p>
    <w:p>
      <w:pPr>
        <w:spacing w:after="0" w:line="147" w:lineRule="exact"/>
        <w:rPr>
          <w:rFonts w:ascii="Arial" w:cs="Arial" w:eastAsia="Arial" w:hAnsi="Arial"/>
          <w:sz w:val="16"/>
          <w:szCs w:val="16"/>
          <w:color w:val="auto"/>
        </w:rPr>
      </w:pPr>
    </w:p>
    <w:p>
      <w:pPr>
        <w:ind w:left="1860" w:hanging="355"/>
        <w:spacing w:after="0"/>
        <w:tabs>
          <w:tab w:leader="none" w:pos="18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Operational and Sales Milestones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40" w:firstLine="2254"/>
        <w:spacing w:after="0" w:line="292" w:lineRule="auto"/>
        <w:tabs>
          <w:tab w:leader="none" w:pos="2606"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Notwithstanding Section 1(a) above, subject to the Participant continuing to be a Service Provider through each applicable date, the Option will be earned as to an applicable percentage of the Option based on the Company’s achievement of the corresponding Operational Milestone or Sales Milestone during the Performance Period, in accordance with the table below. Any such portion of the Option that is earned based on the Company’s achievement of the corresponding Operational Milestone or Sales Milestone during the Performance Period in accordance with this Section 1(c)(i) shall constitute the “Earned Option” for purposes of this Option Agreement.</w:t>
      </w:r>
    </w:p>
    <w:p>
      <w:pPr>
        <w:spacing w:after="0" w:line="169" w:lineRule="exact"/>
        <w:rPr>
          <w:sz w:val="20"/>
          <w:szCs w:val="20"/>
          <w:color w:val="auto"/>
        </w:rPr>
      </w:pPr>
    </w:p>
    <w:tbl>
      <w:tblPr>
        <w:tblLayout w:type="fixed"/>
        <w:tblInd w:w="1980" w:type="dxa"/>
        <w:tblCellMar>
          <w:top w:w="0" w:type="dxa"/>
          <w:left w:w="0" w:type="dxa"/>
          <w:bottom w:w="0" w:type="dxa"/>
          <w:right w:w="0" w:type="dxa"/>
        </w:tblCellMar>
      </w:tblPr>
      <w:tr>
        <w:trPr>
          <w:trHeight w:val="242"/>
        </w:trPr>
        <w:tc>
          <w:tcPr>
            <w:tcW w:w="368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Operational/Sales Milestone</w:t>
            </w:r>
          </w:p>
        </w:tc>
      </w:tr>
      <w:tr>
        <w:trPr>
          <w:trHeight w:val="237"/>
        </w:trPr>
        <w:tc>
          <w:tcPr>
            <w:tcW w:w="36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Operational/Sales Milestone</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Earning Percentage</w:t>
            </w:r>
          </w:p>
        </w:tc>
      </w:tr>
      <w:tr>
        <w:trPr>
          <w:trHeight w:val="257"/>
        </w:trPr>
        <w:tc>
          <w:tcPr>
            <w:tcW w:w="36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First Operational Milestone</w:t>
            </w:r>
          </w:p>
        </w:tc>
        <w:tc>
          <w:tcPr>
            <w:tcW w:w="36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4"/>
              </w:rPr>
              <w:t>15%</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Second Operational Milestone</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63"/>
        </w:trPr>
        <w:tc>
          <w:tcPr>
            <w:tcW w:w="368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Third Operational Milestone</w:t>
            </w:r>
          </w:p>
        </w:tc>
        <w:tc>
          <w:tcPr>
            <w:tcW w:w="36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2"/>
              </w:rPr>
              <w:t>5%</w:t>
            </w:r>
          </w:p>
        </w:tc>
      </w:tr>
      <w:tr>
        <w:trPr>
          <w:trHeight w:val="25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Sales Milestone</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10%</w:t>
            </w:r>
          </w:p>
        </w:tc>
      </w:tr>
    </w:tbl>
    <w:p>
      <w:pPr>
        <w:spacing w:after="0" w:line="269" w:lineRule="exact"/>
        <w:rPr>
          <w:sz w:val="20"/>
          <w:szCs w:val="20"/>
          <w:color w:val="auto"/>
        </w:rPr>
      </w:pPr>
    </w:p>
    <w:p>
      <w:pPr>
        <w:ind w:right="40" w:firstLine="2254"/>
        <w:spacing w:after="0" w:line="275" w:lineRule="auto"/>
        <w:tabs>
          <w:tab w:leader="none" w:pos="26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attainment of the Operational Milestone or Sales Milestone in accordance with Section 1(c)(i) above, the Earned Option will be subject to additional time-based vesting and will vest in substantially equal monthly installments on the first day of each complete calendar month that occurs during the Service-Based Period, subject to the Participant continuing to be a Service Provider through each applicable vesting date.</w:t>
      </w:r>
    </w:p>
    <w:p>
      <w:pPr>
        <w:spacing w:after="0" w:line="77" w:lineRule="exact"/>
        <w:rPr>
          <w:rFonts w:ascii="Arial" w:cs="Arial" w:eastAsia="Arial" w:hAnsi="Arial"/>
          <w:sz w:val="18"/>
          <w:szCs w:val="18"/>
          <w:color w:val="auto"/>
        </w:rPr>
      </w:pPr>
    </w:p>
    <w:p>
      <w:pPr>
        <w:ind w:right="20" w:firstLine="2254"/>
        <w:spacing w:after="0" w:line="285" w:lineRule="auto"/>
        <w:tabs>
          <w:tab w:leader="none" w:pos="260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portion of the Option that is eligible to be earned based on the attainment of an Operational Milestone or Sales Milestone shall be inclusive of, and not in addition to, any portion of the Option that may be earned based on attainment of the Stock Price Goal. To the extent a portion of the Option becomes earned based on the attainment of an Operational Milestone or Sales Milestone, the subsequent tranche(s) of the Option that is eligible to be earned based on attainment of the Stock Price Goal shall be reduced by the excess, if any, of the number of Options earned over the “Cumulative Earning Percentage” set forth in the table in Section 1(a) above. For purposes of illustration only, (A) if fewer than 25% of the Option has been earned based on the Stock Price Goal, then up to 25% of the Option (inclusive of any portion previously earned based on the Stock Price Goal) shall be eligible to be earned based on attainment of the Operational Milestones and (B) if all three Operational Milestones are achieved following attainment of the Stock Price Goal for tranche 1 (i.e., $200) but prior to attainment of the Stock Price Goal for tranche 2 (i.e., $300) resulting in a Cumulative Earning Percentage equal to 25% of the Option, then (I) the portion of the Option eligible to be earned based on the Stock Price Goal in tranche 2 shall be reduced to zero and (II) the portion of the Option eligible to be earned based on the Stock Price Goal in tranche 3 shall be reduced to 20% in order to account for the 25% of the Option that has previously vested based on achievement of all three Operational Milestones. These principles are further illustrated in the table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spacing w:after="0"/>
              <w:rPr>
                <w:sz w:val="21"/>
                <w:szCs w:val="21"/>
                <w:color w:val="auto"/>
              </w:rPr>
            </w:pPr>
          </w:p>
        </w:tc>
        <w:tc>
          <w:tcPr>
            <w:tcW w:w="21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Option</w:t>
            </w:r>
          </w:p>
        </w:tc>
        <w:tc>
          <w:tcPr>
            <w:tcW w:w="21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Tranche Earning</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Cumulative Earning</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1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Tranche</w:t>
            </w:r>
          </w:p>
        </w:tc>
        <w:tc>
          <w:tcPr>
            <w:tcW w:w="2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Stock Price Goal</w:t>
            </w:r>
          </w:p>
        </w:tc>
        <w:tc>
          <w:tcPr>
            <w:tcW w:w="28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6"/>
              </w:rPr>
              <w:t>Percentage</w:t>
            </w:r>
          </w:p>
        </w:tc>
        <w:tc>
          <w:tcPr>
            <w:tcW w:w="2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6"/>
              </w:rPr>
              <w:t>Percentage</w:t>
            </w:r>
          </w:p>
        </w:tc>
        <w:tc>
          <w:tcPr>
            <w:tcW w:w="560" w:type="dxa"/>
            <w:vAlign w:val="bottom"/>
          </w:tcPr>
          <w:p>
            <w:pPr>
              <w:spacing w:after="0"/>
              <w:rPr>
                <w:sz w:val="20"/>
                <w:szCs w:val="20"/>
                <w:color w:val="auto"/>
              </w:rPr>
            </w:pPr>
          </w:p>
        </w:tc>
      </w:tr>
      <w:tr>
        <w:trPr>
          <w:trHeight w:val="257"/>
        </w:trPr>
        <w:tc>
          <w:tcPr>
            <w:tcW w:w="580" w:type="dxa"/>
            <w:vAlign w:val="bottom"/>
          </w:tcPr>
          <w:p>
            <w:pPr>
              <w:spacing w:after="0"/>
              <w:rPr>
                <w:sz w:val="22"/>
                <w:szCs w:val="22"/>
                <w:color w:val="auto"/>
              </w:rPr>
            </w:pPr>
          </w:p>
        </w:tc>
        <w:tc>
          <w:tcPr>
            <w:tcW w:w="212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1</w:t>
            </w:r>
          </w:p>
        </w:tc>
        <w:tc>
          <w:tcPr>
            <w:tcW w:w="2180" w:type="dxa"/>
            <w:vAlign w:val="bottom"/>
            <w:shd w:val="clear" w:color="auto" w:fill="CCCCCC"/>
          </w:tcPr>
          <w:p>
            <w:pPr>
              <w:jc w:val="center"/>
              <w:ind w:right="210"/>
              <w:spacing w:after="0"/>
              <w:rPr>
                <w:sz w:val="20"/>
                <w:szCs w:val="20"/>
                <w:color w:val="auto"/>
              </w:rPr>
            </w:pPr>
            <w:r>
              <w:rPr>
                <w:rFonts w:ascii="Arial" w:cs="Arial" w:eastAsia="Arial" w:hAnsi="Arial"/>
                <w:sz w:val="18"/>
                <w:szCs w:val="18"/>
                <w:color w:val="auto"/>
                <w:w w:val="89"/>
              </w:rPr>
              <w:t>$200</w:t>
            </w:r>
          </w:p>
        </w:tc>
        <w:tc>
          <w:tcPr>
            <w:tcW w:w="2840" w:type="dxa"/>
            <w:vAlign w:val="bottom"/>
            <w:gridSpan w:val="2"/>
            <w:shd w:val="clear" w:color="auto" w:fill="CCCCCC"/>
          </w:tcPr>
          <w:p>
            <w:pPr>
              <w:jc w:val="center"/>
              <w:ind w:left="30"/>
              <w:spacing w:after="0"/>
              <w:rPr>
                <w:sz w:val="20"/>
                <w:szCs w:val="20"/>
                <w:color w:val="auto"/>
              </w:rPr>
            </w:pPr>
            <w:r>
              <w:rPr>
                <w:rFonts w:ascii="Arial" w:cs="Arial" w:eastAsia="Arial" w:hAnsi="Arial"/>
                <w:sz w:val="18"/>
                <w:szCs w:val="18"/>
                <w:color w:val="auto"/>
                <w:w w:val="87"/>
              </w:rPr>
              <w:t>7.5%</w:t>
            </w:r>
          </w:p>
        </w:tc>
        <w:tc>
          <w:tcPr>
            <w:tcW w:w="2960" w:type="dxa"/>
            <w:vAlign w:val="bottom"/>
            <w:shd w:val="clear" w:color="auto" w:fill="CCCCCC"/>
          </w:tcPr>
          <w:p>
            <w:pPr>
              <w:jc w:val="center"/>
              <w:ind w:left="30"/>
              <w:spacing w:after="0"/>
              <w:rPr>
                <w:sz w:val="20"/>
                <w:szCs w:val="20"/>
                <w:color w:val="auto"/>
              </w:rPr>
            </w:pPr>
            <w:r>
              <w:rPr>
                <w:rFonts w:ascii="Arial" w:cs="Arial" w:eastAsia="Arial" w:hAnsi="Arial"/>
                <w:sz w:val="18"/>
                <w:szCs w:val="18"/>
                <w:color w:val="auto"/>
                <w:w w:val="87"/>
              </w:rPr>
              <w:t>7.5%</w:t>
            </w:r>
          </w:p>
        </w:tc>
        <w:tc>
          <w:tcPr>
            <w:tcW w:w="560" w:type="dxa"/>
            <w:vAlign w:val="bottom"/>
          </w:tcPr>
          <w:p>
            <w:pPr>
              <w:spacing w:after="0"/>
              <w:rPr>
                <w:sz w:val="22"/>
                <w:szCs w:val="22"/>
                <w:color w:val="auto"/>
              </w:rPr>
            </w:pPr>
          </w:p>
        </w:tc>
      </w:tr>
      <w:tr>
        <w:trPr>
          <w:trHeight w:val="238"/>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Operational Milestones</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17.5%</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88"/>
              </w:rPr>
              <w:t>25%</w:t>
            </w:r>
          </w:p>
        </w:tc>
        <w:tc>
          <w:tcPr>
            <w:tcW w:w="56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Achieved</w:t>
            </w:r>
          </w:p>
        </w:tc>
        <w:tc>
          <w:tcPr>
            <w:tcW w:w="2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212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2</w:t>
            </w:r>
          </w:p>
        </w:tc>
        <w:tc>
          <w:tcPr>
            <w:tcW w:w="2180" w:type="dxa"/>
            <w:vAlign w:val="bottom"/>
            <w:shd w:val="clear" w:color="auto" w:fill="CCCCCC"/>
          </w:tcPr>
          <w:p>
            <w:pPr>
              <w:jc w:val="center"/>
              <w:ind w:right="210"/>
              <w:spacing w:after="0"/>
              <w:rPr>
                <w:sz w:val="20"/>
                <w:szCs w:val="20"/>
                <w:color w:val="auto"/>
              </w:rPr>
            </w:pPr>
            <w:r>
              <w:rPr>
                <w:rFonts w:ascii="Arial" w:cs="Arial" w:eastAsia="Arial" w:hAnsi="Arial"/>
                <w:sz w:val="18"/>
                <w:szCs w:val="18"/>
                <w:color w:val="auto"/>
                <w:w w:val="89"/>
              </w:rPr>
              <w:t>$300</w:t>
            </w:r>
          </w:p>
        </w:tc>
        <w:tc>
          <w:tcPr>
            <w:tcW w:w="2840" w:type="dxa"/>
            <w:vAlign w:val="bottom"/>
            <w:gridSpan w:val="2"/>
            <w:shd w:val="clear" w:color="auto" w:fill="CCCCCC"/>
          </w:tcPr>
          <w:p>
            <w:pPr>
              <w:jc w:val="center"/>
              <w:ind w:left="30"/>
              <w:spacing w:after="0"/>
              <w:rPr>
                <w:sz w:val="20"/>
                <w:szCs w:val="20"/>
                <w:color w:val="auto"/>
              </w:rPr>
            </w:pPr>
            <w:r>
              <w:rPr>
                <w:rFonts w:ascii="Arial" w:cs="Arial" w:eastAsia="Arial" w:hAnsi="Arial"/>
                <w:sz w:val="18"/>
                <w:szCs w:val="18"/>
                <w:i w:val="1"/>
                <w:iCs w:val="1"/>
                <w:color w:val="auto"/>
                <w:strike w:val="1"/>
                <w:w w:val="93"/>
              </w:rPr>
              <w:t>12.5%</w:t>
            </w:r>
          </w:p>
        </w:tc>
        <w:tc>
          <w:tcPr>
            <w:tcW w:w="2960" w:type="dxa"/>
            <w:vAlign w:val="bottom"/>
            <w:shd w:val="clear" w:color="auto" w:fill="CCCCCC"/>
          </w:tcPr>
          <w:p>
            <w:pPr>
              <w:jc w:val="center"/>
              <w:ind w:left="30"/>
              <w:spacing w:after="0"/>
              <w:rPr>
                <w:sz w:val="20"/>
                <w:szCs w:val="20"/>
                <w:color w:val="auto"/>
              </w:rPr>
            </w:pPr>
            <w:r>
              <w:rPr>
                <w:rFonts w:ascii="Arial" w:cs="Arial" w:eastAsia="Arial" w:hAnsi="Arial"/>
                <w:sz w:val="18"/>
                <w:szCs w:val="18"/>
                <w:i w:val="1"/>
                <w:iCs w:val="1"/>
                <w:color w:val="auto"/>
                <w:strike w:val="1"/>
                <w:w w:val="88"/>
              </w:rPr>
              <w:t>20%</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Tranche 3</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89"/>
              </w:rPr>
              <w:t>$400</w:t>
            </w: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strike w:val="1"/>
              </w:rPr>
              <w:t>25.0%</w:t>
            </w:r>
          </w:p>
        </w:tc>
        <w:tc>
          <w:tcPr>
            <w:tcW w:w="1380" w:type="dxa"/>
            <w:vAlign w:val="bottom"/>
          </w:tcPr>
          <w:p>
            <w:pPr>
              <w:jc w:val="right"/>
              <w:ind w:right="790"/>
              <w:spacing w:after="0"/>
              <w:rPr>
                <w:sz w:val="20"/>
                <w:szCs w:val="20"/>
                <w:color w:val="auto"/>
              </w:rPr>
            </w:pPr>
            <w:r>
              <w:rPr>
                <w:rFonts w:ascii="Arial" w:cs="Arial" w:eastAsia="Arial" w:hAnsi="Arial"/>
                <w:sz w:val="18"/>
                <w:szCs w:val="18"/>
                <w:color w:val="auto"/>
                <w:w w:val="93"/>
              </w:rPr>
              <w:t>20.0%</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88"/>
              </w:rPr>
              <w:t>45%</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212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4</w:t>
            </w:r>
          </w:p>
        </w:tc>
        <w:tc>
          <w:tcPr>
            <w:tcW w:w="2180" w:type="dxa"/>
            <w:vAlign w:val="bottom"/>
            <w:shd w:val="clear" w:color="auto" w:fill="CCCCCC"/>
          </w:tcPr>
          <w:p>
            <w:pPr>
              <w:jc w:val="center"/>
              <w:ind w:right="210"/>
              <w:spacing w:after="0"/>
              <w:rPr>
                <w:sz w:val="20"/>
                <w:szCs w:val="20"/>
                <w:color w:val="auto"/>
              </w:rPr>
            </w:pPr>
            <w:r>
              <w:rPr>
                <w:rFonts w:ascii="Arial" w:cs="Arial" w:eastAsia="Arial" w:hAnsi="Arial"/>
                <w:sz w:val="18"/>
                <w:szCs w:val="18"/>
                <w:color w:val="auto"/>
                <w:w w:val="89"/>
              </w:rPr>
              <w:t>$500</w:t>
            </w:r>
          </w:p>
        </w:tc>
        <w:tc>
          <w:tcPr>
            <w:tcW w:w="2840" w:type="dxa"/>
            <w:vAlign w:val="bottom"/>
            <w:gridSpan w:val="2"/>
            <w:shd w:val="clear" w:color="auto" w:fill="CCCCCC"/>
          </w:tcPr>
          <w:p>
            <w:pPr>
              <w:jc w:val="center"/>
              <w:ind w:left="30"/>
              <w:spacing w:after="0"/>
              <w:rPr>
                <w:sz w:val="20"/>
                <w:szCs w:val="20"/>
                <w:color w:val="auto"/>
              </w:rPr>
            </w:pPr>
            <w:r>
              <w:rPr>
                <w:rFonts w:ascii="Arial" w:cs="Arial" w:eastAsia="Arial" w:hAnsi="Arial"/>
                <w:sz w:val="18"/>
                <w:szCs w:val="18"/>
                <w:color w:val="auto"/>
                <w:w w:val="93"/>
              </w:rPr>
              <w:t>25.0%</w:t>
            </w:r>
          </w:p>
        </w:tc>
        <w:tc>
          <w:tcPr>
            <w:tcW w:w="2960" w:type="dxa"/>
            <w:vAlign w:val="bottom"/>
            <w:shd w:val="clear" w:color="auto" w:fill="CCCCCC"/>
          </w:tcPr>
          <w:p>
            <w:pPr>
              <w:jc w:val="center"/>
              <w:ind w:left="30"/>
              <w:spacing w:after="0"/>
              <w:rPr>
                <w:sz w:val="20"/>
                <w:szCs w:val="20"/>
                <w:color w:val="auto"/>
              </w:rPr>
            </w:pPr>
            <w:r>
              <w:rPr>
                <w:rFonts w:ascii="Arial" w:cs="Arial" w:eastAsia="Arial" w:hAnsi="Arial"/>
                <w:sz w:val="18"/>
                <w:szCs w:val="18"/>
                <w:color w:val="auto"/>
                <w:w w:val="88"/>
              </w:rPr>
              <w:t>70%</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Tranche 5</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89"/>
              </w:rPr>
              <w:t>$600</w:t>
            </w:r>
          </w:p>
        </w:tc>
        <w:tc>
          <w:tcPr>
            <w:tcW w:w="28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20.0%</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88"/>
              </w:rPr>
              <w:t>90%</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212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Tranche 6</w:t>
            </w:r>
          </w:p>
        </w:tc>
        <w:tc>
          <w:tcPr>
            <w:tcW w:w="2180" w:type="dxa"/>
            <w:vAlign w:val="bottom"/>
            <w:shd w:val="clear" w:color="auto" w:fill="CCCCCC"/>
          </w:tcPr>
          <w:p>
            <w:pPr>
              <w:jc w:val="center"/>
              <w:ind w:right="210"/>
              <w:spacing w:after="0"/>
              <w:rPr>
                <w:sz w:val="20"/>
                <w:szCs w:val="20"/>
                <w:color w:val="auto"/>
              </w:rPr>
            </w:pPr>
            <w:r>
              <w:rPr>
                <w:rFonts w:ascii="Arial" w:cs="Arial" w:eastAsia="Arial" w:hAnsi="Arial"/>
                <w:sz w:val="18"/>
                <w:szCs w:val="18"/>
                <w:color w:val="auto"/>
                <w:w w:val="89"/>
              </w:rPr>
              <w:t>$700</w:t>
            </w:r>
          </w:p>
        </w:tc>
        <w:tc>
          <w:tcPr>
            <w:tcW w:w="2840" w:type="dxa"/>
            <w:vAlign w:val="bottom"/>
            <w:gridSpan w:val="2"/>
            <w:shd w:val="clear" w:color="auto" w:fill="CCCCCC"/>
          </w:tcPr>
          <w:p>
            <w:pPr>
              <w:jc w:val="center"/>
              <w:ind w:left="30"/>
              <w:spacing w:after="0"/>
              <w:rPr>
                <w:sz w:val="20"/>
                <w:szCs w:val="20"/>
                <w:color w:val="auto"/>
              </w:rPr>
            </w:pPr>
            <w:r>
              <w:rPr>
                <w:rFonts w:ascii="Arial" w:cs="Arial" w:eastAsia="Arial" w:hAnsi="Arial"/>
                <w:sz w:val="18"/>
                <w:szCs w:val="18"/>
                <w:color w:val="auto"/>
                <w:w w:val="87"/>
              </w:rPr>
              <w:t>5.0%</w:t>
            </w:r>
          </w:p>
        </w:tc>
        <w:tc>
          <w:tcPr>
            <w:tcW w:w="2960" w:type="dxa"/>
            <w:vAlign w:val="bottom"/>
            <w:shd w:val="clear" w:color="auto" w:fill="CCCCCC"/>
          </w:tcPr>
          <w:p>
            <w:pPr>
              <w:jc w:val="center"/>
              <w:ind w:left="30"/>
              <w:spacing w:after="0"/>
              <w:rPr>
                <w:sz w:val="20"/>
                <w:szCs w:val="20"/>
                <w:color w:val="auto"/>
              </w:rPr>
            </w:pPr>
            <w:r>
              <w:rPr>
                <w:rFonts w:ascii="Arial" w:cs="Arial" w:eastAsia="Arial" w:hAnsi="Arial"/>
                <w:sz w:val="18"/>
                <w:szCs w:val="18"/>
                <w:color w:val="auto"/>
                <w:w w:val="88"/>
              </w:rPr>
              <w:t>95%</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Tranche 7</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$800</w:t>
            </w:r>
          </w:p>
        </w:tc>
        <w:tc>
          <w:tcPr>
            <w:tcW w:w="28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7"/>
              </w:rPr>
              <w:t>5.0%</w:t>
            </w:r>
          </w:p>
        </w:tc>
        <w:tc>
          <w:tcPr>
            <w:tcW w:w="29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100%</w:t>
            </w:r>
          </w:p>
        </w:tc>
        <w:tc>
          <w:tcPr>
            <w:tcW w:w="560" w:type="dxa"/>
            <w:vAlign w:val="bottom"/>
          </w:tcPr>
          <w:p>
            <w:pPr>
              <w:spacing w:after="0"/>
              <w:rPr>
                <w:sz w:val="21"/>
                <w:szCs w:val="21"/>
                <w:color w:val="auto"/>
              </w:rPr>
            </w:pPr>
          </w:p>
        </w:tc>
      </w:tr>
      <w:tr>
        <w:trPr>
          <w:trHeight w:val="675"/>
        </w:trPr>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40" w:type="dxa"/>
            <w:vAlign w:val="bottom"/>
            <w:gridSpan w:val="2"/>
          </w:tcPr>
          <w:p>
            <w:pPr>
              <w:jc w:val="right"/>
              <w:ind w:right="1870"/>
              <w:spacing w:after="0"/>
              <w:rPr>
                <w:sz w:val="20"/>
                <w:szCs w:val="20"/>
                <w:color w:val="auto"/>
              </w:rPr>
            </w:pPr>
            <w:r>
              <w:rPr>
                <w:rFonts w:ascii="Arial" w:cs="Arial" w:eastAsia="Arial" w:hAnsi="Arial"/>
                <w:sz w:val="18"/>
                <w:szCs w:val="18"/>
                <w:color w:val="auto"/>
              </w:rPr>
              <w:t>A-6</w:t>
            </w: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76" w:name="page77"/>
    <w:bookmarkEnd w:id="76"/>
    <w:p>
      <w:pPr>
        <w:ind w:left="1100" w:hanging="363"/>
        <w:spacing w:after="0"/>
        <w:tabs>
          <w:tab w:leader="none" w:pos="11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Upon Termination of Employment.</w:t>
      </w:r>
    </w:p>
    <w:p>
      <w:pPr>
        <w:spacing w:after="0" w:line="242" w:lineRule="exact"/>
        <w:rPr>
          <w:rFonts w:ascii="Arial" w:cs="Arial" w:eastAsia="Arial" w:hAnsi="Arial"/>
          <w:sz w:val="18"/>
          <w:szCs w:val="18"/>
          <w:b w:val="1"/>
          <w:bCs w:val="1"/>
          <w:color w:val="auto"/>
        </w:rPr>
      </w:pPr>
    </w:p>
    <w:p>
      <w:pPr>
        <w:ind w:left="-20" w:right="500" w:firstLine="1505"/>
        <w:spacing w:after="0" w:line="293" w:lineRule="auto"/>
        <w:tabs>
          <w:tab w:leader="none" w:pos="1837"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In the event that the Participant’s employment with the Company is terminated by the Company for Cause, the Unvested Option shall immediately terminate and be forfeited without consideration.</w:t>
      </w:r>
    </w:p>
    <w:p>
      <w:pPr>
        <w:spacing w:after="0" w:line="169" w:lineRule="exact"/>
        <w:rPr>
          <w:rFonts w:ascii="Arial" w:cs="Arial" w:eastAsia="Arial" w:hAnsi="Arial"/>
          <w:sz w:val="18"/>
          <w:szCs w:val="18"/>
          <w:color w:val="auto"/>
        </w:rPr>
      </w:pPr>
    </w:p>
    <w:p>
      <w:pPr>
        <w:ind w:left="-20" w:right="300" w:firstLine="1505"/>
        <w:spacing w:after="0" w:line="359" w:lineRule="auto"/>
        <w:tabs>
          <w:tab w:leader="none" w:pos="18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Voluntary Resignation</w:t>
      </w:r>
      <w:r>
        <w:rPr>
          <w:rFonts w:ascii="Arial" w:cs="Arial" w:eastAsia="Arial" w:hAnsi="Arial"/>
          <w:sz w:val="16"/>
          <w:szCs w:val="16"/>
          <w:color w:val="auto"/>
        </w:rPr>
        <w:t>. In the event that the Participant’s employment with the Company is terminated due to the Participant’s voluntary resignation other than for Good Reason, the Unvested Option shall immediately terminate and be forfeited without consideration.</w:t>
      </w:r>
    </w:p>
    <w:p>
      <w:pPr>
        <w:spacing w:after="0" w:line="124" w:lineRule="exact"/>
        <w:rPr>
          <w:rFonts w:ascii="Arial" w:cs="Arial" w:eastAsia="Arial" w:hAnsi="Arial"/>
          <w:sz w:val="16"/>
          <w:szCs w:val="16"/>
          <w:color w:val="auto"/>
        </w:rPr>
      </w:pPr>
    </w:p>
    <w:p>
      <w:pPr>
        <w:ind w:left="-20" w:firstLine="1505"/>
        <w:spacing w:after="0" w:line="287" w:lineRule="auto"/>
        <w:tabs>
          <w:tab w:leader="none" w:pos="1837"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Cause/for Good Reason</w:t>
      </w:r>
      <w:r>
        <w:rPr>
          <w:rFonts w:ascii="Arial" w:cs="Arial" w:eastAsia="Arial" w:hAnsi="Arial"/>
          <w:sz w:val="17"/>
          <w:szCs w:val="17"/>
          <w:color w:val="auto"/>
        </w:rPr>
        <w:t>. Subject to the Participant’s execution and delivery of a release and waiver of claims agreement drafted by and satisfactory to counsel for the Company, and such release and waiver of claims agreement must be executed and become effective within sixty (60) days following the employment termination date (the date such release and waiver of claims agreement becomes effective, the “Release Effective Date”), in the event that the Participant’s employment with the Company is terminated by the Company without Cause or due to the Participant’s resignation for Good Reason, a pro-rata portion of the Option that has been earned as of the date of such termination based on the attainment of the Stock Price Goal, Operational Milestones and/or Sales Milestone, as applicable, shall become vested and exercisable as of the Release Effective Date, based on a fraction the numerator of which is the number of completed Months of Service between the Date of Grant and the date of such termination and the denominator of which is eighty four (84). Any portion of the Option that remains unvested after giving effect to the preceding sentence shall immediately terminate and be forfeited without consideration.</w:t>
      </w:r>
    </w:p>
    <w:p>
      <w:pPr>
        <w:spacing w:after="0" w:line="177" w:lineRule="exact"/>
        <w:rPr>
          <w:rFonts w:ascii="Arial" w:cs="Arial" w:eastAsia="Arial" w:hAnsi="Arial"/>
          <w:sz w:val="17"/>
          <w:szCs w:val="17"/>
          <w:color w:val="auto"/>
        </w:rPr>
      </w:pPr>
    </w:p>
    <w:p>
      <w:pPr>
        <w:ind w:left="-20" w:right="140" w:firstLine="1505"/>
        <w:spacing w:after="0" w:line="272" w:lineRule="auto"/>
        <w:tabs>
          <w:tab w:leader="none" w:pos="1837"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In the event that the Participant’s employment with the Company is terminated due to the Participant’s Retirement, the portion of the Option that has been earned as of the date of such termination based on the attainment of the Stock Price Goal, Operational Milestones and/or Sales Milestone, as applicable, shall continue to vest and become exercisable based on the original monthly vesting schedule during the Service-Based Period as if such termination had not occurred. Any portion of the Option that is unearned as of the date of termination shall immediately terminate and be forfeited without consideration.</w:t>
      </w:r>
    </w:p>
    <w:p>
      <w:pPr>
        <w:spacing w:after="0" w:line="190" w:lineRule="exact"/>
        <w:rPr>
          <w:rFonts w:ascii="Arial" w:cs="Arial" w:eastAsia="Arial" w:hAnsi="Arial"/>
          <w:sz w:val="18"/>
          <w:szCs w:val="18"/>
          <w:color w:val="auto"/>
        </w:rPr>
      </w:pPr>
    </w:p>
    <w:p>
      <w:pPr>
        <w:jc w:val="both"/>
        <w:ind w:left="-20" w:right="120" w:firstLine="1505"/>
        <w:spacing w:after="0" w:line="319" w:lineRule="auto"/>
        <w:tabs>
          <w:tab w:leader="none" w:pos="18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Death/Severe Disability</w:t>
      </w:r>
      <w:r>
        <w:rPr>
          <w:rFonts w:ascii="Arial" w:cs="Arial" w:eastAsia="Arial" w:hAnsi="Arial"/>
          <w:sz w:val="16"/>
          <w:szCs w:val="16"/>
          <w:color w:val="auto"/>
        </w:rPr>
        <w:t>. In the event that the Participant’s employment with the Company is terminated due to the Participant’s death or Severe Disability, the portion of the Option that has been earned based on the attainment of the Stock Price Goal, Operational Milestones and/or Sales Milestone, as applicable, prior to the date of such termination shall become vested and exercisable as of the date of such termination. Any portion of the Option that is unearned as of the date of termination shall immediately terminate and be forfeited without consideration.</w:t>
      </w:r>
    </w:p>
    <w:p>
      <w:pPr>
        <w:spacing w:after="0" w:line="151" w:lineRule="exact"/>
        <w:rPr>
          <w:rFonts w:ascii="Arial" w:cs="Arial" w:eastAsia="Arial" w:hAnsi="Arial"/>
          <w:sz w:val="16"/>
          <w:szCs w:val="16"/>
          <w:color w:val="auto"/>
        </w:rPr>
      </w:pPr>
    </w:p>
    <w:p>
      <w:pPr>
        <w:ind w:left="-20" w:right="400" w:firstLine="757"/>
        <w:spacing w:after="0" w:line="297" w:lineRule="auto"/>
        <w:tabs>
          <w:tab w:leader="none" w:pos="108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Post-Termination Exercise Period</w:t>
      </w:r>
      <w:r>
        <w:rPr>
          <w:rFonts w:ascii="Arial" w:cs="Arial" w:eastAsia="Arial" w:hAnsi="Arial"/>
          <w:sz w:val="18"/>
          <w:szCs w:val="18"/>
          <w:color w:val="auto"/>
        </w:rPr>
        <w:t>. The Option, to the extent earned and vested, will be exercisable for the following periods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ceases to be a Service Provider.</w:t>
      </w:r>
    </w:p>
    <w:p>
      <w:pPr>
        <w:spacing w:after="0" w:line="166" w:lineRule="exact"/>
        <w:rPr>
          <w:rFonts w:ascii="Arial" w:cs="Arial" w:eastAsia="Arial" w:hAnsi="Arial"/>
          <w:sz w:val="18"/>
          <w:szCs w:val="18"/>
          <w:b w:val="1"/>
          <w:bCs w:val="1"/>
          <w:color w:val="auto"/>
        </w:rPr>
      </w:pPr>
    </w:p>
    <w:p>
      <w:pPr>
        <w:ind w:left="-20" w:right="60" w:firstLine="1505"/>
        <w:spacing w:after="0" w:line="296" w:lineRule="auto"/>
        <w:tabs>
          <w:tab w:leader="none" w:pos="1837"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In the event of the death of the Participant during the period of continuous Service Provider status since the date of grant of the Option, or within three (3) months following termination of the Participant’s continuous Service Provider status, the Vested Option may be exercised by the Participant’s estate, or by a person who acquired the right to exercise the Option by bequest or inheritance, at any time within nine (9) months following the date of death or, if earlier, the date the Participant’s continuous Service Provider status terminated.</w:t>
      </w:r>
    </w:p>
    <w:p>
      <w:pPr>
        <w:spacing w:after="0" w:line="169" w:lineRule="exact"/>
        <w:rPr>
          <w:rFonts w:ascii="Arial" w:cs="Arial" w:eastAsia="Arial" w:hAnsi="Arial"/>
          <w:sz w:val="17"/>
          <w:szCs w:val="17"/>
          <w:color w:val="auto"/>
        </w:rPr>
      </w:pPr>
    </w:p>
    <w:p>
      <w:pPr>
        <w:ind w:left="-20" w:right="280" w:firstLine="1505"/>
        <w:spacing w:after="0" w:line="324" w:lineRule="auto"/>
        <w:tabs>
          <w:tab w:leader="none" w:pos="1837"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Severe Disability</w:t>
      </w:r>
      <w:r>
        <w:rPr>
          <w:rFonts w:ascii="Arial" w:cs="Arial" w:eastAsia="Arial" w:hAnsi="Arial"/>
          <w:sz w:val="17"/>
          <w:szCs w:val="17"/>
          <w:color w:val="auto"/>
        </w:rPr>
        <w:t>. In the event of termination of Participant’s continuous Service Provider status as a result of the Participant’s Severe Disability, the Participant may exercise the Vested Option at any time within six (6) months following such termination.</w:t>
      </w:r>
    </w:p>
    <w:p>
      <w:pPr>
        <w:spacing w:after="0" w:line="147" w:lineRule="exact"/>
        <w:rPr>
          <w:rFonts w:ascii="Arial" w:cs="Arial" w:eastAsia="Arial" w:hAnsi="Arial"/>
          <w:sz w:val="17"/>
          <w:szCs w:val="17"/>
          <w:color w:val="auto"/>
        </w:rPr>
      </w:pPr>
    </w:p>
    <w:p>
      <w:pPr>
        <w:ind w:left="-20" w:right="720" w:firstLine="1505"/>
        <w:spacing w:after="0" w:line="349" w:lineRule="auto"/>
        <w:tabs>
          <w:tab w:leader="none" w:pos="18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In the event of termination of Participant’s continuous Service Provider status as a result of the Participant’s Retirement, the Participant may exercise the Vested Option at any time prior to the first (1</w:t>
      </w:r>
      <w:r>
        <w:rPr>
          <w:rFonts w:ascii="Arial" w:cs="Arial" w:eastAsia="Arial" w:hAnsi="Arial"/>
          <w:sz w:val="21"/>
          <w:szCs w:val="21"/>
          <w:color w:val="auto"/>
          <w:vertAlign w:val="superscript"/>
        </w:rPr>
        <w:t>st</w:t>
      </w:r>
      <w:r>
        <w:rPr>
          <w:rFonts w:ascii="Arial" w:cs="Arial" w:eastAsia="Arial" w:hAnsi="Arial"/>
          <w:sz w:val="16"/>
          <w:szCs w:val="16"/>
          <w:color w:val="auto"/>
        </w:rPr>
        <w:t>) anniversary of the end of the Performance Period.</w:t>
      </w:r>
    </w:p>
    <w:p>
      <w:pPr>
        <w:spacing w:after="0" w:line="56" w:lineRule="exact"/>
        <w:rPr>
          <w:rFonts w:ascii="Arial" w:cs="Arial" w:eastAsia="Arial" w:hAnsi="Arial"/>
          <w:sz w:val="16"/>
          <w:szCs w:val="16"/>
          <w:color w:val="auto"/>
        </w:rPr>
      </w:pPr>
    </w:p>
    <w:p>
      <w:pPr>
        <w:ind w:left="-20" w:right="240" w:firstLine="1505"/>
        <w:spacing w:after="0" w:line="359" w:lineRule="auto"/>
        <w:tabs>
          <w:tab w:leader="none" w:pos="18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In the event of termination of the Participant’s continuous Service Provider status for any reason other than death, Severe Disability or Retirement, the Participant may exercise the Option at any time within three (3) months following such termination.</w:t>
      </w:r>
    </w:p>
    <w:p>
      <w:pPr>
        <w:spacing w:after="0" w:line="124" w:lineRule="exact"/>
        <w:rPr>
          <w:rFonts w:ascii="Arial" w:cs="Arial" w:eastAsia="Arial" w:hAnsi="Arial"/>
          <w:sz w:val="16"/>
          <w:szCs w:val="16"/>
          <w:color w:val="auto"/>
        </w:rPr>
      </w:pPr>
    </w:p>
    <w:p>
      <w:pPr>
        <w:ind w:left="-20" w:right="300" w:firstLine="1505"/>
        <w:spacing w:after="0" w:line="293" w:lineRule="auto"/>
        <w:tabs>
          <w:tab w:leader="none" w:pos="18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3, in no event may this Option be exercised after the Term/Expiration Date as provided above and may be subject to earlier termination as provided in Section 4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5" w:right="339" w:bottom="1440" w:gutter="0" w:footer="0" w:header="0"/>
        </w:sectPr>
      </w:pPr>
    </w:p>
    <w:bookmarkStart w:id="77" w:name="page78"/>
    <w:bookmarkEnd w:id="77"/>
    <w:p>
      <w:pPr>
        <w:ind w:left="1100" w:hanging="363"/>
        <w:spacing w:after="0"/>
        <w:tabs>
          <w:tab w:leader="none" w:pos="11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42" w:lineRule="exact"/>
        <w:rPr>
          <w:rFonts w:ascii="Arial" w:cs="Arial" w:eastAsia="Arial" w:hAnsi="Arial"/>
          <w:sz w:val="18"/>
          <w:szCs w:val="18"/>
          <w:b w:val="1"/>
          <w:bCs w:val="1"/>
          <w:color w:val="auto"/>
        </w:rPr>
      </w:pPr>
    </w:p>
    <w:p>
      <w:pPr>
        <w:ind w:left="-20" w:firstLine="1505"/>
        <w:spacing w:after="0" w:line="304" w:lineRule="auto"/>
        <w:tabs>
          <w:tab w:leader="none" w:pos="18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event that a Change in Control occurs during the Performance Period, the Option will be earned as to an applicable percentage of the Option based on the per Share consideration received by the Company’s shareholders in such Change in Control transaction meeting or exceeding the corresponding Stock Price Goal, in accordance with the table set forth in Section 1(a) above, subject to straight-line interpolation to the extent such per Share consideration falls between two Stock Price Goals. For the avoidance of doubt, to the extent that less than thirty five percent (35%) of the Option has vested in such Change in Control based on the Stock Price Goal, then the Option shall remain eligible to be earned based on the attainment of the Operational Milestones and Sales Milestone in accordance with Section 1(c) above. Thereafter, the earned portion of the Option shall vest and become exercisable in accordance with Section 1(b) above; provided, however, that if (i) on the date twenty-four (24) months immediately following the consummation of such Change in Control, the Participant is providing services to the acquiring company (or its subsidiaries or parent) as either an employee or a consultant or (ii) within twenty-four (24) months following the consummation of such Change in Control, the Participant’s employment is terminated by the Company without Cause or by the Participant for Good Reason, then in either the case of (i) or (ii), one hundred percent (100%) of the Option that has previously been earned based on the Stock Price Goal, Operational Milestones and/or Sales Milestone but that remains unvested based on the Service-Based Period shall vest and become exercisable in full, subject to the Participant’s execution and delivery of a release and waiver of claims agreement drafted by and satisfactory to counsel for the Company, and such release and waiver of claims agreement must be executed and become effective within sixty (60) days following the employment termination date or the second (2</w:t>
      </w:r>
      <w:r>
        <w:rPr>
          <w:rFonts w:ascii="Arial" w:cs="Arial" w:eastAsia="Arial" w:hAnsi="Arial"/>
          <w:sz w:val="21"/>
          <w:szCs w:val="21"/>
          <w:color w:val="auto"/>
          <w:vertAlign w:val="superscript"/>
        </w:rPr>
        <w:t>nd</w:t>
      </w:r>
      <w:r>
        <w:rPr>
          <w:rFonts w:ascii="Arial" w:cs="Arial" w:eastAsia="Arial" w:hAnsi="Arial"/>
          <w:sz w:val="16"/>
          <w:szCs w:val="16"/>
          <w:color w:val="auto"/>
        </w:rPr>
        <w:t>) anniversary of the Change in Control, as applicable.</w:t>
      </w:r>
    </w:p>
    <w:p>
      <w:pPr>
        <w:spacing w:after="0" w:line="93" w:lineRule="exact"/>
        <w:rPr>
          <w:rFonts w:ascii="Arial" w:cs="Arial" w:eastAsia="Arial" w:hAnsi="Arial"/>
          <w:sz w:val="16"/>
          <w:szCs w:val="16"/>
          <w:color w:val="auto"/>
        </w:rPr>
      </w:pPr>
    </w:p>
    <w:p>
      <w:pPr>
        <w:ind w:left="-20" w:right="40" w:firstLine="1505"/>
        <w:spacing w:after="0" w:line="272" w:lineRule="auto"/>
        <w:tabs>
          <w:tab w:leader="none" w:pos="18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the foregoing, in the event that the successor corporation does not assume or substitute for the Option, the Participant will fully vest in and have the right to exercise the portion of the Option that has been earned as of the date of such Change in Control after giving effect to Section 4(a) above. In addition, if an Award is not assumed or substituted in the event of a Change in Control, the Administrator will notify the Participant in writing or electronically that the Award will be exercisable for a period of time determined by the Administrator in its sole discretion, and the Award will terminate upon the expiration of such period.</w:t>
      </w:r>
    </w:p>
    <w:p>
      <w:pPr>
        <w:spacing w:after="0" w:line="186" w:lineRule="exact"/>
        <w:rPr>
          <w:rFonts w:ascii="Arial" w:cs="Arial" w:eastAsia="Arial" w:hAnsi="Arial"/>
          <w:sz w:val="18"/>
          <w:szCs w:val="18"/>
          <w:color w:val="auto"/>
        </w:rPr>
      </w:pPr>
    </w:p>
    <w:p>
      <w:pPr>
        <w:ind w:left="-20" w:right="40" w:firstLine="757"/>
        <w:spacing w:after="0" w:line="291" w:lineRule="auto"/>
        <w:tabs>
          <w:tab w:leader="none" w:pos="1089"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Approval Required. </w:t>
      </w:r>
      <w:r>
        <w:rPr>
          <w:rFonts w:ascii="Arial" w:cs="Arial" w:eastAsia="Arial" w:hAnsi="Arial"/>
          <w:sz w:val="17"/>
          <w:szCs w:val="17"/>
          <w:color w:val="auto"/>
        </w:rPr>
        <w:t>Notwithstanding anything to the contrary in this Option Agreement, the Option is subject to approval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by the stockholders of the Company at a special meeting of the Company’s stockholders to be held as soon as practicable following the Date of Grant. If such stockholder approval of the Plan is not obtained, then the Option granted hereunder will be forfeited and the Participant will receive 100% of the Participant’s Annual LTI Award for fiscal year 2021. If such stockholder approval is obtained, the Participant will forego a portion of each Annual LTI Award that may be granted by the Company to the Participant during the Performance Period (including, for the avoidance of doubt, the Annual LTI Award for fiscal year 2021), with such foregone portion being specified in the Participant’s Election Form.</w:t>
      </w:r>
    </w:p>
    <w:p>
      <w:pPr>
        <w:spacing w:after="0" w:line="170" w:lineRule="exact"/>
        <w:rPr>
          <w:rFonts w:ascii="Arial" w:cs="Arial" w:eastAsia="Arial" w:hAnsi="Arial"/>
          <w:sz w:val="17"/>
          <w:szCs w:val="17"/>
          <w:b w:val="1"/>
          <w:bCs w:val="1"/>
          <w:color w:val="auto"/>
        </w:rPr>
      </w:pPr>
    </w:p>
    <w:p>
      <w:pPr>
        <w:ind w:left="1100" w:hanging="363"/>
        <w:spacing w:after="0"/>
        <w:tabs>
          <w:tab w:leader="none" w:pos="11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Option Agreement, the following definitions shall apply.</w:t>
      </w:r>
    </w:p>
    <w:p>
      <w:pPr>
        <w:spacing w:after="0" w:line="242" w:lineRule="exact"/>
        <w:rPr>
          <w:rFonts w:ascii="Arial" w:cs="Arial" w:eastAsia="Arial" w:hAnsi="Arial"/>
          <w:sz w:val="18"/>
          <w:szCs w:val="18"/>
          <w:b w:val="1"/>
          <w:bCs w:val="1"/>
          <w:color w:val="auto"/>
        </w:rPr>
      </w:pPr>
    </w:p>
    <w:p>
      <w:pPr>
        <w:ind w:left="-20" w:right="160" w:firstLine="1505"/>
        <w:spacing w:after="0" w:line="293" w:lineRule="auto"/>
        <w:tabs>
          <w:tab w:leader="none" w:pos="1837"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“Annual LTI Award” means an annual long-term incentive equity award that may be granted to a Participant with respect to any given fiscal year during the Performance Period.</w:t>
      </w:r>
    </w:p>
    <w:p>
      <w:pPr>
        <w:spacing w:after="0" w:line="169" w:lineRule="exact"/>
        <w:rPr>
          <w:rFonts w:ascii="Arial" w:cs="Arial" w:eastAsia="Arial" w:hAnsi="Arial"/>
          <w:sz w:val="18"/>
          <w:szCs w:val="18"/>
          <w:b w:val="1"/>
          <w:bCs w:val="1"/>
          <w:color w:val="auto"/>
        </w:rPr>
      </w:pPr>
    </w:p>
    <w:p>
      <w:pPr>
        <w:ind w:left="-20" w:firstLine="1505"/>
        <w:spacing w:after="0" w:line="309" w:lineRule="auto"/>
        <w:tabs>
          <w:tab w:leader="none" w:pos="1837"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the Participant’s conviction of, including pleading guilty or nolo contendere to, any felony or any crime involving dishonesty; (ii) the Participant’s participation in any fraud or act of dishonesty against the Company that has caused or is reasonably expected to result in injury to the Company; (iii) a material violation by the Participant of any of the Company’s written policies or other serious misconduct, in each case that results in or is reasonably likely to result in material harm to Company; (iv) the Participant’s willful and continued failure substantially to perform any of the Participant’s job duties (other than as a result of total or partial Severe Disability) that is not cured within thirty (30) days following written notice of Cause from the Company; (v) conduct by the Participant which, in the good faith and reasonable determination of the Administrator, demonstrates gross unfitness to serve; or (vi) the Participant’s material breach of any agreement with the Company (or its subsidiaries or successors).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8" w:name="page79"/>
    <w:bookmarkEnd w:id="78"/>
    <w:p>
      <w:pPr>
        <w:ind w:right="200" w:firstLine="1505"/>
        <w:spacing w:after="0" w:line="271" w:lineRule="auto"/>
        <w:tabs>
          <w:tab w:leader="none" w:pos="1857"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mean any (i) consolidation or merger of the Company with or into any other corporation or other entity or person, or any other corporate reorganization in which the members/shareholders of the Company prior to such consolidation, merger or reorganization shall own less than fifty percent (50%) of the voting equity of the continuing or surviving entity after such consolidation, merger or reorganization, (ii) any transaction or series of related transactions to which the Company is a party, in which in excess of fifty percent (50%) of the Company’s voting equity securities is transferred, except for bona fide sales of the Company’s equity securities to investors for primarily fundraising purposes, or (iii) a sale of substantially all of the assets of the Company.</w:t>
      </w:r>
    </w:p>
    <w:p>
      <w:pPr>
        <w:spacing w:after="0" w:line="190" w:lineRule="exact"/>
        <w:rPr>
          <w:rFonts w:ascii="Arial" w:cs="Arial" w:eastAsia="Arial" w:hAnsi="Arial"/>
          <w:sz w:val="18"/>
          <w:szCs w:val="18"/>
          <w:b w:val="1"/>
          <w:bCs w:val="1"/>
          <w:color w:val="auto"/>
        </w:rPr>
      </w:pPr>
    </w:p>
    <w:p>
      <w:pPr>
        <w:ind w:right="80" w:firstLine="1505"/>
        <w:spacing w:after="0" w:line="293" w:lineRule="auto"/>
        <w:tabs>
          <w:tab w:leader="none" w:pos="1857"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Election Form for Special Equity Award pursuant to which the Participant elected to forego a portion of each Annual LTI Award that may be granted by the Company to the Participant during the Performance Period.</w:t>
      </w:r>
    </w:p>
    <w:p>
      <w:pPr>
        <w:spacing w:after="0" w:line="169" w:lineRule="exact"/>
        <w:rPr>
          <w:rFonts w:ascii="Arial" w:cs="Arial" w:eastAsia="Arial" w:hAnsi="Arial"/>
          <w:sz w:val="18"/>
          <w:szCs w:val="18"/>
          <w:b w:val="1"/>
          <w:bCs w:val="1"/>
          <w:color w:val="auto"/>
        </w:rPr>
      </w:pPr>
    </w:p>
    <w:p>
      <w:pPr>
        <w:ind w:left="1860" w:hanging="355"/>
        <w:spacing w:after="0"/>
        <w:tabs>
          <w:tab w:leader="none" w:pos="1860"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shall mean the Executive Employment Agreement by and between the Company and Participant.</w:t>
      </w:r>
    </w:p>
    <w:p>
      <w:pPr>
        <w:spacing w:after="0" w:line="250" w:lineRule="exact"/>
        <w:rPr>
          <w:rFonts w:ascii="Arial" w:cs="Arial" w:eastAsia="Arial" w:hAnsi="Arial"/>
          <w:sz w:val="17"/>
          <w:szCs w:val="17"/>
          <w:b w:val="1"/>
          <w:bCs w:val="1"/>
          <w:color w:val="auto"/>
        </w:rPr>
      </w:pPr>
    </w:p>
    <w:p>
      <w:pPr>
        <w:ind w:right="340" w:firstLine="1505"/>
        <w:spacing w:after="0" w:line="293" w:lineRule="auto"/>
        <w:tabs>
          <w:tab w:leader="none" w:pos="1857"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Operational Milestone</w:t>
      </w:r>
      <w:r>
        <w:rPr>
          <w:rFonts w:ascii="Arial" w:cs="Arial" w:eastAsia="Arial" w:hAnsi="Arial"/>
          <w:sz w:val="18"/>
          <w:szCs w:val="18"/>
          <w:color w:val="auto"/>
        </w:rPr>
        <w:t>” shall mean U.S. Food and Drug Administration approval of a Biologics License Application in respect of a first major indication (RVO, DME and/or wAMD).</w:t>
      </w:r>
    </w:p>
    <w:p>
      <w:pPr>
        <w:spacing w:after="0" w:line="169" w:lineRule="exact"/>
        <w:rPr>
          <w:rFonts w:ascii="Arial" w:cs="Arial" w:eastAsia="Arial" w:hAnsi="Arial"/>
          <w:sz w:val="18"/>
          <w:szCs w:val="18"/>
          <w:b w:val="1"/>
          <w:bCs w:val="1"/>
          <w:color w:val="auto"/>
        </w:rPr>
      </w:pPr>
    </w:p>
    <w:p>
      <w:pPr>
        <w:ind w:left="1860" w:hanging="355"/>
        <w:spacing w:after="0"/>
        <w:tabs>
          <w:tab w:leader="none" w:pos="1860"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of any one or more of the following events without the prior written consent of Participant:</w:t>
      </w:r>
    </w:p>
    <w:p>
      <w:pPr>
        <w:spacing w:after="0" w:line="46" w:lineRule="exact"/>
        <w:rPr>
          <w:rFonts w:ascii="Arial" w:cs="Arial" w:eastAsia="Arial" w:hAnsi="Arial"/>
          <w:sz w:val="16"/>
          <w:szCs w:val="16"/>
          <w:b w:val="1"/>
          <w:bCs w:val="1"/>
          <w:color w:val="auto"/>
        </w:rPr>
      </w:pPr>
    </w:p>
    <w:p>
      <w:pPr>
        <w:ind w:firstLine="8"/>
        <w:spacing w:after="0" w:line="303"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reduction in Base Salary or Targeted Incentive Bonus (as such terms are defined in the Employment Agreement) opportunity or benefits, provided that any reduction in Base Salary (and any reduction in the dollar amount of Participant’s Targeted Incentive Bonus opportunity resulting from such reduction in Base Salary) that is related to a cross executive team base salary reduction shall not constitute “Good Reason”; (ii) a material reduction in Participant’s title, duties, or responsibilities or change in reporting line; provided that a reassignment following a Corporate Transaction to a position that is substantially similar to the position held prior to the Corporate Transaction shall not constitute a material reduction in job responsibilities or duties; (iii) a relocation of Participant’s primary work location that increases Participant’s one-way commute by more than fifty (50) miles; (iv) failure of the successor company to assume obligations contained in this Option Agreement or any other equity compensation agreement in place between Participant and the Company at the time of the Corporate Transaction; (v) any written directive given to Participant by the Chief Executive Officer or the Board, as applicable, that is in conflict with Participant’s professional obligations or otherwise in violation of applicable law or regulation, in all cases, of which the Chief Executive Officer or the Board, as applicable, has knowledge of such obligations or law or regulation prior to the issuance of such directive; or (vi) the Company’s material breach of any terms of this Option Agreement, any other equity compensation agreement in place between Participant and the Company, or the Employment Agreement; provided, however, that no such event or condition shall constitute Good Reason unless (A) Participant gives the Company a written notice of termination for Good Reason not more than ninety (90) days after the initial existence of the condition, (B) the grounds for termination (if susceptible to correction) are not corrected by the Company within thirty (30) days of its receipt of such notice, and (C) the termination date occurs within ninety (90) days following the Company’s receipt of such notice.</w:t>
      </w:r>
    </w:p>
    <w:p>
      <w:pPr>
        <w:spacing w:after="0" w:line="173" w:lineRule="exact"/>
        <w:rPr>
          <w:rFonts w:ascii="Arial" w:cs="Arial" w:eastAsia="Arial" w:hAnsi="Arial"/>
          <w:sz w:val="16"/>
          <w:szCs w:val="16"/>
          <w:color w:val="auto"/>
        </w:rPr>
      </w:pPr>
    </w:p>
    <w:p>
      <w:pPr>
        <w:ind w:right="160" w:firstLine="1505"/>
        <w:spacing w:after="0" w:line="293" w:lineRule="auto"/>
        <w:tabs>
          <w:tab w:leader="none" w:pos="1857"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 of Service</w:t>
      </w:r>
      <w:r>
        <w:rPr>
          <w:rFonts w:ascii="Arial" w:cs="Arial" w:eastAsia="Arial" w:hAnsi="Arial"/>
          <w:sz w:val="18"/>
          <w:szCs w:val="18"/>
          <w:color w:val="auto"/>
        </w:rPr>
        <w:t>” shall mean a consecutive period of 30 calendar days during which the Participant is continuously employed with, and is actively providing service, to the Company or any Parent or Subsidiary of the Company.</w:t>
      </w:r>
    </w:p>
    <w:p>
      <w:pPr>
        <w:spacing w:after="0" w:line="169" w:lineRule="exact"/>
        <w:rPr>
          <w:rFonts w:ascii="Arial" w:cs="Arial" w:eastAsia="Arial" w:hAnsi="Arial"/>
          <w:sz w:val="18"/>
          <w:szCs w:val="18"/>
          <w:b w:val="1"/>
          <w:bCs w:val="1"/>
          <w:color w:val="auto"/>
        </w:rPr>
      </w:pPr>
    </w:p>
    <w:p>
      <w:pPr>
        <w:ind w:left="1860" w:hanging="355"/>
        <w:spacing w:after="0"/>
        <w:tabs>
          <w:tab w:leader="none" w:pos="186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Operational Milestone</w:t>
      </w:r>
      <w:r>
        <w:rPr>
          <w:rFonts w:ascii="Arial" w:cs="Arial" w:eastAsia="Arial" w:hAnsi="Arial"/>
          <w:sz w:val="18"/>
          <w:szCs w:val="18"/>
          <w:color w:val="auto"/>
        </w:rPr>
        <w:t>” shall mean each of the First Operational Milestone, Second Operational Milestone and Third</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Operational Milestone.</w:t>
      </w:r>
    </w:p>
    <w:p>
      <w:pPr>
        <w:spacing w:after="0" w:line="237" w:lineRule="exact"/>
        <w:rPr>
          <w:rFonts w:ascii="Arial" w:cs="Arial" w:eastAsia="Arial" w:hAnsi="Arial"/>
          <w:sz w:val="18"/>
          <w:szCs w:val="18"/>
          <w:b w:val="1"/>
          <w:bCs w:val="1"/>
          <w:color w:val="auto"/>
        </w:rPr>
      </w:pPr>
    </w:p>
    <w:p>
      <w:pPr>
        <w:ind w:right="60" w:firstLine="1505"/>
        <w:spacing w:after="0" w:line="279" w:lineRule="auto"/>
        <w:tabs>
          <w:tab w:leader="none" w:pos="1857"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period commencing as of the Date of Grant and ending on August 11, 2028; provided, that the Performance Period may be extended by up to ninety (90) trading days if as of the last day of the Performance Period (without regard to any extension) the Stock Price has reached or exceeded a Stock Price Goal for less than ninety (90) trading days.</w:t>
      </w:r>
    </w:p>
    <w:p>
      <w:pPr>
        <w:spacing w:after="0" w:line="182" w:lineRule="exact"/>
        <w:rPr>
          <w:rFonts w:ascii="Arial" w:cs="Arial" w:eastAsia="Arial" w:hAnsi="Arial"/>
          <w:sz w:val="18"/>
          <w:szCs w:val="18"/>
          <w:b w:val="1"/>
          <w:bCs w:val="1"/>
          <w:color w:val="auto"/>
        </w:rPr>
      </w:pPr>
    </w:p>
    <w:p>
      <w:pPr>
        <w:ind w:left="1860" w:hanging="355"/>
        <w:spacing w:after="0"/>
        <w:tabs>
          <w:tab w:leader="none" w:pos="186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shall mean the Participant’s voluntary resignation from the Company on or after the date on which the Participant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attains 65 years of age.</w:t>
      </w:r>
    </w:p>
    <w:p>
      <w:pPr>
        <w:spacing w:after="0" w:line="237" w:lineRule="exact"/>
        <w:rPr>
          <w:rFonts w:ascii="Arial" w:cs="Arial" w:eastAsia="Arial" w:hAnsi="Arial"/>
          <w:sz w:val="16"/>
          <w:szCs w:val="16"/>
          <w:b w:val="1"/>
          <w:bCs w:val="1"/>
          <w:color w:val="auto"/>
        </w:rPr>
      </w:pPr>
    </w:p>
    <w:p>
      <w:pPr>
        <w:ind w:left="1860" w:hanging="355"/>
        <w:spacing w:after="0"/>
        <w:tabs>
          <w:tab w:leader="none" w:pos="1860"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Sales Milestone</w:t>
      </w:r>
      <w:r>
        <w:rPr>
          <w:rFonts w:ascii="Arial" w:cs="Arial" w:eastAsia="Arial" w:hAnsi="Arial"/>
          <w:sz w:val="16"/>
          <w:szCs w:val="16"/>
          <w:color w:val="auto"/>
        </w:rPr>
        <w:t>” shall mean the first completed fiscal year of the Company in which the Company has generated sales of at least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$2.5 billion.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9" w:name="page80"/>
    <w:bookmarkEnd w:id="79"/>
    <w:p>
      <w:pPr>
        <w:ind w:right="160" w:firstLine="1505"/>
        <w:spacing w:after="0" w:line="293"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Operational Milestone</w:t>
      </w:r>
      <w:r>
        <w:rPr>
          <w:rFonts w:ascii="Arial" w:cs="Arial" w:eastAsia="Arial" w:hAnsi="Arial"/>
          <w:sz w:val="18"/>
          <w:szCs w:val="18"/>
          <w:color w:val="auto"/>
        </w:rPr>
        <w:t>” shall mean U.S. Food and Drug Administration approval of a Biologics License Application in respect of a second major indication (RVO, DME and/or wAMD).</w:t>
      </w:r>
    </w:p>
    <w:p>
      <w:pPr>
        <w:spacing w:after="0" w:line="169" w:lineRule="exact"/>
        <w:rPr>
          <w:rFonts w:ascii="Arial" w:cs="Arial" w:eastAsia="Arial" w:hAnsi="Arial"/>
          <w:sz w:val="18"/>
          <w:szCs w:val="18"/>
          <w:b w:val="1"/>
          <w:bCs w:val="1"/>
          <w:color w:val="auto"/>
        </w:rPr>
      </w:pPr>
    </w:p>
    <w:p>
      <w:pPr>
        <w:ind w:right="240" w:firstLine="1505"/>
        <w:spacing w:after="0" w:line="279"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Service-Based Period</w:t>
      </w:r>
      <w:r>
        <w:rPr>
          <w:rFonts w:ascii="Arial" w:cs="Arial" w:eastAsia="Arial" w:hAnsi="Arial"/>
          <w:sz w:val="18"/>
          <w:szCs w:val="18"/>
          <w:color w:val="auto"/>
        </w:rPr>
        <w:t>” shall mean the period commencing on either (i) the date on which the applicable Stock Price Goal was attained in accordance with this Option Agreement or (ii) the date on which the applicable Operational Milestone or Sales Milestone was attained in accordance with this Option Agreement and ending, in either case, on the last day of the Performance Period.</w:t>
      </w:r>
    </w:p>
    <w:p>
      <w:pPr>
        <w:spacing w:after="0" w:line="182" w:lineRule="exact"/>
        <w:rPr>
          <w:rFonts w:ascii="Arial" w:cs="Arial" w:eastAsia="Arial" w:hAnsi="Arial"/>
          <w:sz w:val="18"/>
          <w:szCs w:val="18"/>
          <w:b w:val="1"/>
          <w:bCs w:val="1"/>
          <w:color w:val="auto"/>
        </w:rPr>
      </w:pPr>
    </w:p>
    <w:p>
      <w:pPr>
        <w:jc w:val="both"/>
        <w:ind w:right="360" w:firstLine="1505"/>
        <w:spacing w:after="0" w:line="303" w:lineRule="auto"/>
        <w:tabs>
          <w:tab w:leader="none" w:pos="1857"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Severe Disability</w:t>
      </w:r>
      <w:r>
        <w:rPr>
          <w:rFonts w:ascii="Arial" w:cs="Arial" w:eastAsia="Arial" w:hAnsi="Arial"/>
          <w:sz w:val="17"/>
          <w:szCs w:val="17"/>
          <w:color w:val="auto"/>
        </w:rPr>
        <w:t>” shall mean that the Participant is unable, due to a physical or mental impairment, to perform the essential functions of the Participant’s job position, with or without reasonable accommodation, for a period of two hundred seventy (270) consecutive calendar days. Any determination as to Severe Disability will be made by a licensed physician selected by the Administrator.</w:t>
      </w:r>
    </w:p>
    <w:p>
      <w:pPr>
        <w:spacing w:after="0" w:line="164" w:lineRule="exact"/>
        <w:rPr>
          <w:rFonts w:ascii="Arial" w:cs="Arial" w:eastAsia="Arial" w:hAnsi="Arial"/>
          <w:sz w:val="17"/>
          <w:szCs w:val="17"/>
          <w:b w:val="1"/>
          <w:bCs w:val="1"/>
          <w:color w:val="auto"/>
        </w:rPr>
      </w:pPr>
    </w:p>
    <w:p>
      <w:pPr>
        <w:ind w:firstLine="1505"/>
        <w:spacing w:after="0" w:line="275"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Price</w:t>
      </w:r>
      <w:r>
        <w:rPr>
          <w:rFonts w:ascii="Arial" w:cs="Arial" w:eastAsia="Arial" w:hAnsi="Arial"/>
          <w:sz w:val="18"/>
          <w:szCs w:val="18"/>
          <w:color w:val="auto"/>
        </w:rPr>
        <w:t xml:space="preserve">” shall mean the closing sales price per share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(or the closing bid, if no sales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Common Stock.</w:t>
      </w:r>
    </w:p>
    <w:p>
      <w:pPr>
        <w:spacing w:after="0" w:line="185" w:lineRule="exact"/>
        <w:rPr>
          <w:rFonts w:ascii="Arial" w:cs="Arial" w:eastAsia="Arial" w:hAnsi="Arial"/>
          <w:sz w:val="18"/>
          <w:szCs w:val="18"/>
          <w:b w:val="1"/>
          <w:bCs w:val="1"/>
          <w:color w:val="auto"/>
        </w:rPr>
      </w:pPr>
    </w:p>
    <w:p>
      <w:pPr>
        <w:ind w:right="60" w:firstLine="1505"/>
        <w:spacing w:after="0" w:line="293"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Price Goal</w:t>
      </w:r>
      <w:r>
        <w:rPr>
          <w:rFonts w:ascii="Arial" w:cs="Arial" w:eastAsia="Arial" w:hAnsi="Arial"/>
          <w:sz w:val="18"/>
          <w:szCs w:val="18"/>
          <w:color w:val="auto"/>
        </w:rPr>
        <w:t>” shall mean each Stock Price target amount based on which the Option will be earned, as indicated in the table set forth in Section 1(a) above.</w:t>
      </w:r>
    </w:p>
    <w:p>
      <w:pPr>
        <w:spacing w:after="0" w:line="169" w:lineRule="exact"/>
        <w:rPr>
          <w:rFonts w:ascii="Arial" w:cs="Arial" w:eastAsia="Arial" w:hAnsi="Arial"/>
          <w:sz w:val="18"/>
          <w:szCs w:val="18"/>
          <w:b w:val="1"/>
          <w:bCs w:val="1"/>
          <w:color w:val="auto"/>
        </w:rPr>
      </w:pPr>
    </w:p>
    <w:p>
      <w:pPr>
        <w:ind w:right="300" w:firstLine="1505"/>
        <w:spacing w:after="0" w:line="293"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Operational Milestone</w:t>
      </w:r>
      <w:r>
        <w:rPr>
          <w:rFonts w:ascii="Arial" w:cs="Arial" w:eastAsia="Arial" w:hAnsi="Arial"/>
          <w:sz w:val="18"/>
          <w:szCs w:val="18"/>
          <w:color w:val="auto"/>
        </w:rPr>
        <w:t>” shall mean U.S. Food and Drug Administration approval of a Biologics License Application in respect of a third major indication (RVO, DME and/or wAMD).</w:t>
      </w:r>
    </w:p>
    <w:p>
      <w:pPr>
        <w:spacing w:after="0" w:line="169" w:lineRule="exact"/>
        <w:rPr>
          <w:rFonts w:ascii="Arial" w:cs="Arial" w:eastAsia="Arial" w:hAnsi="Arial"/>
          <w:sz w:val="18"/>
          <w:szCs w:val="18"/>
          <w:b w:val="1"/>
          <w:bCs w:val="1"/>
          <w:color w:val="auto"/>
        </w:rPr>
      </w:pPr>
    </w:p>
    <w:p>
      <w:pPr>
        <w:ind w:left="1860" w:hanging="355"/>
        <w:spacing w:after="0"/>
        <w:tabs>
          <w:tab w:leader="none" w:pos="18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Option</w:t>
      </w:r>
      <w:r>
        <w:rPr>
          <w:rFonts w:ascii="Arial" w:cs="Arial" w:eastAsia="Arial" w:hAnsi="Arial"/>
          <w:sz w:val="18"/>
          <w:szCs w:val="18"/>
          <w:color w:val="auto"/>
        </w:rPr>
        <w:t>” shall mean the portion of the Option other than the Vested Option.</w:t>
      </w:r>
    </w:p>
    <w:p>
      <w:pPr>
        <w:spacing w:after="0" w:line="238" w:lineRule="exact"/>
        <w:rPr>
          <w:rFonts w:ascii="Arial" w:cs="Arial" w:eastAsia="Arial" w:hAnsi="Arial"/>
          <w:sz w:val="18"/>
          <w:szCs w:val="18"/>
          <w:b w:val="1"/>
          <w:bCs w:val="1"/>
          <w:color w:val="auto"/>
        </w:rPr>
      </w:pPr>
    </w:p>
    <w:p>
      <w:pPr>
        <w:ind w:right="280" w:firstLine="1505"/>
        <w:spacing w:after="0" w:line="279" w:lineRule="auto"/>
        <w:tabs>
          <w:tab w:leader="none" w:pos="185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Option</w:t>
      </w:r>
      <w:r>
        <w:rPr>
          <w:rFonts w:ascii="Arial" w:cs="Arial" w:eastAsia="Arial" w:hAnsi="Arial"/>
          <w:sz w:val="18"/>
          <w:szCs w:val="18"/>
          <w:color w:val="auto"/>
        </w:rPr>
        <w:t>” shall mean the portion of the Option that has become earned and vested based on attainment of (i) the Stock Price Goal, Operational Milestone and/or Sales Milestone, as applicable, and (ii) the Participant’s continued employment with the Company through the Service-Based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ind w:firstLine="749"/>
        <w:spacing w:after="0" w:line="288" w:lineRule="auto"/>
        <w:rPr>
          <w:sz w:val="20"/>
          <w:szCs w:val="20"/>
          <w:color w:val="auto"/>
        </w:rPr>
      </w:pPr>
      <w:r>
        <w:rPr>
          <w:rFonts w:ascii="Arial" w:cs="Arial" w:eastAsia="Arial" w:hAnsi="Arial"/>
          <w:sz w:val="17"/>
          <w:szCs w:val="17"/>
          <w:color w:val="auto"/>
        </w:rPr>
        <w:t xml:space="preserve">By Participant’s signature and the signature of the representative of the Company below, Participant and the Company agree that this Option is granted under and governed by the terms and conditions of the Plan,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this Option Agreement, including the Terms and Conditions of Stock Option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PARTICIPANT</w:t>
            </w:r>
          </w:p>
        </w:tc>
        <w:tc>
          <w:tcPr>
            <w:tcW w:w="28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KODIAK SCIENCES INC.</w:t>
            </w:r>
          </w:p>
        </w:tc>
      </w:tr>
      <w:tr>
        <w:trPr>
          <w:trHeight w:val="270"/>
        </w:trPr>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660" w:type="dxa"/>
            <w:vAlign w:val="bottom"/>
            <w:tcBorders>
              <w:bottom w:val="single" w:sz="8" w:color="auto"/>
            </w:tcBorders>
          </w:tcPr>
          <w:p>
            <w:pPr>
              <w:spacing w:after="0"/>
              <w:rPr>
                <w:sz w:val="23"/>
                <w:szCs w:val="23"/>
                <w:color w:val="auto"/>
              </w:rPr>
            </w:pPr>
          </w:p>
        </w:tc>
      </w:tr>
      <w:tr>
        <w:trPr>
          <w:trHeight w:val="237"/>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52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r>
        <w:trPr>
          <w:trHeight w:val="237"/>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Print Name</w:t>
            </w:r>
          </w:p>
        </w:tc>
        <w:tc>
          <w:tcPr>
            <w:tcW w:w="28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Print Name</w:t>
            </w:r>
          </w:p>
        </w:tc>
      </w:tr>
      <w:tr>
        <w:trPr>
          <w:trHeight w:val="52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Title</w:t>
            </w:r>
          </w:p>
        </w:tc>
      </w:tr>
      <w:tr>
        <w:trPr>
          <w:trHeight w:val="472"/>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Address:</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91"/>
        </w:trPr>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243" w:lineRule="exact"/>
        <w:rPr>
          <w:sz w:val="20"/>
          <w:szCs w:val="20"/>
          <w:color w:val="auto"/>
        </w:rPr>
      </w:pPr>
    </w:p>
    <w:p>
      <w:pPr>
        <w:ind w:firstLine="757"/>
        <w:spacing w:after="0" w:line="292" w:lineRule="auto"/>
        <w:tabs>
          <w:tab w:leader="none" w:pos="110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each of which is incorporated herein by reference. In the event of a conflict between the terms and conditions of the Plan and the terms and conditions of this Option Agreement, the terms and conditions of the Plan will prevail. The Option will be designated as a Nonstatutory Stock Option.</w:t>
      </w:r>
    </w:p>
    <w:p>
      <w:pPr>
        <w:spacing w:after="0" w:line="174" w:lineRule="exact"/>
        <w:rPr>
          <w:rFonts w:ascii="Arial" w:cs="Arial" w:eastAsia="Arial" w:hAnsi="Arial"/>
          <w:sz w:val="17"/>
          <w:szCs w:val="17"/>
          <w:color w:val="auto"/>
        </w:rPr>
      </w:pPr>
    </w:p>
    <w:p>
      <w:pPr>
        <w:ind w:right="140" w:firstLine="757"/>
        <w:spacing w:after="0" w:line="275" w:lineRule="auto"/>
        <w:tabs>
          <w:tab w:leader="none" w:pos="110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85" w:lineRule="exact"/>
        <w:rPr>
          <w:rFonts w:ascii="Arial" w:cs="Arial" w:eastAsia="Arial" w:hAnsi="Arial"/>
          <w:sz w:val="18"/>
          <w:szCs w:val="18"/>
          <w:color w:val="auto"/>
        </w:rPr>
      </w:pPr>
    </w:p>
    <w:p>
      <w:pPr>
        <w:ind w:right="300" w:firstLine="757"/>
        <w:spacing w:after="0" w:line="279" w:lineRule="auto"/>
        <w:tabs>
          <w:tab w:leader="none" w:pos="110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2" w:lineRule="exact"/>
        <w:rPr>
          <w:rFonts w:ascii="Arial" w:cs="Arial" w:eastAsia="Arial" w:hAnsi="Arial"/>
          <w:sz w:val="18"/>
          <w:szCs w:val="18"/>
          <w:color w:val="auto"/>
        </w:rPr>
      </w:pPr>
    </w:p>
    <w:p>
      <w:pPr>
        <w:ind w:left="1120" w:hanging="363"/>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238" w:lineRule="exact"/>
        <w:rPr>
          <w:rFonts w:ascii="Arial" w:cs="Arial" w:eastAsia="Arial" w:hAnsi="Arial"/>
          <w:sz w:val="18"/>
          <w:szCs w:val="18"/>
          <w:color w:val="auto"/>
        </w:rPr>
      </w:pPr>
    </w:p>
    <w:p>
      <w:pPr>
        <w:ind w:right="60" w:firstLine="1505"/>
        <w:spacing w:after="0" w:line="293"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169" w:lineRule="exact"/>
        <w:rPr>
          <w:rFonts w:ascii="Arial" w:cs="Arial" w:eastAsia="Arial" w:hAnsi="Arial"/>
          <w:sz w:val="18"/>
          <w:szCs w:val="18"/>
          <w:color w:val="auto"/>
        </w:rPr>
      </w:pPr>
    </w:p>
    <w:p>
      <w:pPr>
        <w:ind w:right="20" w:firstLine="1505"/>
        <w:spacing w:after="0" w:line="270" w:lineRule="auto"/>
        <w:tabs>
          <w:tab w:leader="none" w:pos="185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is exercisable by delivery of an exercise notice (the “Exercise Notice”)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92" w:lineRule="exact"/>
        <w:rPr>
          <w:rFonts w:ascii="Arial" w:cs="Arial" w:eastAsia="Arial" w:hAnsi="Arial"/>
          <w:sz w:val="18"/>
          <w:szCs w:val="18"/>
          <w:color w:val="auto"/>
        </w:rPr>
      </w:pPr>
    </w:p>
    <w:p>
      <w:pPr>
        <w:ind w:left="1120" w:hanging="363"/>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will be by any of the following, or a combination thereof, at the election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w:t>
      </w:r>
    </w:p>
    <w:p>
      <w:pPr>
        <w:spacing w:after="0" w:line="237" w:lineRule="exact"/>
        <w:rPr>
          <w:rFonts w:ascii="Arial" w:cs="Arial" w:eastAsia="Arial" w:hAnsi="Arial"/>
          <w:sz w:val="16"/>
          <w:szCs w:val="16"/>
          <w:color w:val="auto"/>
        </w:rPr>
      </w:pPr>
    </w:p>
    <w:p>
      <w:pPr>
        <w:ind w:left="1860" w:hanging="355"/>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cash;</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237" w:lineRule="exact"/>
        <w:rPr>
          <w:rFonts w:ascii="Arial" w:cs="Arial" w:eastAsia="Arial" w:hAnsi="Arial"/>
          <w:sz w:val="16"/>
          <w:szCs w:val="16"/>
          <w:color w:val="auto"/>
        </w:rPr>
      </w:pPr>
    </w:p>
    <w:p>
      <w:pPr>
        <w:jc w:val="both"/>
        <w:ind w:right="160" w:firstLine="1505"/>
        <w:spacing w:after="0" w:line="329" w:lineRule="auto"/>
        <w:tabs>
          <w:tab w:leader="none" w:pos="18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ind w:left="1120" w:hanging="363"/>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20" w:firstLine="1505"/>
        <w:spacing w:after="0" w:line="302" w:lineRule="auto"/>
        <w:tabs>
          <w:tab w:leader="none" w:pos="1857" w:val="left"/>
        </w:tabs>
        <w:numPr>
          <w:ilvl w:val="1"/>
          <w:numId w:val="20"/>
        </w:numPr>
        <w:rPr>
          <w:rFonts w:ascii="Arial" w:cs="Arial" w:eastAsia="Arial" w:hAnsi="Arial"/>
          <w:sz w:val="16"/>
          <w:szCs w:val="16"/>
          <w:color w:val="auto"/>
        </w:rPr>
      </w:pPr>
      <w:r>
        <w:rPr>
          <w:rFonts w:ascii="Arial" w:cs="Arial" w:eastAsia="Arial" w:hAnsi="Arial"/>
          <w:sz w:val="16"/>
          <w:szCs w:val="16"/>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79" w:lineRule="exact"/>
        <w:rPr>
          <w:rFonts w:ascii="Arial" w:cs="Arial" w:eastAsia="Arial" w:hAnsi="Arial"/>
          <w:sz w:val="16"/>
          <w:szCs w:val="16"/>
          <w:color w:val="auto"/>
        </w:rPr>
      </w:pPr>
    </w:p>
    <w:p>
      <w:pPr>
        <w:ind w:firstLine="1505"/>
        <w:spacing w:after="0" w:line="302" w:lineRule="auto"/>
        <w:tabs>
          <w:tab w:leader="none" w:pos="185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ind w:right="20" w:firstLine="1505"/>
        <w:spacing w:after="0" w:line="296" w:lineRule="auto"/>
        <w:tabs>
          <w:tab w:leader="none" w:pos="1857"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69" w:lineRule="exact"/>
        <w:rPr>
          <w:rFonts w:ascii="Arial" w:cs="Arial" w:eastAsia="Arial" w:hAnsi="Arial"/>
          <w:sz w:val="17"/>
          <w:szCs w:val="17"/>
          <w:color w:val="auto"/>
        </w:rPr>
      </w:pPr>
    </w:p>
    <w:p>
      <w:pPr>
        <w:ind w:firstLine="1505"/>
        <w:spacing w:after="0" w:line="306" w:lineRule="auto"/>
        <w:tabs>
          <w:tab w:leader="none" w:pos="1857"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70" w:lineRule="exact"/>
        <w:rPr>
          <w:rFonts w:ascii="Arial" w:cs="Arial" w:eastAsia="Arial" w:hAnsi="Arial"/>
          <w:sz w:val="16"/>
          <w:szCs w:val="16"/>
          <w:color w:val="auto"/>
        </w:rPr>
      </w:pPr>
    </w:p>
    <w:p>
      <w:pPr>
        <w:ind w:right="20" w:firstLine="757"/>
        <w:spacing w:after="0" w:line="292" w:lineRule="auto"/>
        <w:tabs>
          <w:tab w:leader="none" w:pos="110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4" w:lineRule="exact"/>
        <w:rPr>
          <w:rFonts w:ascii="Arial" w:cs="Arial" w:eastAsia="Arial" w:hAnsi="Arial"/>
          <w:sz w:val="17"/>
          <w:szCs w:val="17"/>
          <w:color w:val="auto"/>
        </w:rPr>
      </w:pPr>
    </w:p>
    <w:p>
      <w:pPr>
        <w:ind w:right="100" w:firstLine="757"/>
        <w:spacing w:after="0" w:line="286" w:lineRule="auto"/>
        <w:tabs>
          <w:tab w:leader="none" w:pos="110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81" w:lineRule="exact"/>
        <w:rPr>
          <w:rFonts w:ascii="Arial" w:cs="Arial" w:eastAsia="Arial" w:hAnsi="Arial"/>
          <w:sz w:val="17"/>
          <w:szCs w:val="17"/>
          <w:color w:val="auto"/>
        </w:rPr>
      </w:pPr>
    </w:p>
    <w:p>
      <w:pPr>
        <w:ind w:left="1120" w:hanging="363"/>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Participant acknowledges, understands and agrees that:</w:t>
      </w:r>
    </w:p>
    <w:p>
      <w:pPr>
        <w:spacing w:after="0" w:line="238" w:lineRule="exact"/>
        <w:rPr>
          <w:rFonts w:ascii="Arial" w:cs="Arial" w:eastAsia="Arial" w:hAnsi="Arial"/>
          <w:sz w:val="18"/>
          <w:szCs w:val="18"/>
          <w:color w:val="auto"/>
        </w:rPr>
      </w:pPr>
    </w:p>
    <w:p>
      <w:pPr>
        <w:ind w:right="260" w:firstLine="1505"/>
        <w:spacing w:after="0" w:line="293" w:lineRule="auto"/>
        <w:tabs>
          <w:tab w:leader="none" w:pos="18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9" w:lineRule="exact"/>
        <w:rPr>
          <w:rFonts w:ascii="Arial" w:cs="Arial" w:eastAsia="Arial" w:hAnsi="Arial"/>
          <w:sz w:val="18"/>
          <w:szCs w:val="18"/>
          <w:color w:val="auto"/>
        </w:rPr>
      </w:pPr>
    </w:p>
    <w:p>
      <w:pPr>
        <w:ind w:left="1860" w:hanging="355"/>
        <w:spacing w:after="0"/>
        <w:tabs>
          <w:tab w:leader="none" w:pos="1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Company;</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38" w:lineRule="exact"/>
        <w:rPr>
          <w:rFonts w:ascii="Arial" w:cs="Arial" w:eastAsia="Arial" w:hAnsi="Arial"/>
          <w:sz w:val="18"/>
          <w:szCs w:val="18"/>
          <w:color w:val="auto"/>
        </w:rPr>
      </w:pPr>
    </w:p>
    <w:p>
      <w:pPr>
        <w:ind w:right="200" w:firstLine="1505"/>
        <w:spacing w:after="0" w:line="279" w:lineRule="auto"/>
        <w:tabs>
          <w:tab w:leader="none" w:pos="18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2" w:lineRule="exact"/>
        <w:rPr>
          <w:rFonts w:ascii="Arial" w:cs="Arial" w:eastAsia="Arial" w:hAnsi="Arial"/>
          <w:sz w:val="18"/>
          <w:szCs w:val="18"/>
          <w:color w:val="auto"/>
        </w:rPr>
      </w:pPr>
    </w:p>
    <w:p>
      <w:pPr>
        <w:ind w:left="1860" w:hanging="355"/>
        <w:spacing w:after="0"/>
        <w:tabs>
          <w:tab w:leader="none" w:pos="18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future value of the Shares underlying the Option is unknown, indeterminable, and cannot be predicted with certainty;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4" w:name="page85"/>
    <w:bookmarkEnd w:id="84"/>
    <w:p>
      <w:pPr>
        <w:ind w:left="1860" w:hanging="355"/>
        <w:spacing w:after="0"/>
        <w:tabs>
          <w:tab w:leader="none" w:pos="1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238" w:lineRule="exact"/>
        <w:rPr>
          <w:rFonts w:ascii="Arial" w:cs="Arial" w:eastAsia="Arial" w:hAnsi="Arial"/>
          <w:sz w:val="18"/>
          <w:szCs w:val="18"/>
          <w:color w:val="auto"/>
        </w:rPr>
      </w:pPr>
    </w:p>
    <w:p>
      <w:pPr>
        <w:ind w:left="1860" w:hanging="355"/>
        <w:spacing w:after="0"/>
        <w:tabs>
          <w:tab w:leader="none" w:pos="1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Participant exercises the Option and acquires Shares, the value of such Shares may increase or decrease in value, even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w:t>
      </w:r>
    </w:p>
    <w:p>
      <w:pPr>
        <w:spacing w:after="0" w:line="238" w:lineRule="exact"/>
        <w:rPr>
          <w:sz w:val="20"/>
          <w:szCs w:val="20"/>
          <w:color w:val="auto"/>
        </w:rPr>
      </w:pPr>
    </w:p>
    <w:p>
      <w:pPr>
        <w:ind w:firstLine="1505"/>
        <w:spacing w:after="0" w:line="285" w:lineRule="auto"/>
        <w:tabs>
          <w:tab w:leader="none" w:pos="18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81" w:lineRule="exact"/>
        <w:rPr>
          <w:rFonts w:ascii="Arial" w:cs="Arial" w:eastAsia="Arial" w:hAnsi="Arial"/>
          <w:sz w:val="17"/>
          <w:szCs w:val="17"/>
          <w:color w:val="auto"/>
        </w:rPr>
      </w:pPr>
    </w:p>
    <w:p>
      <w:pPr>
        <w:ind w:right="200" w:firstLine="1505"/>
        <w:spacing w:after="0" w:line="279" w:lineRule="auto"/>
        <w:tabs>
          <w:tab w:leader="none" w:pos="18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82" w:lineRule="exact"/>
        <w:rPr>
          <w:rFonts w:ascii="Arial" w:cs="Arial" w:eastAsia="Arial" w:hAnsi="Arial"/>
          <w:sz w:val="18"/>
          <w:szCs w:val="18"/>
          <w:color w:val="auto"/>
        </w:rPr>
      </w:pPr>
    </w:p>
    <w:p>
      <w:pPr>
        <w:ind w:left="1860" w:hanging="355"/>
        <w:spacing w:after="0"/>
        <w:tabs>
          <w:tab w:leader="none" w:pos="1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239" w:lineRule="exact"/>
        <w:rPr>
          <w:sz w:val="20"/>
          <w:szCs w:val="20"/>
          <w:color w:val="auto"/>
        </w:rPr>
      </w:pPr>
    </w:p>
    <w:p>
      <w:pPr>
        <w:ind w:left="1860" w:hanging="355"/>
        <w:spacing w:after="0"/>
        <w:tabs>
          <w:tab w:leader="none" w:pos="18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w:t>
      </w:r>
    </w:p>
    <w:p>
      <w:pPr>
        <w:spacing w:after="0" w:line="250" w:lineRule="exact"/>
        <w:rPr>
          <w:rFonts w:ascii="Arial" w:cs="Arial" w:eastAsia="Arial" w:hAnsi="Arial"/>
          <w:sz w:val="17"/>
          <w:szCs w:val="17"/>
          <w:color w:val="auto"/>
        </w:rPr>
      </w:pPr>
    </w:p>
    <w:p>
      <w:pPr>
        <w:jc w:val="both"/>
        <w:ind w:right="20" w:firstLine="1505"/>
        <w:spacing w:after="0" w:line="303" w:lineRule="auto"/>
        <w:tabs>
          <w:tab w:leader="none" w:pos="18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64" w:lineRule="exact"/>
        <w:rPr>
          <w:rFonts w:ascii="Arial" w:cs="Arial" w:eastAsia="Arial" w:hAnsi="Arial"/>
          <w:sz w:val="17"/>
          <w:szCs w:val="17"/>
          <w:color w:val="auto"/>
        </w:rPr>
      </w:pPr>
    </w:p>
    <w:p>
      <w:pPr>
        <w:ind w:right="20" w:firstLine="1505"/>
        <w:spacing w:after="0" w:line="287" w:lineRule="auto"/>
        <w:tabs>
          <w:tab w:leader="none" w:pos="18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1" w:lineRule="exact"/>
        <w:rPr>
          <w:rFonts w:ascii="Arial" w:cs="Arial" w:eastAsia="Arial" w:hAnsi="Arial"/>
          <w:sz w:val="17"/>
          <w:szCs w:val="17"/>
          <w:color w:val="auto"/>
        </w:rPr>
      </w:pPr>
    </w:p>
    <w:p>
      <w:pPr>
        <w:ind w:right="480" w:firstLine="757"/>
        <w:spacing w:after="0" w:line="275" w:lineRule="auto"/>
        <w:tabs>
          <w:tab w:leader="none" w:pos="110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1" w:lineRule="exact"/>
        <w:rPr>
          <w:rFonts w:ascii="Arial" w:cs="Arial" w:eastAsia="Arial" w:hAnsi="Arial"/>
          <w:sz w:val="18"/>
          <w:szCs w:val="18"/>
          <w:color w:val="auto"/>
        </w:rPr>
      </w:pPr>
    </w:p>
    <w:p>
      <w:pPr>
        <w:jc w:val="both"/>
        <w:ind w:right="120" w:firstLine="757"/>
        <w:spacing w:after="0" w:line="276" w:lineRule="auto"/>
        <w:tabs>
          <w:tab w:leader="none" w:pos="1109"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 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ind w:right="40"/>
        <w:spacing w:after="0" w:line="319" w:lineRule="auto"/>
        <w:rPr>
          <w:sz w:val="20"/>
          <w:szCs w:val="20"/>
          <w:color w:val="auto"/>
        </w:rPr>
      </w:pPr>
      <w:r>
        <w:rPr>
          <w:rFonts w:ascii="Arial" w:cs="Arial" w:eastAsia="Arial" w:hAnsi="Arial"/>
          <w:sz w:val="16"/>
          <w:szCs w:val="16"/>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56"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9" w:lineRule="exact"/>
        <w:rPr>
          <w:sz w:val="20"/>
          <w:szCs w:val="20"/>
          <w:color w:val="auto"/>
        </w:rPr>
      </w:pPr>
    </w:p>
    <w:p>
      <w:pPr>
        <w:ind w:right="20" w:firstLine="757"/>
        <w:spacing w:after="0" w:line="359" w:lineRule="auto"/>
        <w:tabs>
          <w:tab w:leader="none" w:pos="110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Address for Notices</w:t>
      </w:r>
      <w:r>
        <w:rPr>
          <w:rFonts w:ascii="Arial" w:cs="Arial" w:eastAsia="Arial" w:hAnsi="Arial"/>
          <w:sz w:val="16"/>
          <w:szCs w:val="16"/>
          <w:color w:val="auto"/>
        </w:rPr>
        <w:t>. Any notice to be given to the Company under the terms of this Option Agreement will be addressed to the Company at Kodiak Sciences Inc., 1200 Page Mill Road, Palo Alto, CA 94304, or at such other address as the Company may hereafter designate in writing.</w:t>
      </w:r>
    </w:p>
    <w:p>
      <w:pPr>
        <w:spacing w:after="0" w:line="124" w:lineRule="exact"/>
        <w:rPr>
          <w:rFonts w:ascii="Arial" w:cs="Arial" w:eastAsia="Arial" w:hAnsi="Arial"/>
          <w:sz w:val="16"/>
          <w:szCs w:val="16"/>
          <w:color w:val="auto"/>
        </w:rPr>
      </w:pPr>
    </w:p>
    <w:p>
      <w:pPr>
        <w:ind w:firstLine="757"/>
        <w:spacing w:after="0" w:line="275" w:lineRule="auto"/>
        <w:tabs>
          <w:tab w:leader="none" w:pos="110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 provided, that, if approved by the Administrator, the Option may be transferred to an estate planning vehicle established for the exclusive benefit of Participant and Participant’s family members within the meaning of Instruction A.1.(a)(5) of Form S-8 under the Securities Act.</w:t>
      </w:r>
    </w:p>
    <w:p>
      <w:pPr>
        <w:spacing w:after="0" w:line="185" w:lineRule="exact"/>
        <w:rPr>
          <w:rFonts w:ascii="Arial" w:cs="Arial" w:eastAsia="Arial" w:hAnsi="Arial"/>
          <w:sz w:val="18"/>
          <w:szCs w:val="18"/>
          <w:color w:val="auto"/>
        </w:rPr>
      </w:pPr>
    </w:p>
    <w:p>
      <w:pPr>
        <w:ind w:right="240" w:firstLine="757"/>
        <w:spacing w:after="0" w:line="296" w:lineRule="auto"/>
        <w:tabs>
          <w:tab w:leader="none" w:pos="110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169" w:lineRule="exact"/>
        <w:rPr>
          <w:rFonts w:ascii="Arial" w:cs="Arial" w:eastAsia="Arial" w:hAnsi="Arial"/>
          <w:sz w:val="17"/>
          <w:szCs w:val="17"/>
          <w:color w:val="auto"/>
        </w:rPr>
      </w:pPr>
    </w:p>
    <w:p>
      <w:pPr>
        <w:ind w:firstLine="757"/>
        <w:spacing w:after="0" w:line="287" w:lineRule="auto"/>
        <w:tabs>
          <w:tab w:leader="none" w:pos="110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6" w:name="page87"/>
    <w:bookmarkEnd w:id="86"/>
    <w:p>
      <w:pPr>
        <w:ind w:right="60" w:firstLine="757"/>
        <w:spacing w:after="0" w:line="293"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9" w:lineRule="exact"/>
        <w:rPr>
          <w:rFonts w:ascii="Arial" w:cs="Arial" w:eastAsia="Arial" w:hAnsi="Arial"/>
          <w:sz w:val="18"/>
          <w:szCs w:val="18"/>
          <w:color w:val="auto"/>
        </w:rPr>
      </w:pPr>
    </w:p>
    <w:p>
      <w:pPr>
        <w:ind w:right="60" w:firstLine="757"/>
        <w:spacing w:after="0" w:line="271"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90" w:lineRule="exact"/>
        <w:rPr>
          <w:rFonts w:ascii="Arial" w:cs="Arial" w:eastAsia="Arial" w:hAnsi="Arial"/>
          <w:sz w:val="18"/>
          <w:szCs w:val="18"/>
          <w:color w:val="auto"/>
        </w:rPr>
      </w:pPr>
    </w:p>
    <w:p>
      <w:pPr>
        <w:ind w:right="60" w:firstLine="757"/>
        <w:spacing w:after="0" w:line="296" w:lineRule="auto"/>
        <w:tabs>
          <w:tab w:leader="none" w:pos="110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9" w:lineRule="exact"/>
        <w:rPr>
          <w:rFonts w:ascii="Arial" w:cs="Arial" w:eastAsia="Arial" w:hAnsi="Arial"/>
          <w:sz w:val="17"/>
          <w:szCs w:val="17"/>
          <w:color w:val="auto"/>
        </w:rPr>
      </w:pPr>
    </w:p>
    <w:p>
      <w:pPr>
        <w:ind w:left="1120" w:hanging="363"/>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Option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color w:val="auto"/>
        </w:rPr>
      </w:pPr>
    </w:p>
    <w:p>
      <w:pPr>
        <w:ind w:firstLine="757"/>
        <w:spacing w:after="0" w:line="359" w:lineRule="auto"/>
        <w:tabs>
          <w:tab w:leader="none" w:pos="110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24" w:lineRule="exact"/>
        <w:rPr>
          <w:rFonts w:ascii="Arial" w:cs="Arial" w:eastAsia="Arial" w:hAnsi="Arial"/>
          <w:sz w:val="16"/>
          <w:szCs w:val="16"/>
          <w:color w:val="auto"/>
        </w:rPr>
      </w:pPr>
    </w:p>
    <w:p>
      <w:pPr>
        <w:jc w:val="both"/>
        <w:ind w:right="60" w:firstLine="757"/>
        <w:spacing w:after="0" w:line="279"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82" w:lineRule="exact"/>
        <w:rPr>
          <w:rFonts w:ascii="Arial" w:cs="Arial" w:eastAsia="Arial" w:hAnsi="Arial"/>
          <w:sz w:val="18"/>
          <w:szCs w:val="18"/>
          <w:color w:val="auto"/>
        </w:rPr>
      </w:pPr>
    </w:p>
    <w:p>
      <w:pPr>
        <w:ind w:right="20" w:firstLine="757"/>
        <w:spacing w:after="0" w:line="296" w:lineRule="auto"/>
        <w:tabs>
          <w:tab w:leader="none" w:pos="110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Santa Clara County, California, or the federal courts for the United States for the Northern District of California, and no other courts, where this Option is made and/or to be performed.</w:t>
      </w:r>
    </w:p>
    <w:p>
      <w:pPr>
        <w:spacing w:after="0" w:line="169" w:lineRule="exact"/>
        <w:rPr>
          <w:rFonts w:ascii="Arial" w:cs="Arial" w:eastAsia="Arial" w:hAnsi="Arial"/>
          <w:sz w:val="17"/>
          <w:szCs w:val="17"/>
          <w:color w:val="auto"/>
        </w:rPr>
      </w:pPr>
    </w:p>
    <w:p>
      <w:pPr>
        <w:ind w:right="120" w:firstLine="757"/>
        <w:spacing w:after="0" w:line="272"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Notwithstanding any provisions in this Option Agreement, this Option shall be subject to any special terms and conditions set forth in the appendix (if any) to this Option Agreement for Participant’s country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190" w:lineRule="exact"/>
        <w:rPr>
          <w:rFonts w:ascii="Arial" w:cs="Arial" w:eastAsia="Arial" w:hAnsi="Arial"/>
          <w:sz w:val="18"/>
          <w:szCs w:val="18"/>
          <w:color w:val="auto"/>
        </w:rPr>
      </w:pPr>
    </w:p>
    <w:p>
      <w:pPr>
        <w:ind w:firstLine="757"/>
        <w:spacing w:after="0" w:line="311" w:lineRule="auto"/>
        <w:tabs>
          <w:tab w:leader="none" w:pos="110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62" w:lineRule="exact"/>
        <w:rPr>
          <w:rFonts w:ascii="Arial" w:cs="Arial" w:eastAsia="Arial" w:hAnsi="Arial"/>
          <w:sz w:val="16"/>
          <w:szCs w:val="16"/>
          <w:color w:val="auto"/>
        </w:rPr>
      </w:pPr>
    </w:p>
    <w:p>
      <w:pPr>
        <w:ind w:right="100" w:firstLine="757"/>
        <w:spacing w:after="0" w:line="275"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7" w:name="page88"/>
    <w:bookmarkEnd w:id="87"/>
    <w:p>
      <w:pPr>
        <w:ind w:left="-80" w:firstLine="757"/>
        <w:spacing w:after="0" w:line="319" w:lineRule="auto"/>
        <w:tabs>
          <w:tab w:leader="none" w:pos="1029"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584" w:right="41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KODIAK SCIENCES INC.</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2021 LONG-TERM PERFORMANCE INCENTIVE PLAN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COUNTRY ADDENDUM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3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Certain capitalized terms used but not defined in this Country Addendum shall have the meanings set forth in the Plan, and/or the Stock Option Agreement to which this Country Addendum is attached.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39"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color w:val="auto"/>
        </w:rPr>
        <w:t>Addendum, as of (except as otherwise noted below).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-347980</wp:posOffset>
            </wp:positionV>
            <wp:extent cx="3429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3"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LONG-TERM PERFORMANCE INCENTIVE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Kodiak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 Page Mill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Administration</w:t>
      </w:r>
    </w:p>
    <w:p>
      <w:pPr>
        <w:spacing w:after="0" w:line="239" w:lineRule="exact"/>
        <w:rPr>
          <w:sz w:val="20"/>
          <w:szCs w:val="20"/>
          <w:color w:val="auto"/>
        </w:rPr>
      </w:pPr>
    </w:p>
    <w:p>
      <w:pPr>
        <w:ind w:left="1120" w:hanging="363"/>
        <w:spacing w:after="0"/>
        <w:tabs>
          <w:tab w:leader="none" w:pos="1120" w:val="left"/>
        </w:tabs>
        <w:numPr>
          <w:ilvl w:val="0"/>
          <w:numId w:val="30"/>
        </w:numPr>
        <w:rPr>
          <w:rFonts w:ascii="Arial" w:cs="Arial" w:eastAsia="Arial" w:hAnsi="Arial"/>
          <w:sz w:val="17"/>
          <w:szCs w:val="17"/>
          <w:b w:val="1"/>
          <w:bCs w:val="1"/>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Effective as of today, ________________, _____, the undersigned (“Purchaser”) hereby elects to purchase</w:t>
      </w:r>
    </w:p>
    <w:p>
      <w:pPr>
        <w:spacing w:after="0" w:line="34" w:lineRule="exact"/>
        <w:rPr>
          <w:rFonts w:ascii="Arial" w:cs="Arial" w:eastAsia="Arial" w:hAnsi="Arial"/>
          <w:sz w:val="17"/>
          <w:szCs w:val="17"/>
          <w:b w:val="1"/>
          <w:bCs w:val="1"/>
          <w:color w:val="auto"/>
        </w:rPr>
      </w:pPr>
    </w:p>
    <w:p>
      <w:pPr>
        <w:spacing w:after="0" w:line="274" w:lineRule="auto"/>
        <w:rPr>
          <w:rFonts w:ascii="Arial" w:cs="Arial" w:eastAsia="Arial" w:hAnsi="Arial"/>
          <w:sz w:val="17"/>
          <w:szCs w:val="17"/>
          <w:b w:val="1"/>
          <w:bCs w:val="1"/>
          <w:color w:val="auto"/>
        </w:rPr>
      </w:pPr>
      <w:r>
        <w:rPr>
          <w:rFonts w:ascii="Arial" w:cs="Arial" w:eastAsia="Arial" w:hAnsi="Arial"/>
          <w:sz w:val="18"/>
          <w:szCs w:val="18"/>
          <w:color w:val="auto"/>
        </w:rPr>
        <w:t>______________ shares (the “Shares”) of the Common Stock of Kodiak Sciences Inc. (the “Company”) under and pursuant to the 2021 Long-Term Performance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 CEO ONLY:</w:t>
      </w:r>
      <w:r>
        <w:rPr>
          <w:rFonts w:ascii="Arial" w:cs="Arial" w:eastAsia="Arial" w:hAnsi="Arial"/>
          <w:sz w:val="17"/>
          <w:szCs w:val="17"/>
          <w:color w:val="auto"/>
        </w:rPr>
        <w:t xml:space="preserve"> </w:t>
      </w:r>
      <w:r>
        <w:rPr>
          <w:rFonts w:ascii="Arial" w:cs="Arial" w:eastAsia="Arial" w:hAnsi="Arial"/>
          <w:sz w:val="17"/>
          <w:szCs w:val="17"/>
          <w:u w:val="single" w:color="auto"/>
          <w:color w:val="auto"/>
        </w:rPr>
        <w:t>Exercise of Option</w:t>
      </w:r>
      <w:r>
        <w:rPr>
          <w:rFonts w:ascii="Arial" w:cs="Arial" w:eastAsia="Arial" w:hAnsi="Arial"/>
          <w:sz w:val="17"/>
          <w:szCs w:val="17"/>
          <w:color w:val="auto"/>
        </w:rPr>
        <w:t>. Effective as of today, ________________, _____, the undersigned (“Purchaser”) hereby elects to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purchase ______________ shares (the “Shares”) of the Common Stock of Kodiak Sciences Inc. (the “Company”) under and pursuant to the 2021 Long-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Performance Incentive Plan (the “Plan”) and the Stock Option Agreement, dated ________ and including the Notice of Grant, the Terms and</w:t>
      </w:r>
    </w:p>
    <w:p>
      <w:pPr>
        <w:spacing w:after="0" w:line="3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Conditions of Stock Option Grant, the Restricted Stock Purchase Agreement and exhibits attached thereto (the “Option Agreement”). The Purchaser further acknowledges and agrees that the purchase of the Shares hereunder shall be subject to and conditioned upon the Participant entering into the Restricted Stock Purchase Agreement (in the form attached to the Option Agreement as Exhibit D) with respect to any Shares acquired by the Participant hereunder, and such Shares shall be subject to, and shall become vested and non-forfeitable in accordance with, the vesting schedule set forth in the Notice of Grant. The purchase price for the Shares will be $_____________, as required by the Option Agreement.]</w:t>
      </w:r>
    </w:p>
    <w:p>
      <w:pPr>
        <w:spacing w:after="0" w:line="174" w:lineRule="exact"/>
        <w:rPr>
          <w:sz w:val="20"/>
          <w:szCs w:val="20"/>
          <w:color w:val="auto"/>
        </w:rPr>
      </w:pPr>
    </w:p>
    <w:p>
      <w:pPr>
        <w:ind w:right="40" w:firstLine="757"/>
        <w:spacing w:after="0" w:line="293" w:lineRule="auto"/>
        <w:tabs>
          <w:tab w:leader="none" w:pos="1109"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Tax Obligations (as defined in Section 6(a) of the Option Agreement) to be paid in connection with the exercise of the Option.</w:t>
      </w:r>
    </w:p>
    <w:p>
      <w:pPr>
        <w:spacing w:after="0" w:line="169" w:lineRule="exact"/>
        <w:rPr>
          <w:rFonts w:ascii="Arial" w:cs="Arial" w:eastAsia="Arial" w:hAnsi="Arial"/>
          <w:sz w:val="18"/>
          <w:szCs w:val="18"/>
          <w:b w:val="1"/>
          <w:bCs w:val="1"/>
          <w:color w:val="auto"/>
        </w:rPr>
      </w:pPr>
    </w:p>
    <w:p>
      <w:pPr>
        <w:ind w:firstLine="757"/>
        <w:spacing w:after="0" w:line="293" w:lineRule="auto"/>
        <w:tabs>
          <w:tab w:leader="none" w:pos="1109"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Option Agreement and agrees to abide by and be bound by their terms and conditions.</w:t>
      </w:r>
    </w:p>
    <w:p>
      <w:pPr>
        <w:spacing w:after="0" w:line="169" w:lineRule="exact"/>
        <w:rPr>
          <w:rFonts w:ascii="Arial" w:cs="Arial" w:eastAsia="Arial" w:hAnsi="Arial"/>
          <w:sz w:val="18"/>
          <w:szCs w:val="18"/>
          <w:b w:val="1"/>
          <w:bCs w:val="1"/>
          <w:color w:val="auto"/>
        </w:rPr>
      </w:pPr>
    </w:p>
    <w:p>
      <w:pPr>
        <w:ind w:firstLine="757"/>
        <w:spacing w:after="0" w:line="272" w:lineRule="auto"/>
        <w:tabs>
          <w:tab w:leader="none" w:pos="1109"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6 of the Plan.</w:t>
      </w:r>
    </w:p>
    <w:p>
      <w:pPr>
        <w:spacing w:after="0" w:line="190" w:lineRule="exact"/>
        <w:rPr>
          <w:rFonts w:ascii="Arial" w:cs="Arial" w:eastAsia="Arial" w:hAnsi="Arial"/>
          <w:sz w:val="18"/>
          <w:szCs w:val="18"/>
          <w:b w:val="1"/>
          <w:bCs w:val="1"/>
          <w:color w:val="auto"/>
        </w:rPr>
      </w:pPr>
    </w:p>
    <w:p>
      <w:pPr>
        <w:ind w:right="360" w:firstLine="757"/>
        <w:spacing w:after="0" w:line="303" w:lineRule="auto"/>
        <w:tabs>
          <w:tab w:leader="none" w:pos="1109" w:val="left"/>
        </w:tabs>
        <w:numPr>
          <w:ilvl w:val="0"/>
          <w:numId w:val="31"/>
        </w:numPr>
        <w:rPr>
          <w:rFonts w:ascii="Arial" w:cs="Arial" w:eastAsia="Arial" w:hAnsi="Arial"/>
          <w:sz w:val="17"/>
          <w:szCs w:val="17"/>
          <w:b w:val="1"/>
          <w:bCs w:val="1"/>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4" w:lineRule="exact"/>
        <w:rPr>
          <w:rFonts w:ascii="Arial" w:cs="Arial" w:eastAsia="Arial" w:hAnsi="Arial"/>
          <w:sz w:val="17"/>
          <w:szCs w:val="17"/>
          <w:b w:val="1"/>
          <w:bCs w:val="1"/>
          <w:color w:val="auto"/>
        </w:rPr>
      </w:pPr>
    </w:p>
    <w:p>
      <w:pPr>
        <w:ind w:right="260" w:firstLine="757"/>
        <w:spacing w:after="0" w:line="272" w:lineRule="auto"/>
        <w:tabs>
          <w:tab w:leader="none" w:pos="1109"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the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0" w:name="page91"/>
    <w:bookmarkEnd w:id="90"/>
    <w:p>
      <w:pPr>
        <w:spacing w:after="0"/>
        <w:tabs>
          <w:tab w:leader="none" w:pos="1420" w:val="left"/>
        </w:tabs>
        <w:rPr>
          <w:sz w:val="20"/>
          <w:szCs w:val="20"/>
          <w:color w:val="auto"/>
        </w:rPr>
      </w:pPr>
      <w:r>
        <w:rPr>
          <w:rFonts w:ascii="Arial" w:cs="Arial" w:eastAsia="Arial" w:hAnsi="Arial"/>
          <w:sz w:val="18"/>
          <w:szCs w:val="18"/>
          <w:color w:val="auto"/>
        </w:rPr>
        <w:t>Submitted by:</w:t>
      </w:r>
      <w:r>
        <w:rPr>
          <w:sz w:val="20"/>
          <w:szCs w:val="20"/>
          <w:color w:val="auto"/>
        </w:rPr>
        <w:tab/>
      </w:r>
      <w:r>
        <w:rPr>
          <w:rFonts w:ascii="Arial" w:cs="Arial" w:eastAsia="Arial" w:hAnsi="Arial"/>
          <w:sz w:val="16"/>
          <w:szCs w:val="16"/>
          <w:color w:val="auto"/>
        </w:rPr>
        <w:t>Accepted by:</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6973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6973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16973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1180465</wp:posOffset>
            </wp:positionV>
            <wp:extent cx="16973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KODIAK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193675</wp:posOffset>
            </wp:positionV>
            <wp:extent cx="16891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349250</wp:posOffset>
            </wp:positionV>
            <wp:extent cx="16891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349250</wp:posOffset>
            </wp:positionV>
            <wp:extent cx="16891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1180465</wp:posOffset>
            </wp:positionV>
            <wp:extent cx="16891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0" w:lineRule="exact"/>
        <w:rPr>
          <w:sz w:val="20"/>
          <w:szCs w:val="20"/>
          <w:color w:val="auto"/>
        </w:rPr>
      </w:pPr>
    </w:p>
    <w:p>
      <w:pPr>
        <w:sectPr>
          <w:pgSz w:w="11900" w:h="16838" w:orient="portrait"/>
          <w:cols w:equalWidth="0" w:num="2">
            <w:col w:w="2400" w:space="580"/>
            <w:col w:w="7159"/>
          </w:cols>
          <w:pgMar w:left="320" w:top="584"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u w:val="single" w:color="auto"/>
          <w:color w:val="auto"/>
        </w:rPr>
        <w:t>EXHIBIT D-1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LONG-TERM PERFORMANCE INCENTIVE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PURCHASE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PURCHASE AGREEMENT (the “Agreement”) is made between Victor Perlroth (the “Purchaser”) and Kodiak Sciences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or its assignees of rights hereunder as of __________________, ____.</w:t>
      </w:r>
    </w:p>
    <w:p>
      <w:pPr>
        <w:spacing w:after="0" w:line="23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Unless otherwise defined herein, capitalized terms used in this Agreement shall have the meanings ascribed to such terms defined in the Company’s 2021 Long-Term Performance Incentive Plan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RECITALS</w:t>
      </w:r>
    </w:p>
    <w:p>
      <w:pPr>
        <w:spacing w:after="0" w:line="239" w:lineRule="exact"/>
        <w:rPr>
          <w:sz w:val="20"/>
          <w:szCs w:val="20"/>
          <w:color w:val="auto"/>
        </w:rPr>
      </w:pPr>
    </w:p>
    <w:p>
      <w:pPr>
        <w:ind w:firstLine="1505"/>
        <w:spacing w:after="0" w:line="275" w:lineRule="auto"/>
        <w:tabs>
          <w:tab w:leader="none" w:pos="18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Pursuant to the exercise of the Option granted to Purchaser under the Plan and pursuant to the Stock Option Agreement (the “Option Agreement”) dated as of _______, 2021 by and between the Company and Purchaser, which Plan and Option Agreement are hereby incorporated by reference, Purchaser has elected to purchase _________ of those Shares of Common Stock which have not become vested under the vesting schedule set forth in the Option Agreement (“Unvested Shares”).</w:t>
      </w:r>
    </w:p>
    <w:p>
      <w:pPr>
        <w:spacing w:after="0" w:line="185" w:lineRule="exact"/>
        <w:rPr>
          <w:rFonts w:ascii="Arial" w:cs="Arial" w:eastAsia="Arial" w:hAnsi="Arial"/>
          <w:sz w:val="18"/>
          <w:szCs w:val="18"/>
          <w:color w:val="auto"/>
        </w:rPr>
      </w:pPr>
    </w:p>
    <w:p>
      <w:pPr>
        <w:ind w:right="160" w:firstLine="1505"/>
        <w:spacing w:after="0" w:line="324" w:lineRule="auto"/>
        <w:tabs>
          <w:tab w:leader="none" w:pos="185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47" w:lineRule="exact"/>
        <w:rPr>
          <w:rFonts w:ascii="Arial" w:cs="Arial" w:eastAsia="Arial" w:hAnsi="Arial"/>
          <w:sz w:val="17"/>
          <w:szCs w:val="17"/>
          <w:color w:val="auto"/>
        </w:rPr>
      </w:pPr>
    </w:p>
    <w:p>
      <w:pPr>
        <w:ind w:left="1120" w:hanging="363"/>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239" w:lineRule="exact"/>
        <w:rPr>
          <w:sz w:val="20"/>
          <w:szCs w:val="20"/>
          <w:color w:val="auto"/>
        </w:rPr>
      </w:pPr>
    </w:p>
    <w:p>
      <w:pPr>
        <w:ind w:right="40" w:firstLine="1505"/>
        <w:spacing w:after="0" w:line="303" w:lineRule="auto"/>
        <w:tabs>
          <w:tab w:leader="none" w:pos="1857"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Purchaser’s status as a Service Provider is terminated for any reason, the Company shall have the right and option for one hundred and eighty (180)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64" w:lineRule="exact"/>
        <w:rPr>
          <w:rFonts w:ascii="Arial" w:cs="Arial" w:eastAsia="Arial" w:hAnsi="Arial"/>
          <w:sz w:val="17"/>
          <w:szCs w:val="17"/>
          <w:color w:val="auto"/>
        </w:rPr>
      </w:pPr>
    </w:p>
    <w:p>
      <w:pPr>
        <w:ind w:right="20" w:firstLine="1505"/>
        <w:spacing w:after="0" w:line="270" w:lineRule="auto"/>
        <w:tabs>
          <w:tab w:leader="none" w:pos="18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by delivering to the Purchaser (or the Purchaser’s transferee or legal representative) a check in the amount of the aggregate repurchase price. Upon delivery of such notice and payment of the aggregate repurchase price,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92" w:lineRule="exact"/>
        <w:rPr>
          <w:rFonts w:ascii="Arial" w:cs="Arial" w:eastAsia="Arial" w:hAnsi="Arial"/>
          <w:sz w:val="18"/>
          <w:szCs w:val="18"/>
          <w:color w:val="auto"/>
        </w:rPr>
      </w:pPr>
    </w:p>
    <w:p>
      <w:pPr>
        <w:ind w:right="260" w:firstLine="1505"/>
        <w:spacing w:after="0" w:line="279" w:lineRule="auto"/>
        <w:tabs>
          <w:tab w:leader="none" w:pos="18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82" w:lineRule="exact"/>
        <w:rPr>
          <w:rFonts w:ascii="Arial" w:cs="Arial" w:eastAsia="Arial" w:hAnsi="Arial"/>
          <w:sz w:val="18"/>
          <w:szCs w:val="18"/>
          <w:color w:val="auto"/>
        </w:rPr>
      </w:pPr>
    </w:p>
    <w:p>
      <w:pPr>
        <w:ind w:right="540" w:firstLine="1505"/>
        <w:spacing w:after="0" w:line="293" w:lineRule="auto"/>
        <w:tabs>
          <w:tab w:leader="none" w:pos="18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Company does not elect to exercise the Repurchase Option conferred above by giving the requisite notice within one hundred and eighty (180) days following the termination, the Repurchase Option shall terminate.</w:t>
      </w:r>
    </w:p>
    <w:p>
      <w:pPr>
        <w:spacing w:after="0" w:line="169" w:lineRule="exact"/>
        <w:rPr>
          <w:rFonts w:ascii="Arial" w:cs="Arial" w:eastAsia="Arial" w:hAnsi="Arial"/>
          <w:sz w:val="18"/>
          <w:szCs w:val="18"/>
          <w:color w:val="auto"/>
        </w:rPr>
      </w:pPr>
    </w:p>
    <w:p>
      <w:pPr>
        <w:ind w:left="1860" w:hanging="355"/>
        <w:spacing w:after="0"/>
        <w:tabs>
          <w:tab w:leader="none" w:pos="18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Repurchase Option shall terminate in accordance with the vesting schedule contained in Purchaser’s Option Agreement.</w:t>
      </w:r>
    </w:p>
    <w:p>
      <w:pPr>
        <w:spacing w:after="0" w:line="261" w:lineRule="exact"/>
        <w:rPr>
          <w:rFonts w:ascii="Arial" w:cs="Arial" w:eastAsia="Arial" w:hAnsi="Arial"/>
          <w:sz w:val="16"/>
          <w:szCs w:val="16"/>
          <w:color w:val="auto"/>
        </w:rPr>
      </w:pPr>
    </w:p>
    <w:p>
      <w:pPr>
        <w:ind w:left="1120" w:hanging="363"/>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Transferability of the Shares; Escrow</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right="520" w:firstLine="1505"/>
        <w:spacing w:after="0" w:line="324" w:lineRule="auto"/>
        <w:tabs>
          <w:tab w:leader="none" w:pos="1857" w:val="left"/>
        </w:tabs>
        <w:numPr>
          <w:ilvl w:val="1"/>
          <w:numId w:val="35"/>
        </w:numPr>
        <w:rPr>
          <w:rFonts w:ascii="Arial" w:cs="Arial" w:eastAsia="Arial" w:hAnsi="Arial"/>
          <w:sz w:val="17"/>
          <w:szCs w:val="17"/>
          <w:color w:val="auto"/>
        </w:rPr>
      </w:pPr>
      <w:r>
        <w:rPr>
          <w:rFonts w:ascii="Arial" w:cs="Arial" w:eastAsia="Arial" w:hAnsi="Arial"/>
          <w:sz w:val="17"/>
          <w:szCs w:val="17"/>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ind w:firstLine="1505"/>
        <w:spacing w:after="0" w:line="286" w:lineRule="auto"/>
        <w:tabs>
          <w:tab w:leader="none" w:pos="1857"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7"/>
          <w:szCs w:val="17"/>
          <w:u w:val="single" w:color="auto"/>
          <w:color w:val="auto"/>
        </w:rPr>
        <w:t>Exhibit D-3</w:t>
      </w:r>
      <w:r>
        <w:rPr>
          <w:rFonts w:ascii="Arial" w:cs="Arial" w:eastAsia="Arial" w:hAnsi="Arial"/>
          <w:sz w:val="17"/>
          <w:szCs w:val="17"/>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78" w:lineRule="exact"/>
        <w:rPr>
          <w:rFonts w:ascii="Arial" w:cs="Arial" w:eastAsia="Arial" w:hAnsi="Arial"/>
          <w:sz w:val="17"/>
          <w:szCs w:val="17"/>
          <w:color w:val="auto"/>
        </w:rPr>
      </w:pPr>
    </w:p>
    <w:p>
      <w:pPr>
        <w:ind w:right="160" w:firstLine="1505"/>
        <w:spacing w:after="0" w:line="293" w:lineRule="auto"/>
        <w:tabs>
          <w:tab w:leader="none" w:pos="18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Neither the Company nor the Escrow Agent shall be liable for any act it may do or omit to do with respect to holding the Shares in escrow and while acting in good faith and in the exercise of its judgment.</w:t>
      </w:r>
    </w:p>
    <w:p>
      <w:pPr>
        <w:spacing w:after="0" w:line="169" w:lineRule="exact"/>
        <w:rPr>
          <w:rFonts w:ascii="Arial" w:cs="Arial" w:eastAsia="Arial" w:hAnsi="Arial"/>
          <w:sz w:val="18"/>
          <w:szCs w:val="18"/>
          <w:color w:val="auto"/>
        </w:rPr>
      </w:pPr>
    </w:p>
    <w:p>
      <w:pPr>
        <w:jc w:val="both"/>
        <w:ind w:firstLine="1505"/>
        <w:spacing w:after="0" w:line="279" w:lineRule="auto"/>
        <w:tabs>
          <w:tab w:leader="none" w:pos="18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Transfer or sale of the Shares is subject to restrictions on transfer imposed by any applicable state and federal securities laws. Any transferee shall hold such Shares subject to all the provisions hereof and the Exercise Notice executed by the Purchaser with respect to any Unvested Shares purchased by Purchaser and shall acknowledge the same by signing a copy of this Agreement.</w:t>
      </w:r>
    </w:p>
    <w:p>
      <w:pPr>
        <w:spacing w:after="0" w:line="182" w:lineRule="exact"/>
        <w:rPr>
          <w:rFonts w:ascii="Arial" w:cs="Arial" w:eastAsia="Arial" w:hAnsi="Arial"/>
          <w:sz w:val="18"/>
          <w:szCs w:val="18"/>
          <w:color w:val="auto"/>
        </w:rPr>
      </w:pPr>
    </w:p>
    <w:p>
      <w:pPr>
        <w:ind w:right="500" w:firstLine="757"/>
        <w:spacing w:after="0" w:line="293" w:lineRule="auto"/>
        <w:tabs>
          <w:tab w:leader="none" w:pos="110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Ownership, Voting Rights, Duties</w:t>
      </w:r>
      <w:r>
        <w:rPr>
          <w:rFonts w:ascii="Arial" w:cs="Arial" w:eastAsia="Arial" w:hAnsi="Arial"/>
          <w:sz w:val="18"/>
          <w:szCs w:val="18"/>
          <w:color w:val="auto"/>
        </w:rPr>
        <w:t>. This Agreement shall not affect in any way the ownership, voting rights or other rights or duties of Purchaser, except as specifically provided herein.</w:t>
      </w:r>
    </w:p>
    <w:p>
      <w:pPr>
        <w:spacing w:after="0" w:line="169" w:lineRule="exact"/>
        <w:rPr>
          <w:rFonts w:ascii="Arial" w:cs="Arial" w:eastAsia="Arial" w:hAnsi="Arial"/>
          <w:sz w:val="18"/>
          <w:szCs w:val="18"/>
          <w:color w:val="auto"/>
        </w:rPr>
      </w:pPr>
    </w:p>
    <w:p>
      <w:pPr>
        <w:ind w:right="520" w:firstLine="757"/>
        <w:spacing w:after="0" w:line="293" w:lineRule="auto"/>
        <w:tabs>
          <w:tab w:leader="none" w:pos="110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share certificate evidencing the Shares issued hereunder shall be endorsed with the following legend (in addition to any legend required under applicable federal and state securities laws):</w:t>
      </w:r>
    </w:p>
    <w:p>
      <w:pPr>
        <w:spacing w:after="0" w:line="170" w:lineRule="exact"/>
        <w:rPr>
          <w:sz w:val="20"/>
          <w:szCs w:val="20"/>
          <w:color w:val="auto"/>
        </w:rPr>
      </w:pPr>
    </w:p>
    <w:p>
      <w:pPr>
        <w:ind w:right="40" w:firstLine="749"/>
        <w:spacing w:after="0" w:line="279" w:lineRule="auto"/>
        <w:rPr>
          <w:sz w:val="20"/>
          <w:szCs w:val="20"/>
          <w:color w:val="auto"/>
        </w:rPr>
      </w:pPr>
      <w:r>
        <w:rPr>
          <w:rFonts w:ascii="Arial" w:cs="Arial" w:eastAsia="Arial" w:hAnsi="Arial"/>
          <w:sz w:val="18"/>
          <w:szCs w:val="18"/>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83" w:lineRule="exact"/>
        <w:rPr>
          <w:sz w:val="20"/>
          <w:szCs w:val="20"/>
          <w:color w:val="auto"/>
        </w:rPr>
      </w:pPr>
    </w:p>
    <w:p>
      <w:pPr>
        <w:ind w:right="40" w:firstLine="757"/>
        <w:spacing w:after="0" w:line="279" w:lineRule="auto"/>
        <w:tabs>
          <w:tab w:leader="none" w:pos="110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w:t>
      </w:r>
      <w:r>
        <w:rPr>
          <w:rFonts w:ascii="Arial" w:cs="Arial" w:eastAsia="Arial" w:hAnsi="Arial"/>
          <w:sz w:val="18"/>
          <w:szCs w:val="18"/>
          <w:color w:val="auto"/>
        </w:rPr>
        <w:t>. All references to the number of Shares and the purchase price of the Shares in this Agreement shall be appropriately adjusted to reflect any stock split, stock dividend or other change in the Shares, which may be made by the Company pursuant to Section 6 of the Plan after the date of this Agreement.</w:t>
      </w:r>
    </w:p>
    <w:p>
      <w:pPr>
        <w:spacing w:after="0" w:line="182" w:lineRule="exact"/>
        <w:rPr>
          <w:rFonts w:ascii="Arial" w:cs="Arial" w:eastAsia="Arial" w:hAnsi="Arial"/>
          <w:sz w:val="18"/>
          <w:szCs w:val="18"/>
          <w:color w:val="auto"/>
        </w:rPr>
      </w:pPr>
    </w:p>
    <w:p>
      <w:pPr>
        <w:ind w:right="220" w:firstLine="757"/>
        <w:spacing w:after="0" w:line="293" w:lineRule="auto"/>
        <w:tabs>
          <w:tab w:leader="none" w:pos="110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hereunder shall be given in person or by registered mail to the address of Purchaser shown on the records of the Company, and to the Company at their respective principal executive offices.</w:t>
      </w:r>
    </w:p>
    <w:p>
      <w:pPr>
        <w:spacing w:after="0" w:line="169" w:lineRule="exact"/>
        <w:rPr>
          <w:rFonts w:ascii="Arial" w:cs="Arial" w:eastAsia="Arial" w:hAnsi="Arial"/>
          <w:sz w:val="18"/>
          <w:szCs w:val="18"/>
          <w:color w:val="auto"/>
        </w:rPr>
      </w:pPr>
    </w:p>
    <w:p>
      <w:pPr>
        <w:ind w:right="600" w:firstLine="757"/>
        <w:spacing w:after="0" w:line="293" w:lineRule="auto"/>
        <w:tabs>
          <w:tab w:leader="none" w:pos="110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Purchaser and the Company and their respective permitted assignees and transferees, heirs, legatees, executors, administrators and legal successors.</w:t>
      </w:r>
    </w:p>
    <w:p>
      <w:pPr>
        <w:spacing w:after="0" w:line="169" w:lineRule="exact"/>
        <w:rPr>
          <w:rFonts w:ascii="Arial" w:cs="Arial" w:eastAsia="Arial" w:hAnsi="Arial"/>
          <w:sz w:val="18"/>
          <w:szCs w:val="18"/>
          <w:color w:val="auto"/>
        </w:rPr>
      </w:pPr>
    </w:p>
    <w:p>
      <w:pPr>
        <w:ind w:right="240" w:firstLine="757"/>
        <w:spacing w:after="0" w:line="319" w:lineRule="auto"/>
        <w:tabs>
          <w:tab w:leader="none" w:pos="1109"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Purchaser hereby acknowledges that 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A form of Election under Section 83(b) is attached hereto as Exhibit D-4 for reference.</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83" w:lineRule="exact"/>
        <w:rPr>
          <w:sz w:val="20"/>
          <w:szCs w:val="20"/>
          <w:color w:val="auto"/>
        </w:rPr>
      </w:pPr>
    </w:p>
    <w:p>
      <w:pPr>
        <w:ind w:right="100" w:firstLine="757"/>
        <w:spacing w:after="0" w:line="296" w:lineRule="auto"/>
        <w:tabs>
          <w:tab w:leader="none" w:pos="110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ind w:right="20" w:firstLine="757"/>
        <w:spacing w:after="0" w:line="272" w:lineRule="auto"/>
        <w:tabs>
          <w:tab w:leader="none" w:pos="1109"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Option Agreement are incorporated herein by reference. The Plan, the Option Agreement, the Exercise Notice, and this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Purchaser represents that he has read this Agreement and is familiar with its terms and provisions. Purchaser hereby agrees to accept as binding, conclusive and final all decisions or interpretations of the Board upon any questions arising under this Agreement.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IN WITNESS WHEREOF, this Agreement is deemed made as of the date first set forth above.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PURCHASER</w:t>
            </w:r>
          </w:p>
        </w:tc>
        <w:tc>
          <w:tcPr>
            <w:tcW w:w="380" w:type="dxa"/>
            <w:vAlign w:val="bottom"/>
          </w:tcPr>
          <w:p>
            <w:pPr>
              <w:spacing w:after="0"/>
              <w:rPr>
                <w:sz w:val="20"/>
                <w:szCs w:val="20"/>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KODIAK SCIENCES INC.</w:t>
            </w:r>
          </w:p>
        </w:tc>
      </w:tr>
      <w:tr>
        <w:trPr>
          <w:trHeight w:val="445"/>
        </w:trPr>
        <w:tc>
          <w:tcPr>
            <w:tcW w:w="26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37"/>
        </w:trPr>
        <w:tc>
          <w:tcPr>
            <w:tcW w:w="2620" w:type="dxa"/>
            <w:vAlign w:val="bottom"/>
          </w:tcPr>
          <w:p>
            <w:pPr>
              <w:ind w:left="100"/>
              <w:spacing w:after="0"/>
              <w:rPr>
                <w:sz w:val="20"/>
                <w:szCs w:val="20"/>
                <w:color w:val="auto"/>
              </w:rPr>
            </w:pPr>
            <w:r>
              <w:rPr>
                <w:rFonts w:ascii="Arial" w:cs="Arial" w:eastAsia="Arial" w:hAnsi="Arial"/>
                <w:sz w:val="18"/>
                <w:szCs w:val="18"/>
                <w:color w:val="auto"/>
              </w:rPr>
              <w:t>Signature</w:t>
            </w:r>
          </w:p>
        </w:tc>
        <w:tc>
          <w:tcPr>
            <w:tcW w:w="380" w:type="dxa"/>
            <w:vAlign w:val="bottom"/>
          </w:tcPr>
          <w:p>
            <w:pPr>
              <w:spacing w:after="0"/>
              <w:rPr>
                <w:sz w:val="20"/>
                <w:szCs w:val="20"/>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By</w:t>
            </w:r>
          </w:p>
        </w:tc>
      </w:tr>
      <w:tr>
        <w:trPr>
          <w:trHeight w:val="446"/>
        </w:trPr>
        <w:tc>
          <w:tcPr>
            <w:tcW w:w="26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37"/>
        </w:trPr>
        <w:tc>
          <w:tcPr>
            <w:tcW w:w="2620" w:type="dxa"/>
            <w:vAlign w:val="bottom"/>
          </w:tcPr>
          <w:p>
            <w:pPr>
              <w:ind w:left="100"/>
              <w:spacing w:after="0"/>
              <w:rPr>
                <w:sz w:val="20"/>
                <w:szCs w:val="20"/>
                <w:color w:val="auto"/>
              </w:rPr>
            </w:pPr>
            <w:r>
              <w:rPr>
                <w:rFonts w:ascii="Arial" w:cs="Arial" w:eastAsia="Arial" w:hAnsi="Arial"/>
                <w:sz w:val="18"/>
                <w:szCs w:val="18"/>
                <w:color w:val="auto"/>
              </w:rPr>
              <w:t>Print Name</w:t>
            </w:r>
          </w:p>
        </w:tc>
        <w:tc>
          <w:tcPr>
            <w:tcW w:w="380" w:type="dxa"/>
            <w:vAlign w:val="bottom"/>
          </w:tcPr>
          <w:p>
            <w:pPr>
              <w:spacing w:after="0"/>
              <w:rPr>
                <w:sz w:val="20"/>
                <w:szCs w:val="20"/>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Print Name</w:t>
            </w:r>
          </w:p>
        </w:tc>
      </w:tr>
      <w:tr>
        <w:trPr>
          <w:trHeight w:val="445"/>
        </w:trPr>
        <w:tc>
          <w:tcPr>
            <w:tcW w:w="26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37"/>
        </w:trPr>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Title</w:t>
            </w:r>
          </w:p>
        </w:tc>
      </w:tr>
      <w:tr>
        <w:trPr>
          <w:trHeight w:val="445"/>
        </w:trPr>
        <w:tc>
          <w:tcPr>
            <w:tcW w:w="26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7"/>
        </w:trPr>
        <w:tc>
          <w:tcPr>
            <w:tcW w:w="2620" w:type="dxa"/>
            <w:vAlign w:val="bottom"/>
          </w:tcPr>
          <w:p>
            <w:pPr>
              <w:ind w:left="100"/>
              <w:spacing w:after="0"/>
              <w:rPr>
                <w:sz w:val="20"/>
                <w:szCs w:val="20"/>
                <w:color w:val="auto"/>
              </w:rPr>
            </w:pPr>
            <w:r>
              <w:rPr>
                <w:rFonts w:ascii="Arial" w:cs="Arial" w:eastAsia="Arial" w:hAnsi="Arial"/>
                <w:sz w:val="18"/>
                <w:szCs w:val="18"/>
                <w:color w:val="auto"/>
              </w:rPr>
              <w:t>Residence Address</w:t>
            </w:r>
          </w:p>
        </w:tc>
        <w:tc>
          <w:tcPr>
            <w:tcW w:w="38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95" w:name="page96"/>
    <w:bookmarkEnd w:id="95"/>
    <w:p>
      <w:pPr>
        <w:jc w:val="center"/>
        <w:ind w:right="-239"/>
        <w:spacing w:after="0"/>
        <w:rPr>
          <w:sz w:val="20"/>
          <w:szCs w:val="20"/>
          <w:color w:val="auto"/>
        </w:rPr>
      </w:pPr>
      <w:r>
        <w:rPr>
          <w:rFonts w:ascii="Arial" w:cs="Arial" w:eastAsia="Arial" w:hAnsi="Arial"/>
          <w:sz w:val="18"/>
          <w:szCs w:val="18"/>
          <w:b w:val="1"/>
          <w:bCs w:val="1"/>
          <w:u w:val="single" w:color="auto"/>
          <w:color w:val="auto"/>
        </w:rPr>
        <w:t>EXHIBIT D-2</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I, Victor Perlroth, hereby sell, assign and transfer unto Kodiak Sciences Inc. (the “Company”) _____________ shares of the</w:t>
      </w:r>
    </w:p>
    <w:p>
      <w:pPr>
        <w:spacing w:after="0" w:line="46"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common stock of the Company standing in my name of the books of the Company and represented by Certificate No. ___ herewith and do hereby irrevocably constitute and appoint the Company’s Secretary to transfer the said stock on the books of the Company with full power of substitution in the premises.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This Stock Assignment may be used only in accordance with the Restricted Stock Purchase Agreement between the Company and the undersigned 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_____ (the “Agreement”).</w:t>
      </w:r>
    </w:p>
    <w:p>
      <w:pPr>
        <w:spacing w:after="0" w:line="292"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Dated: ___________________</w:t>
      </w:r>
      <w:r>
        <w:rPr>
          <w:sz w:val="20"/>
          <w:szCs w:val="20"/>
          <w:color w:val="auto"/>
        </w:rPr>
        <w:tab/>
      </w:r>
      <w:r>
        <w:rPr>
          <w:rFonts w:ascii="Arial" w:cs="Arial" w:eastAsia="Arial" w:hAnsi="Arial"/>
          <w:sz w:val="16"/>
          <w:szCs w:val="16"/>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Victor Perlroth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INSTRUCTIONS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Please do not fill in any blanks other than the signature line. The purpose of this assignment is to enable the Company to exercise its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“repurchase option,” as set forth in the Agreement, without requiring additional signatures on the part of the Purchaser.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4" w:right="5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t>EXHIBIT D-3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135"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_________________, ____</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Kodiak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_________________:</w:t>
      </w:r>
    </w:p>
    <w:p>
      <w:pPr>
        <w:spacing w:after="0" w:line="239" w:lineRule="exact"/>
        <w:rPr>
          <w:sz w:val="20"/>
          <w:szCs w:val="20"/>
          <w:color w:val="auto"/>
        </w:rPr>
      </w:pPr>
    </w:p>
    <w:p>
      <w:pPr>
        <w:jc w:val="both"/>
        <w:ind w:right="200" w:firstLine="749"/>
        <w:spacing w:after="0" w:line="303" w:lineRule="auto"/>
        <w:rPr>
          <w:sz w:val="20"/>
          <w:szCs w:val="20"/>
          <w:color w:val="auto"/>
        </w:rPr>
      </w:pPr>
      <w:r>
        <w:rPr>
          <w:rFonts w:ascii="Arial" w:cs="Arial" w:eastAsia="Arial" w:hAnsi="Arial"/>
          <w:sz w:val="17"/>
          <w:szCs w:val="17"/>
          <w:color w:val="auto"/>
        </w:rPr>
        <w:t>As Escrow Agent for both Kodiak Sciences.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64" w:lineRule="exact"/>
        <w:rPr>
          <w:sz w:val="20"/>
          <w:szCs w:val="20"/>
          <w:color w:val="auto"/>
        </w:rPr>
      </w:pPr>
    </w:p>
    <w:p>
      <w:pPr>
        <w:jc w:val="both"/>
        <w:ind w:right="20" w:firstLine="757"/>
        <w:spacing w:after="0" w:line="319" w:lineRule="auto"/>
        <w:tabs>
          <w:tab w:leader="none" w:pos="11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55" w:lineRule="exact"/>
        <w:rPr>
          <w:rFonts w:ascii="Arial" w:cs="Arial" w:eastAsia="Arial" w:hAnsi="Arial"/>
          <w:sz w:val="16"/>
          <w:szCs w:val="16"/>
          <w:color w:val="auto"/>
        </w:rPr>
      </w:pPr>
    </w:p>
    <w:p>
      <w:pPr>
        <w:ind w:right="120" w:firstLine="757"/>
        <w:spacing w:after="0" w:line="275" w:lineRule="auto"/>
        <w:tabs>
          <w:tab w:leader="none" w:pos="11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85" w:lineRule="exact"/>
        <w:rPr>
          <w:rFonts w:ascii="Arial" w:cs="Arial" w:eastAsia="Arial" w:hAnsi="Arial"/>
          <w:sz w:val="18"/>
          <w:szCs w:val="18"/>
          <w:color w:val="auto"/>
        </w:rPr>
      </w:pPr>
    </w:p>
    <w:p>
      <w:pPr>
        <w:ind w:right="20" w:firstLine="757"/>
        <w:spacing w:after="0" w:line="290" w:lineRule="auto"/>
        <w:tabs>
          <w:tab w:leader="none" w:pos="11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75" w:lineRule="exact"/>
        <w:rPr>
          <w:rFonts w:ascii="Arial" w:cs="Arial" w:eastAsia="Arial" w:hAnsi="Arial"/>
          <w:sz w:val="17"/>
          <w:szCs w:val="17"/>
          <w:color w:val="auto"/>
        </w:rPr>
      </w:pPr>
    </w:p>
    <w:p>
      <w:pPr>
        <w:ind w:right="40" w:firstLine="757"/>
        <w:spacing w:after="0" w:line="292" w:lineRule="auto"/>
        <w:tabs>
          <w:tab w:leader="none" w:pos="11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written request of the Purchaser, but no more than once per calendar year, unless the Company’s repurchase option has been exercised, you shall deliver to Purchaser a certificate or certificates representing so many shares of stock as are not then subject to the Company’s repurchase option. Within two hundred (200) days after cessation of 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74" w:lineRule="exact"/>
        <w:rPr>
          <w:rFonts w:ascii="Arial" w:cs="Arial" w:eastAsia="Arial" w:hAnsi="Arial"/>
          <w:sz w:val="17"/>
          <w:szCs w:val="17"/>
          <w:color w:val="auto"/>
        </w:rPr>
      </w:pPr>
    </w:p>
    <w:p>
      <w:pPr>
        <w:ind w:right="320" w:firstLine="757"/>
        <w:spacing w:after="0" w:line="293" w:lineRule="auto"/>
        <w:tabs>
          <w:tab w:leader="none" w:pos="11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238" w:lineRule="exact"/>
        <w:rPr>
          <w:rFonts w:ascii="Arial" w:cs="Arial" w:eastAsia="Arial" w:hAnsi="Arial"/>
          <w:sz w:val="18"/>
          <w:szCs w:val="18"/>
          <w:color w:val="auto"/>
        </w:rPr>
      </w:pPr>
    </w:p>
    <w:p>
      <w:pPr>
        <w:ind w:right="40" w:firstLine="757"/>
        <w:spacing w:after="0" w:line="319" w:lineRule="auto"/>
        <w:tabs>
          <w:tab w:leader="none" w:pos="11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ind w:left="-20" w:right="20" w:firstLine="757"/>
        <w:spacing w:after="0" w:line="272"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90" w:lineRule="exact"/>
        <w:rPr>
          <w:rFonts w:ascii="Arial" w:cs="Arial" w:eastAsia="Arial" w:hAnsi="Arial"/>
          <w:sz w:val="18"/>
          <w:szCs w:val="18"/>
          <w:color w:val="auto"/>
        </w:rPr>
      </w:pPr>
    </w:p>
    <w:p>
      <w:pPr>
        <w:ind w:left="-20" w:right="220" w:firstLine="757"/>
        <w:spacing w:after="0" w:line="293"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69" w:lineRule="exact"/>
        <w:rPr>
          <w:rFonts w:ascii="Arial" w:cs="Arial" w:eastAsia="Arial" w:hAnsi="Arial"/>
          <w:sz w:val="18"/>
          <w:szCs w:val="18"/>
          <w:color w:val="auto"/>
        </w:rPr>
      </w:pPr>
    </w:p>
    <w:p>
      <w:pPr>
        <w:ind w:left="-20" w:right="40" w:firstLine="757"/>
        <w:spacing w:after="0" w:line="293"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You shall not be liable for the outlawing of any rights under the Statute of Limitations with respect to these Joint Escrow Instructions or any documents deposited with you.</w:t>
      </w:r>
    </w:p>
    <w:p>
      <w:pPr>
        <w:spacing w:after="0" w:line="169" w:lineRule="exact"/>
        <w:rPr>
          <w:rFonts w:ascii="Arial" w:cs="Arial" w:eastAsia="Arial" w:hAnsi="Arial"/>
          <w:sz w:val="18"/>
          <w:szCs w:val="18"/>
          <w:color w:val="auto"/>
        </w:rPr>
      </w:pPr>
    </w:p>
    <w:p>
      <w:pPr>
        <w:ind w:left="-20" w:right="140" w:firstLine="757"/>
        <w:spacing w:after="0" w:line="359" w:lineRule="auto"/>
        <w:tabs>
          <w:tab w:leader="none" w:pos="10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124" w:lineRule="exact"/>
        <w:rPr>
          <w:rFonts w:ascii="Arial" w:cs="Arial" w:eastAsia="Arial" w:hAnsi="Arial"/>
          <w:sz w:val="16"/>
          <w:szCs w:val="16"/>
          <w:color w:val="auto"/>
        </w:rPr>
      </w:pPr>
    </w:p>
    <w:p>
      <w:pPr>
        <w:ind w:left="-20" w:right="200" w:firstLine="757"/>
        <w:spacing w:after="0" w:line="324" w:lineRule="auto"/>
        <w:tabs>
          <w:tab w:leader="none" w:pos="1089" w:val="left"/>
        </w:tabs>
        <w:numPr>
          <w:ilvl w:val="0"/>
          <w:numId w:val="42"/>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47" w:lineRule="exact"/>
        <w:rPr>
          <w:rFonts w:ascii="Arial" w:cs="Arial" w:eastAsia="Arial" w:hAnsi="Arial"/>
          <w:sz w:val="17"/>
          <w:szCs w:val="17"/>
          <w:color w:val="auto"/>
        </w:rPr>
      </w:pPr>
    </w:p>
    <w:p>
      <w:pPr>
        <w:ind w:left="-20" w:right="20" w:firstLine="757"/>
        <w:spacing w:after="0" w:line="293"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69" w:lineRule="exact"/>
        <w:rPr>
          <w:rFonts w:ascii="Arial" w:cs="Arial" w:eastAsia="Arial" w:hAnsi="Arial"/>
          <w:sz w:val="18"/>
          <w:szCs w:val="18"/>
          <w:color w:val="auto"/>
        </w:rPr>
      </w:pPr>
    </w:p>
    <w:p>
      <w:pPr>
        <w:ind w:left="-20" w:firstLine="757"/>
        <w:spacing w:after="0" w:line="272"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90" w:lineRule="exact"/>
        <w:rPr>
          <w:rFonts w:ascii="Arial" w:cs="Arial" w:eastAsia="Arial" w:hAnsi="Arial"/>
          <w:sz w:val="18"/>
          <w:szCs w:val="18"/>
          <w:color w:val="auto"/>
        </w:rPr>
      </w:pPr>
    </w:p>
    <w:p>
      <w:pPr>
        <w:ind w:left="-20" w:right="140" w:firstLine="757"/>
        <w:spacing w:after="0" w:line="275"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85" w:lineRule="exact"/>
        <w:rPr>
          <w:rFonts w:ascii="Arial" w:cs="Arial" w:eastAsia="Arial" w:hAnsi="Arial"/>
          <w:sz w:val="18"/>
          <w:szCs w:val="18"/>
          <w:color w:val="auto"/>
        </w:rPr>
      </w:pPr>
    </w:p>
    <w:p>
      <w:pPr>
        <w:ind w:left="-20" w:right="280" w:firstLine="757"/>
        <w:spacing w:after="0" w:line="293"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169" w:lineRule="exact"/>
        <w:rPr>
          <w:rFonts w:ascii="Arial" w:cs="Arial" w:eastAsia="Arial" w:hAnsi="Arial"/>
          <w:sz w:val="18"/>
          <w:szCs w:val="18"/>
          <w:color w:val="auto"/>
        </w:rPr>
      </w:pPr>
    </w:p>
    <w:p>
      <w:pPr>
        <w:ind w:left="1100" w:hanging="363"/>
        <w:spacing w:after="0"/>
        <w:tabs>
          <w:tab w:leader="none" w:pos="1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261" w:lineRule="exact"/>
        <w:rPr>
          <w:rFonts w:ascii="Arial" w:cs="Arial" w:eastAsia="Arial" w:hAnsi="Arial"/>
          <w:sz w:val="16"/>
          <w:szCs w:val="16"/>
          <w:color w:val="auto"/>
        </w:rPr>
      </w:pPr>
    </w:p>
    <w:p>
      <w:pPr>
        <w:ind w:left="1100" w:hanging="363"/>
        <w:spacing w:after="0"/>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Joint Escrow Instructions shall be governed by the internal substantive laws, but not the choice of law rules, of California.</w:t>
      </w:r>
    </w:p>
    <w:p>
      <w:pPr>
        <w:spacing w:after="0" w:line="250" w:lineRule="exact"/>
        <w:rPr>
          <w:rFonts w:ascii="Arial" w:cs="Arial" w:eastAsia="Arial" w:hAnsi="Arial"/>
          <w:sz w:val="17"/>
          <w:szCs w:val="17"/>
          <w:color w:val="auto"/>
        </w:rPr>
      </w:pPr>
    </w:p>
    <w:p>
      <w:pPr>
        <w:ind w:left="470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14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14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14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714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Residence Address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ESCROW AGENT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KODIAK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304800</wp:posOffset>
            </wp:positionV>
            <wp:extent cx="17056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297815</wp:posOffset>
            </wp:positionV>
            <wp:extent cx="17056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297815</wp:posOffset>
            </wp:positionV>
            <wp:extent cx="17056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859" w:lineRule="exact"/>
        <w:rPr>
          <w:sz w:val="20"/>
          <w:szCs w:val="20"/>
          <w:color w:val="auto"/>
        </w:rPr>
      </w:pPr>
    </w:p>
    <w:p>
      <w:pPr>
        <w:sectPr>
          <w:pgSz w:w="11900" w:h="16838" w:orient="portrait"/>
          <w:cols w:equalWidth="0" w:num="2">
            <w:col w:w="2240" w:space="720"/>
            <w:col w:w="7179"/>
          </w:cols>
          <w:pgMar w:left="320" w:top="611"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u w:val="single" w:color="auto"/>
          <w:color w:val="auto"/>
        </w:rPr>
        <w:t>EXHIBIT D-4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SECTION 83(b)</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43"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83" w:lineRule="exact"/>
        <w:rPr>
          <w:sz w:val="20"/>
          <w:szCs w:val="20"/>
          <w:color w:val="auto"/>
        </w:rPr>
      </w:pPr>
    </w:p>
    <w:p>
      <w:pPr>
        <w:ind w:right="340" w:firstLine="757"/>
        <w:spacing w:after="0" w:line="293" w:lineRule="auto"/>
        <w:tabs>
          <w:tab w:leader="none" w:pos="11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address and taxpayer identification (social security) number of the undersigned, and the taxable year in which this election is being made, are: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TAXPAYER’S NAME: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TAXPAYER’S SOCIAL SECURITY NUMBER:</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TAXABLE YEAR:</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 address and taxpayer identification (social security) number of the undersigned’s spouse are (complete if applicable):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SPOUSE’S NAME: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SPOUSE’S SOCIAL SECURITY NUMBER:</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ADDRESS:</w:t>
      </w:r>
    </w:p>
    <w:p>
      <w:pPr>
        <w:spacing w:after="0" w:line="239" w:lineRule="exact"/>
        <w:rPr>
          <w:sz w:val="20"/>
          <w:szCs w:val="20"/>
          <w:color w:val="auto"/>
        </w:rPr>
      </w:pPr>
    </w:p>
    <w:p>
      <w:pPr>
        <w:ind w:right="60" w:firstLine="757"/>
        <w:spacing w:after="0" w:line="293" w:lineRule="auto"/>
        <w:tabs>
          <w:tab w:leader="none" w:pos="11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__________ shares (the “Shares”) of the Common Stock of Kodiak Sciences Inc. (the “Company”).</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property was transferred is:___________________ ,______.</w:t>
      </w:r>
    </w:p>
    <w:p>
      <w:pPr>
        <w:spacing w:after="0" w:line="238" w:lineRule="exact"/>
        <w:rPr>
          <w:rFonts w:ascii="Arial" w:cs="Arial" w:eastAsia="Arial" w:hAnsi="Arial"/>
          <w:sz w:val="18"/>
          <w:szCs w:val="18"/>
          <w:color w:val="auto"/>
        </w:rPr>
      </w:pPr>
    </w:p>
    <w:p>
      <w:pPr>
        <w:ind w:left="1120" w:hanging="363"/>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239" w:lineRule="exact"/>
        <w:rPr>
          <w:sz w:val="20"/>
          <w:szCs w:val="20"/>
          <w:color w:val="auto"/>
        </w:rPr>
      </w:pPr>
    </w:p>
    <w:p>
      <w:pPr>
        <w:ind w:right="220" w:firstLine="749"/>
        <w:spacing w:after="0" w:line="293" w:lineRule="auto"/>
        <w:rPr>
          <w:sz w:val="20"/>
          <w:szCs w:val="20"/>
          <w:color w:val="auto"/>
        </w:rPr>
      </w:pPr>
      <w:r>
        <w:rPr>
          <w:rFonts w:ascii="Arial" w:cs="Arial" w:eastAsia="Arial" w:hAnsi="Arial"/>
          <w:sz w:val="18"/>
          <w:szCs w:val="18"/>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70" w:lineRule="exact"/>
        <w:rPr>
          <w:sz w:val="20"/>
          <w:szCs w:val="20"/>
          <w:color w:val="auto"/>
        </w:rPr>
      </w:pPr>
    </w:p>
    <w:p>
      <w:pPr>
        <w:ind w:right="220" w:firstLine="757"/>
        <w:spacing w:after="0" w:line="293" w:lineRule="auto"/>
        <w:tabs>
          <w:tab w:leader="none" w:pos="11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shall never lapse, of such property is: $_________________.</w:t>
      </w:r>
    </w:p>
    <w:p>
      <w:pPr>
        <w:spacing w:after="0" w:line="169" w:lineRule="exact"/>
        <w:rPr>
          <w:rFonts w:ascii="Arial" w:cs="Arial" w:eastAsia="Arial" w:hAnsi="Arial"/>
          <w:sz w:val="18"/>
          <w:szCs w:val="18"/>
          <w:color w:val="auto"/>
        </w:rPr>
      </w:pPr>
    </w:p>
    <w:p>
      <w:pPr>
        <w:ind w:left="1120" w:hanging="36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(if any) paid for such property is: $_________________.</w:t>
      </w:r>
    </w:p>
    <w:p>
      <w:pPr>
        <w:spacing w:after="0" w:line="239"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auto"/>
        </w:rPr>
        <w:t>The undersigned understands that the foregoing election may not be revoked except with the consent of the Commissioner</w:t>
      </w:r>
      <w:r>
        <w:rPr>
          <w:rFonts w:ascii="Arial" w:cs="Arial" w:eastAsia="Arial" w:hAnsi="Arial"/>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w:t>
      </w:r>
    </w:p>
    <w:p>
      <w:pPr>
        <w:spacing w:after="0" w:line="23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Taxpayer</w:t>
      </w:r>
    </w:p>
    <w:p>
      <w:pPr>
        <w:spacing w:after="0" w:line="200" w:lineRule="exact"/>
        <w:rPr>
          <w:sz w:val="20"/>
          <w:szCs w:val="20"/>
          <w:color w:val="auto"/>
        </w:rPr>
      </w:pPr>
    </w:p>
    <w:p>
      <w:pPr>
        <w:spacing w:after="0" w:line="26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Election Form</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ODIAK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LECTION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 FOR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Kodiak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providing you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opportunity to receive a one-time special equity award in the form of a stock option under the Kodiak Sciences Inc. 2018 Equity Incentive Plan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pursuant to the terms and conditions set forth in this Election Form for Special Equity Award (“</w:t>
      </w:r>
      <w:r>
        <w:rPr>
          <w:rFonts w:ascii="Arial" w:cs="Arial" w:eastAsia="Arial" w:hAnsi="Arial"/>
          <w:sz w:val="16"/>
          <w:szCs w:val="16"/>
          <w:b w:val="1"/>
          <w:bCs w:val="1"/>
          <w:i w:val="1"/>
          <w:iCs w:val="1"/>
          <w:color w:val="auto"/>
        </w:rPr>
        <w:t>Election Form</w:t>
      </w:r>
      <w:r>
        <w:rPr>
          <w:rFonts w:ascii="Arial" w:cs="Arial" w:eastAsia="Arial" w:hAnsi="Arial"/>
          <w:sz w:val="16"/>
          <w:szCs w:val="16"/>
          <w:color w:val="auto"/>
        </w:rPr>
        <w:t>”) and as described in the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Q&amp;A (the “</w:t>
      </w:r>
      <w:r>
        <w:rPr>
          <w:rFonts w:ascii="Arial" w:cs="Arial" w:eastAsia="Arial" w:hAnsi="Arial"/>
          <w:sz w:val="18"/>
          <w:szCs w:val="18"/>
          <w:b w:val="1"/>
          <w:bCs w:val="1"/>
          <w:i w:val="1"/>
          <w:iCs w:val="1"/>
          <w:color w:val="auto"/>
        </w:rPr>
        <w:t>Special Award</w:t>
      </w:r>
      <w:r>
        <w:rPr>
          <w:rFonts w:ascii="Arial" w:cs="Arial" w:eastAsia="Arial" w:hAnsi="Arial"/>
          <w:sz w:val="18"/>
          <w:szCs w:val="18"/>
          <w:color w:val="auto"/>
        </w:rPr>
        <w:t>”).</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Specifically, the Committee is giving you the opportunity in this Election Form to (1) elect whether you wish to receive the Special Award (such election, the “</w:t>
      </w:r>
      <w:r>
        <w:rPr>
          <w:rFonts w:ascii="Arial" w:cs="Arial" w:eastAsia="Arial" w:hAnsi="Arial"/>
          <w:sz w:val="18"/>
          <w:szCs w:val="18"/>
          <w:b w:val="1"/>
          <w:bCs w:val="1"/>
          <w:i w:val="1"/>
          <w:iCs w:val="1"/>
          <w:color w:val="auto"/>
        </w:rPr>
        <w:t>Opt-In Election</w:t>
      </w:r>
      <w:r>
        <w:rPr>
          <w:rFonts w:ascii="Arial" w:cs="Arial" w:eastAsia="Arial" w:hAnsi="Arial"/>
          <w:sz w:val="18"/>
          <w:szCs w:val="18"/>
          <w:color w:val="auto"/>
        </w:rPr>
        <w:t>”), which would be granted to you in lieu of a portion of each annual long term incentive award that may be granted by the Company to you during fiscal year 2021 and continuing through and including fiscal year 2027 (the “</w:t>
      </w:r>
      <w:r>
        <w:rPr>
          <w:rFonts w:ascii="Arial" w:cs="Arial" w:eastAsia="Arial" w:hAnsi="Arial"/>
          <w:sz w:val="18"/>
          <w:szCs w:val="18"/>
          <w:b w:val="1"/>
          <w:bCs w:val="1"/>
          <w:i w:val="1"/>
          <w:iCs w:val="1"/>
          <w:color w:val="auto"/>
        </w:rPr>
        <w:t>Election Period</w:t>
      </w:r>
      <w:r>
        <w:rPr>
          <w:rFonts w:ascii="Arial" w:cs="Arial" w:eastAsia="Arial" w:hAnsi="Arial"/>
          <w:sz w:val="18"/>
          <w:szCs w:val="18"/>
          <w:color w:val="auto"/>
        </w:rPr>
        <w:t>”), in each case subject to your continued status as a Service Provider (as defined in the Plan) on the applicable grant date (collectively, the “</w:t>
      </w:r>
      <w:r>
        <w:rPr>
          <w:rFonts w:ascii="Arial" w:cs="Arial" w:eastAsia="Arial" w:hAnsi="Arial"/>
          <w:sz w:val="18"/>
          <w:szCs w:val="18"/>
          <w:b w:val="1"/>
          <w:bCs w:val="1"/>
          <w:i w:val="1"/>
          <w:iCs w:val="1"/>
          <w:color w:val="auto"/>
        </w:rPr>
        <w:t>Annual Long Term Incentive Awards</w:t>
      </w:r>
      <w:r>
        <w:rPr>
          <w:rFonts w:ascii="Arial" w:cs="Arial" w:eastAsia="Arial" w:hAnsi="Arial"/>
          <w:sz w:val="18"/>
          <w:szCs w:val="18"/>
          <w:color w:val="auto"/>
        </w:rPr>
        <w:t>”), and, to the extent you make the Opt-In Election, (2) indicate your preference regarding the portion of the Annual Long Term Incentive Awards that you wish to forego (the “</w:t>
      </w:r>
      <w:r>
        <w:rPr>
          <w:rFonts w:ascii="Arial" w:cs="Arial" w:eastAsia="Arial" w:hAnsi="Arial"/>
          <w:sz w:val="18"/>
          <w:szCs w:val="18"/>
          <w:b w:val="1"/>
          <w:bCs w:val="1"/>
          <w:i w:val="1"/>
          <w:iCs w:val="1"/>
          <w:color w:val="auto"/>
        </w:rPr>
        <w:t>Percentage Election</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will be sending a DocuSign to complete this Election Form. Please complete the DocuSign before 5:00 p.m., Pacific Time on </w:t>
      </w:r>
      <w:r>
        <w:rPr>
          <w:rFonts w:ascii="Arial" w:cs="Arial" w:eastAsia="Arial" w:hAnsi="Arial"/>
          <w:sz w:val="16"/>
          <w:szCs w:val="16"/>
          <w:b w:val="1"/>
          <w:bCs w:val="1"/>
          <w:u w:val="single" w:color="auto"/>
          <w:color w:val="auto"/>
        </w:rPr>
        <w:t>__________</w:t>
      </w:r>
      <w:r>
        <w:rPr>
          <w:rFonts w:ascii="Arial" w:cs="Arial" w:eastAsia="Arial" w:hAnsi="Arial"/>
          <w:sz w:val="16"/>
          <w:szCs w:val="16"/>
          <w:color w:val="auto"/>
        </w:rPr>
        <w:t>.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extent that your completed Election Form is not received by such time, you will be deemed to have declined the Special Award.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Opt-In Election. </w:t>
      </w:r>
      <w:r>
        <w:rPr>
          <w:rFonts w:ascii="Arial" w:cs="Arial" w:eastAsia="Arial" w:hAnsi="Arial"/>
          <w:sz w:val="18"/>
          <w:szCs w:val="18"/>
          <w:color w:val="auto"/>
        </w:rPr>
        <w:t>I hereby make the following election with respect to the Special Award:</w:t>
      </w:r>
    </w:p>
    <w:p>
      <w:pPr>
        <w:spacing w:after="0" w:line="293" w:lineRule="exact"/>
        <w:rPr>
          <w:sz w:val="20"/>
          <w:szCs w:val="20"/>
          <w:color w:val="auto"/>
        </w:rPr>
      </w:pPr>
    </w:p>
    <w:p>
      <w:pPr>
        <w:ind w:left="1600" w:right="140" w:hanging="782"/>
        <w:spacing w:after="0" w:line="297" w:lineRule="auto"/>
        <w:tabs>
          <w:tab w:leader="none" w:pos="160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Accept. </w:t>
      </w:r>
      <w:r>
        <w:rPr>
          <w:rFonts w:ascii="Arial" w:cs="Arial" w:eastAsia="Arial" w:hAnsi="Arial"/>
          <w:sz w:val="18"/>
          <w:szCs w:val="18"/>
          <w:color w:val="auto"/>
        </w:rPr>
        <w:t>I wish to accept the Special Award and forego a percentage of my Annual Long Term Incentive Award for each of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seven years. I have indicated my Percentage Election below.</w:t>
      </w:r>
    </w:p>
    <w:p>
      <w:pPr>
        <w:spacing w:after="0" w:line="176" w:lineRule="exact"/>
        <w:rPr>
          <w:rFonts w:ascii="MS PGothic" w:cs="MS PGothic" w:eastAsia="MS PGothic" w:hAnsi="MS PGothic"/>
          <w:sz w:val="18"/>
          <w:szCs w:val="18"/>
          <w:color w:val="auto"/>
        </w:rPr>
      </w:pPr>
    </w:p>
    <w:p>
      <w:pPr>
        <w:ind w:left="1600" w:hanging="782"/>
        <w:spacing w:after="0"/>
        <w:tabs>
          <w:tab w:leader="none" w:pos="1600" w:val="left"/>
        </w:tabs>
        <w:numPr>
          <w:ilvl w:val="0"/>
          <w:numId w:val="4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Decline. </w:t>
      </w:r>
      <w:r>
        <w:rPr>
          <w:rFonts w:ascii="Arial" w:cs="Arial" w:eastAsia="Arial" w:hAnsi="Arial"/>
          <w:sz w:val="18"/>
          <w:szCs w:val="18"/>
          <w:color w:val="auto"/>
        </w:rPr>
        <w:t>I wish to decline the Special Award.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Percentage Election. </w:t>
      </w:r>
      <w:r>
        <w:rPr>
          <w:rFonts w:ascii="Arial" w:cs="Arial" w:eastAsia="Arial" w:hAnsi="Arial"/>
          <w:sz w:val="16"/>
          <w:szCs w:val="16"/>
          <w:color w:val="auto"/>
        </w:rPr>
        <w:t>I hereby elect to forego the following percentage of each Annual Long Term Incentive Award in exchange for the Special Award:</w:t>
      </w:r>
    </w:p>
    <w:p>
      <w:pPr>
        <w:spacing w:after="0" w:line="320" w:lineRule="exact"/>
        <w:rPr>
          <w:sz w:val="20"/>
          <w:szCs w:val="20"/>
          <w:color w:val="auto"/>
        </w:rPr>
      </w:pPr>
    </w:p>
    <w:p>
      <w:pPr>
        <w:ind w:left="1600" w:hanging="782"/>
        <w:spacing w:after="0"/>
        <w:tabs>
          <w:tab w:leader="none" w:pos="160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0% of the Annual Long Term Incentive Awards in the form of the Special Award; or</w:t>
      </w:r>
    </w:p>
    <w:p>
      <w:pPr>
        <w:spacing w:after="0" w:line="252" w:lineRule="exact"/>
        <w:rPr>
          <w:rFonts w:ascii="MS PGothic" w:cs="MS PGothic" w:eastAsia="MS PGothic" w:hAnsi="MS PGothic"/>
          <w:sz w:val="18"/>
          <w:szCs w:val="18"/>
          <w:color w:val="auto"/>
        </w:rPr>
      </w:pPr>
    </w:p>
    <w:p>
      <w:pPr>
        <w:ind w:left="1600" w:hanging="782"/>
        <w:spacing w:after="0"/>
        <w:tabs>
          <w:tab w:leader="none" w:pos="160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25% of the Annual Long Term Incentive Awards in the form a Special Award of _____non-qualified stock options; or</w:t>
      </w:r>
    </w:p>
    <w:p>
      <w:pPr>
        <w:spacing w:after="0" w:line="252" w:lineRule="exact"/>
        <w:rPr>
          <w:rFonts w:ascii="MS PGothic" w:cs="MS PGothic" w:eastAsia="MS PGothic" w:hAnsi="MS PGothic"/>
          <w:sz w:val="18"/>
          <w:szCs w:val="18"/>
          <w:color w:val="auto"/>
        </w:rPr>
      </w:pPr>
    </w:p>
    <w:p>
      <w:pPr>
        <w:ind w:left="1600" w:hanging="782"/>
        <w:spacing w:after="0"/>
        <w:tabs>
          <w:tab w:leader="none" w:pos="160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50% of the Annual Long Term Incentive Awards in the form of a Special Award of _____non-qualified stock options; or</w:t>
      </w:r>
    </w:p>
    <w:p>
      <w:pPr>
        <w:spacing w:after="0" w:line="252" w:lineRule="exact"/>
        <w:rPr>
          <w:rFonts w:ascii="MS PGothic" w:cs="MS PGothic" w:eastAsia="MS PGothic" w:hAnsi="MS PGothic"/>
          <w:sz w:val="18"/>
          <w:szCs w:val="18"/>
          <w:color w:val="auto"/>
        </w:rPr>
      </w:pPr>
    </w:p>
    <w:p>
      <w:pPr>
        <w:ind w:left="1600" w:hanging="782"/>
        <w:spacing w:after="0"/>
        <w:tabs>
          <w:tab w:leader="none" w:pos="1600"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75% of the Annual Long Term Incentive Awards in the form of a Special Award of ____non-qualified 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By signing below, you acknowledge that you understand that, after 5:00 p.m., Pacific Time on </w:t>
      </w:r>
      <w:r>
        <w:rPr>
          <w:rFonts w:ascii="Arial" w:cs="Arial" w:eastAsia="Arial" w:hAnsi="Arial"/>
          <w:sz w:val="16"/>
          <w:szCs w:val="16"/>
          <w:b w:val="1"/>
          <w:bCs w:val="1"/>
          <w:i w:val="1"/>
          <w:iCs w:val="1"/>
          <w:u w:val="single" w:color="auto"/>
          <w:color w:val="auto"/>
        </w:rPr>
        <w:t>__________</w:t>
      </w:r>
      <w:r>
        <w:rPr>
          <w:rFonts w:ascii="Arial" w:cs="Arial" w:eastAsia="Arial" w:hAnsi="Arial"/>
          <w:sz w:val="16"/>
          <w:szCs w:val="16"/>
          <w:b w:val="1"/>
          <w:bCs w:val="1"/>
          <w:i w:val="1"/>
          <w:iCs w:val="1"/>
          <w:color w:val="auto"/>
        </w:rPr>
        <w:t>, you may not withdraw or change your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566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29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3566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(please print)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(Exhibit A). – Special Award Q&amp;A</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1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ODIAK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3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Q&amp;A</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information in this Special Award Q&amp;A (“</w:t>
      </w:r>
      <w:r>
        <w:rPr>
          <w:rFonts w:ascii="Arial" w:cs="Arial" w:eastAsia="Arial" w:hAnsi="Arial"/>
          <w:sz w:val="18"/>
          <w:szCs w:val="18"/>
          <w:b w:val="1"/>
          <w:bCs w:val="1"/>
          <w:i w:val="1"/>
          <w:iCs w:val="1"/>
          <w:color w:val="auto"/>
        </w:rPr>
        <w:t>Q&amp;A</w:t>
      </w:r>
      <w:r>
        <w:rPr>
          <w:rFonts w:ascii="Arial" w:cs="Arial" w:eastAsia="Arial" w:hAnsi="Arial"/>
          <w:sz w:val="18"/>
          <w:szCs w:val="18"/>
          <w:color w:val="auto"/>
        </w:rPr>
        <w:t>”) is intended as a summary. It may not answer all of the questions you may have about the Special Award and is not intended to go into every detail regarding the Special Award. Please note that if there are any inconsistencies between the information in this Q&amp;A and the terms of the Special Award (as set forth in the documentation evidencing the Special Award that will, in the event you make the Opt-In Election, be provided to you upon grant), the terms of the Special Award will control. Capitalized terms not explicitly defined in this Q&amp;A or the Election Form will have the same meanings ascribed to them in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 Election Form?</w:t>
      </w:r>
    </w:p>
    <w:p>
      <w:pPr>
        <w:spacing w:after="0" w:line="243"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To motivate and reward the next phase of transformational performance and growth, the Committee is considering approving a new long-term incentive compensation program (the “</w:t>
      </w:r>
      <w:r>
        <w:rPr>
          <w:rFonts w:ascii="Arial" w:cs="Arial" w:eastAsia="Arial" w:hAnsi="Arial"/>
          <w:sz w:val="16"/>
          <w:szCs w:val="16"/>
          <w:b w:val="1"/>
          <w:bCs w:val="1"/>
          <w:i w:val="1"/>
          <w:iCs w:val="1"/>
          <w:color w:val="auto"/>
        </w:rPr>
        <w:t>KSO Program</w:t>
      </w:r>
      <w:r>
        <w:rPr>
          <w:rFonts w:ascii="Arial" w:cs="Arial" w:eastAsia="Arial" w:hAnsi="Arial"/>
          <w:sz w:val="16"/>
          <w:szCs w:val="16"/>
          <w:color w:val="auto"/>
        </w:rPr>
        <w:t>”), pursuant to which each participant will be granted a Special Award that will vest subject to both time-based and performance-based vesting conditions (as described further below). You are receiving the Election Form because you are grade-level six or above and the Committee believes you are in a position to lead and influence the Company’s next phase of performance and growth, and therefore wants you to be a participant in the KSO Program. By electing to receive the Special Award, you will confirm your wish to participate in the KSO Program.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an overview document to review details of KSO Program?</w:t>
      </w:r>
    </w:p>
    <w:p>
      <w:pPr>
        <w:spacing w:after="0" w:line="243"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Eligible participants should read the “KSO Program 7-year Performance Award Participant Overview” . Please note that the KSO Program is subject to modification or cancellation based on shareholder voting from special proxy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potential value of the Special Award?</w:t>
      </w:r>
    </w:p>
    <w:p>
      <w:pPr>
        <w:spacing w:after="0" w:line="243"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 xml:space="preserve">The Special Award is designed to provide approximately </w:t>
      </w:r>
      <w:r>
        <w:rPr>
          <w:rFonts w:ascii="Arial" w:cs="Arial" w:eastAsia="Arial" w:hAnsi="Arial"/>
          <w:sz w:val="18"/>
          <w:szCs w:val="18"/>
          <w:u w:val="single" w:color="auto"/>
          <w:color w:val="auto"/>
        </w:rPr>
        <w:t>three</w:t>
      </w:r>
      <w:r>
        <w:rPr>
          <w:rFonts w:ascii="Arial" w:cs="Arial" w:eastAsia="Arial" w:hAnsi="Arial"/>
          <w:sz w:val="18"/>
          <w:szCs w:val="18"/>
          <w:color w:val="auto"/>
        </w:rPr>
        <w:t xml:space="preserve"> times the value at the end of the seven year performance measurement period, based on assumptions used prior to grant date, as compared to the foregone portion of the Annual Long Term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Special Award vest?</w:t>
      </w:r>
    </w:p>
    <w:p>
      <w:pPr>
        <w:spacing w:after="0" w:line="24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Subject to certain exceptions, the Special Award will be earned based upon the achievement of stock price performance objectives ranging from $200 to $800 over the next seven years. These performance objectives will need to be achieved, and sustained, over ninety (90) consecutive trading days at any time during the Election Period. Once earned, the Special Award will also be subject to time-based vesting conditions. Specifically, upon the achievement of any performance objective under the KSO Program, the underlying tranche of options will vest in equal monthly installments between the date of achievement of such performance objective and the end of the Election Period, subject to your continued status as a Service Provider through each such vesting date. Subject to certain exceptions, any stock price performance objectives that are not achieved by the end of the Election Period will result in the cancellation of any relevant tranches of the Special Award.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ways for the Special Award to be earned and to vest?</w:t>
      </w:r>
    </w:p>
    <w:p>
      <w:pPr>
        <w:spacing w:after="0" w:line="243"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A threshold level of the Special Award will be earned upon the attainment of certain operational performance objectives. Up to 25% of the Special Award will be earned upon the attainment of regulatory milestones tied to KSI-301. An additional 10% of the Special Award will be earned in the first fiscal year in which KSI-301 and/or KSI-501 has sales of $2.5 billion. To prevent double counting, the KSOs that are earned based on (Exhibit A). Please note that attainment of the stock price performance objectives (that is, the same KSOs cannot be earned twice).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Are there any other conditions applicable to the Special Award?</w:t>
      </w:r>
    </w:p>
    <w:p>
      <w:pPr>
        <w:spacing w:after="0" w:line="243"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The Special Award will be subject to stockholder approval at a special meeting of the Company’s stockholders to be held as soon as practicable following the Committee’s approval of the KSO Program and the Special Award. If such shareholder approval is not obtained, then the Special Award will be forfeited and you will receive 100% of the value of your Annual Long Term Incentive Award for fiscal year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I contact to answer any questions regarding the Special Award?</w:t>
      </w:r>
    </w:p>
    <w:p>
      <w:pPr>
        <w:spacing w:after="0" w:line="243"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You are encouraged to direct questions to KSOQuestions@InfiniteEquity.com or contact John Borgeson at the Company to the extent you have any questions regarding the Special Award.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39"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39"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79"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2021 as filed with the Securities and Exchange Commission on the date hereof (the “Report”), I certify, pursuant to 18 U.S.C. § 1350, as adopted pursuant to § 906 of the Sarbanes-Oxley Act of 2002, to the best of my knowledge, that:</w:t>
      </w:r>
    </w:p>
    <w:p>
      <w:pPr>
        <w:spacing w:after="0" w:line="183" w:lineRule="exact"/>
        <w:rPr>
          <w:sz w:val="20"/>
          <w:szCs w:val="20"/>
          <w:color w:val="auto"/>
        </w:rPr>
      </w:pPr>
    </w:p>
    <w:p>
      <w:pPr>
        <w:ind w:left="960" w:hanging="443"/>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tabs>
          <w:tab w:leader="none" w:pos="77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41"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Victor Perlroth, M.D.</w:t>
      </w:r>
    </w:p>
    <w:p>
      <w:pPr>
        <w:spacing w:after="0" w:line="36"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(Principal Executive Officer)</w:t>
      </w:r>
    </w:p>
    <w:p>
      <w:pPr>
        <w:spacing w:after="0" w:line="26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September 30, 2021 as filed with the Securities and Exchange Commission on the date hereof (the “Report”), I certify, pursuant to 18 U.S.C. § 1350, as adopted pursuant to § 906 of the Sarbanes-Oxley Act of 2002, to the best of my knowledge, that:</w:t>
      </w:r>
    </w:p>
    <w:p>
      <w:pPr>
        <w:spacing w:after="0" w:line="183" w:lineRule="exact"/>
        <w:rPr>
          <w:sz w:val="20"/>
          <w:szCs w:val="20"/>
          <w:color w:val="auto"/>
        </w:rPr>
      </w:pPr>
    </w:p>
    <w:p>
      <w:pPr>
        <w:ind w:left="960" w:hanging="443"/>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20" w:hanging="443"/>
        <w:spacing w:after="0" w:line="29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tabs>
          <w:tab w:leader="none" w:pos="77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41"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John Borgeson</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6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04"/>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5">
    <w:nsid w:val="836C40E"/>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
    <w:nsid w:val="2901D82"/>
    <w:multiLevelType w:val="hybridMultilevel"/>
    <w:lvl w:ilvl="0">
      <w:lvlJc w:val="left"/>
      <w:lvlText w:val="%1"/>
      <w:numFmt w:val="decimal"/>
      <w:start w:val="1"/>
    </w:lvl>
    <w:lvl w:ilvl="1">
      <w:lvlJc w:val="left"/>
      <w:lvlText w:val="(%2)"/>
      <w:numFmt w:val="lowerLetter"/>
      <w:start w:val="5"/>
    </w:lvl>
  </w:abstractNum>
  <w:abstractNum w:abstractNumId="7">
    <w:nsid w:val="3A95F874"/>
    <w:multiLevelType w:val="hybridMultilevel"/>
    <w:lvl w:ilvl="0">
      <w:lvlJc w:val="left"/>
      <w:lvlText w:val="%1."/>
      <w:numFmt w:val="decimal"/>
      <w:start w:val="6"/>
    </w:lvl>
    <w:lvl w:ilvl="1">
      <w:lvlJc w:val="left"/>
      <w:lvlText w:val="(%2)"/>
      <w:numFmt w:val="lowerLetter"/>
      <w:start w:val="1"/>
    </w:lvl>
  </w:abstractNum>
  <w:abstractNum w:abstractNumId="8">
    <w:nsid w:val="8138641"/>
    <w:multiLevelType w:val="hybridMultilevel"/>
    <w:lvl w:ilvl="0">
      <w:lvlJc w:val="left"/>
      <w:lvlText w:val="%1."/>
      <w:numFmt w:val="decimal"/>
      <w:start w:val="9"/>
    </w:lvl>
  </w:abstractNum>
  <w:abstractNum w:abstractNumId="9">
    <w:nsid w:val="1E7FF521"/>
    <w:multiLevelType w:val="hybridMultilevel"/>
    <w:lvl w:ilvl="0">
      <w:lvlJc w:val="left"/>
      <w:lvlText w:val="%1."/>
      <w:numFmt w:val="decimal"/>
      <w:start w:val="10"/>
    </w:lvl>
    <w:lvl w:ilvl="1">
      <w:lvlJc w:val="left"/>
      <w:lvlText w:val="(%2)"/>
      <w:numFmt w:val="lowerLetter"/>
      <w:start w:val="1"/>
    </w:lvl>
  </w:abstractNum>
  <w:abstractNum w:abstractNumId="10">
    <w:nsid w:val="7C3DBD3D"/>
    <w:multiLevelType w:val="hybridMultilevel"/>
    <w:lvl w:ilvl="0">
      <w:lvlJc w:val="left"/>
      <w:lvlText w:val="%1."/>
      <w:numFmt w:val="decimal"/>
      <w:start w:val="1"/>
    </w:lvl>
    <w:lvl w:ilvl="1">
      <w:lvlJc w:val="left"/>
      <w:lvlText w:val="(%2)"/>
      <w:numFmt w:val="lowerLetter"/>
      <w:start w:val="1"/>
    </w:lvl>
  </w:abstractNum>
  <w:abstractNum w:abstractNumId="11">
    <w:nsid w:val="737B8DDC"/>
    <w:multiLevelType w:val="hybridMultilevel"/>
    <w:lvl w:ilvl="0">
      <w:lvlJc w:val="left"/>
      <w:lvlText w:val="(%1)"/>
      <w:numFmt w:val="lowerLetter"/>
      <w:start w:val="2"/>
    </w:lvl>
    <w:lvl w:ilvl="1">
      <w:lvlJc w:val="left"/>
      <w:lvlText w:val="(%2)"/>
      <w:numFmt w:val="lowerLetter"/>
      <w:start w:val="9"/>
    </w:lvl>
  </w:abstractNum>
  <w:abstractNum w:abstractNumId="12">
    <w:nsid w:val="6CEAF087"/>
    <w:multiLevelType w:val="hybridMultilevel"/>
    <w:lvl w:ilvl="0">
      <w:lvlJc w:val="left"/>
      <w:lvlText w:val="(%1)"/>
      <w:numFmt w:val="lowerRoman"/>
      <w:start w:val="2"/>
    </w:lvl>
  </w:abstractNum>
  <w:abstractNum w:abstractNumId="13">
    <w:nsid w:val="22221A70"/>
    <w:multiLevelType w:val="hybridMultilevel"/>
    <w:lvl w:ilvl="0">
      <w:lvlJc w:val="left"/>
      <w:lvlText w:val="%1."/>
      <w:numFmt w:val="decimal"/>
      <w:start w:val="2"/>
    </w:lvl>
    <w:lvl w:ilvl="1">
      <w:lvlJc w:val="left"/>
      <w:lvlText w:val="(%2)"/>
      <w:numFmt w:val="lowerLetter"/>
      <w:start w:val="1"/>
    </w:lvl>
  </w:abstractNum>
  <w:abstractNum w:abstractNumId="14">
    <w:nsid w:val="4516DDE9"/>
    <w:multiLevelType w:val="hybridMultilevel"/>
    <w:lvl w:ilvl="0">
      <w:lvlJc w:val="left"/>
      <w:lvlText w:val="%1."/>
      <w:numFmt w:val="decimal"/>
      <w:start w:val="4"/>
    </w:lvl>
    <w:lvl w:ilvl="1">
      <w:lvlJc w:val="left"/>
      <w:lvlText w:val="(%2)"/>
      <w:numFmt w:val="lowerLetter"/>
      <w:start w:val="1"/>
    </w:lvl>
  </w:abstractNum>
  <w:abstractNum w:abstractNumId="15">
    <w:nsid w:val="3006C83E"/>
    <w:multiLevelType w:val="hybridMultilevel"/>
    <w:lvl w:ilvl="0">
      <w:lvlJc w:val="left"/>
      <w:lvlText w:val="%1"/>
      <w:numFmt w:val="lowerLetter"/>
      <w:start w:val="1"/>
    </w:lvl>
    <w:lvl w:ilvl="1">
      <w:lvlJc w:val="left"/>
      <w:lvlText w:val="(%2)"/>
      <w:numFmt w:val="lowerLetter"/>
      <w:start w:val="3"/>
    </w:lvl>
  </w:abstractNum>
  <w:abstractNum w:abstractNumId="16">
    <w:nsid w:val="614FD4A1"/>
    <w:multiLevelType w:val="hybridMultilevel"/>
    <w:lvl w:ilvl="0">
      <w:lvlJc w:val="left"/>
      <w:lvlText w:val="(%1)"/>
      <w:numFmt w:val="lowerLetter"/>
      <w:start w:val="9"/>
    </w:lvl>
    <w:lvl w:ilvl="1">
      <w:lvlJc w:val="left"/>
      <w:lvlText w:val="(%2)"/>
      <w:numFmt w:val="lowerLetter"/>
      <w:start w:val="8"/>
    </w:lvl>
  </w:abstractNum>
  <w:abstractNum w:abstractNumId="17">
    <w:nsid w:val="419AC241"/>
    <w:multiLevelType w:val="hybridMultilevel"/>
    <w:lvl w:ilvl="0">
      <w:lvlJc w:val="left"/>
      <w:lvlText w:val="(%1)"/>
      <w:numFmt w:val="lowerLetter"/>
      <w:start w:val="13"/>
    </w:lvl>
  </w:abstractNum>
  <w:abstractNum w:abstractNumId="18">
    <w:nsid w:val="5577F8E1"/>
    <w:multiLevelType w:val="hybridMultilevel"/>
    <w:lvl w:ilvl="0">
      <w:lvlJc w:val="left"/>
      <w:lvlText w:val="%1."/>
      <w:numFmt w:val="decimal"/>
      <w:start w:val="1"/>
    </w:lvl>
    <w:lvl w:ilvl="1">
      <w:lvlJc w:val="left"/>
      <w:lvlText w:val="(%2)"/>
      <w:numFmt w:val="lowerLetter"/>
      <w:start w:val="1"/>
    </w:lvl>
  </w:abstractNum>
  <w:abstractNum w:abstractNumId="19">
    <w:nsid w:val="440BADFC"/>
    <w:multiLevelType w:val="hybridMultilevel"/>
    <w:lvl w:ilvl="0">
      <w:lvlJc w:val="left"/>
      <w:lvlText w:val="%1."/>
      <w:numFmt w:val="decimal"/>
      <w:start w:val="6"/>
    </w:lvl>
    <w:lvl w:ilvl="1">
      <w:lvlJc w:val="left"/>
      <w:lvlText w:val="(%2)"/>
      <w:numFmt w:val="lowerLetter"/>
      <w:start w:val="1"/>
    </w:lvl>
  </w:abstractNum>
  <w:abstractNum w:abstractNumId="20">
    <w:nsid w:val="5072367"/>
    <w:multiLevelType w:val="hybridMultilevel"/>
    <w:lvl w:ilvl="0">
      <w:lvlJc w:val="left"/>
      <w:lvlText w:val="%1"/>
      <w:numFmt w:val="decimal"/>
      <w:start w:val="1"/>
    </w:lvl>
    <w:lvl w:ilvl="1">
      <w:lvlJc w:val="left"/>
      <w:lvlText w:val="(%2)"/>
      <w:numFmt w:val="lowerLetter"/>
      <w:start w:val="3"/>
    </w:lvl>
  </w:abstractNum>
  <w:abstractNum w:abstractNumId="21">
    <w:nsid w:val="3804823E"/>
    <w:multiLevelType w:val="hybridMultilevel"/>
    <w:lvl w:ilvl="0">
      <w:lvlJc w:val="left"/>
      <w:lvlText w:val="%1."/>
      <w:numFmt w:val="decimal"/>
      <w:start w:val="7"/>
    </w:lvl>
    <w:lvl w:ilvl="1">
      <w:lvlJc w:val="left"/>
      <w:lvlText w:val="(%2)"/>
      <w:numFmt w:val="lowerLetter"/>
      <w:start w:val="1"/>
    </w:lvl>
  </w:abstractNum>
  <w:abstractNum w:abstractNumId="22">
    <w:nsid w:val="77465F01"/>
    <w:multiLevelType w:val="hybridMultilevel"/>
    <w:lvl w:ilvl="0">
      <w:lvlJc w:val="left"/>
      <w:lvlText w:val="(%1)"/>
      <w:numFmt w:val="lowerLetter"/>
      <w:start w:val="7"/>
    </w:lvl>
  </w:abstractNum>
  <w:abstractNum w:abstractNumId="23">
    <w:nsid w:val="7724C67E"/>
    <w:multiLevelType w:val="hybridMultilevel"/>
    <w:lvl w:ilvl="0">
      <w:lvlJc w:val="left"/>
      <w:lvlText w:val="(%1)"/>
      <w:numFmt w:val="lowerLetter"/>
      <w:start w:val="9"/>
    </w:lvl>
  </w:abstractNum>
  <w:abstractNum w:abstractNumId="24">
    <w:nsid w:val="5C482A97"/>
    <w:multiLevelType w:val="hybridMultilevel"/>
    <w:lvl w:ilvl="0">
      <w:lvlJc w:val="left"/>
      <w:lvlText w:val="%1"/>
      <w:numFmt w:val="decimal"/>
      <w:start w:val="1"/>
    </w:lvl>
    <w:lvl w:ilvl="1">
      <w:lvlJc w:val="left"/>
      <w:lvlText w:val="(%2)"/>
      <w:numFmt w:val="lowerRoman"/>
      <w:start w:val="1"/>
    </w:lvl>
  </w:abstractNum>
  <w:abstractNum w:abstractNumId="25">
    <w:nsid w:val="2463B9EA"/>
    <w:multiLevelType w:val="hybridMultilevel"/>
    <w:lvl w:ilvl="0">
      <w:lvlJc w:val="left"/>
      <w:lvlText w:val="%1."/>
      <w:numFmt w:val="decimal"/>
      <w:start w:val="10"/>
    </w:lvl>
    <w:lvl w:ilvl="1">
      <w:lvlJc w:val="left"/>
      <w:lvlText w:val="%2"/>
      <w:numFmt w:val="lowerRoman"/>
      <w:start w:val="1"/>
    </w:lvl>
  </w:abstractNum>
  <w:abstractNum w:abstractNumId="26">
    <w:nsid w:val="5E884ADC"/>
    <w:multiLevelType w:val="hybridMultilevel"/>
    <w:lvl w:ilvl="0">
      <w:lvlJc w:val="left"/>
      <w:lvlText w:val="%1."/>
      <w:numFmt w:val="decimal"/>
      <w:start w:val="12"/>
    </w:lvl>
  </w:abstractNum>
  <w:abstractNum w:abstractNumId="27">
    <w:nsid w:val="51EAD36B"/>
    <w:multiLevelType w:val="hybridMultilevel"/>
    <w:lvl w:ilvl="0">
      <w:lvlJc w:val="left"/>
      <w:lvlText w:val="%1."/>
      <w:numFmt w:val="decimal"/>
      <w:start w:val="16"/>
    </w:lvl>
  </w:abstractNum>
  <w:abstractNum w:abstractNumId="28">
    <w:nsid w:val="2D517796"/>
    <w:multiLevelType w:val="hybridMultilevel"/>
    <w:lvl w:ilvl="0">
      <w:lvlJc w:val="left"/>
      <w:lvlText w:val="%1."/>
      <w:numFmt w:val="decimal"/>
      <w:start w:val="26"/>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2"/>
    </w:lvl>
  </w:abstractNum>
  <w:abstractNum w:abstractNumId="31">
    <w:nsid w:val="3855585C"/>
    <w:multiLevelType w:val="hybridMultilevel"/>
    <w:lvl w:ilvl="0">
      <w:lvlJc w:val="left"/>
      <w:lvlText w:val="%1"/>
      <w:numFmt w:val="decimal"/>
      <w:start w:val="1"/>
    </w:lvl>
    <w:lvl w:ilvl="1">
      <w:lvlJc w:val="left"/>
      <w:lvlText w:val="%2."/>
      <w:numFmt w:val="upperLetter"/>
      <w:start w:val="1"/>
    </w:lvl>
  </w:abstractNum>
  <w:abstractNum w:abstractNumId="32">
    <w:nsid w:val="70A64E2A"/>
    <w:multiLevelType w:val="hybridMultilevel"/>
    <w:lvl w:ilvl="0">
      <w:lvlJc w:val="left"/>
      <w:lvlText w:val="%1."/>
      <w:numFmt w:val="decimal"/>
      <w:start w:val="1"/>
    </w:lvl>
    <w:lvl w:ilvl="1">
      <w:lvlJc w:val="left"/>
      <w:lvlText w:val="%2"/>
      <w:numFmt w:val="upperLetter"/>
      <w:start w:val="1"/>
    </w:lvl>
  </w:abstractNum>
  <w:abstractNum w:abstractNumId="33">
    <w:nsid w:val="6A2342EC"/>
    <w:multiLevelType w:val="hybridMultilevel"/>
    <w:lvl w:ilvl="0">
      <w:lvlJc w:val="left"/>
      <w:lvlText w:val="%1"/>
      <w:numFmt w:val="decimal"/>
      <w:start w:val="1"/>
    </w:lvl>
    <w:lvl w:ilvl="1">
      <w:lvlJc w:val="left"/>
      <w:lvlText w:val="(%2)"/>
      <w:numFmt w:val="lowerLetter"/>
      <w:start w:val="1"/>
    </w:lvl>
  </w:abstractNum>
  <w:abstractNum w:abstractNumId="34">
    <w:nsid w:val="2A487CB0"/>
    <w:multiLevelType w:val="hybridMultilevel"/>
    <w:lvl w:ilvl="0">
      <w:lvlJc w:val="left"/>
      <w:lvlText w:val="%1."/>
      <w:numFmt w:val="decimal"/>
      <w:start w:val="2"/>
    </w:lvl>
    <w:lvl w:ilvl="1">
      <w:lvlJc w:val="left"/>
      <w:lvlText w:val="(%2)"/>
      <w:numFmt w:val="lowerLetter"/>
      <w:start w:val="1"/>
    </w:lvl>
  </w:abstractNum>
  <w:abstractNum w:abstractNumId="35">
    <w:nsid w:val="1D4ED43B"/>
    <w:multiLevelType w:val="hybridMultilevel"/>
    <w:lvl w:ilvl="0">
      <w:lvlJc w:val="left"/>
      <w:lvlText w:val="%1"/>
      <w:numFmt w:val="decimal"/>
      <w:start w:val="1"/>
    </w:lvl>
    <w:lvl w:ilvl="1">
      <w:lvlJc w:val="left"/>
      <w:lvlText w:val="(%2)"/>
      <w:numFmt w:val="lowerLetter"/>
      <w:start w:val="2"/>
    </w:lvl>
  </w:abstractNum>
  <w:abstractNum w:abstractNumId="36">
    <w:nsid w:val="725A06FB"/>
    <w:multiLevelType w:val="hybridMultilevel"/>
    <w:lvl w:ilvl="0">
      <w:lvlJc w:val="left"/>
      <w:lvlText w:val="%1."/>
      <w:numFmt w:val="decimal"/>
      <w:start w:val="3"/>
    </w:lvl>
    <w:lvl w:ilvl="1">
      <w:lvlJc w:val="left"/>
      <w:lvlText w:val="%2"/>
      <w:numFmt w:val="lowerLetter"/>
      <w:start w:val="1"/>
    </w:lvl>
  </w:abstractNum>
  <w:abstractNum w:abstractNumId="37">
    <w:nsid w:val="2CD89A32"/>
    <w:multiLevelType w:val="hybridMultilevel"/>
    <w:lvl w:ilvl="0">
      <w:lvlJc w:val="left"/>
      <w:lvlText w:val="%1."/>
      <w:numFmt w:val="decimal"/>
      <w:start w:val="5"/>
    </w:lvl>
  </w:abstractNum>
  <w:abstractNum w:abstractNumId="38">
    <w:nsid w:val="57E4CCAF"/>
    <w:multiLevelType w:val="hybridMultilevel"/>
    <w:lvl w:ilvl="0">
      <w:lvlJc w:val="left"/>
      <w:lvlText w:val="%1."/>
      <w:numFmt w:val="decimal"/>
      <w:start w:val="9"/>
    </w:lvl>
  </w:abstractNum>
  <w:abstractNum w:abstractNumId="39">
    <w:nsid w:val="7A6D8D3C"/>
    <w:multiLevelType w:val="hybridMultilevel"/>
    <w:lvl w:ilvl="0">
      <w:lvlJc w:val="left"/>
      <w:lvlText w:val="%1."/>
      <w:numFmt w:val="decimal"/>
      <w:start w:val="10"/>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decimal"/>
      <w:start w:val="5"/>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235" Type="http://schemas.openxmlformats.org/officeDocument/2006/relationships/hyperlink" Target="https://www.sec.gov/Archives/edgar/data/1468748/000095017021000510/kod-20210721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2021-11-09T16:30:41Z</dcterms:created>
  <dcterms:modified xsi:type="dcterms:W3CDTF">2021-11-09T16:30:41Z</dcterms:modified>
</cp:coreProperties>
</file>