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740" w:right="1740" w:hanging="3732"/>
        <w:spacing w:after="0" w:line="392" w:lineRule="auto"/>
        <w:tabs>
          <w:tab w:leader="none" w:pos="51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83" w:lineRule="exact"/>
        <w:rPr>
          <w:sz w:val="24"/>
          <w:szCs w:val="24"/>
          <w:color w:val="auto"/>
        </w:rPr>
      </w:pPr>
    </w:p>
    <w:p>
      <w:pPr>
        <w:ind w:left="3560" w:right="1740" w:hanging="3552"/>
        <w:spacing w:after="0" w:line="375" w:lineRule="auto"/>
        <w:tabs>
          <w:tab w:leader="none" w:pos="52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2631 Hanover Street</w:t>
            </w:r>
          </w:p>
        </w:tc>
        <w:tc>
          <w:tcPr>
            <w:tcW w:w="3100" w:type="dxa"/>
            <w:vAlign w:val="bottom"/>
          </w:tcPr>
          <w:p>
            <w:pPr>
              <w:spacing w:after="0"/>
              <w:rPr>
                <w:sz w:val="19"/>
                <w:szCs w:val="19"/>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3"/>
              </w:rPr>
              <w:t>Palo Alto, California</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right="180" w:firstLine="518"/>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60" w:firstLine="518"/>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64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31, 2019, the registrant had 37,058,168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640" w:right="46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640" w:right="60" w:hanging="119"/>
        <w:spacing w:after="0" w:line="31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size and design of clinical trials that regulatory authorities may require to obtain marketing approval, including the order and number of clinical studies required to support an initial Biologics License Application, or BLA, in retinal vein occlusion, or RVO, and supplemental BLAs, or sBLAs, in wet age-related macular degeneration, or wet AMD, diabetic macular edema, or DME, and diabetic retinopathy, or DR;</w:t>
      </w:r>
    </w:p>
    <w:p>
      <w:pPr>
        <w:spacing w:after="0" w:line="38" w:lineRule="exact"/>
        <w:rPr>
          <w:rFonts w:ascii="Arial" w:cs="Arial" w:eastAsia="Arial" w:hAnsi="Arial"/>
          <w:sz w:val="16"/>
          <w:szCs w:val="16"/>
          <w:color w:val="auto"/>
        </w:rPr>
      </w:pPr>
    </w:p>
    <w:p>
      <w:pPr>
        <w:ind w:left="640" w:right="4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initial FDA approval of KSI-301 in 2022 for RVO and supplemental BLA submissions in 2022 for wet AMD, DME and DR;</w:t>
      </w:r>
    </w:p>
    <w:p>
      <w:pPr>
        <w:spacing w:after="0" w:line="62" w:lineRule="exact"/>
        <w:rPr>
          <w:rFonts w:ascii="Arial" w:cs="Arial" w:eastAsia="Arial" w:hAnsi="Arial"/>
          <w:sz w:val="18"/>
          <w:szCs w:val="18"/>
          <w:color w:val="auto"/>
        </w:rPr>
      </w:pPr>
    </w:p>
    <w:p>
      <w:pPr>
        <w:ind w:left="640" w:right="4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40" w:right="52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if approved for commercial use, and our ability to serve those markets;</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40" w:right="60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listed on The Nasdaq Stock Market;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ind w:left="640" w:hanging="1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proceeds of any offering.</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5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460" w:type="dxa"/>
            <w:vAlign w:val="bottom"/>
            <w:gridSpan w:val="19"/>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Loss</w:t>
              </w:r>
            </w:hyperlink>
          </w:p>
        </w:tc>
        <w:tc>
          <w:tcPr>
            <w:tcW w:w="392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Redeemable Convertible Preferred Stock and Stockholders’ Equity (Deficit)</w:t>
              </w:r>
            </w:hyperlink>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66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00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Controls and Procedures</w:t>
              </w:r>
            </w:hyperlink>
          </w:p>
        </w:tc>
        <w:tc>
          <w:tcPr>
            <w:tcW w:w="766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OTHER INFORMATION</w:t>
              </w:r>
            </w:hyperlink>
          </w:p>
        </w:tc>
        <w:tc>
          <w:tcPr>
            <w:tcW w:w="756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Unregistered Sales of Equity Securities and Use of Proceeds</w:t>
              </w:r>
            </w:hyperlink>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Defaults Upon Senior Securities</w:t>
              </w:r>
            </w:hyperlink>
          </w:p>
        </w:tc>
        <w:tc>
          <w:tcPr>
            <w:tcW w:w="712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Mine Safety Disclosures</w:t>
              </w:r>
            </w:hyperlink>
          </w:p>
        </w:tc>
        <w:tc>
          <w:tcPr>
            <w:tcW w:w="768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814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w w:val="89"/>
              </w:rPr>
              <w:t>Kodiak Sciences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37,033</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61,044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September 30, 2019 and December 31, 2018; 37,008,997 and 36,829,857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shares issued and outstanding at September 30, 2019 and</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December 31, 2018, respectively</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202,183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(142,515)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(110,766)</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59,691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10,115</w:t>
            </w:r>
          </w:p>
        </w:tc>
        <w:tc>
          <w:tcPr>
            <w:tcW w:w="16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4,709</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24,676</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$1,076 and $2,944 attributable to</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 for the three and nine months ended</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2018, respectively)</w:t>
            </w: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15"/>
        </w:trPr>
        <w:tc>
          <w:tcPr>
            <w:tcW w:w="5260" w:type="dxa"/>
            <w:vAlign w:val="bottom"/>
          </w:tcPr>
          <w:p>
            <w:pPr>
              <w:ind w:left="260"/>
              <w:spacing w:after="0"/>
              <w:rPr>
                <w:sz w:val="20"/>
                <w:szCs w:val="20"/>
                <w:color w:val="auto"/>
              </w:rPr>
            </w:pPr>
            <w:r>
              <w:rPr>
                <w:rFonts w:ascii="Arial" w:cs="Arial" w:eastAsia="Arial" w:hAnsi="Arial"/>
                <w:sz w:val="18"/>
                <w:szCs w:val="18"/>
                <w:color w:val="auto"/>
              </w:rPr>
              <w:t>Other income (expense), net (includes $1,129 and $2,714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80"/>
              <w:spacing w:after="0"/>
              <w:rPr>
                <w:sz w:val="20"/>
                <w:szCs w:val="20"/>
                <w:color w:val="auto"/>
              </w:rPr>
            </w:pPr>
            <w:r>
              <w:rPr>
                <w:rFonts w:ascii="Arial" w:cs="Arial" w:eastAsia="Arial" w:hAnsi="Arial"/>
                <w:sz w:val="18"/>
                <w:szCs w:val="18"/>
                <w:color w:val="auto"/>
              </w:rPr>
              <w:t>other expense attributable to related parties for the three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and nine months ended September 30, 2018, respectively)</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6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37,330,066</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7,851,560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37,291,328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7,764,888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 net of tax</w:t>
            </w:r>
          </w:p>
        </w:tc>
        <w:tc>
          <w:tcPr>
            <w:tcW w:w="6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52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2"/>
              </w:rPr>
              <w:t>Redeemable</w:t>
            </w:r>
          </w:p>
        </w:tc>
        <w:tc>
          <w:tcPr>
            <w:tcW w:w="4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52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3"/>
              </w:rPr>
              <w:t>Preferred Stock</w:t>
            </w:r>
          </w:p>
        </w:tc>
        <w:tc>
          <w:tcPr>
            <w:tcW w:w="44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Paid-In</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1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3"/>
                <w:szCs w:val="13"/>
                <w:color w:val="auto"/>
              </w:rPr>
            </w:pPr>
          </w:p>
        </w:tc>
        <w:tc>
          <w:tcPr>
            <w:tcW w:w="840" w:type="dxa"/>
            <w:vAlign w:val="bottom"/>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2018</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36,829,857</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197,595</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(110,766)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86,833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(7,984)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56"/>
        </w:trPr>
        <w:tc>
          <w:tcPr>
            <w:tcW w:w="2820" w:type="dxa"/>
            <w:vAlign w:val="bottom"/>
          </w:tcPr>
          <w:p>
            <w:pPr>
              <w:spacing w:after="0" w:line="155" w:lineRule="exact"/>
              <w:rPr>
                <w:sz w:val="20"/>
                <w:szCs w:val="20"/>
                <w:color w:val="auto"/>
              </w:rPr>
            </w:pPr>
            <w:r>
              <w:rPr>
                <w:rFonts w:ascii="Arial" w:cs="Arial" w:eastAsia="Arial" w:hAnsi="Arial"/>
                <w:sz w:val="14"/>
                <w:szCs w:val="14"/>
                <w:color w:val="auto"/>
              </w:rPr>
              <w:t>Balances at March 31, 2019</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36,909,857</w:t>
            </w: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198,835</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(118,750)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80,095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21,284</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(11,385)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June 30, 2019</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36,931,141</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200,138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(130,135)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70,019</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77,855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exercise of common stock</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warrant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(12,380)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(12,380)</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September 30, 2019</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37,008,997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202,183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(142,515</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59,691</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520" w:type="dxa"/>
            <w:vAlign w:val="bottom"/>
            <w:gridSpan w:val="3"/>
            <w:vMerge w:val="restart"/>
          </w:tcPr>
          <w:p>
            <w:pPr>
              <w:jc w:val="center"/>
              <w:ind w:left="368"/>
              <w:spacing w:after="0"/>
              <w:rPr>
                <w:sz w:val="20"/>
                <w:szCs w:val="20"/>
                <w:color w:val="auto"/>
              </w:rPr>
            </w:pPr>
            <w:r>
              <w:rPr>
                <w:rFonts w:ascii="Arial" w:cs="Arial" w:eastAsia="Arial" w:hAnsi="Arial"/>
                <w:sz w:val="14"/>
                <w:szCs w:val="14"/>
                <w:b w:val="1"/>
                <w:bCs w:val="1"/>
                <w:color w:val="auto"/>
                <w:w w:val="92"/>
              </w:rPr>
              <w:t>Redeemable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52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3"/>
              </w:rPr>
              <w:t>Preferred Stock</w:t>
            </w:r>
          </w:p>
        </w:tc>
        <w:tc>
          <w:tcPr>
            <w:tcW w:w="44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Paid-In</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1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3"/>
                <w:szCs w:val="13"/>
                <w:color w:val="auto"/>
              </w:rPr>
            </w:pPr>
          </w:p>
        </w:tc>
        <w:tc>
          <w:tcPr>
            <w:tcW w:w="840" w:type="dxa"/>
            <w:vAlign w:val="bottom"/>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2017</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12,385,154</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50,017</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7,936,434</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584</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(69,323)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(68,738)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(8,920)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(8,920)</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March 31, 2018</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12,385,154</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50,017</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7,936,734</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676</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(78,243)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(77,566)</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Issuance of restricted stock awards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27,500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(7,409)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(7,409)</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June 30, 2018</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12,385,154</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50,017</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7,964,234</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1,424</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(85,652)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(84,227)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(10,452)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September 30, 2018</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12,385,154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50,017</w:t>
            </w:r>
          </w:p>
        </w:tc>
        <w:tc>
          <w:tcPr>
            <w:tcW w:w="24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8,011,734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(96,104)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(93,830)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gridSpan w:val="5"/>
          </w:tcPr>
          <w:p>
            <w:pPr>
              <w:jc w:val="right"/>
              <w:ind w:right="285"/>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(31,749)</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 expense and amortization of debt discount and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instrument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discount on available-for-sale securities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Operating lease right-of-use asset</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(4,365)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and other current liabilities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Operating lease liability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(27,853)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(20,691)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securities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(40,231)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(23,715)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notes (includes $9,560 from related</w:t>
            </w: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parties for the nine months ended September 30, 2018)</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of capital lease</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(51,221)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Reconciliation of cash, cash equivalents and restricted cash to statement of financial</w:t>
            </w:r>
          </w:p>
        </w:tc>
        <w:tc>
          <w:tcPr>
            <w:tcW w:w="9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position</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37,033</w:t>
            </w:r>
          </w:p>
        </w:tc>
        <w:tc>
          <w:tcPr>
            <w:tcW w:w="160" w:type="dxa"/>
            <w:vAlign w:val="bottom"/>
          </w:tcPr>
          <w:p>
            <w:pPr>
              <w:spacing w:after="0"/>
              <w:rPr>
                <w:sz w:val="19"/>
                <w:szCs w:val="19"/>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in statement of financial position</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Issuance of derivative instrument related to convertible notes payable</w:t>
            </w:r>
          </w:p>
        </w:tc>
        <w:tc>
          <w:tcPr>
            <w:tcW w:w="18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Unpaid offering costs</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paid in restricted stock awards</w:t>
            </w:r>
          </w:p>
        </w:tc>
        <w:tc>
          <w:tcPr>
            <w:tcW w:w="18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jc w:val="both"/>
        <w:ind w:right="620" w:firstLine="518"/>
        <w:spacing w:after="0" w:line="264" w:lineRule="auto"/>
        <w:rPr>
          <w:sz w:val="20"/>
          <w:szCs w:val="20"/>
          <w:color w:val="auto"/>
        </w:rPr>
      </w:pPr>
      <w:r>
        <w:rPr>
          <w:rFonts w:ascii="Arial" w:cs="Arial" w:eastAsia="Arial" w:hAnsi="Arial"/>
          <w:sz w:val="18"/>
          <w:szCs w:val="18"/>
          <w:color w:val="auto"/>
        </w:rPr>
        <w:t>Kodiak Sciences Inc. (the “Company”) is a clinical stage biopharmaceutical company specializing in novel therapeutics to treat chronic, high-prevalence retinal diseases. The Company devotes substantially all of its time and efforts to performing research and development, raising capital and recruiting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accordance with Accounting Standards Codification (“ASC”) 205-40, </w:t>
      </w:r>
      <w:r>
        <w:rPr>
          <w:rFonts w:ascii="Arial" w:cs="Arial" w:eastAsia="Arial" w:hAnsi="Arial"/>
          <w:sz w:val="17"/>
          <w:szCs w:val="17"/>
          <w:i w:val="1"/>
          <w:iCs w:val="1"/>
          <w:color w:val="auto"/>
        </w:rPr>
        <w:t>Going Concern</w:t>
      </w:r>
      <w:r>
        <w:rPr>
          <w:rFonts w:ascii="Arial" w:cs="Arial" w:eastAsia="Arial" w:hAnsi="Arial"/>
          <w:sz w:val="17"/>
          <w:szCs w:val="17"/>
          <w:color w:val="auto"/>
        </w:rPr>
        <w:t>, the Company has evaluated whether there are conditions and events, considered in the aggregate, that raise substantial doubt about the Company’s ability to continue as a going concern within one year after the date the financial statements are issued. The Company has incurred significant losses and negative cash flows from operations since inception and had an accumulated deficit of $142.5 million as of September 30, 2019. The Company had $60.6 million in cash and cash equivalents and marketable securities as of September 30, 2019. The Company has historically financed its operations primarily through the sale of redeemable convertible preferred stock, convertible notes, warrants and the sale of common stock in its initial public offering (“IPO”). To date, none of the Company’s product candidates have been approved for sale, and the Company has not generated any revenue from product sales. Management expects operating losses to continue for the foreseeable future. The Company currently plans to raise additional funding as required based on the status of its development programs and projected cash flows, and the Company believes that its cash and cash equivalents and marketable securities as of September 30, 2019 are sufficient to fund its existing operational commitments and objectives at least through the first half of 2020. If the Company is unable to obtain other financing, the Company would be forced to delay, reduce or terminate some or all of its development programs and clinical trials or sell or license rights to its product candidates in certain territories or indications to others that may not be favorable to the Company.</w:t>
      </w:r>
    </w:p>
    <w:p>
      <w:pPr>
        <w:spacing w:after="0" w:line="7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uncertainties inherent in the Company’s future operations and in its ability to obtain additional funding raise substantial doubt about its ability to continue as a going concern beyond one year from the date these financial statements are issued. The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500" w:firstLine="518"/>
        <w:spacing w:after="0" w:line="312"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accounting principles generally accepted in the United States (“GAAP”) applicable to interim periods and, in the opinion of management, include all normal and recurring adjustments which are necessary to present fairly the Company's financial position and results of operations for the reported periods.</w:t>
      </w:r>
    </w:p>
    <w:p>
      <w:pPr>
        <w:spacing w:after="0" w:line="3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These condensed consolidated financial statements have been prepared on a basis substantially consistent with, and should be read in conjunction with the audited financial statements for the year ended December 31, 2018 and notes thereto, included in the Company’s Annual Report on Form 10-K filed with the Securities and Exchange Commission (“SEC”) on March 27, 2019. The year-end condensed balance sheet data was derived from audited financial statements, but does not include all disclosures required by GAAP. Certain information and note disclosures normally included in the audited financial statements prepared in accordance with GAAP have been condensed or omitted from this report, as is permitted by such rules and regulations. The results of operations for any interim period are not necessarily indicative of the results for the year ending December 31, 2019, or for any future period.</w:t>
      </w:r>
    </w:p>
    <w:p>
      <w:pPr>
        <w:spacing w:after="0" w:line="5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and nine months ended September 30, 2019 are consistent with those discussed in Note 2 to the consolidated financial statements in the Company’s Annual Report on Form 10-K for the year ended December 31, 2018, except as noted below with respect to the Company’s lease and marketable securities accounting policies and as noted within the “Recent Accounting Pronouncements – Recently Adopted Accounting Pronouncements” section.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The Company has elected not to recognize leases with terms of one year or less on the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Company invests excess cash balances in short-term marketable securities. The investments in marketable securities are classified as either held-to-maturity or available-for-sale based on facts and circumstances present at the time of purchase.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expensed over the life of the instrument. Equity securities with readily determinable fair values are also carried at fair value with unrealized gains and losses included in other income (expense), net. Realized gains and losses on both debt and equity securities are determined using the specific identification method and are included in other income (expense), net.</w:t>
      </w:r>
    </w:p>
    <w:p>
      <w:pPr>
        <w:spacing w:after="0" w:line="5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set out the principles for the recognition, measurement, presentation and disclosure of leases for both parties to a contract (i.e. lessees and lessors). In July 2018, the FASB issued ASU 2018-10, </w:t>
      </w:r>
      <w:r>
        <w:rPr>
          <w:rFonts w:ascii="Arial" w:cs="Arial" w:eastAsia="Arial" w:hAnsi="Arial"/>
          <w:sz w:val="18"/>
          <w:szCs w:val="18"/>
          <w:i w:val="1"/>
          <w:iCs w:val="1"/>
          <w:color w:val="auto"/>
        </w:rPr>
        <w:t>Leases (Topic 842), 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w:t>
      </w:r>
      <w:r>
        <w:rPr>
          <w:rFonts w:ascii="Arial" w:cs="Arial" w:eastAsia="Arial" w:hAnsi="Arial"/>
          <w:sz w:val="18"/>
          <w:szCs w:val="18"/>
          <w:color w:val="auto"/>
        </w:rPr>
        <w:t>. ASU 2018-10 clarified certain provisions and corrected unintended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guidance such as the application of implicit rate, lessee reassessment of lease classification, and certain transition adjustments that should be recognized to earnings rather than to stockholders' equity. ASU 2018-11 provided an alternative transition method and practical expedient for separating contract components for the adoption of Topic 842. ASU 2016-02, ASU 2018-10, and ASU 2018-11 (collectively, "the new lease standards") superseded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8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adopted the new lease standards as of January 1, 2019 using the modified retrospective approach to recognize a cumulative-effect adjustment on the effective date and to not adjust financial information and disclosures required under the new lease standards for comparative prior periods. The Company did not elect for the package of practical expedients and assessed all contracts at the transition date. The Company did not utilize the practical expedient which allows the use of hindsight in determining lease term and assessing impairment in right-of-use assets. The Company elected to apply the practical expedient and accounted for each lease component and related non-lease component as one single component. The Company elected not to recognize leases with terms of one year or less on the balance sheet.</w:t>
      </w:r>
    </w:p>
    <w:p>
      <w:pPr>
        <w:spacing w:after="0" w:line="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adoption of the new lease standards on January 1, 2019 resulted in the initial recognition of right-of-use asset of $2.2 million and operating lease liability of $2.3 million related to the operating lease for the Company’s office and laboratory space in Palo Alto, California on the consolidated balance sheets with no material impact to the consolidated statements of operations, stockholders’ equity or cash flows. Refer to Note 6.</w:t>
      </w:r>
    </w:p>
    <w:p>
      <w:pPr>
        <w:spacing w:after="0" w:line="57"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This update simplifies the accounting for certain financial instruments with down round features, a provision in an equity-linked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update requires companies to disregard the down round feature when assessing whether the instrument is indexed to its own stock, for purposes of determining liability or equity classification. ASU 2017-11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expands the scope of Topic 718 to include all share-based payment transactions for acquiring goods and services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362):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which intends to improve financial reporting by requiring earlier recognition of credit losses on certain financial assets, such as available-for-sale</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The standard is effective for interim and annual periods after December 15, 2019. Early adoption is permitted. The Company is currently evaluating the impact of adopting this guidance on its consolidated financial statements and related disclosures.</w:t>
      </w:r>
    </w:p>
    <w:p>
      <w:pPr>
        <w:spacing w:after="0" w:line="6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which eliminates, adds and modifies certain disclosure requirements for fair value measurements as part of the FASB’s disclosure framework project. The standard is effective for interim and annual periods beginning after December 15, 2019. The standard specifies certain amendments which should be applied prospectively while all other amendments should be applied retrospectively. Early adoption is permitted. The Company is currently evaluating the impact of adopting this guidance on its consolidated financial statements and related disclosures.</w:t>
      </w:r>
    </w:p>
    <w:p>
      <w:pPr>
        <w:spacing w:after="0" w:line="64"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upfront costs incurred in cloud computing arrangements. The standard is effective for interim and annual periods beginning after December 15, 2019. Early adoption is permitted. The Company is currently evaluating the impact of adopting this guidance on its consolidated financial statements and related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CFF0FC"/>
            </w:tcBorders>
          </w:tcPr>
          <w:p>
            <w:pPr>
              <w:spacing w:after="0"/>
              <w:rPr>
                <w:sz w:val="20"/>
                <w:szCs w:val="20"/>
                <w:color w:val="auto"/>
              </w:rPr>
            </w:pPr>
          </w:p>
        </w:tc>
        <w:tc>
          <w:tcPr>
            <w:tcW w:w="3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legal fees</w:t>
            </w: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3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540" w:type="dxa"/>
            <w:vAlign w:val="bottom"/>
            <w:vMerge w:val="restart"/>
          </w:tcPr>
          <w:p>
            <w:pPr>
              <w:jc w:val="right"/>
              <w:ind w:right="20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Fair Value Measurements at September 30, 2019</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36,654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36,654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notes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Fair Value Measurements at December 31, 2018</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marketable securities are classified as available-for-sale and consist of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held at September 30,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9"/>
              </w:rPr>
              <w:t>19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9"/>
              </w:rPr>
              <w:t>19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All marketable securities held at September 30, 2019 had contractual maturities of less than one year. There were no realized gains or losses recognized on the sale or maturity of available-for-sale debt securities during the nine months ended September 30, 2019 and as a result, the Company did not reclassify any amounts out of accumulated comprehensive loss. There were no impairment charges related to marketable securities for the nine months ended September 30,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January 2013, the Company executed a non-cancellable lease agreement for office and laboratory space in Palo Alto, California. The lease began in October 2013 and would expire in October 2018. In March 2016, the Company executed a lease amendment which was effective March 2016 and extended the lease term until October 2023.</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recognized an operating lease right-of-use asset and corresponding liability on January 1, 2019 based on the present value of remaining lease payments discounted at the Company’s estimated incremental borrowing rate of 8.5% over the remaining lease term of 4.83 years. For the three and nine months ended September 30, 2019, the operating lease cost was $0.1 million and $0.4 million, respectively. The operating cash flows used for operating leases was $0.4 million for the nine months ended September 30, 2019. The short-term lease costs were immaterial for the three and nine months ended September 30, 2019.</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future payments under the non-cancellable operating lease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As of</w:t>
            </w:r>
          </w:p>
        </w:tc>
      </w:t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tcPr>
          <w:p>
            <w:pPr>
              <w:spacing w:after="0"/>
              <w:rPr>
                <w:sz w:val="20"/>
                <w:szCs w:val="20"/>
                <w:color w:val="auto"/>
              </w:rPr>
            </w:pPr>
          </w:p>
        </w:tc>
        <w:tc>
          <w:tcPr>
            <w:tcW w:w="2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September 30, 2019</w:t>
            </w:r>
          </w:p>
        </w:tc>
      </w:tr>
      <w:tr>
        <w:trPr>
          <w:trHeight w:val="223"/>
        </w:trPr>
        <w:tc>
          <w:tcPr>
            <w:tcW w:w="8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FF0FC"/>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200" w:type="dxa"/>
            <w:vAlign w:val="bottom"/>
          </w:tcPr>
          <w:p>
            <w:pPr>
              <w:jc w:val="right"/>
              <w:ind w:right="970"/>
              <w:spacing w:after="0"/>
              <w:rPr>
                <w:sz w:val="20"/>
                <w:szCs w:val="20"/>
                <w:color w:val="auto"/>
              </w:rPr>
            </w:pPr>
            <w:r>
              <w:rPr>
                <w:rFonts w:ascii="Arial" w:cs="Arial" w:eastAsia="Arial" w:hAnsi="Arial"/>
                <w:sz w:val="18"/>
                <w:szCs w:val="18"/>
                <w:b w:val="1"/>
                <w:bCs w:val="1"/>
                <w:color w:val="auto"/>
              </w:rPr>
              <w:t>As of</w:t>
            </w:r>
          </w:p>
        </w:tc>
      </w:tr>
      <w:tr>
        <w:trPr>
          <w:trHeight w:val="234"/>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 2018</w:t>
            </w:r>
          </w:p>
        </w:tc>
      </w:tr>
      <w:tr>
        <w:trPr>
          <w:trHeight w:val="222"/>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-916940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-616585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620"/>
          </w:cols>
          <w:pgMar w:left="240" w:top="121"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January 2019, the number of shares of common stock available for issuance under the 2018 Equity Incentive Plan was increased by approximately 1.5 million shares as a result of the automatic increase provision in the 2018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 activity under the 2018 Plan and 2015 Equity Incentive Plan is summarized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320"/>
              <w:spacing w:after="0"/>
              <w:rPr>
                <w:sz w:val="20"/>
                <w:szCs w:val="20"/>
                <w:color w:val="auto"/>
              </w:rPr>
            </w:pPr>
            <w:r>
              <w:rPr>
                <w:rFonts w:ascii="Arial" w:cs="Arial" w:eastAsia="Arial" w:hAnsi="Arial"/>
                <w:sz w:val="18"/>
                <w:szCs w:val="18"/>
                <w:b w:val="1"/>
                <w:bCs w:val="1"/>
                <w:color w:val="auto"/>
              </w:rPr>
              <w:t>Outstanding Awards</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 Grant</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3,024,404</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1,473,194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March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4,497,598</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5,055,267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(449,988)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Options forfeited or canceled</w:t>
            </w:r>
          </w:p>
        </w:tc>
        <w:tc>
          <w:tcPr>
            <w:tcW w:w="1020" w:type="dxa"/>
            <w:vAlign w:val="bottom"/>
          </w:tcPr>
          <w:p>
            <w:pPr>
              <w:jc w:val="right"/>
              <w:spacing w:after="0"/>
              <w:rPr>
                <w:sz w:val="20"/>
                <w:szCs w:val="20"/>
                <w:color w:val="auto"/>
              </w:rPr>
            </w:pPr>
            <w:r>
              <w:rPr>
                <w:rFonts w:ascii="Arial" w:cs="Arial" w:eastAsia="Arial" w:hAnsi="Arial"/>
                <w:sz w:val="18"/>
                <w:szCs w:val="18"/>
                <w:color w:val="auto"/>
              </w:rPr>
              <w:t>15,804</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(21,284)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4,063,414</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5,468,167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(816,750)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Options forfeited or canceled</w:t>
            </w:r>
          </w:p>
        </w:tc>
        <w:tc>
          <w:tcPr>
            <w:tcW w:w="1020" w:type="dxa"/>
            <w:vAlign w:val="bottom"/>
          </w:tcPr>
          <w:p>
            <w:pPr>
              <w:jc w:val="right"/>
              <w:spacing w:after="0"/>
              <w:rPr>
                <w:sz w:val="20"/>
                <w:szCs w:val="20"/>
                <w:color w:val="auto"/>
              </w:rPr>
            </w:pPr>
            <w:r>
              <w:rPr>
                <w:rFonts w:ascii="Arial" w:cs="Arial" w:eastAsia="Arial" w:hAnsi="Arial"/>
                <w:sz w:val="18"/>
                <w:szCs w:val="18"/>
                <w:color w:val="auto"/>
              </w:rPr>
              <w:t>123,588</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(123,588)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(77,855)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3,370,252</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6,083,474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is classified in the condensed consolidated statements of operations and comprehensive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2,396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1,778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4,174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As of September 30, 2019, the unrecognized stock-based compensation of unvested employee options and unvested RSAs and RSUs was $21.1 million and it is expected to be recognized over a weighted-average period of 2.47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12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(12,380)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(10,452)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(31,749)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(26,781)</w:t>
            </w: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37,340,844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7,980,457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37,311,018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7,954,583</w:t>
            </w: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unvested restricted shares and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subject to repurchase</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(10,778)</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(128,897)</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(19,690)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(189,695)</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Weighted-average common shares outstanding used in</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37,330,066</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7,851,560</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37,291,328</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7,764,888</w:t>
            </w:r>
          </w:p>
        </w:tc>
        <w:tc>
          <w:tcPr>
            <w:tcW w:w="100" w:type="dxa"/>
            <w:vAlign w:val="bottom"/>
            <w:tcBorders>
              <w:bottom w:val="single" w:sz="8" w:color="CFF0FC"/>
            </w:tcBorders>
          </w:tcPr>
          <w:p>
            <w:pPr>
              <w:spacing w:after="0"/>
              <w:rPr>
                <w:sz w:val="23"/>
                <w:szCs w:val="23"/>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(0.85)</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560" w:type="dxa"/>
            <w:vAlign w:val="bottom"/>
            <w:gridSpan w:val="4"/>
          </w:tcPr>
          <w:p>
            <w:pPr>
              <w:ind w:left="940"/>
              <w:spacing w:after="0"/>
              <w:rPr>
                <w:sz w:val="20"/>
                <w:szCs w:val="20"/>
                <w:color w:val="auto"/>
              </w:rPr>
            </w:pPr>
            <w:r>
              <w:rPr>
                <w:rFonts w:ascii="Arial" w:cs="Arial" w:eastAsia="Arial" w:hAnsi="Arial"/>
                <w:sz w:val="18"/>
                <w:szCs w:val="18"/>
                <w:b w:val="1"/>
                <w:bCs w:val="1"/>
                <w:color w:val="auto"/>
              </w:rPr>
              <w:t>As of September 30,</w:t>
            </w:r>
          </w:p>
        </w:tc>
      </w:tr>
      <w:tr>
        <w:trPr>
          <w:trHeight w:val="223"/>
        </w:trPr>
        <w:tc>
          <w:tcPr>
            <w:tcW w:w="7860" w:type="dxa"/>
            <w:vAlign w:val="bottom"/>
            <w:tcBorders>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6,083,474</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3,796,312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12,385,154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2017 convertible notes </w:t>
            </w:r>
            <w:r>
              <w:rPr>
                <w:rFonts w:ascii="Arial" w:cs="Arial" w:eastAsia="Arial" w:hAnsi="Arial"/>
                <w:sz w:val="15"/>
                <w:szCs w:val="15"/>
                <w:color w:val="auto"/>
              </w:rPr>
              <w:t>(1)</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2,689,744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 xml:space="preserve">2018 convertible notes </w:t>
            </w:r>
            <w:r>
              <w:rPr>
                <w:rFonts w:ascii="Arial" w:cs="Arial" w:eastAsia="Arial" w:hAnsi="Arial"/>
                <w:sz w:val="15"/>
                <w:szCs w:val="15"/>
                <w:color w:val="auto"/>
              </w:rPr>
              <w:t>(2)</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4,289,955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warrants</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2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6,090,859</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23,769,339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340" w:hanging="512"/>
        <w:spacing w:after="0" w:line="25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as $10.0 million in principal and $3.5 million in accrued but unpaid interest as of September 30, 2018, convertible at $5.00 per share of common stock.</w:t>
      </w:r>
    </w:p>
    <w:p>
      <w:pPr>
        <w:spacing w:after="0" w:line="1"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as $33.0 million in principal and $1.3 million in accrued but unpaid interest as of September 30, 2018, convertible at 80% of the $10.00 per share of common stock from the Company’s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4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November 1, 2019, the Company filed a shelf registration statement on Form S-3 (File No. 333-234443) with the SEC covering the offer and sale of the Company’s securities, from time to time and in such amounts and at such prices and terms to be determined at or prior to the time of the offerings, up to $400.0 million for a period up to three years from the date of effectiveness of the shelf registration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2018, included in our Annual Report on Form 10-K filed with the Securities and Exchange Commission, or the SEC, on March 27, 2019.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We are a clinical stage biopharmaceutical company specializing in novel therapeutics to treat chronic, high-prevalence retinal diseases. Our most advanced product candidate is KSI-301, a biologic therapy built with our antibody biopolymer conjugate platform, or ABC Platform, which is designed to maintain potent and effective drug levels in ocular tissues. We believe that KSI-301, if approved, has the potential to become an important anti-vascular endothelial growth factor, or anti-VEGF, therapy in wet age-related macular degeneration, or wet AMD, diabetic retinopathy, or DR, including diabetic macular edema, or DME, and macular edema due to retinal vein occlusion, or RVO. KSI-301 could also be an important anti-VEGF therapy for other less-common retinal vascular or exudative diseases such as choroidal neovascularization due to pathologic myopia (myopic CNV or mCNV). KSI-301 and our ABC Platform were developed at Kodiak, and we own worldwide rights to these assets.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 Our overall objective is to develop our product candidates, seek U.S. FDA and worldwide health authority marketing authorization approvals and ultimately commercialize our product candidates.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third quarter of 2019 and into the early fourth quarter, highlights of our activities included:</w:t>
      </w:r>
    </w:p>
    <w:p>
      <w:pPr>
        <w:spacing w:after="0" w:line="117" w:lineRule="exact"/>
        <w:rPr>
          <w:sz w:val="20"/>
          <w:szCs w:val="20"/>
          <w:color w:val="auto"/>
        </w:rPr>
      </w:pPr>
    </w:p>
    <w:p>
      <w:pPr>
        <w:ind w:left="640" w:hanging="1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Initiation of enrollment and recruitment in our pivotal ‘DAZZLE’ clinical trial of KSI-301 in patients with treatment naïve wet AMD;</w:t>
      </w:r>
    </w:p>
    <w:p>
      <w:pPr>
        <w:spacing w:after="0" w:line="117" w:lineRule="exact"/>
        <w:rPr>
          <w:rFonts w:ascii="Arial" w:cs="Arial" w:eastAsia="Arial" w:hAnsi="Arial"/>
          <w:sz w:val="18"/>
          <w:szCs w:val="18"/>
          <w:color w:val="auto"/>
        </w:rPr>
      </w:pPr>
    </w:p>
    <w:p>
      <w:pPr>
        <w:ind w:left="640" w:right="360" w:hanging="119"/>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of promising clinical safety, efficacy, and durability data from the ongoing Phase 1b study of KSI-301 at the American Academy of Ophthalmology Annual Meeting Retina Subspecialty Day;</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 of our accelerated development and registration strategy for KSI-301;</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a Type B (End of Phase 2 or EOP) meeting with FDA where we discussed and agreed on:</w:t>
      </w:r>
    </w:p>
    <w:p>
      <w:pPr>
        <w:spacing w:after="0" w:line="117" w:lineRule="exact"/>
        <w:rPr>
          <w:sz w:val="20"/>
          <w:szCs w:val="20"/>
          <w:color w:val="auto"/>
        </w:rPr>
      </w:pPr>
    </w:p>
    <w:p>
      <w:pPr>
        <w:ind w:left="2040" w:hanging="384"/>
        <w:spacing w:after="0"/>
        <w:tabs>
          <w:tab w:leader="none" w:pos="2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recommended clinical, non-clinical, and manufacturing activities to support the licensure of KSI-301, and</w:t>
      </w:r>
    </w:p>
    <w:p>
      <w:pPr>
        <w:spacing w:after="0" w:line="101" w:lineRule="exact"/>
        <w:rPr>
          <w:rFonts w:ascii="Courier New" w:cs="Courier New" w:eastAsia="Courier New" w:hAnsi="Courier New"/>
          <w:sz w:val="18"/>
          <w:szCs w:val="18"/>
          <w:color w:val="auto"/>
        </w:rPr>
      </w:pPr>
    </w:p>
    <w:p>
      <w:pPr>
        <w:ind w:left="2040" w:right="700" w:hanging="384"/>
        <w:spacing w:after="0" w:line="259" w:lineRule="auto"/>
        <w:tabs>
          <w:tab w:leader="none" w:pos="2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order and number of clinical studies required to support an initial Biologics License Application (BLA) in RVO and supplemental BLAs (sBLA) in wet AMD, DME, and DR; and</w:t>
      </w:r>
    </w:p>
    <w:p>
      <w:pPr>
        <w:spacing w:after="0" w:line="76" w:lineRule="exact"/>
        <w:rPr>
          <w:rFonts w:ascii="Courier New" w:cs="Courier New" w:eastAsia="Courier New" w:hAnsi="Courier New"/>
          <w:sz w:val="18"/>
          <w:szCs w:val="18"/>
          <w:color w:val="auto"/>
        </w:rPr>
      </w:pPr>
    </w:p>
    <w:p>
      <w:pPr>
        <w:ind w:left="640" w:hanging="119"/>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Clarity on a capital efficient “2022 Vision” that, if successful, would result in an initial FDA approval of KSI-301 in 2022 for RVO and supplemental BLA submissions in 2022 for wet AMD, DME and potentially DR without DME.</w:t>
      </w:r>
    </w:p>
    <w:p>
      <w:pPr>
        <w:spacing w:after="0" w:line="6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emerging clinical data as well as our productive EOP meeting with FDA, we are accelerating the clinical development of KSI-301, with the goal of demonstrating a meaningfully-differentiated durability profile in each of wet AMD, RVO, DME, and DR, as compared to currently-marketed medicines and those known to be in clinical development.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firstLine="518"/>
        <w:spacing w:after="0" w:line="298" w:lineRule="auto"/>
        <w:rPr>
          <w:sz w:val="20"/>
          <w:szCs w:val="20"/>
          <w:color w:val="auto"/>
        </w:rPr>
      </w:pPr>
      <w:r>
        <w:rPr>
          <w:rFonts w:ascii="Arial" w:cs="Arial" w:eastAsia="Arial" w:hAnsi="Arial"/>
          <w:sz w:val="17"/>
          <w:szCs w:val="17"/>
          <w:color w:val="auto"/>
        </w:rPr>
        <w:t>We believe that we can achieve our “2022 Vision” of a BLA submission and initial US FDA approval for KSI-301 in RVO, and supplemental BLA (sBLA) submissions for wet AMD, DME and DR with a total of five pivotal trials– two in RVO, one in wet AMD, one in DME and one in DR without DME.</w:t>
      </w:r>
    </w:p>
    <w:p>
      <w:pPr>
        <w:spacing w:after="0" w:line="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Consequently, we now intend to initiate at least four US/EU-based pivotal trials in 2020: one in central RVO (CRVO), one in branch RVO (BRVO), one in DME and one in DR. These studies, together with our ongoing pivotal study in wet AMD, will be the basis of our intended BLA and sBLA submissions.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64135</wp:posOffset>
            </wp:positionV>
            <wp:extent cx="5685790" cy="3198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579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2022 Vision includes the following potential catalysts and milestones in 2019,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83185</wp:posOffset>
            </wp:positionV>
            <wp:extent cx="5694045" cy="3198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Further details of our ongoing Phase 1b trial and our accelerating development strategy are discussed below.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Opportunity for Clinically Meaningful Differentiation</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Current intravitreal anti-VEGF agents require frequent eye injections in order to achieve the best clinical results. When patients do not follow product labeling or miss treatments, improvements in their vision following treatment may be transient or decline over time. Real-world data demonstrate that most patients are not currently receiving their anti-VEGF therapy at the recommended intervals. We believe that our ABC Platform medicines could address this problem by requiring less frequent dosing, and the emerging Phase 1b clinical data with KSI-301 support meaningfully-differentiated clinical profiles of KSI-301 relative to standard of care in each of the major retinal diseases treated today with anti-VEGF therapy. The current and emerging standard of care treatment regimens and the dosing regimens Kodiak intends to test in its pivotal trials with KSI-301 are shown in the below Table.</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3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Retinal Disease:</w:t>
            </w:r>
          </w:p>
        </w:tc>
        <w:tc>
          <w:tcPr>
            <w:tcW w:w="2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Wet AMD</w:t>
            </w:r>
          </w:p>
        </w:tc>
        <w:tc>
          <w:tcPr>
            <w:tcW w:w="2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Diabetic Macular Edema</w:t>
            </w:r>
          </w:p>
        </w:tc>
        <w:tc>
          <w:tcPr>
            <w:tcW w:w="2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Retinal Vein Occlusion</w:t>
            </w:r>
          </w:p>
        </w:tc>
        <w:tc>
          <w:tcPr>
            <w:tcW w:w="2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Non-Proliferative Diabetic</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Retinopathy</w:t>
            </w:r>
          </w:p>
        </w:tc>
        <w:tc>
          <w:tcPr>
            <w:tcW w:w="0" w:type="dxa"/>
            <w:vAlign w:val="bottom"/>
          </w:tcPr>
          <w:p>
            <w:pPr>
              <w:spacing w:after="0"/>
              <w:rPr>
                <w:sz w:val="1"/>
                <w:szCs w:val="1"/>
                <w:color w:val="auto"/>
              </w:rPr>
            </w:pPr>
          </w:p>
        </w:tc>
      </w:tr>
      <w:tr>
        <w:trPr>
          <w:trHeight w:val="303"/>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Current and emerging</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(Current:) Aflibercept once</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Aflibercept once every 2</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Aflibercept once monthly</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(Current:) None</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standard of care</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every 2 months, after 3</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months, after 5 monthly</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monthly loading doses</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loading doses</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3"/>
              </w:rPr>
              <w:t>(Emerging:) Aflibercept once</w:t>
            </w:r>
          </w:p>
        </w:tc>
        <w:tc>
          <w:tcPr>
            <w:tcW w:w="0" w:type="dxa"/>
            <w:vAlign w:val="bottom"/>
          </w:tcPr>
          <w:p>
            <w:pPr>
              <w:spacing w:after="0"/>
              <w:rPr>
                <w:sz w:val="1"/>
                <w:szCs w:val="1"/>
                <w:color w:val="auto"/>
              </w:rPr>
            </w:pPr>
          </w:p>
        </w:tc>
      </w:tr>
      <w:tr>
        <w:trPr>
          <w:trHeight w:val="202"/>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(Emerging:) Brolucizumab</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0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every 2 months, after 5</w:t>
            </w:r>
          </w:p>
        </w:tc>
        <w:tc>
          <w:tcPr>
            <w:tcW w:w="0" w:type="dxa"/>
            <w:vAlign w:val="bottom"/>
          </w:tcPr>
          <w:p>
            <w:pPr>
              <w:spacing w:after="0"/>
              <w:rPr>
                <w:sz w:val="1"/>
                <w:szCs w:val="1"/>
                <w:color w:val="auto"/>
              </w:rPr>
            </w:pPr>
          </w:p>
        </w:tc>
      </w:tr>
      <w:tr>
        <w:trPr>
          <w:trHeight w:val="108"/>
        </w:trPr>
        <w:tc>
          <w:tcPr>
            <w:tcW w:w="230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once every 2-3 months, after</w:t>
            </w: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monthly loading doses</w:t>
            </w:r>
          </w:p>
        </w:tc>
        <w:tc>
          <w:tcPr>
            <w:tcW w:w="0" w:type="dxa"/>
            <w:vAlign w:val="bottom"/>
          </w:tcPr>
          <w:p>
            <w:pPr>
              <w:spacing w:after="0"/>
              <w:rPr>
                <w:sz w:val="1"/>
                <w:szCs w:val="1"/>
                <w:color w:val="auto"/>
              </w:rPr>
            </w:pP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 monthly loading doses</w:t>
            </w:r>
          </w:p>
        </w:tc>
        <w:tc>
          <w:tcPr>
            <w:tcW w:w="22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3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w w:val="93"/>
              </w:rPr>
              <w:t>Kodiak’s Dosing Regimen for</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KSI-301 once every 3, 4, or 5</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KSI-301 once every 3, 4, 5,</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KSI-301 once every 2</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KSI-301 once every 3, 4, or 6</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KSI-301 (as studied in</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months, after 3 monthly</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or 6 months, after 3 monthly</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months, after 2 monthly</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months, with no loading</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ongoing or anticipated</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loading doses</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loading doses</w:t>
            </w: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loading doses</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doses</w:t>
            </w: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pivotal trials)</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300" w:type="dxa"/>
            <w:vAlign w:val="bottom"/>
            <w:tcBorders>
              <w:left w:val="single" w:sz="8" w:color="auto"/>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Phase 1b Data Support A Differentiated Profile of KSI-301 in Each Disease</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In the fourth quarter of 2019, we reported emerging safety, efficacy and durability data of KSI-301 in patients with treatment-naïve wet AMD, DME, and RVO treated in our ongoing, open-label, multiple-dose Phase 1b study of KSI-301. This Phase 1b study was initiated in the United States in the fourth quarter of 2018 and followed a successful first-in-human, single ascending dose Phase 1a clinical study of KSI-301 that was also undertaken in 2018. The Phase 1b study is designed to provide a scientific and clinical proof of concept for the safety, efficacy and durability of KSI-301 and the ABC Platform in patients with retinal vascular disease. As of October 10, 2019, 104 patients had been enrolled in the Phase 1b study. In the study, patients are being treated with three monthly doses of either 2.5 mg or 5 mg KSI-301 and followed thereafter, with additional treatments according to disease-specific, protocol-specified retreatment criteria.</w:t>
      </w:r>
    </w:p>
    <w:p>
      <w:pPr>
        <w:spacing w:after="0" w:line="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October 11, 2019, we presented interim data from the ongoing Phase 1b study of KSI-301 at the American Academy of Ophthalmology (AAO) Annual Meeting Retina Subspecialty Day. We are observing promising clinical durability in the emerging data in each of the retinal diseases under study. We believe the Phase 1b data we are generating in treatment naïve patients with wet AMD, DME, or RVO lend confidence to the design of our current and proposed pivotal studies of KSI-301, and that these pivotal studies, if successful, will demonstrate meaningfully differentiated profiles in each of the four retinal vascular diseases as compared to current agents. On October 14, 2019, we hosted an R&amp;D Day where we discussed the data together with a set of leading clinical and market experts. The AAO presentation and the R&amp;D Day slides and recorded webcast are available on the Kodiak Investor Relations website.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firstLine="518"/>
        <w:spacing w:after="0" w:line="286" w:lineRule="auto"/>
        <w:rPr>
          <w:sz w:val="20"/>
          <w:szCs w:val="20"/>
          <w:color w:val="auto"/>
        </w:rPr>
      </w:pPr>
      <w:r>
        <w:rPr>
          <w:rFonts w:ascii="Arial" w:cs="Arial" w:eastAsia="Arial" w:hAnsi="Arial"/>
          <w:sz w:val="17"/>
          <w:szCs w:val="17"/>
          <w:color w:val="auto"/>
        </w:rPr>
        <w:t>The Phase 1b study design, retreatment criteria, and patient baseline characteristics are described in the below Figures. In the Phase 1b study, treatment-naïve patients with wet AMD, DME, or RVO receive three monthly loading doses of KSI-301 at either the 2.5 mg or 5 mg dose levels and are followed thereafter; retreatment with KSI-301 is administered as per the protocol-specified retreatment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122555</wp:posOffset>
            </wp:positionV>
            <wp:extent cx="5685790" cy="6466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5790" cy="646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449" w:right="6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294640</wp:posOffset>
            </wp:positionV>
            <wp:extent cx="5694045" cy="3198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Figures below present additional new data on durability and efficacy outcomes from the ongoing Phase 1b study beyond those presented at the AAO and R&amp;D Day, as the patients have, through November 8, 2019, been followed for approximately one additional month each. Across all three diseases under the study, improvements in vision and retinal anatomy were observed through 20 weeks of patient follow-up, with stability in OCT and BCVA over time in the monthly follow-up intervals following the three mandatory loading doses. Vision is measured as change in best corrected visual acuity, or BCVA, on a standardized eye chart, and retinal anatomy is measured as change in retinal central subfield thickness, or CST, using optical coherence tomography, or OCT, imaging.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Wet AMD</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wet AMD, with current agents, only approximately 40% of patients can be maintained on an every 12-week (3 month) dosing interval over a two-year period. The remaining 60% of patients require either every other month therapy, monthly therapy, or even on occasion treatment as often as every two weeks. Our objective with KSI-301 in wet AMD is to develop a therapy where the vast majority of patients are on every 12-week dosing or better, with at least 50% of patients maintained on an every four or five month dosing regimen.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20" w:name="page21"/>
    <w:bookmarkEnd w:id="20"/>
    <w:p>
      <w:pPr>
        <w:ind w:right="40" w:firstLine="518"/>
        <w:spacing w:after="0" w:line="279" w:lineRule="auto"/>
        <w:rPr>
          <w:sz w:val="20"/>
          <w:szCs w:val="20"/>
          <w:color w:val="auto"/>
        </w:rPr>
      </w:pPr>
      <w:r>
        <w:rPr>
          <w:rFonts w:ascii="Arial" w:cs="Arial" w:eastAsia="Arial" w:hAnsi="Arial"/>
          <w:sz w:val="17"/>
          <w:szCs w:val="17"/>
          <w:color w:val="auto"/>
        </w:rPr>
        <w:t>In our Phase 1b study, we have observed thus far that 92% of wet AMD treated eyes have been extended to three months or longer after the last loading dose of KSI-301 without receiving retreatment, and 85% have been extended longer than three months after the last loading dose. Many patients have not received their first retreatment until five or even six months after the last loading dose. In the Phase 1b study, the maximum retreatment interval for wet AMD patients is capped at six months. The following results have been observed as of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126365</wp:posOffset>
            </wp:positionV>
            <wp:extent cx="6123305" cy="3447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330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Intriguingly, we are observing that a high proportion of Phase 1b patients –approximately 50% as of November 8, 2019– are reaching or will reach six months without retreatment after the initial loading doses. Of the patients with sufficient follow-up and taking into consideration those retreated earlier as well as the patients who were examined and not retreated at the five month visit after the last loading dose, 8 of the 15 patients to date have reached or can reach six months without retreatment after the initial loading doses. These emerging data underscore the potential of KSI-301 and the ABC Platform to achieve truly long-interval dosing with an intravitreally-administered therapy.</w:t>
      </w:r>
    </w:p>
    <w:p>
      <w:pPr>
        <w:spacing w:after="0" w:line="80"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Visual acuity and retinal anatomy (OCT CST) improvements continue to be durable in the follow-up data as well. In the following graphs, the 25 wet AMD patients (pooled 2.5 mg and 5 mg dose levels) who reached the week 20 visit prior to the data cutoff date of November 8, 2019 are included. In the period between week 12 and week 20 (that is, months 1 to 3 after the loading phase), the treatment effect is maintained, with only a small (15.3 micron) change in average central subfield thickness on OCT was observed, and between weeks 16 and 20 this change was only 5.7 microns. This is consistent with an extended durability effect of KSI-301 and compares favorably to the OCT fluctuations observed with existing anti-VEGF agents on even shorter dosing intervals. Similarly, BCVA was also generally stable over these intervals, consistent with a prolonged duration of effect of KSI-301. BCVA tends to fluctuate by a small amount on a month-to-month basis in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294640</wp:posOffset>
            </wp:positionV>
            <wp:extent cx="5694045" cy="3198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Phase 1b study, the average retinal thickness (OCT CST) data as reported by our clinical investigators includes the height of pigment epithelial detachments (PEDs). PEDs are an anatomic feature in some patients with wet AMD; treatment success in subjects with PEDs does not necessarily imply complete flattening of the PED, but rather eliminating the intraretinal and subretinal fluid, particularly when the PED is very high prior to anti-VEGF treatment. Additionally, comparison across studies of OCT mean CST values is difficult because it is often not clear or not disclosed in presentations and publications whether the data include or exclude the height of the PED, among other reasons. In the figure below, the graphs show the BCVA and OCT CST change in the wet AMD subjects excluding the 2/25 patients that presented with a very high (&gt;500 microns of total CST) PED at baseline. The BCVA and OCT CST curves are similar to those of the full cohort, but the OCT CST values are lower at baseline and over time, and the standard error of the mean (SEM) error bars are narrower, demonstrating the relative weight these two patients have in a small cohort. In summary, these two patients appear to be outliers in baseline thickness but not in treatment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55880</wp:posOffset>
            </wp:positionV>
            <wp:extent cx="5694045" cy="3198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2" w:name="page23"/>
    <w:bookmarkEnd w:id="22"/>
    <w:p>
      <w:pPr>
        <w:ind w:firstLine="518"/>
        <w:spacing w:after="0" w:line="277" w:lineRule="auto"/>
        <w:rPr>
          <w:sz w:val="20"/>
          <w:szCs w:val="20"/>
          <w:color w:val="auto"/>
        </w:rPr>
      </w:pPr>
      <w:r>
        <w:rPr>
          <w:rFonts w:ascii="Arial" w:cs="Arial" w:eastAsia="Arial" w:hAnsi="Arial"/>
          <w:sz w:val="18"/>
          <w:szCs w:val="18"/>
          <w:color w:val="auto"/>
        </w:rPr>
        <w:t>The data presented above include patients who reached the week 20 visit by the data cut-off date. When considering the larger group of patients who have data through the first 12 weeks of the ongoing study, the following results have been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125730</wp:posOffset>
            </wp:positionV>
            <wp:extent cx="5694045" cy="6466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4045" cy="646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23" w:name="page24"/>
    <w:bookmarkEnd w:id="23"/>
    <w:p>
      <w:pPr>
        <w:jc w:val="both"/>
        <w:ind w:firstLine="518"/>
        <w:spacing w:after="0" w:line="264" w:lineRule="auto"/>
        <w:rPr>
          <w:sz w:val="20"/>
          <w:szCs w:val="20"/>
          <w:color w:val="auto"/>
        </w:rPr>
      </w:pPr>
      <w:r>
        <w:rPr>
          <w:rFonts w:ascii="Arial" w:cs="Arial" w:eastAsia="Arial" w:hAnsi="Arial"/>
          <w:sz w:val="18"/>
          <w:szCs w:val="18"/>
          <w:color w:val="auto"/>
        </w:rPr>
        <w:t>These data collectively demonstrate that KSI-301 has a potent anti-VEGF effect both on BCVA improvement and retinal drying in wet AMD patients. The clinical benefit appears in line with existing anti-VEGF agents (especially when considering differences in baseline characteristics), and we are observing substantially longer durability of clinical effect with KSI-301 than is expected from existing agents.</w:t>
      </w:r>
    </w:p>
    <w:p>
      <w:pPr>
        <w:spacing w:after="0" w:line="7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Although the Phase 1b study is open-label, we believe these results are representative both because patients in the study are randomized to two dose levels and because the key assessments (visual acuity and OCT) are measured objectively and in a standardized, reproducible manner. The very high proportion of Phase 1b patients who have been extended to 4, 5, or even 6 months without receiving retreatment also further supports the design of our ongoing pivotal study, DAZZLE, in which KSI-301 is administered to treatment-naïve wet AMD patients on an every 3, 4 or 5 month dosing regimen, as compared to aflibercept on an every 2 month regimen, each after three monthly loading doses.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Diabetic Macular Edema</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DME, currently-approved anti-VEGF medicines are labeled for either monthly or every other month dosing after 5 monthly loading doses, and in a National Eye Institute-funded DRCR.net collaborative group study of DME patients, almost all patients required 6 initial monthly loading doses and a median of 9-10 doses were administered in the first year of therapy for all of the tested agents (aflibercept, bevacizumab, and ranibizumab). Our objective with KSI-301 in DME is thus twofold: first, to reduce the number of initiating or loading doses, and second to extend the treatment interval in the maintenance phase to 3 months and beyond. In our Phase 1b study, we have observed that 72% of DME treated eyes have been extended to four months or longer after the 3 loading doses of KSI-301 without receiving retreatment, with most patients not yet receiving any retreatment, including patients followed for as long as 5 to 7 months after the initiating doses. 81% of DME treated eyes have been extended longer than 3 months after the last loading dose (and 94% extended to 3 months or longer). The following results have been observed as of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131445</wp:posOffset>
            </wp:positionV>
            <wp:extent cx="6131560" cy="3447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3156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Visual acuity and optical coherence tomography improvements continue to be durable in the follow-up data as well. In the following Figure, the 15 DME patients (pooled 2.5 mg and 5 mg dose levels) who reached the week 20 visit prior to the data cutoff date of November 8, 2019 are included. In the period between week 12 and week 20 (that is, months 1 to 3 after the loading phase), the treatment effect is maintained, with only a small (19.2 micron) change in average central subfield thickness on OCT was observed, and between weeks 16 and 20 this change was only 13.6 microns. This is consistent with the extended durability effect of KSI-301 and compares very favorably to existing anti-VEGF agents, particularly with a reduced number of loading doses. The change in OCT appeared largely driven by the two DME patients who required and received retreatment at week 20 under the protocol. Follow-up data at week 24 is available for both of these patients, and one month after they received retreatment at week 20, their OCT improved again by -97 and -255 microns respectively. Similarly, BCVA was also stable over these intervals, consistent with a prolonged duration of effect of KSI-301.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372110</wp:posOffset>
            </wp:positionV>
            <wp:extent cx="5694045" cy="3198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data presented above include patients who reached the week 20 visit by the data cut-off date. When considering the larger group of patients who have data through the first 12 weeks of the ongoing study, the following results have been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125730</wp:posOffset>
            </wp:positionV>
            <wp:extent cx="5694045" cy="3198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data collectively demonstrate that KSI-301 has a potent anti-VEGF effect both on BCVA improvement and retinal drying in DME patients. The clinical benefit appears in line with existing anti-VEGF agents (especially when considering differences in baseline characteristics) and we are observing substantially longer durability of clinical effect with KSI-301 than with existing agents. Moreover, these results were achieved with fewer loading doses. These data support a pivotal study design where KSI-301 would be given on an every three- to six-month interval after three loading doses, compared to standard of care aflibercept on its approved every other month regimen after five loading doses.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Diabetic Retinopathy</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DR, currently-approved medicines are labeled for either monthly or every other month dosing after five monthly loading doses. Use of anti-VEGF therapy in non-proliferative DR patients can significantly reduce the risk of developing sight-threatening complications, such as DME and proliferative DR. Because patients with non-proliferative DR without DME have not yet lost vision, an important benefit-risk consideration is the intensity of treatment required. We believe that the treatment burden required with currently-approved anti-VEGFs for DR is limiting the adoption of anti-VEGF therapy despite the demonstrated treatment benefits. Our objective with KSI-301 in NPDR is to develop a therapy that could be given on an infrequent basis, such as an every three-, four- or even every six-month interval, and without the loading doses required in the labeling of the currently-approved medicines.</w:t>
      </w:r>
    </w:p>
    <w:p>
      <w:pPr>
        <w:spacing w:after="0" w:line="5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In our Phase 1b study, we have observed early signs of improvement in diabetic retinopathy in the eyes of patients with concomitant DME: as of October 10, 2019, 40% of patients improved in DR severity level within the first 12 weeks of treatment and no patient worsening.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110490</wp:posOffset>
            </wp:positionV>
            <wp:extent cx="5694045" cy="3198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Retinal Vein Occlusion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RVO, a disease which has higher levels of intraocular VEGF on average than wet AMD and DME, the currently-approved medicines are labeled for monthly dosing. Moreover, a recent UK study in patients with central RVO demonstrated that less-than-monthly dosing can be associated with loss of maximal treatment effect on both OCT and VA outcomes. Our objective with KSI-301 in RVO is thus twofold: first, to reduce the number of initiating or loading doses, and second, to extend the treatment interval to 2 months and beyond. In our Phase 1b study, we have observed thus far that all RVO eyes treated with 5 mg KSI-301 have been extended to 2 months or longer after the last loading dose of KSI-301, with 50% of patients extended to 3 months or longer. The following results have been observed as of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140335</wp:posOffset>
            </wp:positionV>
            <wp:extent cx="6140450" cy="3447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4045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Visual acuity and optical coherence tomography improvements continue to be durable in the follow-up data as well. In the following Figure, the 15 RVO patients (pooled 2.5 mg and 5 mg dose levels) who reached the week 20 visit prior to the data cutoff date of November 8, 2019 are included. In the period between week 12 and week 20 (that is, months 1 to 3 after the loading phase), the treatment effect is maintained, with only a small (9.5 micron) change in average central subfield thickness on OCT was observed, and between weeks 12 and 16 this change was only 21.6 microns, consistent with the observation that some patients required and received retreatment at week 16 (8 weeks after the last loading dose). This is consistent with the extended durability effect of KSI-301 and compares favorably existing anti-VEGF agents. Similarly, BCVA was also stable over these intervals, consistent with a prolonged duration of effect of KSI-301. An average improvement from baseline of +21.3 eye chart letters, which is over four eye chart lines, was observed at week 20.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372110</wp:posOffset>
            </wp:positionV>
            <wp:extent cx="5694045" cy="3198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data presented above includes patients who reached the week 20 visit by the data cut-off date. When considering the larger group of patients who have data through the first 12 weeks of the ongoing study, the following results have been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125730</wp:posOffset>
            </wp:positionV>
            <wp:extent cx="5694045" cy="3198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40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These data collectively demonstrate that KSI-301 has a potent anti-VEGF effect both on BCVA improvement and retinal drying in RVO patients. The clinical benefit appears in line with existing anti-VEGF agents (especially when considering differences in baseline characteristics), with substantially longer durability than with existing agents, and the effects were achieved with fewer loading doses. These data support a pivotal study design where KSI-301 would be given on an every two month or longer interval, compared to standard of care aflibercept on its monthly regimen.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Safety of KSI-301 Injections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safety profile of KSI-301 continues to be encouraging with no intraocular inflammation or study eye ocular serious adverse events reported across 338 injections given to 116 patients in the Phase 1a and Phase 1b program as of November 9, 2019. The systemic safety profile continues to be consistent with that expected for intravitreal anti-VEGF agents,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132715</wp:posOffset>
            </wp:positionV>
            <wp:extent cx="6123305" cy="3447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330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Additionally, we have also started to evaluate anti-drug antibody (ADA) status in the Phase 1/1b program. As of October 28, 2019, a total of 362 samples from 103 subjects have been tested for the presence of ADAs. Only four samples from three subjects in Phase 1b were confirmed positive. These four samples all have low titers at or below the minimum required assay dilution. Of the 3/103 subjects testing positive, one subject tested positive at a low level at both Week 8 and Week 16. The second subject tested positive at a low level at Week 16, and no later time points have been tested yet. The third subject tested positive at a low level at Week 8 and was negative at Week 16. While the sample size is small, a review of the corresponding clinical and safety data for these three subjects did not show the ADA positivity to be correlated with loss of clinical efficacy (BCVA, OCT, earlier need for retreatment) or correlated with any ocular or non-ocular safety finding. Although these data are preliminary, they provide an additional window into the safety of KSI-301 as we accelerate the clinical development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Study Ongoing Status</w:t>
      </w:r>
    </w:p>
    <w:p>
      <w:pPr>
        <w:spacing w:after="0" w:line="117"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have extended the planned follow-up period of patients in the Phase 1b study from nine months to 18 months so that additional long-term durability and safety outcomes can be collected. We intend to continue to present ongoing safety, efficacy and durability data from the Phase 1b study at medical and investor meetings.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Clinical Development Strategy for KSI-301</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Based on the promising safety, efficacy and durability data observed to date in the Phase 1b study, we are accelerating the clinical development of KSI-301.</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third quarter of 2019, we initiated enrollment in our pivotal DAZZLE clinical trial of KSI-301 in patients with treatment-naïve wet AMD. In this study, all patients will receive KSI-301 on an every three- to five- month dosing interval or standard-care aflibercept on an every two-month dosing interval, each after three initial monthly doses. We believe that an every three- to five- month dosing regimen with KSI-301 would represent a clinically-meaningful improvement compared to the currently-available standard of care for patients needing intraocular anti-VEGF therapy. A primary data readout is anticipated in 2021 depending on enrollment rates. This trial is currently recruiting patients in the United States and is additionally planned to enroll patients in several countries of the European Union as well as in Israel.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220" w:firstLine="518"/>
        <w:spacing w:after="0" w:line="264" w:lineRule="auto"/>
        <w:rPr>
          <w:sz w:val="20"/>
          <w:szCs w:val="20"/>
          <w:color w:val="auto"/>
        </w:rPr>
      </w:pPr>
      <w:r>
        <w:rPr>
          <w:rFonts w:ascii="Arial" w:cs="Arial" w:eastAsia="Arial" w:hAnsi="Arial"/>
          <w:sz w:val="18"/>
          <w:szCs w:val="18"/>
          <w:color w:val="auto"/>
        </w:rPr>
        <w:t>At our R&amp;D Day event in October 2019, we announced our intention to initiate, in mid-2020, two Phase 3 studies of KSI-301 in RVO– one study in central RVO and one study in BRVO. These two studies would support an initial BLA for KSI-301 and could result in our achieving rapid market entry, because the primary endpoint for RVO studies is evaluated at six months.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Subsequently, in the fourth quarter of 2019, we held a Type B (EOP) meeting with FDA where we discussed and agreed upon the recommended clinical, non-clinical, and manufacturing activities to support the future licensure of KSI-301 in wet AMD, RVO, DME, and DR. In particular, we discussed and agreed with FDA on the sequence and number of clinical studies required to support an initial BLA and supplemental BLA to achieve approval in these four retinal diseases. FDA has indicated that approval in the four diseases of AMD, DME, RVO and DR without DME could be supported with a total of five pivotal trials – two in RVO, one in wet AMD, one in DME, and one in DR without DME. We also discussed with and received feedback from FDA on the designs of the proposed studies.</w:t>
      </w:r>
    </w:p>
    <w:p>
      <w:pPr>
        <w:spacing w:after="0" w:line="8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As a result of the supportive discussions with FDA, we now intend to initiate at least four US/EU-based pivotal trials in mid-2020: one in central RVO (CRVO), one in branch RVO (BRVO), one in DME, and one in DR without DME. These studies, together with our ongoing ‘DAZZLE’ pivotal study in wet AMD, will be the basis of our intended BLA and sBLA submissions. Each study will compare a differentiated KSI-301 dosing regimen head-to-head against standard of care: intravitreal anti-VEGF treatment in the case of wet AMD, DME, and RVO, and observation/sham injections for DR.</w:t>
      </w:r>
    </w:p>
    <w:p>
      <w:pPr>
        <w:spacing w:after="0" w:line="6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believe the RVO studies can achieve primary data readouts in 2021 and support an initial BLA filing for KSI-301 in early 2022. We believe the DME study can achieve primary data readout in 2022 and, together with our DAZZLE wet AMD study, support a supplemental BLA for both DME and wet AMD in 2022. Likewise, we believe the DR study could achieve primary data readout in 2022 and support a supplemental BLA submission for DR in 2022 or 2023.</w:t>
      </w:r>
    </w:p>
    <w:p>
      <w:pPr>
        <w:spacing w:after="0" w:line="7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currently finalizing the designs of the RVO and DME Phase 3 studies following the discussions that we held with the FDA. For patients with RVO, we believe an every-other month or longer dose regimen for KSI-301, following two loading doses, can be meaningfully differentiated from that of other marketed and in-development anti-VEGF biologics that require monthly dosing in this disease. For patients with DME, we are planning a DAZZLE-like design, with all patients on an every 3-, 4-, 5- or 6- month regimen (after 3 monthly loading doses) compared to standard of care aflibercept dosed every 2 months (after 5 monthly loading doses). We believe this profile, with all patients on an every 3- month or longer dose regimen, can be meaningfully differentiated from that of other marketed and in-development anti-VEGF biologics.</w:t>
      </w:r>
    </w:p>
    <w:p>
      <w:pPr>
        <w:spacing w:after="0" w:line="7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also expect to finalize the design of the DR Phase 3 study by early 2020. For DR patients, we believe that an every 3-, 4-, or 6- month regimen with no loading doses could offer an important and meaningfully-differentiated benefit for patients. Although anti-VEGF therapy is now approved in the US for DR, it is not standard of care for non-proliferative DR in most cases. Thus, a study of KSI-301 could compare against either placebo (sham injections) or anti-VEGF treatment.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anticipated US/EU clinical studies for KSI-301 are therefore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83185</wp:posOffset>
            </wp:positionV>
            <wp:extent cx="6174740" cy="2512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additionally plan to initiate one or more clinical studies in China. We held our China pre-investigational new drug, or IND, meeting for KSI-301 with the China Center for Drug Evaluation, or CDE, in the second quarter of 2019. Based on this supportive meeting, as well as the progress with our clinical development of KSI-301 and the recent FDA feedback, we are now evaluating how the design and sequencing of our clinical studies in China can best support our China objectives and global objectives with the intention to submit one or more INDs for KSI-301 in China in the first quarter of 2020. The disease indications we explored in our pre-IND meeting included wet AMD, DME, and DR. Our IND submissions in China may include patients with wet AMD, DME/DR, RVO, and/or myopic CNV.</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firstLine="518"/>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8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equity securities. In October 2018, we completed our initial public offering, or IPO.</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$12.4 million and $31.7 million for the three and nine months ended September 30, 2019, respectively. As of September 30, 2019, we had an accumulated deficit of $142.5 million.</w:t>
      </w:r>
    </w:p>
    <w:p>
      <w:pPr>
        <w:spacing w:after="0" w:line="8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DR without DME or delay our efforts to advance and expand our product pipeline.</w:t>
      </w:r>
    </w:p>
    <w:p>
      <w:pPr>
        <w:spacing w:after="0" w:line="8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September 30, 2019, we had cash and cash equivalents and marketable securities of $60.6 million. Refer to the going concern evaluation under Note 1 to our unaudited condensed consolidated financial statements included in this report.</w:t>
      </w:r>
    </w:p>
    <w:p>
      <w:pPr>
        <w:spacing w:after="0" w:line="62"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On November 1, 2019, we filed a shelf registration statement on Form S-3 (File No. 333-234443) with the SEC covering the offer and sale of the Company’s securities up to $400.0 million for a period up to three years from the date of effectiveness of the shelf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are focusing substantially all of our resources and development efforts on the development of our product candidates, in particular KSI-301. We expect our research and development expenses to increase substantially during the next few years, as we continue to initiate and advance our Phase 2 studies, complete our clinical programs,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or our manufacturing activities, we could be required to expend significant additional financial resources and time on the completion of clinical development and launch-related manufacturing activities. Furthermore, we are unable to predict when or if our drug candidates will receive regulatory approval with any certainty.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the SEC, investor relations costs and director and officer insurance premiums associated with being a public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income earned on investments for the three and nine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Interest expense consists primarily of interest expense related to our convertible notes, including amortization of debt discount and debt issuance costs, for the three and nine months ended September 30, 2018. The convertible notes converted into shares of common stock upon the closing of our IPO.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160" w:firstLine="518"/>
        <w:spacing w:after="0" w:line="342" w:lineRule="auto"/>
        <w:rPr>
          <w:sz w:val="20"/>
          <w:szCs w:val="20"/>
          <w:color w:val="auto"/>
        </w:rPr>
      </w:pPr>
      <w:r>
        <w:rPr>
          <w:rFonts w:ascii="Arial" w:cs="Arial" w:eastAsia="Arial" w:hAnsi="Arial"/>
          <w:sz w:val="16"/>
          <w:szCs w:val="16"/>
          <w:color w:val="auto"/>
        </w:rPr>
        <w:t>Other income (expense), net consists of changes in the fair value of preferred stock warrants and derivative instruments for the three and nine months ended September 30, 2018. The preferred stock warrants converted into common stock warrants and the derivative liability was extinguished upon our IPO.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3"/>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Nine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10,115</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4,709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5,406</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24,676</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11,942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180" w:type="dxa"/>
            <w:vAlign w:val="bottom"/>
          </w:tcPr>
          <w:p>
            <w:pPr>
              <w:ind w:left="260"/>
              <w:spacing w:after="0"/>
              <w:rPr>
                <w:sz w:val="20"/>
                <w:szCs w:val="20"/>
                <w:color w:val="auto"/>
              </w:rPr>
            </w:pPr>
            <w:r>
              <w:rPr>
                <w:rFonts w:ascii="Arial" w:cs="Arial" w:eastAsia="Arial" w:hAnsi="Arial"/>
                <w:sz w:val="18"/>
                <w:szCs w:val="18"/>
                <w:color w:val="auto"/>
              </w:rPr>
              <w:t>Interest expense (includes $1,076 and $2,944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tcPr>
          <w:p>
            <w:pPr>
              <w:ind w:left="380"/>
              <w:spacing w:after="0"/>
              <w:rPr>
                <w:sz w:val="20"/>
                <w:szCs w:val="20"/>
                <w:color w:val="auto"/>
              </w:rPr>
            </w:pPr>
            <w:r>
              <w:rPr>
                <w:rFonts w:ascii="Arial" w:cs="Arial" w:eastAsia="Arial" w:hAnsi="Arial"/>
                <w:sz w:val="18"/>
                <w:szCs w:val="18"/>
                <w:color w:val="auto"/>
              </w:rPr>
              <w:t>attributable to related parties for the three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tcPr>
          <w:p>
            <w:pPr>
              <w:ind w:left="380"/>
              <w:spacing w:after="0"/>
              <w:rPr>
                <w:sz w:val="20"/>
                <w:szCs w:val="20"/>
                <w:color w:val="auto"/>
              </w:rPr>
            </w:pPr>
            <w:r>
              <w:rPr>
                <w:rFonts w:ascii="Arial" w:cs="Arial" w:eastAsia="Arial" w:hAnsi="Arial"/>
                <w:sz w:val="18"/>
                <w:szCs w:val="18"/>
                <w:color w:val="auto"/>
              </w:rPr>
              <w:t>and nine months ended September 30, 2018,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 (includes $1,129</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$2,714 other expense attributable to</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 for the three and nine months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ended September 30, 2018, respectively)</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320" w:type="dxa"/>
            <w:vAlign w:val="bottom"/>
            <w:gridSpan w:val="13"/>
          </w:tcPr>
          <w:p>
            <w:pPr>
              <w:ind w:left="520"/>
              <w:spacing w:after="0"/>
              <w:rPr>
                <w:sz w:val="20"/>
                <w:szCs w:val="20"/>
                <w:color w:val="auto"/>
              </w:rPr>
            </w:pPr>
            <w:r>
              <w:rPr>
                <w:rFonts w:ascii="Arial" w:cs="Arial" w:eastAsia="Arial" w:hAnsi="Arial"/>
                <w:sz w:val="18"/>
                <w:szCs w:val="18"/>
                <w:color w:val="auto"/>
                <w:w w:val="97"/>
              </w:rPr>
              <w:t>The following table summarizes our research and development expenses for the periods indicated, in thousands: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(5)</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520" w:hanging="512"/>
        <w:spacing w:after="0" w:line="25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9" w:lineRule="exact"/>
        <w:rPr>
          <w:rFonts w:ascii="Arial" w:cs="Arial" w:eastAsia="Arial" w:hAnsi="Arial"/>
          <w:sz w:val="18"/>
          <w:szCs w:val="18"/>
          <w:color w:val="auto"/>
        </w:rPr>
      </w:pPr>
    </w:p>
    <w:p>
      <w:pPr>
        <w:ind w:left="520" w:right="440" w:hanging="512"/>
        <w:spacing w:after="0" w:line="281"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1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ABC Platform external expenses increased $0.1 million and $1.0 million during the three and nine months ended September 30, 2019, respectively, as compared to 2018. The increase was primarily driven by manufacturing runs to support our product candidate pipeline.</w:t>
      </w:r>
    </w:p>
    <w:p>
      <w:pPr>
        <w:spacing w:after="0" w:line="6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KSI-301 program external expenses increased $4.1 million and $6.5 million during the three and nine months ended September 30, 2019, respectively, as compared to 2018. The increase was primarily due to clinical trial costs as well as manufacturing runs for KSI-301.</w:t>
      </w:r>
    </w:p>
    <w:p>
      <w:pPr>
        <w:spacing w:after="0" w:line="6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KSI-501 program external expenses increased $0.3 million and $1.1 million during the three and nine months ended September 30, 2019, respectively, due to ongoing research and development of KSI-501.</w:t>
      </w:r>
    </w:p>
    <w:p>
      <w:pPr>
        <w:spacing w:after="0" w:line="6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Payroll and personnel expenses increased $0.8 million and $3.9 million during the three and nine months ended September 30, 2019, respectively, as compared to 2018. The increase was a result of increased headcount and stock-based compensation expense.</w:t>
      </w:r>
    </w:p>
    <w:p>
      <w:pPr>
        <w:spacing w:after="0" w:line="62"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Other research and development expenses remained relatively constant during the three and nine months ended September 30, 2019 as compared to 2018. Our other research and development expenses may fluctuate in future periods as we elect to develop other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General and administrative expenses increased $0.9 million during the three months ended September 30, 2019 as compared to 2018. The increase in general and administrative expenses was primarily attributable to increases of $0.6 million in salaries, including stock-based compensation, and $0.3 million in insurance fees associated with operating as a public company.</w:t>
      </w:r>
    </w:p>
    <w:p>
      <w:pPr>
        <w:spacing w:after="0" w:line="73"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General and administrative expenses increased $3.3 million during the nine months ended September 30, 2019 as compared to 2018. The increase in general and administrative expenses was primarily attributable to increases of $1.5 million in salaries, including stock-based compensation, $0.8 million in insurance fees and $1.0 million in professional services and costs associated with operating as a public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and warrants. In October 2018, we completed our IPO.</w:t>
      </w:r>
    </w:p>
    <w:p>
      <w:pPr>
        <w:spacing w:after="0" w:line="6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September 30, 2019, we had cash and cash equivalents and marketable securities of $60.6 million. Cash in excess of immediate requirements is invested in accordance with our investment policy, primarily with a view to liquidity and capital preservation. As of September 30, 2019, our funds are primarily held in corporate notes, commercial paper and money market accounts.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have incurred net losses since our inception. For the three and nine months ended September 30, 2019, we had net loss of $12.4 million and $31.7 million, respectively, and we expect to continue to incur additional losses in future periods. As of September 30, 2019, we had an accumulated deficit of $142.5 million. Refer to the going concern evaluation under Note 1 to our unaudited condensed consolidated financial statements included in this report.</w:t>
      </w:r>
    </w:p>
    <w:p>
      <w:pPr>
        <w:spacing w:after="0" w:line="3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costs associated with operating as a public company.</w:t>
      </w:r>
    </w:p>
    <w:p>
      <w:pPr>
        <w:spacing w:after="0" w:line="5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have based our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40" w:right="320" w:hanging="119"/>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640" w:hanging="119"/>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640" w:right="840" w:hanging="119"/>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74"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and marketable securities for each of the periods presented below, in thousands:</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(27,853)</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(20,691)</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(23,715)</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$7.2 million increase in cash used in operating activities for the nine months ended September 30, 2019 as compared to 2018 was primarily driven by the increase in net loss during this period due to increased payroll and personnel expenses and manufacturing and clinical trial costs to support overall growth and by the change in other assets due to long-term advance payments for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$23.7 million increase in cash used in investing activities for the nine months ended September 30, 2019 as compared to 2018 was driven by the net purchase of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$30.6 million decrease in cash provided by financing activities for the nine months ended September 30, 2019 as compared to 2018 was due to the issuance of convertible debt in February 2018 offset by an increase in cash used for deferred offering costs related to our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2018. There have been no material changes in our contractual obligations and commitments since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5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three and nine months ended September 30, 2019, there were no material changes to our critical accounting policies as reported in our Annual Report on Form 10-K for the year ended December 31, 2018, which was filed with the SEC on March 27, 2019, except as otherwise described in Note 2 to our unaudited condensed consolidated financial statements included in this report.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of our critical accounting policies, the following accounting policies involve the most judgment and complexity:</w:t>
      </w:r>
    </w:p>
    <w:p>
      <w:pPr>
        <w:spacing w:after="0" w:line="117" w:lineRule="exact"/>
        <w:rPr>
          <w:sz w:val="20"/>
          <w:szCs w:val="20"/>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research and development;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expense;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 Our investment portfolio is used to preserve capital until it is required to fund operations, including research and development activities, and consists of money market funds, commercial paper, and corporate notes which would be affected by changes in the general level of U.S. interest rates. Due to the short-term maturities and low-risk profile of our investment portfolio, an immediate 100 basis point change in interest rates would not have a material effect on the fair value of our investments.</w:t>
      </w:r>
    </w:p>
    <w:p>
      <w:pPr>
        <w:spacing w:after="0" w:line="8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do not believe that inflation and fluctuations in interest rates and foreign exchange rates had a significant impact on our results of operations for any period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0"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at the end of the period covered by this report. Based upon such evaluation, our principal executive officer and principal financial officer have concluded that our disclosure controls and procedures were effective at the reasonable assurance level as of such date.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During the nine months ended September 30, 2019, we implemented certain internal controls as a result of our adoption of the new lease standards on January 1, 2019. There were no other changes in our internal control over financial reporting that occurred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are a clinical 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We have enrolled over 100 patients with wet AMD, DME, or RVO in our Phase 1b multiple-dose clinical trial of KSI-301 and we are currently enrolling wet AMD patients in our Phase 2 ‘DAZZLE’ clinical trial of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We have incurred net losses in each reporting period since our inception, including net loss of $12.4 million and $31.7 million for the three and nine months ended September 30, 2019, respectively. As of September 30, 2019, we had an accumulated deficit of $142.5 million.</w:t>
      </w:r>
    </w:p>
    <w:p>
      <w:pPr>
        <w:spacing w:after="0" w:line="3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40" w:right="280" w:hanging="119"/>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 w:name="page39"/>
    <w:bookmarkEnd w:id="38"/>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September 30, 2019, we had cash and cash equivalents and marketable securities of $60.6 million. Refer to the going concern evaluation under Note 1 to our unaudited condensed consolidated financial statements included in this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ind w:left="640" w:hanging="119"/>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3"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40" w:right="40" w:hanging="119"/>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40" w:right="280" w:hanging="119"/>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9" w:name="page40"/>
    <w:bookmarkEnd w:id="39"/>
    <w:p>
      <w:pPr>
        <w:ind w:right="40" w:firstLine="518"/>
        <w:spacing w:after="0" w:line="291" w:lineRule="auto"/>
        <w:rPr>
          <w:sz w:val="20"/>
          <w:szCs w:val="20"/>
          <w:color w:val="auto"/>
        </w:rPr>
      </w:pPr>
      <w:r>
        <w:rPr>
          <w:rFonts w:ascii="Arial" w:cs="Arial" w:eastAsia="Arial" w:hAnsi="Arial"/>
          <w:sz w:val="16"/>
          <w:szCs w:val="16"/>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5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To date, we have financed our operations primarily through the sale of equity securities, including our IPO, convertible notes and warrants. Developing our product candidates is expensive, and we expect to substantially increase our spending as we advance KSI-301 into Phase 2 clinical trials. Even if we are successful in developing our product candidates, obtaining regulatory approvals and launching and commercializing any product candidate will require substantial additional funding.</w:t>
      </w:r>
    </w:p>
    <w:p>
      <w:pPr>
        <w:spacing w:after="0" w:line="6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of September 30, 2019, we had cash and cash equivalents and marketable securities of $60.6 million. Refer to the going concern evaluation under Note 1 to our unaudited condensed consolidated financial statements included in this report. Our estimate as to how long we expect our existing cash and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As of September 30, 2019, we had cash and cash equivalents and marketable securities of $60.6 million. We expect these available cash resources to fund our existing operational commitments and objectives at least through the first half of 2020. The uncertainties inherent in our future operations and in our ability to obtain additional funding raise substantial doubt about our ability to continue as a going concern beyond one year from the date of filing this report. If we are unable to obtain sufficient funding, we may be forced to delay or reduce the scope of our development programs and clinical trials,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Future reports from our independent registered public accounting firm may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20"/>
        <w:spacing w:after="0" w:line="340" w:lineRule="auto"/>
        <w:rPr>
          <w:sz w:val="20"/>
          <w:szCs w:val="20"/>
          <w:color w:val="auto"/>
        </w:rPr>
      </w:pPr>
      <w:r>
        <w:rPr>
          <w:rFonts w:ascii="Arial" w:cs="Arial" w:eastAsia="Arial" w:hAnsi="Arial"/>
          <w:sz w:val="15"/>
          <w:szCs w:val="15"/>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23"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KSI-301 is our only product candidate that we expect to be in clinical studies in the near term. We initiated our Phase 1a clinical trial of KSI-301 in July 2018, reached the primary endpoint in September 2018, and completed the last patient visit of that study in November 2018. Subsequently, beginning in December 2018, we have enrolled over 100 patients in our Phase 1b clinical trial of KSI-301 and continue to follow those patients for safety, efficacy and durability. In the third quarter of 2019, we began enrollment in our pivotal Phase 2 ‘DAZZLE’ study and the first patients were dosed in October 2019. It may be years before the pivotal trials required for approval are completed, if at all. Further, we cannot be certain that either KSI-301 or any of our product candidates will be successful in clinical trials.</w:t>
      </w:r>
    </w:p>
    <w:p>
      <w:pPr>
        <w:spacing w:after="0" w:line="8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early encouraging preclinical, Phase 1a, and ongoing Phase 1b clinical trial results for KSI-301 are not necessarily predictive of the results of our ongoing or future discovery programs or clinical studies. Our Phase 1a clinical trial was designed to evaluate safety and tolerability of KSI-301 after single doses, and our ongoing Phase 1b clinical trial was designed to evaluate safety, efficacy and durability of KSI-301 after multiple doses. Although the trials have yielded early evidence of safety, efficacy and durability, the data derive from a small number of subjects (a total of 113 as of October 10, 2019), and we expect that our pivotal trials will have materially different design parameters. For example, our Phase 1a and Phase 1b trials do not evaluate durability of KSI-301 across the planned 12-, 16- or 20- week dosing intervals in exactly the same manner as we are evaluating in our Phase 2 wet AMD trial. Promising results in preclinical studies and Phase 1 clinical trials of a drug candidate may not be predictive of similar results in later-stage preclinical studies or in humans during late-stage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65"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If KSI-301 fails in development as a result of any underlying problem with our platform, then we may discontinue development of some or all of our product candidates that are based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44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640" w:right="38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40" w:right="4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40" w:right="46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5"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2" w:name="page43"/>
    <w:bookmarkEnd w:id="42"/>
    <w:p>
      <w:pPr>
        <w:jc w:val="both"/>
        <w:ind w:right="20" w:firstLine="518"/>
        <w:spacing w:after="0" w:line="312" w:lineRule="auto"/>
        <w:rPr>
          <w:sz w:val="20"/>
          <w:szCs w:val="20"/>
          <w:color w:val="auto"/>
        </w:rPr>
      </w:pPr>
      <w:r>
        <w:rPr>
          <w:rFonts w:ascii="Arial" w:cs="Arial" w:eastAsia="Arial" w:hAnsi="Arial"/>
          <w:sz w:val="16"/>
          <w:szCs w:val="16"/>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5" w:lineRule="exact"/>
        <w:rPr>
          <w:sz w:val="20"/>
          <w:szCs w:val="20"/>
          <w:color w:val="auto"/>
        </w:rPr>
      </w:pPr>
    </w:p>
    <w:p>
      <w:pPr>
        <w:ind w:left="640" w:hanging="119"/>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4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40" w:right="48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40" w:right="220" w:hanging="119"/>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85" w:lineRule="exact"/>
        <w:rPr>
          <w:rFonts w:ascii="Arial" w:cs="Arial" w:eastAsia="Arial" w:hAnsi="Arial"/>
          <w:sz w:val="18"/>
          <w:szCs w:val="18"/>
          <w:color w:val="auto"/>
        </w:rPr>
      </w:pPr>
    </w:p>
    <w:p>
      <w:pPr>
        <w:ind w:left="640" w:right="28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40" w:right="54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40" w:right="52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40" w:right="80" w:hanging="119"/>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right="40" w:firstLine="518"/>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4"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70"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38" w:lineRule="exact"/>
        <w:rPr>
          <w:sz w:val="20"/>
          <w:szCs w:val="20"/>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left="640" w:right="20" w:hanging="119"/>
        <w:spacing w:after="0" w:line="308"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640" w:hanging="1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3" w:lineRule="exact"/>
        <w:rPr>
          <w:sz w:val="20"/>
          <w:szCs w:val="20"/>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40" w:hanging="119"/>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3"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40" w:right="660" w:hanging="119"/>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64"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60" w:firstLine="518"/>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46"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and Regeneron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and Momenta. In addition to competition from other companies targeting retinal indications, any products we may develop may also face competition from other types of therapies, such as gene-editing therapies and drug delivery devices.</w:t>
      </w:r>
    </w:p>
    <w:p>
      <w:pPr>
        <w:spacing w:after="0" w:line="7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0"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manufacture of multiple components that require a diverse knowledge base and specialized personnel.</w:t>
      </w:r>
    </w:p>
    <w:p>
      <w:pPr>
        <w:spacing w:after="0" w:line="6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8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34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3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6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40" w:right="60" w:hanging="119"/>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40" w:right="340" w:hanging="119"/>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inability of reimbursement professionals to negotiate arrangements for formulary access, reimbursement, and other acceptance by payors;</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40" w:right="360" w:hanging="119"/>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CDA or other regulatory agencies;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left="640" w:right="82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70" w:lineRule="exact"/>
        <w:rPr>
          <w:sz w:val="20"/>
          <w:szCs w:val="20"/>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640" w:hanging="119"/>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EMA, CDA or comparable foreign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640" w:right="40" w:hanging="119"/>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3"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40" w:hanging="119"/>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40" w:right="900" w:hanging="119"/>
        <w:spacing w:after="0" w:line="34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40" w:right="400" w:hanging="119"/>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CDA or comparable foreign regulatory authorities may significantly change in a manner rendering our clinical data insufficient for approval.</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1" w:name="page52"/>
    <w:bookmarkEnd w:id="51"/>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5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left="640" w:hanging="1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8"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Since the ACA’s enactment, there have been, and continue to be, numerous challenges to the ACA. Since January 2017, President Trump has signed two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In addition, on December 14, 2018, a Texas U.S. District Court Judge ruled that the ACA is unconstitutional in its entirety because the “individual mandate” was repealed by Congress as part of the Tax Cuts and Jobs Act of</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2017.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On July 10, 2019, the Court of Appeals for the Fifth Circuit heard oral argument in this case. Litigation and legislation over the ACA are likely to continue, with unpredictable and uncertain results.</w:t>
      </w:r>
    </w:p>
    <w:p>
      <w:pPr>
        <w:spacing w:after="0" w:line="8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2025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59"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40" w:hanging="1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ind w:right="60" w:firstLine="518"/>
        <w:spacing w:after="0" w:line="287"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years 2019 and 2020 contain further price control measures that could be enacted during the budget process or in other future legislation. In addition,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implementing some of these measures under its existing authority.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5"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39" w:lineRule="exact"/>
        <w:rPr>
          <w:sz w:val="20"/>
          <w:szCs w:val="20"/>
          <w:color w:val="auto"/>
        </w:rPr>
      </w:pPr>
    </w:p>
    <w:p>
      <w:pPr>
        <w:ind w:left="640" w:right="20" w:hanging="119"/>
        <w:spacing w:after="0" w:line="25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left="640" w:right="40" w:hanging="119"/>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5" w:lineRule="exact"/>
        <w:rPr>
          <w:rFonts w:ascii="Arial" w:cs="Arial" w:eastAsia="Arial" w:hAnsi="Arial"/>
          <w:sz w:val="18"/>
          <w:szCs w:val="18"/>
          <w:color w:val="auto"/>
        </w:rPr>
      </w:pPr>
    </w:p>
    <w:p>
      <w:pPr>
        <w:ind w:left="640" w:right="60" w:hanging="119"/>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5" w:lineRule="exact"/>
        <w:rPr>
          <w:rFonts w:ascii="Arial" w:cs="Arial" w:eastAsia="Arial" w:hAnsi="Arial"/>
          <w:sz w:val="18"/>
          <w:szCs w:val="18"/>
          <w:color w:val="auto"/>
        </w:rPr>
      </w:pPr>
    </w:p>
    <w:p>
      <w:pPr>
        <w:ind w:left="640" w:right="40" w:hanging="119"/>
        <w:spacing w:after="0" w:line="279"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3" w:lineRule="exact"/>
        <w:rPr>
          <w:rFonts w:ascii="Arial" w:cs="Arial" w:eastAsia="Arial" w:hAnsi="Arial"/>
          <w:sz w:val="17"/>
          <w:szCs w:val="17"/>
          <w:color w:val="auto"/>
        </w:rPr>
      </w:pPr>
    </w:p>
    <w:p>
      <w:pPr>
        <w:ind w:left="640" w:right="200" w:hanging="119"/>
        <w:spacing w:after="0" w:line="25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80" w:lineRule="exact"/>
        <w:rPr>
          <w:rFonts w:ascii="Arial" w:cs="Arial" w:eastAsia="Arial" w:hAnsi="Arial"/>
          <w:sz w:val="18"/>
          <w:szCs w:val="18"/>
          <w:color w:val="auto"/>
        </w:rPr>
      </w:pPr>
    </w:p>
    <w:p>
      <w:pPr>
        <w:ind w:left="640" w:right="76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640" w:right="80" w:hanging="119"/>
        <w:spacing w:after="0" w:line="270"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ind w:right="58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100" w:firstLine="518"/>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6"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63"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46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40" w:hanging="1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40" w:right="80" w:hanging="119"/>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3" w:lineRule="exact"/>
        <w:rPr>
          <w:rFonts w:ascii="Arial" w:cs="Arial" w:eastAsia="Arial" w:hAnsi="Arial"/>
          <w:sz w:val="18"/>
          <w:szCs w:val="18"/>
          <w:color w:val="auto"/>
        </w:rPr>
      </w:pPr>
    </w:p>
    <w:p>
      <w:pPr>
        <w:ind w:left="640" w:right="340" w:hanging="119"/>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40" w:right="920" w:hanging="119"/>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8" w:name="page59"/>
    <w:bookmarkEnd w:id="58"/>
    <w:p>
      <w:pPr>
        <w:ind w:left="640" w:right="80" w:hanging="119"/>
        <w:spacing w:after="0" w:line="30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auto"/>
        </w:rPr>
      </w:pPr>
    </w:p>
    <w:p>
      <w:pPr>
        <w:ind w:left="640" w:hanging="119"/>
        <w:spacing w:after="0" w:line="26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3"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40" w:right="80" w:hanging="119"/>
        <w:spacing w:after="0" w:line="26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640" w:right="34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40" w:right="54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40" w:right="1120" w:hanging="119"/>
        <w:spacing w:after="0" w:line="342"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40" w:right="640" w:hanging="119"/>
        <w:spacing w:after="0" w:line="30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8" w:lineRule="exact"/>
        <w:rPr>
          <w:rFonts w:ascii="Arial" w:cs="Arial" w:eastAsia="Arial" w:hAnsi="Arial"/>
          <w:sz w:val="17"/>
          <w:szCs w:val="17"/>
          <w:color w:val="auto"/>
        </w:rPr>
      </w:pPr>
    </w:p>
    <w:p>
      <w:pPr>
        <w:ind w:left="640" w:hanging="1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40" w:right="6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5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6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0" w:name="page61"/>
    <w:bookmarkEnd w:id="60"/>
    <w:p>
      <w:pPr>
        <w:ind w:firstLine="518"/>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7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4" w:lineRule="exact"/>
        <w:rPr>
          <w:sz w:val="20"/>
          <w:szCs w:val="20"/>
          <w:color w:val="auto"/>
        </w:rPr>
      </w:pPr>
    </w:p>
    <w:p>
      <w:pPr>
        <w:jc w:val="both"/>
        <w:ind w:right="100" w:firstLine="518"/>
        <w:spacing w:after="0" w:line="302"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54"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right="6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4"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50"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firstLine="518"/>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80" w:firstLine="518"/>
        <w:spacing w:after="0" w:line="270" w:lineRule="auto"/>
        <w:rPr>
          <w:sz w:val="20"/>
          <w:szCs w:val="20"/>
          <w:color w:val="auto"/>
        </w:rPr>
      </w:pPr>
      <w:r>
        <w:rPr>
          <w:rFonts w:ascii="Arial" w:cs="Arial" w:eastAsia="Arial" w:hAnsi="Arial"/>
          <w:sz w:val="17"/>
          <w:szCs w:val="17"/>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do not own any registered trademarks for the marks “KODIAK” or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If we deem it appropriate, we may decide to take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40" w:right="12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40" w:right="22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640" w:right="68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40" w:right="20" w:hanging="119"/>
        <w:spacing w:after="0" w:line="30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40" w:right="18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As of September 30, 2019, we had 34 employees, all of whom were full-time.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73" w:lineRule="exact"/>
        <w:rPr>
          <w:sz w:val="20"/>
          <w:szCs w:val="20"/>
          <w:color w:val="auto"/>
        </w:rPr>
      </w:pPr>
    </w:p>
    <w:p>
      <w:pPr>
        <w:ind w:left="640" w:hanging="1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5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40" w:right="460" w:hanging="119"/>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40" w:right="720" w:hanging="119"/>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40" w:right="560" w:hanging="119"/>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59"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w:t>
      </w:r>
    </w:p>
    <w:p>
      <w:pPr>
        <w:spacing w:after="0" w:line="5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expected withdrawal of the United Kingdom from the EU, commonly referred to as “Brexit,”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As of December 31, 2018, we had federal net operating loss carryforwards, or NOLs, of $21.9 million, which will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ind w:left="640" w:right="200" w:hanging="119"/>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could reduce the market price of our common stock. Approximately 27.5 million shares, or 74.5% of our shares outstanding after our IPO were prohibited from resale pursuant to the terms of lock-up agreements entered into by our stockholders with the underwriters in our IPO; however, subject to applicable securities law restrictions and excluding shares of restricted stock that will remain unvested, the resale restrictions applicable to these shares pursuant to the lock-up agreements lapsed in April 2019.</w:t>
      </w:r>
    </w:p>
    <w:p>
      <w:pPr>
        <w:spacing w:after="0" w:line="8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Moreover, holders of an aggregate of approximately 13.3 million shares of our common stock have rights, subject to conditions, to require us to file registration statements covering their shares or to include their shares in registration statements that we may file for ourselves or other stockholders. We also register all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jc w:val="both"/>
        <w:ind w:right="260" w:firstLine="518"/>
        <w:spacing w:after="0" w:line="257"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60.2% of our outstanding common stock as of September 30, 2019.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right="40" w:firstLine="518"/>
        <w:spacing w:after="0" w:line="288"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29"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46"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meet certain of The Nasdaq Stock Market continued listing requirements and therefore, we risk delisting, which may decrease our stock price and make it harder for our stockholders to trade our stock.</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previously disclosed, on October 4, 2019, we notified by The Nasdaq Stock Market that we were not in compliance with Nasdaq Listing Rule 5605(c)(2)(A), which requires the Audit Committee our board to consist of at least three independent directors. We have made a timely request for an appeal before the Nasdaq Hearings Panel, which is scheduled for November 21, 2019. The request for an appeal automatically stayed any suspension or delisting action pending the issuance of the decision of the Nasdaq Hearings Panel, and our board is committed to filling the third independent director position on the Audit Committee and to gain compliance with the audit committee composition requirements under Nasdaq Listing Rule 5605(c)(2)(A) in advance of the Nasdaq Hearings Panel.</w:t>
      </w:r>
    </w:p>
    <w:p>
      <w:pPr>
        <w:spacing w:after="0" w:line="8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There can be no assurance that the Nasdaq Hearings Panel will provide any grace period for compliance beyond the hearing date, or that we will be able to gain compliance with the Nasdaq Listing Rules. Also, we cannot assure you that, in the future, our securities will meet the continued listing requirements to be listed on The Nasdaq Stock Market. If The Nasdaq Stock Market delists our common stock, we could face significant material adverse consequences, including:</w:t>
      </w:r>
    </w:p>
    <w:p>
      <w:pPr>
        <w:spacing w:after="0" w:line="79" w:lineRule="exact"/>
        <w:rPr>
          <w:sz w:val="20"/>
          <w:szCs w:val="20"/>
          <w:color w:val="auto"/>
        </w:rPr>
      </w:pPr>
    </w:p>
    <w:p>
      <w:pPr>
        <w:ind w:left="640" w:hanging="1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640" w:right="120" w:hanging="119"/>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resulting in a reduced level of trading activity in the secondary trading market for our common stock;</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proceeds from any offering and may not use them effectively.</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received from any offering. Our management may spend a portion or all of the net proceeds from any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any offering in a manner that does not produce income or that loses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2" w:name="page73"/>
    <w:bookmarkEnd w:id="72"/>
    <w:p>
      <w:pPr>
        <w:ind w:right="3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40" w:hanging="119"/>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640" w:right="120" w:hanging="119"/>
        <w:spacing w:after="0" w:line="277"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require the affirmative vote of at least 66 2/3% or more of the outstanding shares of common stock to amend many of the provisions described above.</w:t>
      </w:r>
    </w:p>
    <w:p>
      <w:pPr>
        <w:spacing w:after="0" w:line="14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40" w:hanging="1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which we refer to as the Federal Forum Provision. However, on December 19, 2018, the Delaware Chancery Court issued an opinion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finding that provisions similar to the Federal Forum Provision are not valid under Delaware Law. As previously disclosed in a Current Report on Form 8-K we filed on January 28, 2019, in light of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we do not currently intend to enforce the foregoing federal forum selection provision unless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which is currently on appeal before the Delaware Supreme Court, is reversed. If the Delaware Supreme Court affirms the Chancery Court’s decision, then we intend to amend the Bylaws to remove the invalid provision. Such amendment could cause us to incur additional costs, which could have an adverse effect on our business, financial condition or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September 30, 2019, we issued 1 share of common stock through the exercise of 1 common stock warrant priced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The issuance of the common stock upon the cash exercise of the common stock warrant was exempt from the registration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of 1933, as amended, pursuant to Section 4(a)(2) thereof as a transaction by an issuer not involving a public offering. No underwriters were involved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the share of common stock or common stock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11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On October 9, 2018, we closed our IPO, in which we sold and issued 9,000,000 shares of common stock at a price to the public of $10.00 per share. On November 6, 2018, we sold and issued an additional 400,000 shares of common stock at $10.00 per share to the underwriters of our IPO following the partial exercise of their over-allotment option.</w:t>
      </w:r>
    </w:p>
    <w:p>
      <w:pPr>
        <w:spacing w:after="0" w:line="73"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offer and sale of all of the shares of our common stock in our IPO were registered under the Securities Act pursuant to a registration statement on Form S-1 (File No. 333-227237), which was declared effective by the SEC on October 3, 2018. Following the sale of the above shares, the offering terminated. Morgan Stanley, BofA Merrill Lynch and Barclays acted as joint book-running managers and Chardan acted as lead manager.</w:t>
      </w:r>
    </w:p>
    <w:p>
      <w:pPr>
        <w:spacing w:after="0" w:line="5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received aggregate gross proceeds from our IPO of $94.0 million, or aggregate net proceeds of $83.5 million, inclusive of the partial over-allotment option exercise, after deducting underwriting discounts and commissions and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7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There has been no material change in the planned use of the net proceeds from our initial public offering as described in our final prospectus filed pursuant to Rule 424(b)(4) under the Securities Act with the SEC on October 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790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tcPr>
          <w:p>
            <w:pPr>
              <w:ind w:left="520"/>
              <w:spacing w:after="0"/>
              <w:rPr>
                <w:sz w:val="20"/>
                <w:szCs w:val="20"/>
                <w:color w:val="auto"/>
              </w:rPr>
            </w:pPr>
            <w:r>
              <w:rPr>
                <w:rFonts w:ascii="Arial" w:cs="Arial" w:eastAsia="Arial" w:hAnsi="Arial"/>
                <w:sz w:val="18"/>
                <w:szCs w:val="18"/>
                <w:i w:val="1"/>
                <w:iCs w:val="1"/>
                <w:color w:val="auto"/>
              </w:rPr>
              <w:t>(a)</w:t>
            </w:r>
          </w:p>
        </w:tc>
        <w:tc>
          <w:tcPr>
            <w:tcW w:w="7040" w:type="dxa"/>
            <w:vAlign w:val="bottom"/>
            <w:gridSpan w:val="14"/>
          </w:tcPr>
          <w:p>
            <w:pPr>
              <w:ind w:left="40"/>
              <w:spacing w:after="0"/>
              <w:rPr>
                <w:sz w:val="20"/>
                <w:szCs w:val="20"/>
                <w:color w:val="auto"/>
              </w:rPr>
            </w:pPr>
            <w:r>
              <w:rPr>
                <w:rFonts w:ascii="Arial" w:cs="Arial" w:eastAsia="Arial" w:hAnsi="Arial"/>
                <w:sz w:val="18"/>
                <w:szCs w:val="18"/>
                <w:i w:val="1"/>
                <w:iCs w:val="1"/>
                <w:color w:val="auto"/>
              </w:rPr>
              <w:t>Exhibits.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4"/>
                <w:szCs w:val="14"/>
                <w:b w:val="1"/>
                <w:bCs w:val="1"/>
                <w:color w:val="auto"/>
                <w:w w:val="98"/>
              </w:rPr>
              <w:t>Incorporated by Reference</w:t>
            </w:r>
          </w:p>
        </w:tc>
        <w:tc>
          <w:tcPr>
            <w:tcW w:w="0" w:type="dxa"/>
            <w:vAlign w:val="bottom"/>
          </w:tcPr>
          <w:p>
            <w:pPr>
              <w:spacing w:after="0"/>
              <w:rPr>
                <w:sz w:val="1"/>
                <w:szCs w:val="1"/>
                <w:color w:val="auto"/>
              </w:rPr>
            </w:pPr>
          </w:p>
        </w:tc>
      </w:tr>
      <w:tr>
        <w:trPr>
          <w:trHeight w:val="133"/>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180" w:type="dxa"/>
            <w:vAlign w:val="bottom"/>
            <w:gridSpan w:val="10"/>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tcBorders>
              <w:bottom w:val="single" w:sz="8" w:color="0000EE"/>
            </w:tcBorders>
            <w:gridSpan w:val="8"/>
          </w:tcPr>
          <w:p>
            <w:pPr>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Investors’ Rights Agreement, dated September 8, 2015, as amended, by and among the</w:t>
              </w:r>
            </w:hyperlink>
          </w:p>
        </w:tc>
        <w:tc>
          <w:tcPr>
            <w:tcW w:w="420" w:type="dxa"/>
            <w:vAlign w:val="bottom"/>
            <w:gridSpan w:val="4"/>
          </w:tcPr>
          <w:p>
            <w:pPr>
              <w:spacing w:after="0"/>
              <w:rPr>
                <w:sz w:val="24"/>
                <w:szCs w:val="24"/>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S-1/A</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333-227237</w:t>
            </w:r>
          </w:p>
        </w:tc>
        <w:tc>
          <w:tcPr>
            <w:tcW w:w="760" w:type="dxa"/>
            <w:vAlign w:val="bottom"/>
            <w:gridSpan w:val="2"/>
          </w:tcPr>
          <w:p>
            <w:pPr>
              <w:jc w:val="right"/>
              <w:ind w:right="388"/>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900" w:type="dxa"/>
            <w:vAlign w:val="bottom"/>
          </w:tcPr>
          <w:p>
            <w:pPr>
              <w:jc w:val="right"/>
              <w:ind w:right="99"/>
              <w:spacing w:after="0"/>
              <w:rPr>
                <w:sz w:val="20"/>
                <w:szCs w:val="20"/>
                <w:color w:val="auto"/>
              </w:rPr>
            </w:pPr>
            <w:r>
              <w:rPr>
                <w:rFonts w:ascii="Arial" w:cs="Arial" w:eastAsia="Arial" w:hAnsi="Arial"/>
                <w:sz w:val="18"/>
                <w:szCs w:val="18"/>
                <w:color w:val="auto"/>
                <w:w w:val="87"/>
              </w:rPr>
              <w:t>9/24/2018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80" w:type="dxa"/>
            <w:vAlign w:val="bottom"/>
            <w:gridSpan w:val="1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registrant and the investors and founders named therein</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Principal Executive Officer Pursuant to Rules 13a-14(a) and 15d-14(a)</w:t>
              </w:r>
            </w:hyperlink>
          </w:p>
        </w:tc>
        <w:tc>
          <w:tcPr>
            <w:tcW w:w="4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80" w:type="dxa"/>
            <w:vAlign w:val="bottom"/>
            <w:gridSpan w:val="12"/>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under the Securities Exchange Act of 1934, as Adopted Pursuant to Section 302 of the</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Sarbanes-Oxley Act of 2002</w:t>
              </w:r>
            </w:hyperlink>
          </w:p>
        </w:tc>
        <w:tc>
          <w:tcPr>
            <w:tcW w:w="4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Principal Accounting and Financial Officer Pursuant to Rules 13a-14(a) and</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15d-14(a) under the Securities Exchange Act of 1934, as Adopted Pursuant to Section 302</w:t>
              </w:r>
            </w:hyperlink>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80" w:type="dxa"/>
            <w:vAlign w:val="bottom"/>
            <w:gridSpan w:val="1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of the Sarbanes-Oxley Act of 2002</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272"/>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Principal Executive Officer Pursuant to 18 U.S.C. Section 1350, as Adopted</w:t>
              </w:r>
            </w:hyperlink>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Pursuant to Section 906 of the Sarbanes-Oxley Act of 2002</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272"/>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Principal Accounting and Financial Officer Pursuant to 18 U.S.C. Section</w:t>
              </w:r>
            </w:hyperlink>
          </w:p>
        </w:tc>
        <w:tc>
          <w:tcPr>
            <w:tcW w:w="2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1350, as Adopted Pursuant to Section 906 of the Sarbanes-Oxley Act of 2002</w:t>
              </w:r>
            </w:hyperlink>
          </w:p>
        </w:tc>
        <w:tc>
          <w:tcPr>
            <w:tcW w:w="11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360" w:hanging="512"/>
        <w:spacing w:after="0" w:line="30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4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00"/>
          </w:cols>
          <w:pgMar w:left="240" w:top="337" w:right="8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420"/>
          </w:cols>
          <w:pgMar w:left="240" w:top="35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20"/>
        <w:spacing w:after="0" w:line="264"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520" w:hanging="604"/>
        <w:spacing w:after="0" w:line="277"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20" w:firstLine="6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260" w:firstLine="6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20"/>
        <w:spacing w:after="0" w:line="264"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520" w:hanging="604"/>
        <w:spacing w:after="0" w:line="277" w:lineRule="auto"/>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4" w:lineRule="exact"/>
        <w:rPr>
          <w:sz w:val="20"/>
          <w:szCs w:val="20"/>
          <w:color w:val="auto"/>
        </w:rPr>
      </w:pPr>
    </w:p>
    <w:p>
      <w:pPr>
        <w:ind w:right="20" w:firstLine="6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260" w:firstLine="6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lvl w:ilvl="1">
      <w:lvlJc w:val="left"/>
      <w:lvlText w:val="o"/>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13" Type="http://schemas.openxmlformats.org/officeDocument/2006/relationships/hyperlink" Target="http://www.sec.gov/Archives/edgar/data/0001468748/000119312518280419/d51607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2019-12-28T01:50:27Z</dcterms:created>
  <dcterms:modified xsi:type="dcterms:W3CDTF">2019-12-28T01:50:27Z</dcterms:modified>
</cp:coreProperties>
</file>