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880" w:right="1880" w:hanging="3872"/>
        <w:spacing w:after="0" w:line="387" w:lineRule="auto"/>
        <w:tabs>
          <w:tab w:leader="none" w:pos="2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460" w:right="1860" w:hanging="3452"/>
        <w:spacing w:after="0" w:line="391" w:lineRule="auto"/>
        <w:tabs>
          <w:tab w:leader="none" w:pos="21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333"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27-0476525</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7" w:lineRule="exact"/>
        <w:rPr>
          <w:sz w:val="24"/>
          <w:szCs w:val="24"/>
          <w:color w:val="auto"/>
        </w:rPr>
      </w:pPr>
    </w:p>
    <w:p>
      <w:pPr>
        <w:sectPr>
          <w:pgSz w:w="11900" w:h="16838" w:orient="portrait"/>
          <w:cols w:equalWidth="0" w:num="2">
            <w:col w:w="7140" w:space="720"/>
            <w:col w:w="3380"/>
          </w:cols>
          <w:pgMar w:left="320" w:top="638" w:right="339" w:bottom="1440" w:gutter="0" w:footer="0" w:header="0"/>
          <w:type w:val="continuous"/>
        </w:sectPr>
      </w:pPr>
    </w:p>
    <w:p>
      <w:pPr>
        <w:ind w:left="2020"/>
        <w:spacing w:after="0"/>
        <w:rPr>
          <w:sz w:val="20"/>
          <w:szCs w:val="20"/>
          <w:color w:val="auto"/>
        </w:rPr>
      </w:pPr>
      <w:r>
        <w:rPr>
          <w:rFonts w:ascii="Arial" w:cs="Arial" w:eastAsia="Arial" w:hAnsi="Arial"/>
          <w:sz w:val="18"/>
          <w:szCs w:val="18"/>
          <w:b w:val="1"/>
          <w:bCs w:val="1"/>
          <w:color w:val="auto"/>
        </w:rPr>
        <w:t>1200 Page Mill Road</w:t>
      </w:r>
    </w:p>
    <w:p>
      <w:pPr>
        <w:spacing w:after="0" w:line="27"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8"/>
          <w:szCs w:val="18"/>
          <w:b w:val="1"/>
          <w:bCs w:val="1"/>
          <w:color w:val="auto"/>
        </w:rPr>
        <w:t>Palo Alto, CA</w:t>
      </w:r>
      <w:r>
        <w:rPr>
          <w:sz w:val="20"/>
          <w:szCs w:val="20"/>
          <w:color w:val="auto"/>
        </w:rPr>
        <w:tab/>
      </w:r>
      <w:r>
        <w:rPr>
          <w:rFonts w:ascii="Arial" w:cs="Arial" w:eastAsia="Arial" w:hAnsi="Arial"/>
          <w:sz w:val="16"/>
          <w:szCs w:val="16"/>
          <w:b w:val="1"/>
          <w:bCs w:val="1"/>
          <w:color w:val="auto"/>
        </w:rPr>
        <w:t>94304</w:t>
      </w:r>
    </w:p>
    <w:p>
      <w:pPr>
        <w:spacing w:after="0" w:line="40"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67"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33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2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25" w:lineRule="exact"/>
        <w:rPr>
          <w:sz w:val="24"/>
          <w:szCs w:val="24"/>
          <w:color w:val="auto"/>
        </w:rPr>
      </w:pPr>
    </w:p>
    <w:p>
      <w:pPr>
        <w:ind w:firstLine="509"/>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09"/>
        <w:spacing w:after="0" w:line="22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7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8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7" w:lineRule="exact"/>
        <w:rPr>
          <w:sz w:val="24"/>
          <w:szCs w:val="24"/>
          <w:color w:val="auto"/>
        </w:rPr>
      </w:pPr>
    </w:p>
    <w:p>
      <w:pPr>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left="520" w:right="24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2021, the registrant had 51,451,541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3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continued durability, efficacy and safety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achieve our “2022 Vision” of a single Biologics License Application, or BLA, of KSI-301 in 2022;</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present clinical data across our pivotal trials in 2022;</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and Lonza’s ability to successfully execute on our manufacturing development plan;</w:t>
      </w:r>
    </w:p>
    <w:p>
      <w:pPr>
        <w:spacing w:after="0" w:line="131" w:lineRule="exact"/>
        <w:rPr>
          <w:sz w:val="20"/>
          <w:szCs w:val="20"/>
          <w:color w:val="auto"/>
        </w:rPr>
      </w:pPr>
    </w:p>
    <w:p>
      <w:pPr>
        <w:ind w:left="700" w:right="20"/>
        <w:spacing w:after="0" w:line="279" w:lineRule="auto"/>
        <w:rPr>
          <w:sz w:val="20"/>
          <w:szCs w:val="20"/>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5"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our expectations regarding chemistry manufacturing and controls, or CMC, requirements of the FDA and other regulatory bodies to support our BLA submission and potential commercial launch;</w:t>
      </w:r>
    </w:p>
    <w:p>
      <w:pPr>
        <w:spacing w:after="0" w:line="62" w:lineRule="exact"/>
        <w:rPr>
          <w:sz w:val="20"/>
          <w:szCs w:val="20"/>
          <w:color w:val="auto"/>
        </w:rPr>
      </w:pPr>
    </w:p>
    <w:p>
      <w:pPr>
        <w:ind w:left="700" w:right="340"/>
        <w:spacing w:after="0" w:line="293" w:lineRule="auto"/>
        <w:rPr>
          <w:sz w:val="20"/>
          <w:szCs w:val="20"/>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rate and degree of market acceptance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competing products or platform technologies that are or may become available;</w:t>
      </w:r>
    </w:p>
    <w:p>
      <w:pPr>
        <w:spacing w:after="0" w:line="131" w:lineRule="exact"/>
        <w:rPr>
          <w:sz w:val="20"/>
          <w:szCs w:val="20"/>
          <w:color w:val="auto"/>
        </w:rPr>
      </w:pPr>
    </w:p>
    <w:p>
      <w:pPr>
        <w:ind w:left="700" w:right="280"/>
        <w:spacing w:after="0" w:line="293" w:lineRule="auto"/>
        <w:rPr>
          <w:sz w:val="20"/>
          <w:szCs w:val="20"/>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existing regulations and regulatory developments in the United States and foreign countries;</w:t>
      </w:r>
    </w:p>
    <w:p>
      <w:pPr>
        <w:spacing w:after="0" w:line="13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ind w:left="700" w:right="380"/>
        <w:spacing w:after="0" w:line="293" w:lineRule="auto"/>
        <w:rPr>
          <w:sz w:val="20"/>
          <w:szCs w:val="20"/>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potential claims relating to our intellectual property and third-party intellectual property;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pricing and reimbursement of our product candidates, if approved;</w:t>
      </w:r>
    </w:p>
    <w:p>
      <w:pPr>
        <w:spacing w:after="0" w:line="13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sz w:val="20"/>
          <w:szCs w:val="20"/>
          <w:color w:val="auto"/>
        </w:rPr>
      </w:pPr>
    </w:p>
    <w:p>
      <w:pPr>
        <w:ind w:left="700" w:right="3180"/>
        <w:spacing w:after="0" w:line="391" w:lineRule="auto"/>
        <w:rPr>
          <w:sz w:val="20"/>
          <w:szCs w:val="20"/>
          <w:color w:val="auto"/>
        </w:rPr>
      </w:pPr>
      <w:r>
        <w:rPr>
          <w:rFonts w:ascii="Arial" w:cs="Arial" w:eastAsia="Arial" w:hAnsi="Arial"/>
          <w:sz w:val="18"/>
          <w:szCs w:val="18"/>
          <w:color w:val="auto"/>
        </w:rPr>
        <w:t>our aspirational goals and objectives related to our human capital resources and workforce objectives; our ability to attract and retain key managerial, scientific and medical personnel;</w:t>
      </w:r>
    </w:p>
    <w:p>
      <w:pPr>
        <w:spacing w:after="0" w:line="1"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financial performance.</w:t>
      </w:r>
    </w:p>
    <w:p>
      <w:pPr>
        <w:spacing w:after="0" w:line="131"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8"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ind w:right="720" w:firstLine="509"/>
        <w:spacing w:after="0" w:line="324" w:lineRule="auto"/>
        <w:rPr>
          <w:sz w:val="20"/>
          <w:szCs w:val="20"/>
          <w:color w:val="auto"/>
        </w:rPr>
      </w:pPr>
      <w:r>
        <w:rPr>
          <w:rFonts w:ascii="Arial" w:cs="Arial" w:eastAsia="Arial" w:hAnsi="Arial"/>
          <w:sz w:val="17"/>
          <w:szCs w:val="17"/>
          <w:i w:val="1"/>
          <w:iCs w:val="1"/>
          <w:color w:val="auto"/>
        </w:rPr>
        <w:t>All brand names or trademarks appearing in this report are the property of their respective holders. Unless the context requires otherwise, references in this report to “Kodiak” the “Company,” “we,” “us,” and “our” refer to Kodiak Sciences Inc. and its subsidiaries.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130"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failure of KSI-301 in clinical development may require us to discontinue development of other product candidates based on our ABC Platform.</w:t>
      </w:r>
    </w:p>
    <w:p>
      <w:pPr>
        <w:spacing w:after="0" w:line="154" w:lineRule="exact"/>
        <w:rPr>
          <w:sz w:val="20"/>
          <w:szCs w:val="20"/>
          <w:color w:val="auto"/>
        </w:rPr>
      </w:pPr>
    </w:p>
    <w:p>
      <w:pPr>
        <w:ind w:left="700" w:right="280"/>
        <w:spacing w:after="0" w:line="293" w:lineRule="auto"/>
        <w:rPr>
          <w:sz w:val="20"/>
          <w:szCs w:val="20"/>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left="700" w:right="700"/>
        <w:spacing w:after="0" w:line="293" w:lineRule="auto"/>
        <w:rPr>
          <w:sz w:val="20"/>
          <w:szCs w:val="20"/>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sz w:val="20"/>
          <w:szCs w:val="20"/>
          <w:color w:val="auto"/>
        </w:rPr>
      </w:pPr>
    </w:p>
    <w:p>
      <w:pPr>
        <w:ind w:left="700"/>
        <w:spacing w:after="0" w:line="275" w:lineRule="auto"/>
        <w:rPr>
          <w:sz w:val="20"/>
          <w:szCs w:val="20"/>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31" w:lineRule="exact"/>
        <w:rPr>
          <w:sz w:val="20"/>
          <w:szCs w:val="20"/>
          <w:color w:val="auto"/>
        </w:rPr>
      </w:pPr>
    </w:p>
    <w:p>
      <w:pPr>
        <w:ind w:left="700" w:right="80"/>
        <w:spacing w:after="0" w:line="319" w:lineRule="auto"/>
        <w:rPr>
          <w:sz w:val="20"/>
          <w:szCs w:val="20"/>
          <w:color w:val="auto"/>
        </w:rPr>
      </w:pPr>
      <w:r>
        <w:rPr>
          <w:rFonts w:ascii="Arial" w:cs="Arial" w:eastAsia="Arial" w:hAnsi="Arial"/>
          <w:sz w:val="16"/>
          <w:szCs w:val="16"/>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BLA filing, or our ability to supply our products for patients, if approved, could be delayed or stopped, or we may be unable to establish a commercially viable cost structure.</w:t>
      </w:r>
    </w:p>
    <w:p>
      <w:pPr>
        <w:spacing w:after="0" w:line="48" w:lineRule="exact"/>
        <w:rPr>
          <w:sz w:val="20"/>
          <w:szCs w:val="20"/>
          <w:color w:val="auto"/>
        </w:rPr>
      </w:pPr>
    </w:p>
    <w:p>
      <w:pPr>
        <w:ind w:left="700" w:right="340"/>
        <w:spacing w:after="0" w:line="279" w:lineRule="auto"/>
        <w:rPr>
          <w:sz w:val="20"/>
          <w:szCs w:val="20"/>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5" w:lineRule="exact"/>
        <w:rPr>
          <w:sz w:val="20"/>
          <w:szCs w:val="20"/>
          <w:color w:val="auto"/>
        </w:rPr>
      </w:pPr>
    </w:p>
    <w:p>
      <w:pPr>
        <w:ind w:left="700" w:right="640"/>
        <w:spacing w:after="0" w:line="293" w:lineRule="auto"/>
        <w:rPr>
          <w:sz w:val="20"/>
          <w:szCs w:val="20"/>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62"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5" w:lineRule="exact"/>
        <w:rPr>
          <w:sz w:val="20"/>
          <w:szCs w:val="20"/>
          <w:color w:val="auto"/>
        </w:rPr>
      </w:pPr>
    </w:p>
    <w:p>
      <w:pPr>
        <w:ind w:left="700" w:right="20"/>
        <w:spacing w:after="0" w:line="324" w:lineRule="auto"/>
        <w:rPr>
          <w:sz w:val="20"/>
          <w:szCs w:val="20"/>
          <w:color w:val="auto"/>
        </w:rPr>
      </w:pPr>
      <w:r>
        <w:rPr>
          <w:rFonts w:ascii="Arial" w:cs="Arial" w:eastAsia="Arial" w:hAnsi="Arial"/>
          <w:sz w:val="17"/>
          <w:szCs w:val="17"/>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9" w:lineRule="exact"/>
        <w:rPr>
          <w:sz w:val="20"/>
          <w:szCs w:val="20"/>
          <w:color w:val="auto"/>
        </w:rPr>
      </w:pPr>
    </w:p>
    <w:p>
      <w:pPr>
        <w:ind w:left="700" w:right="40"/>
        <w:spacing w:after="0" w:line="359" w:lineRule="auto"/>
        <w:rPr>
          <w:sz w:val="20"/>
          <w:szCs w:val="20"/>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120"/>
        <w:spacing w:after="0" w:line="279" w:lineRule="auto"/>
        <w:rPr>
          <w:sz w:val="20"/>
          <w:szCs w:val="20"/>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5" w:lineRule="exact"/>
        <w:rPr>
          <w:sz w:val="20"/>
          <w:szCs w:val="20"/>
          <w:color w:val="auto"/>
        </w:rPr>
      </w:pPr>
    </w:p>
    <w:p>
      <w:pPr>
        <w:ind w:right="500"/>
        <w:spacing w:after="0" w:line="324" w:lineRule="auto"/>
        <w:rPr>
          <w:sz w:val="20"/>
          <w:szCs w:val="20"/>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 Our manufacturers are also engaged in the manufacturing of COVID-19 related vaccines and therapeutic treatments, and the success of and demand for these vaccines and therapeutic treatments means we and our programs are competing for scarce manufacturing resources.</w:t>
      </w:r>
    </w:p>
    <w:p>
      <w:pPr>
        <w:spacing w:after="0" w:line="3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1020" w:top="476"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563C1"/>
            </w:tcBorders>
            <w:gridSpan w:val="7"/>
          </w:tcPr>
          <w:p>
            <w:pPr>
              <w:spacing w:after="0" w:line="182" w:lineRule="exact"/>
              <w:rPr>
                <w:rFonts w:ascii="Arial" w:cs="Arial" w:eastAsia="Arial" w:hAnsi="Arial"/>
                <w:sz w:val="18"/>
                <w:szCs w:val="18"/>
                <w:color w:val="0563C1"/>
                <w:w w:val="99"/>
              </w:rPr>
            </w:pPr>
            <w:hyperlink w:anchor="page7">
              <w:r>
                <w:rPr>
                  <w:rFonts w:ascii="Arial" w:cs="Arial" w:eastAsia="Arial" w:hAnsi="Arial"/>
                  <w:sz w:val="18"/>
                  <w:szCs w:val="18"/>
                  <w:color w:val="0563C1"/>
                  <w:w w:val="99"/>
                </w:rPr>
                <w:t>FINANCIAL INFORMATION</w:t>
              </w:r>
            </w:hyperlink>
          </w:p>
        </w:tc>
        <w:tc>
          <w:tcPr>
            <w:tcW w:w="6840" w:type="dxa"/>
            <w:vAlign w:val="bottom"/>
            <w:gridSpan w:val="11"/>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563C1"/>
            </w:tcBorders>
            <w:gridSpan w:val="9"/>
          </w:tcPr>
          <w:p>
            <w:pPr>
              <w:spacing w:after="0"/>
              <w:rPr>
                <w:rFonts w:ascii="Arial" w:cs="Arial" w:eastAsia="Arial" w:hAnsi="Arial"/>
                <w:sz w:val="18"/>
                <w:szCs w:val="18"/>
                <w:color w:val="0563C1"/>
                <w:w w:val="89"/>
              </w:rPr>
            </w:pPr>
            <w:hyperlink w:anchor="page7">
              <w:r>
                <w:rPr>
                  <w:rFonts w:ascii="Arial" w:cs="Arial" w:eastAsia="Arial" w:hAnsi="Arial"/>
                  <w:sz w:val="18"/>
                  <w:szCs w:val="18"/>
                  <w:color w:val="0563C1"/>
                  <w:w w:val="89"/>
                </w:rPr>
                <w:t>Financial Statements (Unaudited)</w:t>
              </w:r>
            </w:hyperlink>
          </w:p>
        </w:tc>
        <w:tc>
          <w:tcPr>
            <w:tcW w:w="6680" w:type="dxa"/>
            <w:vAlign w:val="bottom"/>
            <w:gridSpan w:val="9"/>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Borders>
              <w:bottom w:val="single" w:sz="8" w:color="0563C1"/>
            </w:tcBorders>
            <w:gridSpan w:val="10"/>
          </w:tcPr>
          <w:p>
            <w:pPr>
              <w:spacing w:after="0"/>
              <w:rPr>
                <w:rFonts w:ascii="Arial" w:cs="Arial" w:eastAsia="Arial" w:hAnsi="Arial"/>
                <w:sz w:val="18"/>
                <w:szCs w:val="18"/>
                <w:color w:val="0563C1"/>
                <w:w w:val="87"/>
              </w:rPr>
            </w:pPr>
            <w:hyperlink w:anchor="page7">
              <w:r>
                <w:rPr>
                  <w:rFonts w:ascii="Arial" w:cs="Arial" w:eastAsia="Arial" w:hAnsi="Arial"/>
                  <w:sz w:val="18"/>
                  <w:szCs w:val="18"/>
                  <w:color w:val="0563C1"/>
                  <w:w w:val="87"/>
                </w:rPr>
                <w:t>Condensed Consolidated Balance Sheets</w:t>
              </w:r>
            </w:hyperlink>
          </w:p>
        </w:tc>
        <w:tc>
          <w:tcPr>
            <w:tcW w:w="6160" w:type="dxa"/>
            <w:vAlign w:val="bottom"/>
            <w:gridSpan w:val="8"/>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00" w:type="dxa"/>
            <w:vAlign w:val="bottom"/>
            <w:gridSpan w:val="18"/>
          </w:tcPr>
          <w:p>
            <w:pPr>
              <w:spacing w:after="0"/>
              <w:rPr>
                <w:rFonts w:ascii="Arial" w:cs="Arial" w:eastAsia="Arial" w:hAnsi="Arial"/>
                <w:sz w:val="18"/>
                <w:szCs w:val="18"/>
                <w:color w:val="0563C1"/>
              </w:rPr>
            </w:pPr>
            <w:hyperlink w:anchor="page8">
              <w:r>
                <w:rPr>
                  <w:rFonts w:ascii="Arial" w:cs="Arial" w:eastAsia="Arial" w:hAnsi="Arial"/>
                  <w:sz w:val="18"/>
                  <w:szCs w:val="18"/>
                  <w:color w:val="0563C1"/>
                </w:rPr>
                <w:t>Condensed Consolidated Statements of Operations and Comprehensive Loss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0"/>
              </w:rPr>
            </w:pPr>
            <w:hyperlink w:anchor="page9">
              <w:r>
                <w:rPr>
                  <w:rFonts w:ascii="Arial" w:cs="Arial" w:eastAsia="Arial" w:hAnsi="Arial"/>
                  <w:sz w:val="18"/>
                  <w:szCs w:val="18"/>
                  <w:color w:val="0563C1"/>
                  <w:w w:val="90"/>
                </w:rPr>
                <w:t>Condensed Consolidated Statements of Stockholders’ Equity</w:t>
              </w:r>
            </w:hyperlink>
          </w:p>
        </w:tc>
        <w:tc>
          <w:tcPr>
            <w:tcW w:w="1120" w:type="dxa"/>
            <w:vAlign w:val="bottom"/>
            <w:tcBorders>
              <w:top w:val="single" w:sz="8" w:color="0563C1"/>
            </w:tcBorders>
            <w:gridSpan w:val="2"/>
          </w:tcPr>
          <w:p>
            <w:pPr>
              <w:spacing w:after="0"/>
              <w:rPr>
                <w:sz w:val="19"/>
                <w:szCs w:val="19"/>
                <w:color w:val="auto"/>
              </w:rPr>
            </w:pPr>
          </w:p>
        </w:tc>
        <w:tc>
          <w:tcPr>
            <w:tcW w:w="3580" w:type="dxa"/>
            <w:vAlign w:val="bottom"/>
            <w:gridSpan w:val="2"/>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20" w:type="dxa"/>
            <w:vAlign w:val="bottom"/>
            <w:tcBorders>
              <w:bottom w:val="single" w:sz="8" w:color="0563C1"/>
            </w:tcBorders>
            <w:gridSpan w:val="11"/>
          </w:tcPr>
          <w:p>
            <w:pPr>
              <w:spacing w:after="0"/>
              <w:rPr>
                <w:rFonts w:ascii="Arial" w:cs="Arial" w:eastAsia="Arial" w:hAnsi="Arial"/>
                <w:sz w:val="18"/>
                <w:szCs w:val="18"/>
                <w:color w:val="0563C1"/>
                <w:w w:val="88"/>
              </w:rPr>
            </w:pPr>
            <w:hyperlink w:anchor="page10">
              <w:r>
                <w:rPr>
                  <w:rFonts w:ascii="Arial" w:cs="Arial" w:eastAsia="Arial" w:hAnsi="Arial"/>
                  <w:sz w:val="18"/>
                  <w:szCs w:val="18"/>
                  <w:color w:val="0563C1"/>
                  <w:w w:val="88"/>
                </w:rPr>
                <w:t>Condensed Consolidated Statements of Cash Flows</w:t>
              </w:r>
            </w:hyperlink>
          </w:p>
        </w:tc>
        <w:tc>
          <w:tcPr>
            <w:tcW w:w="5380" w:type="dxa"/>
            <w:vAlign w:val="bottom"/>
            <w:gridSpan w:val="7"/>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00" w:type="dxa"/>
            <w:vAlign w:val="bottom"/>
            <w:gridSpan w:val="18"/>
          </w:tcPr>
          <w:p>
            <w:pPr>
              <w:spacing w:after="0"/>
              <w:rPr>
                <w:rFonts w:ascii="Arial" w:cs="Arial" w:eastAsia="Arial" w:hAnsi="Arial"/>
                <w:sz w:val="18"/>
                <w:szCs w:val="18"/>
                <w:color w:val="0563C1"/>
              </w:rPr>
            </w:pPr>
            <w:hyperlink w:anchor="page11">
              <w:r>
                <w:rPr>
                  <w:rFonts w:ascii="Arial" w:cs="Arial" w:eastAsia="Arial" w:hAnsi="Arial"/>
                  <w:sz w:val="18"/>
                  <w:szCs w:val="18"/>
                  <w:color w:val="0563C1"/>
                </w:rPr>
                <w:t>Notes to Unaudited Condensed Consolidated 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563C1"/>
            </w:tcBorders>
            <w:gridSpan w:val="17"/>
          </w:tcPr>
          <w:p>
            <w:pPr>
              <w:spacing w:after="0"/>
              <w:rPr>
                <w:rFonts w:ascii="Arial" w:cs="Arial" w:eastAsia="Arial" w:hAnsi="Arial"/>
                <w:sz w:val="18"/>
                <w:szCs w:val="18"/>
                <w:color w:val="0563C1"/>
                <w:w w:val="90"/>
              </w:rPr>
            </w:pPr>
            <w:hyperlink w:anchor="page17">
              <w:r>
                <w:rPr>
                  <w:rFonts w:ascii="Arial" w:cs="Arial" w:eastAsia="Arial" w:hAnsi="Arial"/>
                  <w:sz w:val="18"/>
                  <w:szCs w:val="18"/>
                  <w:color w:val="0563C1"/>
                  <w:w w:val="90"/>
                </w:rPr>
                <w:t>Management’s Discussion and Analysis of Financial Condition and Results of Operations</w:t>
              </w:r>
            </w:hyperlink>
          </w:p>
        </w:tc>
        <w:tc>
          <w:tcPr>
            <w:tcW w:w="2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92"/>
              </w:rPr>
            </w:pPr>
            <w:hyperlink w:anchor="page26">
              <w:r>
                <w:rPr>
                  <w:rFonts w:ascii="Arial" w:cs="Arial" w:eastAsia="Arial" w:hAnsi="Arial"/>
                  <w:sz w:val="18"/>
                  <w:szCs w:val="18"/>
                  <w:color w:val="0563C1"/>
                  <w:w w:val="92"/>
                </w:rPr>
                <w:t>Quantitative and Qualitative Disclosures About Market Risk</w:t>
              </w:r>
            </w:hyperlink>
          </w:p>
        </w:tc>
        <w:tc>
          <w:tcPr>
            <w:tcW w:w="4740" w:type="dxa"/>
            <w:vAlign w:val="bottom"/>
            <w:gridSpan w:val="5"/>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18"/>
          </w:tcPr>
          <w:p>
            <w:pPr>
              <w:spacing w:after="0"/>
              <w:rPr>
                <w:rFonts w:ascii="Arial" w:cs="Arial" w:eastAsia="Arial" w:hAnsi="Arial"/>
                <w:sz w:val="18"/>
                <w:szCs w:val="18"/>
                <w:color w:val="0563C1"/>
              </w:rPr>
            </w:pPr>
            <w:hyperlink w:anchor="page26">
              <w:r>
                <w:rPr>
                  <w:rFonts w:ascii="Arial" w:cs="Arial" w:eastAsia="Arial" w:hAnsi="Arial"/>
                  <w:sz w:val="18"/>
                  <w:szCs w:val="18"/>
                  <w:color w:val="0563C1"/>
                </w:rPr>
                <w:t>Controls and Procedures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tcBorders>
              <w:right w:val="single" w:sz="8" w:color="0000EE"/>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vMerge w:val="continue"/>
          </w:tcPr>
          <w:p>
            <w:pPr>
              <w:spacing w:after="0"/>
              <w:rPr>
                <w:sz w:val="19"/>
                <w:szCs w:val="19"/>
                <w:color w:val="auto"/>
              </w:rPr>
            </w:pPr>
          </w:p>
        </w:tc>
        <w:tc>
          <w:tcPr>
            <w:tcW w:w="9100" w:type="dxa"/>
            <w:vAlign w:val="bottom"/>
            <w:gridSpan w:val="18"/>
          </w:tcPr>
          <w:p>
            <w:pPr>
              <w:spacing w:after="0"/>
              <w:rPr>
                <w:rFonts w:ascii="Arial" w:cs="Arial" w:eastAsia="Arial" w:hAnsi="Arial"/>
                <w:sz w:val="18"/>
                <w:szCs w:val="18"/>
                <w:color w:val="0563C1"/>
              </w:rPr>
            </w:pPr>
            <w:hyperlink w:anchor="page27">
              <w:r>
                <w:rPr>
                  <w:rFonts w:ascii="Arial" w:cs="Arial" w:eastAsia="Arial" w:hAnsi="Arial"/>
                  <w:sz w:val="18"/>
                  <w:szCs w:val="18"/>
                  <w:color w:val="0563C1"/>
                </w:rPr>
                <w:t>OTHER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563C1"/>
              <w:bottom w:val="single" w:sz="8" w:color="0563C1"/>
            </w:tcBorders>
            <w:gridSpan w:val="4"/>
          </w:tcPr>
          <w:p>
            <w:pPr>
              <w:spacing w:after="0"/>
              <w:rPr>
                <w:rFonts w:ascii="Arial" w:cs="Arial" w:eastAsia="Arial" w:hAnsi="Arial"/>
                <w:sz w:val="18"/>
                <w:szCs w:val="18"/>
                <w:color w:val="0563C1"/>
                <w:w w:val="88"/>
              </w:rPr>
            </w:pPr>
            <w:hyperlink w:anchor="page27">
              <w:r>
                <w:rPr>
                  <w:rFonts w:ascii="Arial" w:cs="Arial" w:eastAsia="Arial" w:hAnsi="Arial"/>
                  <w:sz w:val="18"/>
                  <w:szCs w:val="18"/>
                  <w:color w:val="0563C1"/>
                  <w:w w:val="88"/>
                </w:rPr>
                <w:t>Legal Proceedings</w:t>
              </w:r>
            </w:hyperlink>
          </w:p>
        </w:tc>
        <w:tc>
          <w:tcPr>
            <w:tcW w:w="540" w:type="dxa"/>
            <w:vAlign w:val="bottom"/>
            <w:tcBorders>
              <w:top w:val="single" w:sz="8" w:color="0563C1"/>
            </w:tcBorders>
            <w:gridSpan w:val="2"/>
          </w:tcPr>
          <w:p>
            <w:pPr>
              <w:spacing w:after="0"/>
              <w:rPr>
                <w:sz w:val="19"/>
                <w:szCs w:val="19"/>
                <w:color w:val="auto"/>
              </w:rPr>
            </w:pPr>
          </w:p>
        </w:tc>
        <w:tc>
          <w:tcPr>
            <w:tcW w:w="7220" w:type="dxa"/>
            <w:vAlign w:val="bottom"/>
            <w:gridSpan w:val="12"/>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18"/>
          </w:tcPr>
          <w:p>
            <w:pPr>
              <w:spacing w:after="0"/>
              <w:rPr>
                <w:rFonts w:ascii="Arial" w:cs="Arial" w:eastAsia="Arial" w:hAnsi="Arial"/>
                <w:sz w:val="18"/>
                <w:szCs w:val="18"/>
                <w:color w:val="0563C1"/>
              </w:rPr>
            </w:pPr>
            <w:hyperlink w:anchor="page27">
              <w:r>
                <w:rPr>
                  <w:rFonts w:ascii="Arial" w:cs="Arial" w:eastAsia="Arial" w:hAnsi="Arial"/>
                  <w:sz w:val="18"/>
                  <w:szCs w:val="18"/>
                  <w:color w:val="0563C1"/>
                </w:rPr>
                <w:t>Risk Factors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18"/>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Unregistered Sales of Equity Securities and 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563C1"/>
            </w:tcBorders>
            <w:gridSpan w:val="12"/>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Defaults Upon Senior Securities</w:t>
              </w:r>
            </w:hyperlink>
          </w:p>
        </w:tc>
        <w:tc>
          <w:tcPr>
            <w:tcW w:w="4760" w:type="dxa"/>
            <w:vAlign w:val="bottom"/>
            <w:gridSpan w:val="6"/>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8"/>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Mine Safety Disclosures</w:t>
              </w:r>
            </w:hyperlink>
          </w:p>
        </w:tc>
        <w:tc>
          <w:tcPr>
            <w:tcW w:w="6780" w:type="dxa"/>
            <w:vAlign w:val="bottom"/>
            <w:gridSpan w:val="10"/>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563C1"/>
              <w:bottom w:val="single" w:sz="8" w:color="0563C1"/>
            </w:tcBorders>
            <w:gridSpan w:val="3"/>
          </w:tcPr>
          <w:p>
            <w:pPr>
              <w:spacing w:after="0"/>
              <w:rPr>
                <w:rFonts w:ascii="Arial" w:cs="Arial" w:eastAsia="Arial" w:hAnsi="Arial"/>
                <w:sz w:val="18"/>
                <w:szCs w:val="18"/>
                <w:color w:val="0563C1"/>
                <w:w w:val="92"/>
              </w:rPr>
            </w:pPr>
            <w:hyperlink w:anchor="page68">
              <w:r>
                <w:rPr>
                  <w:rFonts w:ascii="Arial" w:cs="Arial" w:eastAsia="Arial" w:hAnsi="Arial"/>
                  <w:sz w:val="18"/>
                  <w:szCs w:val="18"/>
                  <w:color w:val="0563C1"/>
                  <w:w w:val="92"/>
                </w:rPr>
                <w:t>Other Information</w:t>
              </w:r>
            </w:hyperlink>
          </w:p>
        </w:tc>
        <w:tc>
          <w:tcPr>
            <w:tcW w:w="460" w:type="dxa"/>
            <w:vAlign w:val="bottom"/>
            <w:tcBorders>
              <w:top w:val="single" w:sz="8" w:color="0563C1"/>
            </w:tcBorders>
            <w:gridSpan w:val="2"/>
          </w:tcPr>
          <w:p>
            <w:pPr>
              <w:spacing w:after="0"/>
              <w:rPr>
                <w:sz w:val="19"/>
                <w:szCs w:val="19"/>
                <w:color w:val="auto"/>
              </w:rPr>
            </w:pPr>
          </w:p>
        </w:tc>
        <w:tc>
          <w:tcPr>
            <w:tcW w:w="7320" w:type="dxa"/>
            <w:vAlign w:val="bottom"/>
            <w:gridSpan w:val="13"/>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00" w:type="dxa"/>
            <w:vAlign w:val="bottom"/>
            <w:gridSpan w:val="18"/>
          </w:tcPr>
          <w:p>
            <w:pPr>
              <w:spacing w:after="0"/>
              <w:rPr>
                <w:rFonts w:ascii="Arial" w:cs="Arial" w:eastAsia="Arial" w:hAnsi="Arial"/>
                <w:sz w:val="18"/>
                <w:szCs w:val="18"/>
                <w:color w:val="0563C1"/>
              </w:rPr>
            </w:pPr>
            <w:hyperlink w:anchor="page69">
              <w:r>
                <w:rPr>
                  <w:rFonts w:ascii="Arial" w:cs="Arial" w:eastAsia="Arial" w:hAnsi="Arial"/>
                  <w:sz w:val="18"/>
                  <w:szCs w:val="18"/>
                  <w:color w:val="0563C1"/>
                </w:rPr>
                <w:t>Exhibits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rFonts w:ascii="Arial" w:cs="Arial" w:eastAsia="Arial" w:hAnsi="Arial"/>
                <w:sz w:val="18"/>
                <w:szCs w:val="18"/>
                <w:color w:val="0563C1"/>
              </w:rPr>
            </w:pPr>
            <w:hyperlink w:anchor="page70">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89"/>
              </w:rPr>
              <w:t>Kodiak Sciences Inc.</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880,870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944,396</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884,332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972,005</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70,278</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997,601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2,738</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Operating lease liability</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r>
      <w:tr>
        <w:trPr>
          <w:trHeight w:val="25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77,004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75,028</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99,916</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99,890</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r>
      <w:tr>
        <w:trPr>
          <w:trHeight w:val="250"/>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218,174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720" w:type="dxa"/>
            <w:vAlign w:val="bottom"/>
          </w:tcPr>
          <w:p>
            <w:pPr>
              <w:ind w:left="280"/>
              <w:spacing w:after="0"/>
              <w:rPr>
                <w:sz w:val="20"/>
                <w:szCs w:val="20"/>
                <w:color w:val="auto"/>
              </w:rPr>
            </w:pPr>
            <w:r>
              <w:rPr>
                <w:rFonts w:ascii="Arial" w:cs="Arial" w:eastAsia="Arial" w:hAnsi="Arial"/>
                <w:sz w:val="18"/>
                <w:szCs w:val="18"/>
                <w:color w:val="auto"/>
              </w:rPr>
              <w:t>Preferred stock, $0.0001 par value, 10,000,000 shares authorized;</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0 shares issued and outstanding at June 30, 2021 and</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3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Common stock, $0.0001 par value, 490,000,000 shares authorized</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at June 30, 2021 and December 31, 2020; 51,434,408 and</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51,112,302 shares issued and outstanding at June 30, 2021 and</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December 31, 2020, respectively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1,176,948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1,151,920</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(397,526 )</w:t>
            </w:r>
          </w:p>
        </w:tc>
        <w:tc>
          <w:tcPr>
            <w:tcW w:w="16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(291,227 )</w:t>
            </w:r>
          </w:p>
        </w:tc>
      </w:tr>
      <w:tr>
        <w:trPr>
          <w:trHeight w:val="250"/>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779,427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997,601</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1,067,347</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-4908550</wp:posOffset>
            </wp:positionV>
            <wp:extent cx="1885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-3916680</wp:posOffset>
            </wp:positionV>
            <wp:extent cx="1885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-3899535</wp:posOffset>
            </wp:positionV>
            <wp:extent cx="188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-2242185</wp:posOffset>
            </wp:positionV>
            <wp:extent cx="1885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-2242185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885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45,404</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20,557</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85,741</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20,726</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(55,909 )</w:t>
            </w: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(26,779 )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(106,467 )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(52,502 )</w:t>
            </w:r>
          </w:p>
        </w:tc>
        <w:tc>
          <w:tcPr>
            <w:tcW w:w="0" w:type="dxa"/>
            <w:vAlign w:val="bottom"/>
          </w:tcPr>
          <w:p>
            <w:pPr>
              <w:spacing w:after="0"/>
              <w:rPr>
                <w:sz w:val="1"/>
                <w:szCs w:val="1"/>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w:t>
            </w: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(55,852 )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(25,999 )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(106,299 )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(50,391 )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used in</w:t>
            </w:r>
          </w:p>
        </w:tc>
        <w:tc>
          <w:tcPr>
            <w:tcW w:w="22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51,573,894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44,969,795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51,644,946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44,897,269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computing net loss per common share, basic and diluted</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unrealized gains related to available-for-sale</w:t>
            </w:r>
          </w:p>
        </w:tc>
        <w:tc>
          <w:tcPr>
            <w:tcW w:w="220" w:type="dxa"/>
            <w:vAlign w:val="bottom"/>
            <w:shd w:val="clear" w:color="auto" w:fill="CFF0FC"/>
          </w:tcPr>
          <w:p>
            <w:pPr>
              <w:spacing w:after="0"/>
              <w:rPr>
                <w:sz w:val="21"/>
                <w:szCs w:val="21"/>
                <w:color w:val="auto"/>
              </w:rPr>
            </w:pP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(18 )</w:t>
            </w:r>
          </w:p>
        </w:tc>
        <w:tc>
          <w:tcPr>
            <w:tcW w:w="26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(53 )</w:t>
            </w:r>
          </w:p>
        </w:tc>
        <w:tc>
          <w:tcPr>
            <w:tcW w:w="280" w:type="dxa"/>
            <w:vAlign w:val="bottom"/>
            <w:shd w:val="clear" w:color="auto" w:fill="CFF0FC"/>
          </w:tcPr>
          <w:p>
            <w:pPr>
              <w:spacing w:after="0"/>
              <w:rPr>
                <w:sz w:val="21"/>
                <w:szCs w:val="2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debt securities, net of tax</w:t>
            </w:r>
          </w:p>
        </w:tc>
        <w:tc>
          <w:tcPr>
            <w:tcW w:w="2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tcPr>
          <w:p>
            <w:pPr>
              <w:ind w:left="52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(55,870 )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(106,352 )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(49,807 )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-2353945</wp:posOffset>
            </wp:positionV>
            <wp:extent cx="171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-2353945</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-2353945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-1353820</wp:posOffset>
            </wp:positionV>
            <wp:extent cx="171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-1336675</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-1353820</wp:posOffset>
            </wp:positionV>
            <wp:extent cx="1543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154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-1353820</wp:posOffset>
            </wp:positionV>
            <wp:extent cx="154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-856615</wp:posOffset>
            </wp:positionV>
            <wp:extent cx="171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-839470</wp:posOffset>
            </wp:positionV>
            <wp:extent cx="171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-856615</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-839470</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-856615</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-839470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-365125</wp:posOffset>
            </wp:positionV>
            <wp:extent cx="17145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-365125</wp:posOffset>
            </wp:positionV>
            <wp:extent cx="1543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-365125</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20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December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51,112,302</w:t>
            </w:r>
          </w:p>
        </w:tc>
        <w:tc>
          <w:tcPr>
            <w:tcW w:w="112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1,151,920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(291,227 )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860,751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113,559</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(35 )</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(50,447 )</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(50,447 )</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1080" w:type="dxa"/>
            <w:vAlign w:val="bottom"/>
          </w:tcPr>
          <w:p>
            <w:pPr>
              <w:jc w:val="right"/>
              <w:spacing w:after="0"/>
              <w:rPr>
                <w:sz w:val="20"/>
                <w:szCs w:val="20"/>
                <w:color w:val="auto"/>
              </w:rPr>
            </w:pPr>
            <w:r>
              <w:rPr>
                <w:rFonts w:ascii="Arial" w:cs="Arial" w:eastAsia="Arial" w:hAnsi="Arial"/>
                <w:sz w:val="14"/>
                <w:szCs w:val="14"/>
                <w:color w:val="auto"/>
              </w:rPr>
              <w:t>51,225,861</w:t>
            </w:r>
          </w:p>
        </w:tc>
        <w:tc>
          <w:tcPr>
            <w:tcW w:w="260" w:type="dxa"/>
            <w:vAlign w:val="bottom"/>
          </w:tcPr>
          <w:p>
            <w:pPr>
              <w:spacing w:after="0"/>
              <w:rPr>
                <w:sz w:val="17"/>
                <w:szCs w:val="17"/>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1,163,328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(341,674 )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821,677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131,276</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30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net of taxes withheld</w:t>
            </w:r>
          </w:p>
        </w:tc>
        <w:tc>
          <w:tcPr>
            <w:tcW w:w="1080" w:type="dxa"/>
            <w:vAlign w:val="bottom"/>
          </w:tcPr>
          <w:p>
            <w:pPr>
              <w:jc w:val="right"/>
              <w:spacing w:after="0"/>
              <w:rPr>
                <w:sz w:val="20"/>
                <w:szCs w:val="20"/>
                <w:color w:val="auto"/>
              </w:rPr>
            </w:pPr>
            <w:r>
              <w:rPr>
                <w:rFonts w:ascii="Arial" w:cs="Arial" w:eastAsia="Arial" w:hAnsi="Arial"/>
                <w:sz w:val="14"/>
                <w:szCs w:val="14"/>
                <w:color w:val="auto"/>
              </w:rPr>
              <w:t>72,976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pursuant</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 employee stock purchase plans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4,295</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expense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11,087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7"/>
        </w:trPr>
        <w:tc>
          <w:tcPr>
            <w:tcW w:w="34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(55,852 )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(55,852 )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June 30, 2021</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51,434,408</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1,176,948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(397,526 )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779,427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46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20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1080" w:type="dxa"/>
            <w:vAlign w:val="bottom"/>
          </w:tcPr>
          <w:p>
            <w:pPr>
              <w:jc w:val="right"/>
              <w:spacing w:after="0"/>
              <w:rPr>
                <w:sz w:val="20"/>
                <w:szCs w:val="20"/>
                <w:color w:val="auto"/>
              </w:rPr>
            </w:pPr>
            <w:r>
              <w:rPr>
                <w:rFonts w:ascii="Arial" w:cs="Arial" w:eastAsia="Arial" w:hAnsi="Arial"/>
                <w:sz w:val="14"/>
                <w:szCs w:val="14"/>
                <w:color w:val="auto"/>
              </w:rPr>
              <w:t>44,413,404</w:t>
            </w:r>
          </w:p>
        </w:tc>
        <w:tc>
          <w:tcPr>
            <w:tcW w:w="112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503,475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(158,131 )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345,359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39,297</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expense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6,082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(24,392 )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(24,392 )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March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44,452,701</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509,716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(182,523 )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327,687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203,373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of taxes withheld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10,942</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(206 )</w:t>
            </w: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300"/>
              <w:spacing w:after="0"/>
              <w:rPr>
                <w:sz w:val="20"/>
                <w:szCs w:val="20"/>
                <w:color w:val="auto"/>
              </w:rPr>
            </w:pPr>
            <w:r>
              <w:rPr>
                <w:rFonts w:ascii="Arial" w:cs="Arial" w:eastAsia="Arial" w:hAnsi="Arial"/>
                <w:sz w:val="14"/>
                <w:szCs w:val="14"/>
                <w:color w:val="auto"/>
              </w:rPr>
              <w:t>expense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6,890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(25,999 )</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(25,999 )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June 30, 2020</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44,667,016</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517,120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(208,522 )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-4497070</wp:posOffset>
            </wp:positionV>
            <wp:extent cx="1625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-4497070</wp:posOffset>
            </wp:positionV>
            <wp:extent cx="1543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-4497070</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-4497070</wp:posOffset>
            </wp:positionV>
            <wp:extent cx="14605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-4497070</wp:posOffset>
            </wp:positionV>
            <wp:extent cx="14605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-4497070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-2896870</wp:posOffset>
            </wp:positionV>
            <wp:extent cx="162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-2879725</wp:posOffset>
            </wp:positionV>
            <wp:extent cx="1625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-2896870</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-2879725</wp:posOffset>
            </wp:positionV>
            <wp:extent cx="1543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-2896870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-2879725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-2896870</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-2879725</wp:posOffset>
            </wp:positionV>
            <wp:extent cx="1460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-2896870</wp:posOffset>
            </wp:positionV>
            <wp:extent cx="146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-2879725</wp:posOffset>
            </wp:positionV>
            <wp:extent cx="1460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162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162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54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460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46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146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146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7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(106,299 )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(50,391 )</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21,012</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8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(231 )</w:t>
            </w:r>
          </w:p>
        </w:tc>
      </w:tr>
      <w:tr>
        <w:trPr>
          <w:trHeight w:val="26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operating lease right-of-use asset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80"/>
              <w:spacing w:after="0"/>
              <w:rPr>
                <w:sz w:val="20"/>
                <w:szCs w:val="20"/>
                <w:color w:val="auto"/>
              </w:rPr>
            </w:pPr>
            <w:r>
              <w:rPr>
                <w:rFonts w:ascii="Arial" w:cs="Arial" w:eastAsia="Arial" w:hAnsi="Arial"/>
                <w:sz w:val="18"/>
                <w:szCs w:val="18"/>
                <w:color w:val="auto"/>
              </w:rPr>
              <w:t>Amortization of issuance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(431 )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(35 )</w:t>
            </w: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(2,305 )</w:t>
            </w:r>
          </w:p>
        </w:tc>
      </w:tr>
      <w:tr>
        <w:trPr>
          <w:trHeight w:val="250"/>
        </w:trPr>
        <w:tc>
          <w:tcPr>
            <w:tcW w:w="77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(5,753 )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52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(71,286 )</w:t>
            </w:r>
          </w:p>
        </w:tc>
        <w:tc>
          <w:tcPr>
            <w:tcW w:w="3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(31,837 )</w:t>
            </w:r>
          </w:p>
        </w:tc>
      </w:tr>
      <w:tr>
        <w:trPr>
          <w:trHeight w:val="25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(3,772 )</w:t>
            </w: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(249 )</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Deposits on property and equipment</w:t>
            </w:r>
          </w:p>
        </w:tc>
        <w:tc>
          <w:tcPr>
            <w:tcW w:w="3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(16,962 )</w:t>
            </w:r>
          </w:p>
        </w:tc>
        <w:tc>
          <w:tcPr>
            <w:tcW w:w="3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(86,317 )</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100" w:type="dxa"/>
            <w:vAlign w:val="bottom"/>
          </w:tcPr>
          <w:p>
            <w:pPr>
              <w:spacing w:after="0"/>
              <w:rPr>
                <w:sz w:val="21"/>
                <w:szCs w:val="21"/>
                <w:color w:val="auto"/>
              </w:rPr>
            </w:pPr>
          </w:p>
        </w:tc>
      </w:tr>
      <w:tr>
        <w:trPr>
          <w:trHeight w:val="250"/>
        </w:trPr>
        <w:tc>
          <w:tcPr>
            <w:tcW w:w="77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(10,416 )</w:t>
            </w:r>
          </w:p>
        </w:tc>
      </w:tr>
      <w:tr>
        <w:trPr>
          <w:trHeight w:val="25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options exercise</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Payments for restricted stock units, net of taxes withheld</w:t>
            </w:r>
          </w:p>
        </w:tc>
        <w:tc>
          <w:tcPr>
            <w:tcW w:w="36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(206 )</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pursuant to employee stock purchase plans</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sale of future royalties, net of issuance costs</w:t>
            </w:r>
          </w:p>
        </w:tc>
        <w:tc>
          <w:tcPr>
            <w:tcW w:w="36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99,643</w:t>
            </w:r>
          </w:p>
        </w:tc>
        <w:tc>
          <w:tcPr>
            <w:tcW w:w="10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payments of capital lease</w:t>
            </w:r>
          </w:p>
        </w:tc>
        <w:tc>
          <w:tcPr>
            <w:tcW w:w="3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Principal payments of tenant improvement allowance payable</w:t>
            </w:r>
          </w:p>
        </w:tc>
        <w:tc>
          <w:tcPr>
            <w:tcW w:w="3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(22 )</w:t>
            </w:r>
          </w:p>
        </w:tc>
        <w:tc>
          <w:tcPr>
            <w:tcW w:w="3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250"/>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(63,526 )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58,039</w:t>
            </w:r>
          </w:p>
        </w:tc>
        <w:tc>
          <w:tcPr>
            <w:tcW w:w="100" w:type="dxa"/>
            <w:vAlign w:val="bottom"/>
          </w:tcPr>
          <w:p>
            <w:pPr>
              <w:spacing w:after="0"/>
              <w:rPr>
                <w:sz w:val="21"/>
                <w:szCs w:val="21"/>
                <w:color w:val="auto"/>
              </w:rPr>
            </w:pPr>
          </w:p>
        </w:tc>
      </w:tr>
      <w:tr>
        <w:trPr>
          <w:trHeight w:val="25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950,720</w:t>
            </w:r>
          </w:p>
        </w:tc>
        <w:tc>
          <w:tcPr>
            <w:tcW w:w="3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887,194</w:t>
            </w:r>
          </w:p>
        </w:tc>
        <w:tc>
          <w:tcPr>
            <w:tcW w:w="34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269,976</w:t>
            </w:r>
          </w:p>
        </w:tc>
        <w:tc>
          <w:tcPr>
            <w:tcW w:w="100" w:type="dxa"/>
            <w:vAlign w:val="bottom"/>
          </w:tcPr>
          <w:p>
            <w:pPr>
              <w:spacing w:after="0"/>
              <w:rPr>
                <w:sz w:val="21"/>
                <w:szCs w:val="2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cash, cash equivalents and restricted cash to consolidated balance sheets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880,870</w:t>
            </w:r>
          </w:p>
        </w:tc>
        <w:tc>
          <w:tcPr>
            <w:tcW w:w="3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269,836</w:t>
            </w:r>
          </w:p>
        </w:tc>
        <w:tc>
          <w:tcPr>
            <w:tcW w:w="100" w:type="dxa"/>
            <w:vAlign w:val="bottom"/>
          </w:tcPr>
          <w:p>
            <w:pPr>
              <w:spacing w:after="0"/>
              <w:rPr>
                <w:sz w:val="21"/>
                <w:szCs w:val="21"/>
                <w:color w:val="auto"/>
              </w:rPr>
            </w:pPr>
          </w:p>
        </w:tc>
      </w:tr>
      <w:tr>
        <w:trPr>
          <w:trHeight w:val="25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3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887,194</w:t>
            </w:r>
          </w:p>
        </w:tc>
        <w:tc>
          <w:tcPr>
            <w:tcW w:w="34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269,976</w:t>
            </w:r>
          </w:p>
        </w:tc>
        <w:tc>
          <w:tcPr>
            <w:tcW w:w="100" w:type="dxa"/>
            <w:vAlign w:val="bottom"/>
          </w:tcPr>
          <w:p>
            <w:pPr>
              <w:spacing w:after="0"/>
              <w:rPr>
                <w:sz w:val="21"/>
                <w:szCs w:val="2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under accounts payable and accruals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-4179570</wp:posOffset>
            </wp:positionV>
            <wp:extent cx="2057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-3185160</wp:posOffset>
            </wp:positionV>
            <wp:extent cx="2057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-3185160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-1864995</wp:posOffset>
            </wp:positionV>
            <wp:extent cx="2057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-1864995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-1530985</wp:posOffset>
            </wp:positionV>
            <wp:extent cx="2057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-845185</wp:posOffset>
            </wp:positionV>
            <wp:extent cx="2057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20" w:firstLine="441"/>
        <w:spacing w:after="0" w:line="319" w:lineRule="auto"/>
        <w:rPr>
          <w:sz w:val="20"/>
          <w:szCs w:val="20"/>
          <w:color w:val="auto"/>
        </w:rPr>
      </w:pPr>
      <w:r>
        <w:rPr>
          <w:rFonts w:ascii="Arial" w:cs="Arial" w:eastAsia="Arial" w:hAnsi="Arial"/>
          <w:sz w:val="16"/>
          <w:szCs w:val="16"/>
          <w:color w:val="auto"/>
        </w:rPr>
        <w:t>Kodiak Sciences Inc. (the “Company”) is a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ind w:firstLine="441"/>
        <w:spacing w:after="0" w:line="275" w:lineRule="auto"/>
        <w:rPr>
          <w:sz w:val="20"/>
          <w:szCs w:val="20"/>
          <w:color w:val="auto"/>
        </w:rPr>
      </w:pPr>
      <w:r>
        <w:rPr>
          <w:rFonts w:ascii="Arial" w:cs="Arial" w:eastAsia="Arial" w:hAnsi="Arial"/>
          <w:sz w:val="18"/>
          <w:szCs w:val="18"/>
          <w:color w:val="auto"/>
        </w:rPr>
        <w:t>As of June 30, 2021, the Company had cash and cash equivalents of $880.9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1" w:lineRule="exact"/>
        <w:rPr>
          <w:sz w:val="20"/>
          <w:szCs w:val="20"/>
          <w:color w:val="auto"/>
        </w:rPr>
      </w:pPr>
    </w:p>
    <w:p>
      <w:pPr>
        <w:ind w:right="280" w:firstLine="441"/>
        <w:spacing w:after="0" w:line="275"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7" w:lineRule="exact"/>
        <w:rPr>
          <w:sz w:val="20"/>
          <w:szCs w:val="20"/>
          <w:color w:val="auto"/>
        </w:rPr>
      </w:pPr>
    </w:p>
    <w:p>
      <w:pPr>
        <w:ind w:right="80" w:firstLine="441"/>
        <w:spacing w:after="0" w:line="292" w:lineRule="auto"/>
        <w:rPr>
          <w:sz w:val="20"/>
          <w:szCs w:val="20"/>
          <w:color w:val="auto"/>
        </w:rPr>
      </w:pPr>
      <w:r>
        <w:rPr>
          <w:rFonts w:ascii="Arial" w:cs="Arial" w:eastAsia="Arial" w:hAnsi="Arial"/>
          <w:sz w:val="17"/>
          <w:szCs w:val="17"/>
          <w:color w:val="auto"/>
        </w:rPr>
        <w:t>These condensed consolidated financial statements have been prepared on a basis substantially consistent with, and should be read in conjunction with the audited financial statements for the year ended December 31, 2020 and notes thereto, the Company’s Annual Report on Form 10-K filed with the Securities and Exchange Commission (“SEC”) on March 1, 2021.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2021, or for any future period.</w:t>
      </w:r>
    </w:p>
    <w:p>
      <w:pPr>
        <w:spacing w:after="0" w:line="66" w:lineRule="exact"/>
        <w:rPr>
          <w:sz w:val="20"/>
          <w:szCs w:val="20"/>
          <w:color w:val="auto"/>
        </w:rPr>
      </w:pPr>
    </w:p>
    <w:p>
      <w:pPr>
        <w:ind w:right="540" w:firstLine="441"/>
        <w:spacing w:after="0" w:line="293"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31" w:lineRule="exact"/>
        <w:rPr>
          <w:sz w:val="20"/>
          <w:szCs w:val="20"/>
          <w:color w:val="auto"/>
        </w:rPr>
      </w:pPr>
    </w:p>
    <w:p>
      <w:pPr>
        <w:ind w:right="120" w:firstLine="441"/>
        <w:spacing w:after="0" w:line="293"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100" w:firstLine="441"/>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three and six months ended June 30, 2021. As events continue to unfold and additional information becomes available, these estimates may change materially in future periods. Actual results could differ from those estimates.</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1" w:lineRule="exact"/>
        <w:rPr>
          <w:sz w:val="20"/>
          <w:szCs w:val="20"/>
          <w:color w:val="auto"/>
        </w:rPr>
      </w:pPr>
    </w:p>
    <w:p>
      <w:pPr>
        <w:ind w:right="60" w:firstLine="441"/>
        <w:spacing w:after="0" w:line="304" w:lineRule="auto"/>
        <w:rPr>
          <w:sz w:val="20"/>
          <w:szCs w:val="20"/>
          <w:color w:val="auto"/>
        </w:rPr>
      </w:pPr>
      <w:r>
        <w:rPr>
          <w:rFonts w:ascii="Arial" w:cs="Arial" w:eastAsia="Arial" w:hAnsi="Arial"/>
          <w:sz w:val="16"/>
          <w:szCs w:val="16"/>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During this pandemic, we continue to work closely with our manufacturing suppliers, partners and facilities to maintain the supply of our product candidates needed for the expansion of our clinical trials and to retain the number, scale and design of manufacturing runs that regulatory authorities may require to obtain marketing approval, including those required to support a BLA submission. Despite these efforts, the ongoing COVID-19 pandemic could significantly impact the timing or likelihood of clinical resupply and of regulatory filings and approvals. The Company will continue to monitor the COVID-19 situation and its impact on the ability to continue the development of, and seek regulatory approvals for, the Company’s product candidates, and begin to commercialize any approved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and six months ended</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June 30, 2021, respectively, are consistent with those discussed in Note 2 to the consolidated financial statements in the Company’s Annual Report on Form 10-K for the year ended December 31, 2020, except as noted within the “Recent Accounting Pronouncements – Recently Adopted Accounting Pronouncements”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Accounting</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Standards Codification or other standard setting bodies, and adopted by the Company as of the specified effective date, unless otherwise discussed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31"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and disclosure requirements to improve alignment with the SEC's regulations. The Company adopted this new guidance as of January 1, 2021, and this guidance did not have a material impact on its consolidated financial statements and related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31" w:lineRule="exact"/>
        <w:rPr>
          <w:sz w:val="20"/>
          <w:szCs w:val="20"/>
          <w:color w:val="auto"/>
        </w:rPr>
      </w:pPr>
    </w:p>
    <w:p>
      <w:pPr>
        <w:ind w:right="80" w:firstLine="441"/>
        <w:spacing w:after="0" w:line="293" w:lineRule="auto"/>
        <w:rPr>
          <w:sz w:val="20"/>
          <w:szCs w:val="20"/>
          <w:color w:val="auto"/>
        </w:rPr>
      </w:pPr>
      <w:r>
        <w:rPr>
          <w:rFonts w:ascii="Arial" w:cs="Arial" w:eastAsia="Arial" w:hAnsi="Arial"/>
          <w:sz w:val="18"/>
          <w:szCs w:val="18"/>
          <w:color w:val="auto"/>
        </w:rPr>
        <w:t>The Company continues to monitor new accounting pronouncements issued by the FASB. All other newly issued accounting pronouncements issued through the date of this report have been deemed either immaterial or not applicable.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9"/>
                <w:szCs w:val="19"/>
                <w:color w:val="auto"/>
              </w:rPr>
            </w:pPr>
          </w:p>
        </w:tc>
      </w:tr>
      <w:tr>
        <w:trPr>
          <w:trHeight w:val="241"/>
        </w:trPr>
        <w:tc>
          <w:tcPr>
            <w:tcW w:w="4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trial and related costs</w:t>
            </w:r>
          </w:p>
        </w:tc>
        <w:tc>
          <w:tcPr>
            <w:tcW w:w="3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salaries and benefits</w:t>
            </w:r>
          </w:p>
        </w:tc>
        <w:tc>
          <w:tcPr>
            <w:tcW w:w="3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3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other liabilities</w:t>
            </w:r>
          </w:p>
        </w:tc>
        <w:tc>
          <w:tcPr>
            <w:tcW w:w="3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r>
      <w:tr>
        <w:trPr>
          <w:trHeight w:val="290"/>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37,034</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FF0FC"/>
          </w:tcPr>
          <w:p>
            <w:pPr>
              <w:spacing w:after="0"/>
              <w:rPr>
                <w:sz w:val="24"/>
                <w:szCs w:val="24"/>
                <w:color w:val="auto"/>
              </w:rPr>
            </w:pPr>
          </w:p>
        </w:tc>
      </w:tr>
      <w:tr>
        <w:trPr>
          <w:trHeight w:val="554"/>
        </w:trPr>
        <w:tc>
          <w:tcPr>
            <w:tcW w:w="4280" w:type="dxa"/>
            <w:vAlign w:val="bottom"/>
            <w:tcBorders>
              <w:top w:val="single" w:sz="8" w:color="CFF0FC"/>
            </w:tcBorders>
          </w:tcPr>
          <w:p>
            <w:pPr>
              <w:spacing w:after="0"/>
              <w:rPr>
                <w:sz w:val="24"/>
                <w:szCs w:val="24"/>
                <w:color w:val="auto"/>
              </w:rPr>
            </w:pPr>
          </w:p>
        </w:tc>
        <w:tc>
          <w:tcPr>
            <w:tcW w:w="3440" w:type="dxa"/>
            <w:vAlign w:val="bottom"/>
            <w:tcBorders>
              <w:top w:val="single" w:sz="8" w:color="CFF0FC"/>
            </w:tcBorders>
          </w:tcPr>
          <w:p>
            <w:pPr>
              <w:jc w:val="right"/>
              <w:ind w:right="1970"/>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-471170</wp:posOffset>
            </wp:positionV>
            <wp:extent cx="188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1885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Fair Value Measurements at June 30, 2021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825,676</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825,676</w:t>
            </w:r>
          </w:p>
        </w:tc>
        <w:tc>
          <w:tcPr>
            <w:tcW w:w="100" w:type="dxa"/>
            <w:vAlign w:val="bottom"/>
          </w:tcPr>
          <w:p>
            <w:pPr>
              <w:spacing w:after="0"/>
              <w:rPr>
                <w:sz w:val="21"/>
                <w:szCs w:val="21"/>
                <w:color w:val="auto"/>
              </w:rPr>
            </w:pPr>
          </w:p>
        </w:tc>
      </w:tr>
      <w:tr>
        <w:trPr>
          <w:trHeight w:val="290"/>
        </w:trPr>
        <w:tc>
          <w:tcPr>
            <w:tcW w:w="5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825,676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825,676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171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171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154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154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Fair Value Measurements at December 31,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1"/>
                <w:szCs w:val="2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917,485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917,485</w:t>
            </w: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r>
      <w:tr>
        <w:trPr>
          <w:trHeight w:val="257"/>
        </w:trPr>
        <w:tc>
          <w:tcPr>
            <w:tcW w:w="5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Corporate notes</w:t>
            </w: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917,485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24,578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942,063</w:t>
            </w:r>
          </w:p>
        </w:tc>
        <w:tc>
          <w:tcPr>
            <w:tcW w:w="10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-193675</wp:posOffset>
            </wp:positionV>
            <wp:extent cx="17145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5430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5430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40" w:firstLine="441"/>
        <w:spacing w:after="0" w:line="293" w:lineRule="auto"/>
        <w:rPr>
          <w:sz w:val="20"/>
          <w:szCs w:val="20"/>
          <w:color w:val="auto"/>
        </w:rPr>
      </w:pPr>
      <w:r>
        <w:rPr>
          <w:rFonts w:ascii="Arial" w:cs="Arial" w:eastAsia="Arial" w:hAnsi="Arial"/>
          <w:sz w:val="18"/>
          <w:szCs w:val="18"/>
          <w:color w:val="auto"/>
        </w:rPr>
        <w:t>As of June 30, 2021 and December 31, 2020, the fair value of the liability related to sale of future royalties is based on our current estimates of future royalties expected to be paid to Baker Bros. Advisors, LP (“BBA”), which are considered Level 3 inputs.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35" w:lineRule="exact"/>
        <w:rPr>
          <w:sz w:val="20"/>
          <w:szCs w:val="20"/>
          <w:color w:val="auto"/>
        </w:rPr>
      </w:pPr>
    </w:p>
    <w:p>
      <w:pPr>
        <w:jc w:val="both"/>
        <w:ind w:right="80" w:firstLine="441"/>
        <w:spacing w:after="0" w:line="303" w:lineRule="auto"/>
        <w:rPr>
          <w:sz w:val="20"/>
          <w:szCs w:val="20"/>
          <w:color w:val="auto"/>
        </w:rPr>
      </w:pPr>
      <w:r>
        <w:rPr>
          <w:rFonts w:ascii="Arial" w:cs="Arial" w:eastAsia="Arial" w:hAnsi="Arial"/>
          <w:sz w:val="17"/>
          <w:szCs w:val="17"/>
          <w:color w:val="auto"/>
        </w:rPr>
        <w:t>The marketable securities are classified as available-for-sale and consist of U.S. treasury securities and corporate notes.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marketable securities at June 30, 2021. The following table summarizes the marketable securities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9"/>
                <w:szCs w:val="19"/>
                <w:color w:val="auto"/>
              </w:rPr>
            </w:pPr>
          </w:p>
        </w:tc>
      </w:tr>
      <w:tr>
        <w:trPr>
          <w:trHeight w:val="248"/>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1"/>
                <w:szCs w:val="21"/>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shd w:val="clear" w:color="auto" w:fill="CFF0FC"/>
          </w:tcPr>
          <w:p>
            <w:pPr>
              <w:spacing w:after="0"/>
              <w:rPr>
                <w:sz w:val="21"/>
                <w:szCs w:val="2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r>
      <w:tr>
        <w:trPr>
          <w:trHeight w:val="29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marketable securities, current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right="60" w:firstLine="441"/>
        <w:spacing w:after="0" w:line="272" w:lineRule="auto"/>
        <w:rPr>
          <w:sz w:val="20"/>
          <w:szCs w:val="20"/>
          <w:color w:val="auto"/>
        </w:rPr>
      </w:pPr>
      <w:r>
        <w:rPr>
          <w:rFonts w:ascii="Arial" w:cs="Arial" w:eastAsia="Arial" w:hAnsi="Arial"/>
          <w:sz w:val="18"/>
          <w:szCs w:val="18"/>
          <w:color w:val="auto"/>
        </w:rPr>
        <w:t>All marketable securities held at December 31, 2020 had effective maturities of less than one year. There were no realized gains or losses recognized on the sale or maturity of available-for-sale debt securities during the three and six months ended June 30, 2021, respectively, and as a result, the Company did not reclassify any amounts out of accumulated comprehensive loss. As of June 30, 2021 and December 31, 2020, the Company had no allowance for credit losses for available-for-sale debt securities. There were no impairment charges or recoveries recorded during each of the six months ended June 30, 2021 and June 30, 2020,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Lease</w:t>
      </w:r>
    </w:p>
    <w:p>
      <w:pPr>
        <w:spacing w:after="0" w:line="117" w:lineRule="exact"/>
        <w:rPr>
          <w:sz w:val="20"/>
          <w:szCs w:val="20"/>
          <w:color w:val="auto"/>
        </w:rPr>
      </w:pPr>
    </w:p>
    <w:p>
      <w:pPr>
        <w:ind w:right="80" w:firstLine="441"/>
        <w:spacing w:after="0" w:line="272"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KSI-301.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83" w:lineRule="exact"/>
        <w:rPr>
          <w:sz w:val="20"/>
          <w:szCs w:val="20"/>
          <w:color w:val="auto"/>
        </w:rPr>
      </w:pPr>
    </w:p>
    <w:p>
      <w:pPr>
        <w:ind w:firstLine="441"/>
        <w:spacing w:after="0" w:line="275" w:lineRule="auto"/>
        <w:rPr>
          <w:sz w:val="20"/>
          <w:szCs w:val="20"/>
          <w:color w:val="auto"/>
        </w:rPr>
      </w:pPr>
      <w:r>
        <w:rPr>
          <w:rFonts w:ascii="Arial" w:cs="Arial" w:eastAsia="Arial" w:hAnsi="Arial"/>
          <w:sz w:val="18"/>
          <w:szCs w:val="18"/>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Over the period from 2022 through 2029, manufacturing fees totaling approximately 150.0 million Swiss Francs may be incurred for potential commercial supply of KSI-301 drug substance.</w:t>
      </w:r>
    </w:p>
    <w:p>
      <w:pPr>
        <w:spacing w:after="0" w:line="77" w:lineRule="exact"/>
        <w:rPr>
          <w:sz w:val="20"/>
          <w:szCs w:val="20"/>
          <w:color w:val="auto"/>
        </w:rPr>
      </w:pPr>
    </w:p>
    <w:p>
      <w:pPr>
        <w:ind w:right="160" w:firstLine="441"/>
        <w:spacing w:after="0" w:line="279"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June 30, 2021, the Company did not have control of this manufacturing space and therefore, did not record a right-of-use asset and corresponding lease liability.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ind w:firstLine="441"/>
        <w:spacing w:after="0" w:line="309" w:lineRule="auto"/>
        <w:rPr>
          <w:sz w:val="20"/>
          <w:szCs w:val="20"/>
          <w:color w:val="auto"/>
        </w:rPr>
      </w:pPr>
      <w:r>
        <w:rPr>
          <w:rFonts w:ascii="Arial" w:cs="Arial" w:eastAsia="Arial" w:hAnsi="Arial"/>
          <w:sz w:val="16"/>
          <w:szCs w:val="16"/>
          <w:color w:val="auto"/>
        </w:rPr>
        <w:t>The Company has entered into service agreements in the normal course of business with various service providers, pursuant to which such service providers agreed to perform activities in connection with the manufacturing process of certain materials. These agreements, and any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right="20" w:firstLine="441"/>
        <w:spacing w:after="0" w:line="275"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applicable agreement. The actual amounts and timing of payments under these agreements are uncertain and contingent upon the initiation and completion of services to be provided to the Company.</w:t>
      </w:r>
    </w:p>
    <w:p>
      <w:pPr>
        <w:spacing w:after="0" w:line="77" w:lineRule="exact"/>
        <w:rPr>
          <w:sz w:val="20"/>
          <w:szCs w:val="20"/>
          <w:color w:val="auto"/>
        </w:rPr>
      </w:pPr>
    </w:p>
    <w:p>
      <w:pPr>
        <w:ind w:firstLine="441"/>
        <w:spacing w:after="0" w:line="359" w:lineRule="auto"/>
        <w:rPr>
          <w:sz w:val="20"/>
          <w:szCs w:val="20"/>
          <w:color w:val="auto"/>
        </w:rPr>
      </w:pPr>
      <w:r>
        <w:rPr>
          <w:rFonts w:ascii="Arial" w:cs="Arial" w:eastAsia="Arial" w:hAnsi="Arial"/>
          <w:sz w:val="16"/>
          <w:szCs w:val="16"/>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35" w:lineRule="exact"/>
        <w:rPr>
          <w:sz w:val="20"/>
          <w:szCs w:val="20"/>
          <w:color w:val="auto"/>
        </w:rPr>
      </w:pPr>
    </w:p>
    <w:p>
      <w:pPr>
        <w:ind w:right="80" w:firstLine="441"/>
        <w:spacing w:after="0" w:line="359" w:lineRule="auto"/>
        <w:rPr>
          <w:sz w:val="20"/>
          <w:szCs w:val="20"/>
          <w:color w:val="auto"/>
        </w:rPr>
      </w:pPr>
      <w:r>
        <w:rPr>
          <w:rFonts w:ascii="Arial" w:cs="Arial" w:eastAsia="Arial" w:hAnsi="Arial"/>
          <w:sz w:val="16"/>
          <w:szCs w:val="16"/>
          <w:color w:val="auto"/>
        </w:rPr>
        <w:t>In January 2021 and 2020, the number of shares of common stock available for issuance under the 2018 Equity Incentive Plan (the "2018 Plan") was increased by approximately 2.0 million and 1.8 million shares, respectively, as a result of the automatic increase provision in the 2018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2018 Plan and 2015 Equity Incentive Plan (the "2015 Plan")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9"/>
                <w:szCs w:val="19"/>
                <w:color w:val="auto"/>
              </w:rPr>
            </w:pPr>
          </w:p>
        </w:tc>
      </w:tr>
      <w:tr>
        <w:trPr>
          <w:trHeight w:val="229"/>
        </w:trPr>
        <w:tc>
          <w:tcPr>
            <w:tcW w:w="458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9"/>
                <w:szCs w:val="19"/>
                <w:color w:val="auto"/>
              </w:rPr>
            </w:pPr>
          </w:p>
        </w:tc>
      </w:tr>
      <w:tr>
        <w:trPr>
          <w:trHeight w:val="229"/>
        </w:trPr>
        <w:tc>
          <w:tcPr>
            <w:tcW w:w="4580" w:type="dxa"/>
            <w:vAlign w:val="bottom"/>
          </w:tcPr>
          <w:p>
            <w:pPr>
              <w:spacing w:after="0"/>
              <w:rPr>
                <w:sz w:val="19"/>
                <w:szCs w:val="19"/>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r>
      <w:tr>
        <w:trPr>
          <w:trHeight w:val="25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6,897,276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841,704</w:t>
            </w:r>
          </w:p>
        </w:tc>
        <w:tc>
          <w:tcPr>
            <w:tcW w:w="100" w:type="dxa"/>
            <w:vAlign w:val="bottom"/>
            <w:shd w:val="clear" w:color="auto" w:fill="CFF0FC"/>
          </w:tcPr>
          <w:p>
            <w:pPr>
              <w:spacing w:after="0"/>
              <w:rPr>
                <w:sz w:val="22"/>
                <w:szCs w:val="22"/>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288,689</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121.99</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(244,835 )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580" w:type="dxa"/>
            <w:vAlign w:val="bottom"/>
          </w:tcPr>
          <w:p>
            <w:pPr>
              <w:ind w:left="20"/>
              <w:spacing w:after="0"/>
              <w:rPr>
                <w:sz w:val="20"/>
                <w:szCs w:val="20"/>
                <w:color w:val="auto"/>
              </w:rPr>
            </w:pPr>
            <w:r>
              <w:rPr>
                <w:rFonts w:ascii="Arial" w:cs="Arial" w:eastAsia="Arial" w:hAnsi="Arial"/>
                <w:sz w:val="18"/>
                <w:szCs w:val="18"/>
                <w:color w:val="auto"/>
              </w:rPr>
              <w:t>Forfeited or canceled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(119,606 )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39.53</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6,821,524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446,963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1885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188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31" w:lineRule="exact"/>
        <w:rPr>
          <w:sz w:val="20"/>
          <w:szCs w:val="20"/>
          <w:color w:val="auto"/>
        </w:rPr>
      </w:pPr>
    </w:p>
    <w:p>
      <w:pPr>
        <w:ind w:right="180" w:firstLine="441"/>
        <w:spacing w:after="0" w:line="293"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1500" w:type="dxa"/>
            <w:vAlign w:val="bottom"/>
          </w:tcPr>
          <w:p>
            <w:pPr>
              <w:jc w:val="center"/>
              <w:ind w:left="530"/>
              <w:spacing w:after="0"/>
              <w:rPr>
                <w:sz w:val="20"/>
                <w:szCs w:val="20"/>
                <w:color w:val="auto"/>
              </w:rPr>
            </w:pPr>
            <w:r>
              <w:rPr>
                <w:rFonts w:ascii="Arial" w:cs="Arial" w:eastAsia="Arial" w:hAnsi="Arial"/>
                <w:sz w:val="18"/>
                <w:szCs w:val="18"/>
                <w:b w:val="1"/>
                <w:bCs w:val="1"/>
                <w:color w:val="auto"/>
                <w:w w:val="93"/>
              </w:rPr>
              <w:t>Number of</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150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Restricted</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9"/>
                <w:szCs w:val="19"/>
                <w:color w:val="auto"/>
              </w:rPr>
            </w:pPr>
          </w:p>
        </w:tc>
      </w:tr>
      <w:tr>
        <w:trPr>
          <w:trHeight w:val="241"/>
        </w:trPr>
        <w:tc>
          <w:tcPr>
            <w:tcW w:w="6580" w:type="dxa"/>
            <w:vAlign w:val="bottom"/>
          </w:tcPr>
          <w:p>
            <w:pPr>
              <w:spacing w:after="0"/>
              <w:rPr>
                <w:sz w:val="20"/>
                <w:szCs w:val="20"/>
                <w:color w:val="auto"/>
              </w:rPr>
            </w:pPr>
          </w:p>
        </w:tc>
        <w:tc>
          <w:tcPr>
            <w:tcW w:w="15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56"/>
        </w:trPr>
        <w:tc>
          <w:tcPr>
            <w:tcW w:w="8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at December 31, 2020</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359,945</w:t>
            </w:r>
          </w:p>
        </w:tc>
        <w:tc>
          <w:tcPr>
            <w:tcW w:w="3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FF0FC"/>
          </w:tcPr>
          <w:p>
            <w:pPr>
              <w:spacing w:after="0"/>
              <w:rPr>
                <w:sz w:val="22"/>
                <w:szCs w:val="22"/>
                <w:color w:val="auto"/>
              </w:rPr>
            </w:pPr>
          </w:p>
        </w:tc>
      </w:tr>
      <w:tr>
        <w:trPr>
          <w:trHeight w:val="25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21,700</w:t>
            </w:r>
          </w:p>
        </w:tc>
        <w:tc>
          <w:tcPr>
            <w:tcW w:w="3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r>
      <w:tr>
        <w:trPr>
          <w:trHeight w:val="263"/>
        </w:trPr>
        <w:tc>
          <w:tcPr>
            <w:tcW w:w="8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4"/>
              </w:rPr>
              <w:t>(72,976 )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(20,307 )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r>
      <w:tr>
        <w:trPr>
          <w:trHeight w:val="290"/>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June 30, 2021</w:t>
            </w:r>
          </w:p>
        </w:tc>
        <w:tc>
          <w:tcPr>
            <w:tcW w:w="150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288,362</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214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214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31" w:lineRule="exact"/>
        <w:rPr>
          <w:sz w:val="20"/>
          <w:szCs w:val="20"/>
          <w:color w:val="auto"/>
        </w:rPr>
      </w:pPr>
    </w:p>
    <w:p>
      <w:pPr>
        <w:jc w:val="both"/>
        <w:ind w:right="200" w:firstLine="441"/>
        <w:spacing w:after="0" w:line="279" w:lineRule="auto"/>
        <w:rPr>
          <w:sz w:val="20"/>
          <w:szCs w:val="20"/>
          <w:color w:val="auto"/>
        </w:rPr>
      </w:pPr>
      <w:r>
        <w:rPr>
          <w:rFonts w:ascii="Arial" w:cs="Arial" w:eastAsia="Arial" w:hAnsi="Arial"/>
          <w:sz w:val="18"/>
          <w:szCs w:val="18"/>
          <w:color w:val="auto"/>
        </w:rPr>
        <w:t>The Company granted 190,831 performance-based stock options during the six months ended June 30, 2021 (the "2021 PSAs"). The Company did not grant any performance-based equity awards during 2020. The Company granted 170,150 performance-based options and 128,900 performance-based restricted stock units to employees in 2019 (the "2019 PSAs").</w:t>
      </w:r>
    </w:p>
    <w:p>
      <w:pPr>
        <w:spacing w:after="0" w:line="75" w:lineRule="exact"/>
        <w:rPr>
          <w:sz w:val="20"/>
          <w:szCs w:val="20"/>
          <w:color w:val="auto"/>
        </w:rPr>
      </w:pPr>
    </w:p>
    <w:p>
      <w:pPr>
        <w:ind w:right="520" w:firstLine="441"/>
        <w:spacing w:after="0" w:line="279" w:lineRule="auto"/>
        <w:rPr>
          <w:sz w:val="20"/>
          <w:szCs w:val="20"/>
          <w:color w:val="auto"/>
        </w:rPr>
      </w:pPr>
      <w:r>
        <w:rPr>
          <w:rFonts w:ascii="Arial" w:cs="Arial" w:eastAsia="Arial" w:hAnsi="Arial"/>
          <w:sz w:val="18"/>
          <w:szCs w:val="18"/>
          <w:color w:val="auto"/>
        </w:rPr>
        <w:t>The performance-based equity awards granted will vest one-quarter upon the achievement of specific clinical development milestones. The remaining shares will then vest ratably over three years thereafter. Performance-based stock options and performance-based restricted stock units are recorded as expense beginning when vesting events are determined to be probable.</w:t>
      </w:r>
    </w:p>
    <w:p>
      <w:pPr>
        <w:spacing w:after="0" w:line="75"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8"/>
          <w:szCs w:val="18"/>
          <w:color w:val="auto"/>
        </w:rPr>
        <w:t>The milestone for the 2019 PSAs was achieved during the second quarter of 2021. As of June 30, 2021, 42,536 performance-based stock options and 28,905 performance-based restricted stock units granted during 2019 have vested. The Company believes that the achievement of the requisite performance condition for 2021 PSAs continues to be probable.</w:t>
      </w:r>
    </w:p>
    <w:p>
      <w:pPr>
        <w:sectPr>
          <w:pgSz w:w="11900" w:h="16838" w:orient="portrait"/>
          <w:cols w:equalWidth="0" w:num="1">
            <w:col w:w="11240"/>
          </w:cols>
          <w:pgMar w:left="320" w:top="135" w:right="3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100" w:firstLine="441"/>
        <w:spacing w:after="0" w:line="293" w:lineRule="auto"/>
        <w:rPr>
          <w:sz w:val="20"/>
          <w:szCs w:val="20"/>
          <w:color w:val="auto"/>
        </w:rPr>
      </w:pPr>
      <w:r>
        <w:rPr>
          <w:rFonts w:ascii="Arial" w:cs="Arial" w:eastAsia="Arial" w:hAnsi="Arial"/>
          <w:sz w:val="18"/>
          <w:szCs w:val="18"/>
          <w:color w:val="auto"/>
        </w:rPr>
        <w:t>Stock-based compensation expense recognized was $3.7 million and $6.2 million during the three and six months ended June 30, 2021, respectively, and $1.8 million and $3.6 million during the three and six months ended June 30,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225" w:lineRule="exact"/>
        <w:rPr>
          <w:sz w:val="20"/>
          <w:szCs w:val="20"/>
          <w:color w:val="auto"/>
        </w:rPr>
      </w:pPr>
    </w:p>
    <w:p>
      <w:pPr>
        <w:ind w:right="220" w:firstLine="441"/>
        <w:spacing w:after="0" w:line="271" w:lineRule="auto"/>
        <w:rPr>
          <w:sz w:val="20"/>
          <w:szCs w:val="20"/>
          <w:color w:val="auto"/>
        </w:rPr>
      </w:pPr>
      <w:r>
        <w:rPr>
          <w:rFonts w:ascii="Arial" w:cs="Arial" w:eastAsia="Arial" w:hAnsi="Arial"/>
          <w:sz w:val="18"/>
          <w:szCs w:val="18"/>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approximately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spacing w:after="0" w:line="83" w:lineRule="exact"/>
        <w:rPr>
          <w:sz w:val="20"/>
          <w:szCs w:val="20"/>
          <w:color w:val="auto"/>
        </w:rPr>
      </w:pPr>
    </w:p>
    <w:p>
      <w:pPr>
        <w:ind w:right="260" w:firstLine="441"/>
        <w:spacing w:after="0" w:line="399" w:lineRule="auto"/>
        <w:rPr>
          <w:sz w:val="20"/>
          <w:szCs w:val="20"/>
          <w:color w:val="auto"/>
        </w:rPr>
      </w:pPr>
      <w:r>
        <w:rPr>
          <w:rFonts w:ascii="Arial" w:cs="Arial" w:eastAsia="Arial" w:hAnsi="Arial"/>
          <w:sz w:val="15"/>
          <w:szCs w:val="15"/>
          <w:color w:val="auto"/>
        </w:rPr>
        <w:t>The Company issued 4,295 shares and 4,295 shares under the ESPP during the three and six months ended June 30, 2021, respectively. The stock-based compensation expense related to the ESPP was $0.1 million and $0.2 million during the three and six months ended June 30,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right="780" w:firstLine="441"/>
        <w:spacing w:after="0" w:line="293" w:lineRule="auto"/>
        <w:rPr>
          <w:sz w:val="20"/>
          <w:szCs w:val="20"/>
          <w:color w:val="auto"/>
        </w:rPr>
      </w:pPr>
      <w:r>
        <w:rPr>
          <w:rFonts w:ascii="Arial" w:cs="Arial" w:eastAsia="Arial" w:hAnsi="Arial"/>
          <w:sz w:val="18"/>
          <w:szCs w:val="18"/>
          <w:color w:val="auto"/>
        </w:rPr>
        <w:t>Stock-based compensation for options, restricted shares, and ESPP is classified in the condensed consolidated statements of operations and comprehensive loss as follows (in thousands):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5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r>
      <w:tr>
        <w:trPr>
          <w:trHeight w:val="241"/>
        </w:trPr>
        <w:tc>
          <w:tcPr>
            <w:tcW w:w="47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7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w:t>
            </w:r>
          </w:p>
        </w:tc>
        <w:tc>
          <w:tcPr>
            <w:tcW w:w="118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3,776</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11,169</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w:t>
            </w:r>
          </w:p>
        </w:tc>
        <w:tc>
          <w:tcPr>
            <w:tcW w:w="2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3,114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1"/>
                <w:szCs w:val="21"/>
                <w:color w:val="auto"/>
              </w:rPr>
            </w:pPr>
          </w:p>
        </w:tc>
      </w:tr>
      <w:tr>
        <w:trPr>
          <w:trHeight w:val="29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11,087</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6,890</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21,012</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179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79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640" w:firstLine="441"/>
        <w:spacing w:after="0" w:line="293" w:lineRule="auto"/>
        <w:rPr>
          <w:sz w:val="20"/>
          <w:szCs w:val="20"/>
          <w:color w:val="auto"/>
        </w:rPr>
      </w:pPr>
      <w:r>
        <w:rPr>
          <w:rFonts w:ascii="Arial" w:cs="Arial" w:eastAsia="Arial" w:hAnsi="Arial"/>
          <w:sz w:val="18"/>
          <w:szCs w:val="18"/>
          <w:color w:val="auto"/>
        </w:rPr>
        <w:t>As of June 30, 2021, total unrecognized compensation cost related to the unvested share-based awards and ESPP was $89.8 million, which is expected to be recognized over a weighted-average period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35" w:lineRule="exact"/>
        <w:rPr>
          <w:sz w:val="20"/>
          <w:szCs w:val="20"/>
          <w:color w:val="auto"/>
        </w:rPr>
      </w:pPr>
    </w:p>
    <w:p>
      <w:pPr>
        <w:ind w:right="580" w:firstLine="441"/>
        <w:spacing w:after="0" w:line="293"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98"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057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6,821,524</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7,304,288</w:t>
            </w:r>
          </w:p>
        </w:tc>
        <w:tc>
          <w:tcPr>
            <w:tcW w:w="100" w:type="dxa"/>
            <w:vAlign w:val="bottom"/>
            <w:shd w:val="clear" w:color="auto" w:fill="CFF0FC"/>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Unvested restricted shares</w:t>
            </w:r>
          </w:p>
        </w:tc>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288,362</w:t>
            </w:r>
          </w:p>
        </w:tc>
        <w:tc>
          <w:tcPr>
            <w:tcW w:w="360" w:type="dxa"/>
            <w:vAlign w:val="bottom"/>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318,995</w:t>
            </w:r>
          </w:p>
        </w:tc>
        <w:tc>
          <w:tcPr>
            <w:tcW w:w="100" w:type="dxa"/>
            <w:vAlign w:val="bottom"/>
          </w:tcPr>
          <w:p>
            <w:pPr>
              <w:spacing w:after="0"/>
              <w:rPr>
                <w:sz w:val="21"/>
                <w:szCs w:val="21"/>
                <w:color w:val="auto"/>
              </w:rPr>
            </w:pPr>
          </w:p>
        </w:tc>
      </w:tr>
      <w:tr>
        <w:trPr>
          <w:trHeight w:val="29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7,109,886</w:t>
            </w:r>
          </w:p>
        </w:tc>
        <w:tc>
          <w:tcPr>
            <w:tcW w:w="360" w:type="dxa"/>
            <w:vAlign w:val="bottom"/>
            <w:tcBorders>
              <w:bottom w:val="single" w:sz="8" w:color="CFF0FC"/>
            </w:tcBorders>
            <w:shd w:val="clear" w:color="auto" w:fill="CFF0FC"/>
          </w:tcPr>
          <w:p>
            <w:pPr>
              <w:spacing w:after="0"/>
              <w:rPr>
                <w:sz w:val="24"/>
                <w:szCs w:val="24"/>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7,623,283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231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2317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right="20" w:firstLine="441"/>
        <w:spacing w:after="0" w:line="279" w:lineRule="auto"/>
        <w:rPr>
          <w:sz w:val="20"/>
          <w:szCs w:val="20"/>
          <w:color w:val="auto"/>
        </w:rPr>
      </w:pPr>
      <w:r>
        <w:rPr>
          <w:rFonts w:ascii="Arial" w:cs="Arial" w:eastAsia="Arial" w:hAnsi="Arial"/>
          <w:sz w:val="18"/>
          <w:szCs w:val="18"/>
          <w:color w:val="auto"/>
        </w:rPr>
        <w:t>Subsequent to June 30, 2021, at the Company's request, Baker Bros. Advisors, LP confirmed in a letter agreement that, despite the Company being in a position to satisfy the product development criteria, the second funding amount would not be paid and the aggregate royalty cap under the Funding Agreement would be reduced from $1,012.5 million to $450.0 million.</w:t>
      </w:r>
    </w:p>
    <w:p>
      <w:pPr>
        <w:spacing w:after="0" w:line="7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8"/>
          <w:szCs w:val="18"/>
          <w:color w:val="auto"/>
        </w:rPr>
        <w:t>Subsequent to June 30, 2021, the Company has entered into a binding purchase commitment for manufacturing equipment related to the commercial supply of KSI-301. Based on this agreement, the Company is currently committed to minimum non-cancelable purchase obligations of approximately $20.0 million, which are expected to be paid through 2023.</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2020, included in our Annual Report on Form 10-K filed with the Securities and Exchange Commission, or the SEC, on March 1, 2021.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At Kodiak, we are bringing new science to the design and development of next generation retinal medicines. Our ABC Platform™ uses molecular engineering to merge the fields of antibody-based and chemistry-based therapies and is at the core of Kodiak's discovery engine. Our goal is to prevent and treat the major causes of blindness by developing and commercializing next-generation therapeutics for chronic, high-prevalence retinal diseases.</w:t>
      </w:r>
    </w:p>
    <w:p>
      <w:pPr>
        <w:spacing w:after="0" w:line="40"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To date, we have generated compelling clinical data with our most advanced product candidate, KSI-301, a novel anti-VEGF antibody biopolymer conjugate, which is designed to maintain potent and effective drug levels in ocular tissues for longer periods than the currently-marketed biologic medicines used to treat retinal diseases. We believe that KSI-301, if approved, has the potential to be an important therapy to treat patients with wet age-related macular degeneration, or wet AMD, diabetic macular edema, or DME, macular edema due to retinal vein occlusion, or RVO, and diabetic retinopathy, or DR.</w:t>
      </w:r>
    </w:p>
    <w:p>
      <w:pPr>
        <w:spacing w:after="0" w:line="83"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We have continued to progress and expand the KSI-301 development program towards the goal of having the medicine approved and available to physicians for broad, first-line treatment of patients across all of these indications. We are also investing in optimizations of KSI-301's product presentation, such as the early commercial availability of pre-filled syringes that could further support strong commercial uptake.</w:t>
      </w:r>
    </w:p>
    <w:p>
      <w:pPr>
        <w:spacing w:after="0" w:line="56"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We also believe that KSI-301 has the potential to be an important therapy for other vision-threatening diseases that are less prevalent but also may be responsive to anti-VEGF therapy, such as retinopathy of prematurity and myopic choroidal neovascularization, and we may develop KSI-301 for such diseases in the future.</w:t>
      </w:r>
    </w:p>
    <w:p>
      <w:pPr>
        <w:spacing w:after="0" w:line="75"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83" w:lineRule="exact"/>
        <w:rPr>
          <w:sz w:val="20"/>
          <w:szCs w:val="20"/>
          <w:color w:val="auto"/>
        </w:rPr>
      </w:pPr>
    </w:p>
    <w:p>
      <w:pPr>
        <w:ind w:right="580" w:firstLine="509"/>
        <w:spacing w:after="0" w:line="293" w:lineRule="auto"/>
        <w:rPr>
          <w:sz w:val="20"/>
          <w:szCs w:val="20"/>
          <w:color w:val="auto"/>
        </w:rPr>
      </w:pPr>
      <w:r>
        <w:rPr>
          <w:rFonts w:ascii="Arial" w:cs="Arial" w:eastAsia="Arial" w:hAnsi="Arial"/>
          <w:sz w:val="18"/>
          <w:szCs w:val="18"/>
          <w:color w:val="auto"/>
        </w:rPr>
        <w:t>Our overall objective is to develop our retina-focused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Updates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Pivotal Program</w:t>
      </w:r>
    </w:p>
    <w:p>
      <w:pPr>
        <w:spacing w:after="0" w:line="117"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We are engaged in a broad development program for KSI-301 with concurrent late-stage development activities across all of the major disease indications for which intravitreal anti-VEGFs are used. We expect to include the results of all our pivotal clinical trials in wAMD, DME and RVO in a single initial BLA.</w:t>
      </w:r>
    </w:p>
    <w:p>
      <w:pPr>
        <w:spacing w:after="0" w:line="76"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Developing and launching a novel anti-VEGF medicine with extended durability is the central principle of our KSI-301 development program, and in the last quarter we have continued to make substantial progress in the recruitment of our pivotal studies evaluating KSI-301. The pivotal study program evaluates KSI-301's potential for best-in-class long-interval dosing regimens and broad labeling to reduce barriers to reimbursement. Our Phase 2b/3 DAZZLE pivotal study in patients with treatment-naïve wet AMD was initiated in October 2019 and completed enrollment in November 2020. In the third quarter of 2020, we also initiated two Phase 3 studies in DME (GLEAM and GLIMMER) and one Phase 3 study in RVO (BEACON). In June 2021, we randomized the first patients into an additional Phase 3 study in wet AMD (DAYLIGHT) that is designed to broaden KSI-301's potential product labeling and maximize physician's treatment flexibility and reimbursement confidence. To date, we are pleased with the operational progress in site activation, patient screening and recruitment in these studies. We believe we are on track to complete patient enrollment into GLEAM, GLIMMER, BEACON, and DAYLIGHT in the fourth quarter of 2021 or early 2022. Notably, BEACON is nearly two-thirds enrolled and we are extending the study to 18 months to allow participants to continue to receive treatment for a longer period of time. In the DAZZLE study, the last patient’s last visit for the primary efficacy endpoint is expected in the fourth quarter of 2021 and topline data are expected in the first quarter of 2022.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right="140" w:firstLine="509"/>
        <w:spacing w:after="0" w:line="263" w:lineRule="auto"/>
        <w:rPr>
          <w:sz w:val="20"/>
          <w:szCs w:val="20"/>
          <w:color w:val="auto"/>
        </w:rPr>
      </w:pPr>
      <w:r>
        <w:rPr>
          <w:rFonts w:ascii="Arial" w:cs="Arial" w:eastAsia="Arial" w:hAnsi="Arial"/>
          <w:sz w:val="18"/>
          <w:szCs w:val="18"/>
          <w:color w:val="auto"/>
        </w:rPr>
        <w:t>We also believe we are on track to begin screening and recruiting patients in August 2021 in our Phase 3 GLOW study in patients with non-proliferative Diabetic Retinopathy without DME, although we are not planning for this study and indication to be included in our initial BLA filing given the long timeframe we expect to be required to recruit patients in this chronic, more preventive disease indication.</w:t>
      </w:r>
    </w:p>
    <w:p>
      <w:pPr>
        <w:spacing w:after="0" w:line="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This expanded pivotal program for KSI-301 reflects our conviction in KSI-301 (and our ABC Platform) and seeks labeling at launch that is supportive of a broad range of individualized dosing intervals, from every 4-week dosing up to once every 20-week dosing for wAMD patients; from every 4-week dosing up to once every 24-week dosing for DME patients; and from every 4-week dosing up to once every 8-week dosing for RVO patients.</w:t>
      </w:r>
    </w:p>
    <w:p>
      <w:pPr>
        <w:spacing w:after="0" w:line="41"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This conviction is also reflected in our concurrent manufacturing efforts, notably our dedicated IBEX manufacturing facility and also our continued efforts towards the potential of early commercial availability of our pre-filled syringe, both key efforts supportive of strong early commercial uptake.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19050</wp:posOffset>
            </wp:positionV>
            <wp:extent cx="6172200" cy="3472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234950</wp:posOffset>
            </wp:positionV>
            <wp:extent cx="6172200" cy="3471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Funding Agreement with Baker Bros. Advisors</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In December 2019, we, together with our wholly-owned subsidiary Kodiak Sciences GmbH entered into a funding agreement (the "Funding Agreement") with certain assignees of Baker Bros. Advisors, LP (“BBA”) under which BBA agreed to fund up to $225.0 million in the aggregate in exchange for the right to 4.5% royalties on our potential future net sales of KSI-301 and certain other products. The royalty was capped at 4.5 times the total amount funded under the Funding Agreement. BBA funded $100.0 million at closing in February 2020, with the remaining $125.0 million to be funded upon receipt of our notice that we satisfied specified product development criteria and making certain certifications to BBA.</w:t>
      </w:r>
    </w:p>
    <w:p>
      <w:pPr>
        <w:spacing w:after="0" w:line="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At our request, BBA acknowledged and confirmed on July 22, 2021 in a letter agreement that, despite Kodiak being in a position to satisfy the product development criteria, the second funding amount would not be paid and the aggregate royalty cap under the Funding Agreement would be reduced from $1,012.5 million to $450.0 million. The request was made in light of, among other factors, our strong balance sheet due to the $612.0 million capital raise in November 2020 and our clinical trial progress. An independent committee of the Board of Directors of Kodiak ratified the decision not to draw the second funding payment.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International Non-proprietary Name (INN)</w:t>
      </w:r>
    </w:p>
    <w:p>
      <w:pPr>
        <w:spacing w:after="0" w:line="117"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In May 2021, we selected tarcocimab tedromer as the proposed INN for KSI-301. The INN uniquely describes KSI-301 in all countries and is assigned by the World Health Organization (WHO). The two-part INN is descriptive of our bioconjugate, namely the antibody (tarcocimab) and the biopolymer (tedromer).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INDs</w:t>
      </w:r>
    </w:p>
    <w:p>
      <w:pPr>
        <w:spacing w:after="0" w:line="11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In March 2021, our investigational new drug (IND) applications for KSI-301 in RVO and DME were approved by China’s National Medicinal Products Administration (NMPA). The IND approval allows Kodiak to enroll patients from China into the BEACON and GLIMMER studies; we believe that inclusion of patients from China in these studies could be beneficial for the potential future approval of KSI-301 in China.</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KSI-301 Phase 1b Study</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February 2021, we presented Year 1 durability, efficacy and safety data from our ongoing Phase 1b trial of KSI-301 in patients with treatment naïve wet AMD, DME or RVO at the Angiogenesis, Exudation, and Degeneration 2021 – Virtual Edition meeting. The data showed 2 in every 3 patients are on a 6-month or longer treatment-free interval at Year 1 in each of the three major retinal vascular diseases after only three loading doses. Robust vision gains (particularly notable in the context of very good baseline vision) and robust retinal drying (when baseline anatomical characteristics are considered) were seen across all three diseases being studied. Strong anti-VEGF efficacy (achieving at Year 1 approximately 20/40 eye chart vision on average in wet AMD and approximately 20/32 vision on average in DME and RVO) and an encouraging safety profile continued to be observed across all three diseases. We believe the data support the “anti-VEGF Generation 2.0” profile of KSI-301.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Track Record of KSI-301 Safety</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believe the safety profile of KSI-301 continues to be very encouraging. In the Phase 1a/1b program, over 825 injections of KSI-301 have now been administered, with patients followed for as long as 31 months. In the pivotal study programs, in which the data remain masked (blinded) as the studies are ongoing, we estimate that 2,800 KSI-301 injections have been given; the total safety database now includes an estimated &gt;575 patient-years of exposure to KSI-301. Our ongoing reviews of safety data from the open-label Phase 1b study and the masked pivotal studies continue to suggest that the safety of KSI-301 is tracking with the expectations set by the safety profile of the current standard of care intravitreal medicines.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continuing to monitor the global ongoing COVID-19 pandemic. Since the initial outbreak in early 2020, governments globally have taken preventative and protective actions, including but not limited to, restrictions on non-essential travel, business operations, and gatherings of individuals. The State of California, where our corporate office is located, declared a state of emergency and shelter-in-place order in March 2020. Many restrictions have since eased, but resurgences in number and rates of infections in certain states and/or countries may result in the return or implementation of more restrictive measures. The extent of the impact of the ongoing COVID-19 pandemic will depend on certain evolving developments, including the duration and spread of the outbreak and the impact on our employees, vendors including supply chain and clinical partners, all of which are uncertain and cannot be predicted.</w:t>
      </w:r>
    </w:p>
    <w:p>
      <w:pPr>
        <w:spacing w:after="0" w:line="8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We continue to assess the potential for supply chain disruptions as the pandemic may impact personnel at third party manufacturing facilities in the United States, Germany, Switzerland and other countries, as well as its impact on the availability and/or cost of materials. We continue to monitor financial markets and the impact on our operations and capital resources.</w:t>
      </w:r>
    </w:p>
    <w:p>
      <w:pPr>
        <w:spacing w:after="0" w:line="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and our key clinical and manufacturing partners have been able to continue to advance our operations. 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pandemic towards achieving our “2022 Vision.”</w:t>
      </w:r>
    </w:p>
    <w:p>
      <w:pPr>
        <w:spacing w:after="0" w:line="7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Through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continue to see low levels of patient missed visits.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w:t>
      </w:r>
    </w:p>
    <w:p>
      <w:pPr>
        <w:spacing w:after="0" w:line="131" w:lineRule="exact"/>
        <w:rPr>
          <w:sz w:val="20"/>
          <w:szCs w:val="20"/>
          <w:color w:val="auto"/>
        </w:rPr>
      </w:pPr>
    </w:p>
    <w:p>
      <w:pPr>
        <w:ind w:left="700" w:right="460"/>
        <w:spacing w:after="0" w:line="293" w:lineRule="auto"/>
        <w:rPr>
          <w:sz w:val="20"/>
          <w:szCs w:val="20"/>
          <w:color w:val="auto"/>
        </w:rPr>
      </w:pPr>
      <w:r>
        <w:rPr>
          <w:rFonts w:ascii="Arial" w:cs="Arial" w:eastAsia="Arial" w:hAnsi="Arial"/>
          <w:sz w:val="18"/>
          <w:szCs w:val="18"/>
          <w:color w:val="auto"/>
        </w:rPr>
        <w:t>We have taken steps in line with guidance from the U.S. Centers for Disease Control and Prevention, or CDC, and the State of California to protect the health and safety of our employees and the community.</w:t>
      </w:r>
    </w:p>
    <w:p>
      <w:pPr>
        <w:spacing w:after="0" w:line="62" w:lineRule="exact"/>
        <w:rPr>
          <w:sz w:val="20"/>
          <w:szCs w:val="20"/>
          <w:color w:val="auto"/>
        </w:rPr>
      </w:pPr>
    </w:p>
    <w:p>
      <w:pPr>
        <w:ind w:left="700"/>
        <w:spacing w:after="0" w:line="288" w:lineRule="auto"/>
        <w:rPr>
          <w:sz w:val="20"/>
          <w:szCs w:val="20"/>
          <w:color w:val="auto"/>
        </w:rPr>
      </w:pPr>
      <w:r>
        <w:rPr>
          <w:rFonts w:ascii="Arial" w:cs="Arial" w:eastAsia="Arial" w:hAnsi="Arial"/>
          <w:sz w:val="17"/>
          <w:szCs w:val="17"/>
          <w:color w:val="auto"/>
        </w:rPr>
        <w:t>We are working closely with our clinical trial sites to monitor and attempt to minimize the potential impacts of the evolving COVID-19 pandemic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The overall rate of missed study visits remains &lt;5%. As of now, we have not experienced significant delays to our ongoing or planned clinical trials; however, this could change rapidly depending on the dynamics of the pandemic.</w:t>
      </w:r>
    </w:p>
    <w:p>
      <w:pPr>
        <w:spacing w:after="0" w:line="73" w:lineRule="exact"/>
        <w:rPr>
          <w:sz w:val="20"/>
          <w:szCs w:val="20"/>
          <w:color w:val="auto"/>
        </w:rPr>
      </w:pPr>
    </w:p>
    <w:p>
      <w:pPr>
        <w:ind w:left="700" w:right="80"/>
        <w:spacing w:after="0" w:line="290" w:lineRule="auto"/>
        <w:rPr>
          <w:sz w:val="20"/>
          <w:szCs w:val="20"/>
          <w:color w:val="auto"/>
        </w:rPr>
      </w:pPr>
      <w:r>
        <w:rPr>
          <w:rFonts w:ascii="Arial" w:cs="Arial" w:eastAsia="Arial" w:hAnsi="Arial"/>
          <w:sz w:val="17"/>
          <w:szCs w:val="17"/>
          <w:color w:val="auto"/>
        </w:rPr>
        <w:t>To minimize the potential for disruption of our pivotal studies of KSI-301, we refined our study designs, including sample size and country selection. We began enrollment of our pivotal DME (GLEAM and GLIMMER) and RVO (BEACON) studies in the third quarter of 2020 in the United States and began enrollment of the DAYLIGHT wet AMD study in June 2021. We aim to begin our pivotal study in non-proliferative DR (GLOW) in August 2021, dependent on the continued evolution of the COVID-19 pandemic. All of our EU and Israel clinical trial application submissions are active and approved for GLEAM, GLIMMER and BEACON, and global recruitment activities are underway in all three studies. Ex-US clinical trial applications for DAYLIGHT and GLOW are currently underway.</w:t>
      </w:r>
    </w:p>
    <w:p>
      <w:pPr>
        <w:spacing w:after="0" w:line="68" w:lineRule="exact"/>
        <w:rPr>
          <w:sz w:val="20"/>
          <w:szCs w:val="20"/>
          <w:color w:val="auto"/>
        </w:rPr>
      </w:pPr>
    </w:p>
    <w:p>
      <w:pPr>
        <w:ind w:left="700" w:right="80"/>
        <w:spacing w:after="0" w:line="293" w:lineRule="auto"/>
        <w:rPr>
          <w:sz w:val="20"/>
          <w:szCs w:val="20"/>
          <w:color w:val="auto"/>
        </w:rPr>
      </w:pPr>
      <w:r>
        <w:rPr>
          <w:rFonts w:ascii="Arial" w:cs="Arial" w:eastAsia="Arial" w:hAnsi="Arial"/>
          <w:sz w:val="18"/>
          <w:szCs w:val="18"/>
          <w:color w:val="auto"/>
        </w:rPr>
        <w:t>Our clinical supply chain and manufacturing activities remain intact, and we do not currently anticipate disruptions to our clinical supply of KSI-301 due to COVID-19.</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0" w:name="page21"/>
    <w:bookmarkEnd w:id="20"/>
    <w:p>
      <w:pPr>
        <w:ind w:left="700"/>
        <w:spacing w:after="0" w:line="290" w:lineRule="auto"/>
        <w:rPr>
          <w:sz w:val="20"/>
          <w:szCs w:val="20"/>
          <w:color w:val="auto"/>
        </w:rPr>
      </w:pPr>
      <w:r>
        <w:rPr>
          <w:rFonts w:ascii="Arial" w:cs="Arial" w:eastAsia="Arial" w:hAnsi="Arial"/>
          <w:sz w:val="17"/>
          <w:szCs w:val="17"/>
          <w:color w:val="auto"/>
        </w:rPr>
        <w:t>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 These events may cause delays to our commercial manufacturing timelines. Construction of the IBEX facility is now targeted for completion in 2022. The primary cause of the revised timeline is construction delays encountered at the Ibex Dedicate Facility in Switzerland due to COVID-19 vaccine related manufacturing activities, primarily limitation of construction and facility personnel resources.</w:t>
      </w:r>
    </w:p>
    <w:p>
      <w:pPr>
        <w:spacing w:after="0" w:line="68"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highly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4"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5"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3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Other income (expense), net consists primarily of accretion income and amortization expense on marketable debt securities net of amortized issuance costs from the liability related to the future sale of royalties to BBA in 2019.</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8060" w:type="dxa"/>
            <w:vAlign w:val="bottom"/>
            <w:gridSpan w:val="10"/>
          </w:tcPr>
          <w:p>
            <w:pPr>
              <w:ind w:left="520"/>
              <w:spacing w:after="0"/>
              <w:rPr>
                <w:sz w:val="20"/>
                <w:szCs w:val="20"/>
                <w:color w:val="auto"/>
              </w:rPr>
            </w:pPr>
            <w:r>
              <w:rPr>
                <w:rFonts w:ascii="Arial" w:cs="Arial" w:eastAsia="Arial" w:hAnsi="Arial"/>
                <w:sz w:val="18"/>
                <w:szCs w:val="18"/>
                <w:color w:val="auto"/>
                <w:w w:val="94"/>
              </w:rPr>
              <w:t>The following table summarizes the results of our operations for the periods indicated, in thousands: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85"/>
              </w:rPr>
              <w:t>June 30,</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2020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1"/>
                <w:szCs w:val="21"/>
                <w:color w:val="auto"/>
              </w:rPr>
            </w:pPr>
          </w:p>
        </w:tc>
        <w:tc>
          <w:tcPr>
            <w:tcW w:w="720" w:type="dxa"/>
            <w:vAlign w:val="bottom"/>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Change</w:t>
            </w: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6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45,404</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20,557</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24,847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85,741</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45,014</w:t>
            </w:r>
          </w:p>
        </w:tc>
        <w:tc>
          <w:tcPr>
            <w:tcW w:w="100" w:type="dxa"/>
            <w:vAlign w:val="bottom"/>
          </w:tcPr>
          <w:p>
            <w:pPr>
              <w:spacing w:after="0"/>
              <w:rPr>
                <w:sz w:val="21"/>
                <w:szCs w:val="21"/>
                <w:color w:val="auto"/>
              </w:rPr>
            </w:pPr>
          </w:p>
        </w:tc>
      </w:tr>
      <w:tr>
        <w:trPr>
          <w:trHeight w:val="257"/>
        </w:trPr>
        <w:tc>
          <w:tcPr>
            <w:tcW w:w="4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20,726</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11,775</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(55,909 )</w:t>
            </w:r>
          </w:p>
        </w:tc>
        <w:tc>
          <w:tcPr>
            <w:tcW w:w="2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(26,779 )</w:t>
            </w: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(29,130 )</w:t>
            </w: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(106,467 )</w:t>
            </w:r>
          </w:p>
        </w:tc>
        <w:tc>
          <w:tcPr>
            <w:tcW w:w="2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(52,502 )</w:t>
            </w: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(53,965 )</w:t>
            </w:r>
          </w:p>
        </w:tc>
      </w:tr>
      <w:tr>
        <w:trPr>
          <w:trHeight w:val="263"/>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(617 )</w:t>
            </w: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(1,676 )</w:t>
            </w:r>
          </w:p>
        </w:tc>
      </w:tr>
      <w:tr>
        <w:trPr>
          <w:trHeight w:val="250"/>
        </w:trPr>
        <w:tc>
          <w:tcPr>
            <w:tcW w:w="4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57"/>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(19 )</w:t>
            </w: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(107 )</w:t>
            </w:r>
          </w:p>
        </w:tc>
        <w:tc>
          <w:tcPr>
            <w:tcW w:w="1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(51 )</w:t>
            </w: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(269 )</w:t>
            </w:r>
          </w:p>
        </w:tc>
      </w:tr>
      <w:tr>
        <w:trPr>
          <w:trHeight w:val="20"/>
        </w:trPr>
        <w:tc>
          <w:tcPr>
            <w:tcW w:w="4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(55,852 )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(25,999 )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(29,853 )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(106,299 )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(50,391 )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(55,908 )</w:t>
            </w: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-853440</wp:posOffset>
            </wp:positionV>
            <wp:extent cx="1543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-853440</wp:posOffset>
            </wp:positionV>
            <wp:extent cx="154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-853440</wp:posOffset>
            </wp:positionV>
            <wp:extent cx="13716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-853440</wp:posOffset>
            </wp:positionV>
            <wp:extent cx="13716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-853440</wp:posOffset>
            </wp:positionV>
            <wp:extent cx="13716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-193675</wp:posOffset>
            </wp:positionV>
            <wp:extent cx="1543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-193675</wp:posOffset>
            </wp:positionV>
            <wp:extent cx="1543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-193675</wp:posOffset>
            </wp:positionV>
            <wp:extent cx="13716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-193675</wp:posOffset>
            </wp:positionV>
            <wp:extent cx="1371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1371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ind w:left="8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5"/>
              </w:rPr>
              <w:t>June 30,</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2020</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1"/>
                <w:szCs w:val="21"/>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KSI-301 program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shd w:val="clear" w:color="auto" w:fill="CFF0FC"/>
          </w:tcPr>
          <w:p>
            <w:pPr>
              <w:spacing w:after="0"/>
              <w:rPr>
                <w:sz w:val="22"/>
                <w:szCs w:val="22"/>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KSI-501 program expenses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ABC Platform and other program expenses</w:t>
            </w:r>
          </w:p>
        </w:tc>
        <w:tc>
          <w:tcPr>
            <w:tcW w:w="1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(1,095 )</w:t>
            </w: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22"/>
                <w:szCs w:val="22"/>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Payroll and personnel expenses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10,191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1"/>
                <w:szCs w:val="21"/>
                <w:color w:val="auto"/>
              </w:rPr>
            </w:pPr>
          </w:p>
        </w:tc>
      </w:tr>
      <w:tr>
        <w:trPr>
          <w:trHeight w:val="25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Facilities and other research and development expenses</w:t>
            </w:r>
          </w:p>
        </w:tc>
        <w:tc>
          <w:tcPr>
            <w:tcW w:w="1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45,404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20,557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24,847</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85,741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40,727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45,014</w:t>
            </w:r>
          </w:p>
        </w:tc>
        <w:tc>
          <w:tcPr>
            <w:tcW w:w="10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-193675</wp:posOffset>
            </wp:positionV>
            <wp:extent cx="15430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-193675</wp:posOffset>
            </wp:positionV>
            <wp:extent cx="1543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-193675</wp:posOffset>
            </wp:positionV>
            <wp:extent cx="1371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-193675</wp:posOffset>
            </wp:positionV>
            <wp:extent cx="13716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KSI-301 program expenses increased $17.8 million and $29.0 million during the three and six months ended June 30, 2021, respectively, as compared to 2020. The increase was primarily due to clinical trial costs to support ongoing trials, as well as manufacturing progress for KSI-301. Our pivotal Phase 2b/3 clinical study in wAMD (DAZZLE) completed patient recruitment in November 2020. We initiated two pivotal Phase 3 clinical studies in DME (GLEAM and GLIMMER) and one pivotal Phase 3 clinical study in RVO (BEACON) in the third quarter of 2020. In June 2021, we randomized the first patients into an additional Phase 3 study in wet AMD (DAYLIGHT) designed to broaden KSI-301’s product labeling.</w:t>
      </w:r>
    </w:p>
    <w:p>
      <w:pPr>
        <w:spacing w:after="0" w:line="66"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KSI-501 program increased $1.3 million and $2.9 million during the three and six months ended June 30, 2021, respectively, as compared to 2020, primarily due to increased research and development activities for KSI-501.</w:t>
      </w:r>
    </w:p>
    <w:p>
      <w:pPr>
        <w:spacing w:after="0" w:line="62"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Payroll and personnel expenses increased $3.3 million and $7.1 million during the three and six months ended June 30, 2021, respectively, as compared to 2020, due to increased headcount and stock-based compensation expense.</w:t>
      </w:r>
    </w:p>
    <w:p>
      <w:pPr>
        <w:spacing w:after="0" w:line="62" w:lineRule="exact"/>
        <w:rPr>
          <w:sz w:val="20"/>
          <w:szCs w:val="20"/>
          <w:color w:val="auto"/>
        </w:rPr>
      </w:pPr>
    </w:p>
    <w:p>
      <w:pPr>
        <w:ind w:right="400" w:firstLine="509"/>
        <w:spacing w:after="0" w:line="324" w:lineRule="auto"/>
        <w:rPr>
          <w:sz w:val="20"/>
          <w:szCs w:val="20"/>
          <w:color w:val="auto"/>
        </w:rPr>
      </w:pPr>
      <w:r>
        <w:rPr>
          <w:rFonts w:ascii="Arial" w:cs="Arial" w:eastAsia="Arial" w:hAnsi="Arial"/>
          <w:sz w:val="17"/>
          <w:szCs w:val="17"/>
          <w:color w:val="auto"/>
        </w:rPr>
        <w:t>Facilities and other research and development expenses increased $3.5 million and $5.7 million during the three and six months ended June 30, 2021, respectively, as compared to 2020, primarily due to lease costs for our Palo Alto and Switzerland facilities expansion.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General and administrative expenses increased $4.3 million and $9.0 million during the three and six months ended June 30, 2021, respectively, as compared to 2020, primarily driven by higher headcount and stock-based compensation expense, professional services related to consulting, legal and accounting, and lease costs for Palo Alto facilities expansion.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warrants and the sale of royalties. As of June 30, 2021, we had cash and cash equivalents of $880.9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We have incurred net losses since our inception. For the three and six months ended June 30, 2021, we had net loss of $55.9 million and $106.3 million, respectively, and we expect to continue to incur additional losses in future periods. As of June 30, 2021, we had an accumulated deficit of $397.5 million.</w:t>
      </w:r>
    </w:p>
    <w:p>
      <w:pPr>
        <w:spacing w:after="0" w:line="75"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3"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number and scope of clinical programs we decide to pursue;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scope and costs of manufacturing development and commercial manufacturing activities;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timing and outcome of regulatory review of our product candidates;</w:t>
      </w:r>
    </w:p>
    <w:p>
      <w:pPr>
        <w:spacing w:after="0" w:line="131" w:lineRule="exact"/>
        <w:rPr>
          <w:sz w:val="20"/>
          <w:szCs w:val="20"/>
          <w:color w:val="auto"/>
        </w:rPr>
      </w:pPr>
    </w:p>
    <w:p>
      <w:pPr>
        <w:ind w:left="700" w:right="58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establish and maintain collaborations on favorable terms, if at all;</w:t>
      </w:r>
    </w:p>
    <w:p>
      <w:pPr>
        <w:spacing w:after="0" w:line="131" w:lineRule="exact"/>
        <w:rPr>
          <w:sz w:val="20"/>
          <w:szCs w:val="20"/>
          <w:color w:val="auto"/>
        </w:rPr>
      </w:pPr>
    </w:p>
    <w:p>
      <w:pPr>
        <w:ind w:left="700" w:right="580"/>
        <w:spacing w:after="0" w:line="293" w:lineRule="auto"/>
        <w:rPr>
          <w:sz w:val="20"/>
          <w:szCs w:val="20"/>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 w:name="page24"/>
    <w:bookmarkEnd w:id="23"/>
    <w:p>
      <w:pPr>
        <w:ind w:right="20" w:firstLine="509"/>
        <w:spacing w:after="0" w:line="271" w:lineRule="auto"/>
        <w:rPr>
          <w:sz w:val="20"/>
          <w:szCs w:val="20"/>
          <w:color w:val="auto"/>
        </w:rPr>
      </w:pPr>
      <w:r>
        <w:rPr>
          <w:rFonts w:ascii="Arial" w:cs="Arial" w:eastAsia="Arial" w:hAnsi="Arial"/>
          <w:sz w:val="18"/>
          <w:szCs w:val="18"/>
          <w:color w:val="auto"/>
        </w:rPr>
        <w:t>The significant uncertainties caused by the evolving effects of the ongoing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3"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67"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77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0"/>
        </w:trPr>
        <w:tc>
          <w:tcPr>
            <w:tcW w:w="7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(71,286 )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(31,837 )</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(10,416 )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100,292</w:t>
            </w:r>
          </w:p>
        </w:tc>
        <w:tc>
          <w:tcPr>
            <w:tcW w:w="100" w:type="dxa"/>
            <w:vAlign w:val="bottom"/>
          </w:tcPr>
          <w:p>
            <w:pPr>
              <w:spacing w:after="0"/>
              <w:rPr>
                <w:sz w:val="21"/>
                <w:szCs w:val="21"/>
                <w:color w:val="auto"/>
              </w:rPr>
            </w:pPr>
          </w:p>
        </w:tc>
      </w:tr>
      <w:tr>
        <w:trPr>
          <w:trHeight w:val="27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5"/>
              </w:rPr>
              <w:t>(63,526 )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58,039</w:t>
            </w:r>
          </w:p>
        </w:tc>
        <w:tc>
          <w:tcPr>
            <w:tcW w:w="100" w:type="dxa"/>
            <w:vAlign w:val="bottom"/>
            <w:shd w:val="clear" w:color="auto" w:fill="CFF0FC"/>
          </w:tcPr>
          <w:p>
            <w:pPr>
              <w:spacing w:after="0"/>
              <w:rPr>
                <w:sz w:val="23"/>
                <w:szCs w:val="23"/>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1885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885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35"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Net cash used in operating activities was $71.3 million for the six months ended June 30, 2021,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35"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Net cash provided by investing activities was $3.8 million for the six months ended June 30, 2021, primarily related to maturities of marketable securities net of purchases of and deposits related to property and equipment during the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3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Net cash provided by financing activities was $4.0 million for the six months ended June 30, 2021, primarily due to the proceeds from stock option exercises and employee stock purchase plan.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60" w:firstLine="509"/>
        <w:spacing w:after="0" w:line="296" w:lineRule="auto"/>
        <w:rPr>
          <w:sz w:val="20"/>
          <w:szCs w:val="20"/>
          <w:color w:val="auto"/>
        </w:rPr>
      </w:pPr>
      <w:r>
        <w:rPr>
          <w:rFonts w:ascii="Arial" w:cs="Arial" w:eastAsia="Arial" w:hAnsi="Arial"/>
          <w:sz w:val="17"/>
          <w:szCs w:val="17"/>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2020, which was filed with the SEC on March 1, 2021. There have been no material changes in our contractual obligations and commitments since December 31, 2020, except as otherwise described in Note 6 to our unaudited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During the six months ended June 30, 2021, there were no material changes to our critical accounting policies as reported in our Annual Report on Form 10-K for the year ended December 31, 2020, which was filed with the SEC on March 1, 2021, except as otherwise described in Note 2 to our unaudited condensed consolidated financial statements included in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During the six months ended June 30, 2021, there were no material changes to our market risk disclosures as reported in our Annual Report on Form 10-K for the year ended December 31, 2020, which was filed with the SEC on March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31"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8" w:lineRule="exact"/>
        <w:rPr>
          <w:sz w:val="20"/>
          <w:szCs w:val="20"/>
          <w:color w:val="auto"/>
        </w:rPr>
      </w:pPr>
    </w:p>
    <w:p>
      <w:pPr>
        <w:ind w:right="320" w:firstLine="509"/>
        <w:spacing w:after="0" w:line="314"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June 30, 2021. Based upon such evaluation, our principal executive officer and principal financial officer concluded that the design and operation of our disclosure controls and procedures were effective at a reasonable assurance level as of June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42"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6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Our early encouraging preclinical and Phase 1/1b clinical trial results for KSI-301 in the respective indications are not necessarily predictive of the results of our ongoing or future discovery programs or any future preclinical or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4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KSI-301 clinical study designs and data are not necessarily predictive of KSI-301’s final marketed product label. Regulator interpretations of monthly wAMD data from the DAYLIGHT pivotal study are susceptible to variability and may not substantiate inclusion of monthly dosing in the wAMD, DME or RVO label.</w:t>
      </w:r>
    </w:p>
    <w:p>
      <w:pPr>
        <w:spacing w:after="0" w:line="6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2"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sz w:val="20"/>
          <w:szCs w:val="20"/>
          <w:color w:val="auto"/>
        </w:rPr>
      </w:pPr>
    </w:p>
    <w:p>
      <w:pPr>
        <w:ind w:left="700" w:right="900"/>
        <w:spacing w:after="0" w:line="277" w:lineRule="auto"/>
        <w:rPr>
          <w:sz w:val="20"/>
          <w:szCs w:val="20"/>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29" w:lineRule="exact"/>
        <w:rPr>
          <w:sz w:val="20"/>
          <w:szCs w:val="20"/>
          <w:color w:val="auto"/>
        </w:rPr>
      </w:pPr>
    </w:p>
    <w:p>
      <w:pPr>
        <w:ind w:right="460" w:firstLine="509"/>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6"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ind w:right="80" w:firstLine="509"/>
        <w:spacing w:after="0" w:line="287"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4"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4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9"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delays in identifying, recruiting and training suitable clinical investigators;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84"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difficulty collaborating with patient groups and investigators;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NMPA or other regulatory guidelines in other countries;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clinical trials of our product candidates being greater than we anticipate;</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700"/>
        <w:spacing w:after="0" w:line="277" w:lineRule="auto"/>
        <w:rPr>
          <w:sz w:val="20"/>
          <w:szCs w:val="20"/>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the FDA, EMA, NMPA or other regulatory authorities regarding CMC matters, including methodologies for, and assessment of, comparability of manufacturing procedures and lots.</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0" w:name="page31"/>
    <w:bookmarkEnd w:id="30"/>
    <w:p>
      <w:pPr>
        <w:ind w:firstLine="509"/>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3" w:lineRule="exact"/>
        <w:rPr>
          <w:sz w:val="20"/>
          <w:szCs w:val="20"/>
          <w:color w:val="auto"/>
        </w:rPr>
      </w:pPr>
    </w:p>
    <w:p>
      <w:pPr>
        <w:ind w:right="580" w:firstLine="509"/>
        <w:spacing w:after="0" w:line="359"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authorities may withdraw approvals of such product;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31" w:lineRule="exact"/>
        <w:rPr>
          <w:sz w:val="20"/>
          <w:szCs w:val="20"/>
          <w:color w:val="auto"/>
        </w:rPr>
      </w:pPr>
    </w:p>
    <w:p>
      <w:pPr>
        <w:ind w:left="700" w:right="380"/>
        <w:spacing w:after="0" w:line="293" w:lineRule="auto"/>
        <w:rPr>
          <w:sz w:val="20"/>
          <w:szCs w:val="20"/>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could be sued and held liable for harm caused to patients;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reputation may suffer.</w:t>
      </w:r>
    </w:p>
    <w:p>
      <w:pPr>
        <w:spacing w:after="0" w:line="131"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size and nature of the patient population;</w:t>
      </w:r>
    </w:p>
    <w:p>
      <w:pPr>
        <w:spacing w:after="0" w:line="131"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size of the study population required for analysis of the trial’s primary endpoints;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proximity of patients to a trial site;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design of the trial;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recruit clinical trial investigators with the appropriate competencies and experience;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31"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obtain and maintain patient consents;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risk that patients enrolled in clinical trials will not complete such trials, for any reason.</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ind w:right="80" w:firstLine="509"/>
        <w:spacing w:after="0" w:line="308"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55"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4"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66" w:lineRule="exact"/>
        <w:rPr>
          <w:sz w:val="20"/>
          <w:szCs w:val="20"/>
          <w:color w:val="auto"/>
        </w:rPr>
      </w:pPr>
    </w:p>
    <w:p>
      <w:pPr>
        <w:ind w:right="180" w:firstLine="509"/>
        <w:spacing w:after="0" w:line="296"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40" w:firstLine="509"/>
        <w:spacing w:after="0" w:line="296"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85" w:lineRule="exact"/>
        <w:rPr>
          <w:sz w:val="20"/>
          <w:szCs w:val="20"/>
          <w:color w:val="auto"/>
        </w:rPr>
      </w:pPr>
    </w:p>
    <w:p>
      <w:pPr>
        <w:jc w:val="both"/>
        <w:ind w:right="160"/>
        <w:spacing w:after="0" w:line="359"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4"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related vaccines and therapeutic treatments, and the success of and demand for these vaccines and therapeutic treatments means we and our programs are competing for scarce manufacturing resources.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5"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7" w:lineRule="exact"/>
        <w:rPr>
          <w:sz w:val="20"/>
          <w:szCs w:val="20"/>
          <w:color w:val="auto"/>
        </w:rPr>
      </w:pPr>
    </w:p>
    <w:p>
      <w:pPr>
        <w:ind w:right="360" w:firstLine="509"/>
        <w:spacing w:after="0" w:line="319"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sz w:val="20"/>
          <w:szCs w:val="20"/>
          <w:color w:val="auto"/>
        </w:rPr>
      </w:pPr>
    </w:p>
    <w:p>
      <w:pPr>
        <w:ind w:left="700" w:right="340"/>
        <w:spacing w:after="0" w:line="397" w:lineRule="auto"/>
        <w:rPr>
          <w:sz w:val="20"/>
          <w:szCs w:val="20"/>
          <w:color w:val="auto"/>
        </w:rPr>
      </w:pPr>
      <w:r>
        <w:rPr>
          <w:rFonts w:ascii="Arial" w:cs="Arial" w:eastAsia="Arial" w:hAnsi="Arial"/>
          <w:sz w:val="17"/>
          <w:szCs w:val="17"/>
          <w:color w:val="auto"/>
        </w:rPr>
        <w:t>the inability of reimbursement professionals to negotiate arrangements for formulary access, reimbursement, and other acceptance by payors; the inability to price our products at a sufficient price point to ensure an adequate and attractive level of profitability; restricted or closed distribution channels that make it difficult to distribute our products to segments of the patient population;</w:t>
      </w:r>
    </w:p>
    <w:p>
      <w:pPr>
        <w:spacing w:after="0" w:line="2"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and perceived advantages compared to alternative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offer our products for sale at competitive prices;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physicians recommend our products to their patients;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restrictions on how the product is distributed;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of market introduction of competitive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publicity concerning our products or competing products and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strength of marketing and distribution support;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sufficient third-party coverage or reimbursement;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5" w:name="page36"/>
    <w:bookmarkEnd w:id="35"/>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ind w:right="20" w:firstLine="509"/>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decreased or interrupted demand for our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injury to our reputation;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initiation of investigations by regulators;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to defend the related litigation;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diversion of management’s time and our resources;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exhaustion of any available insurance and our capital resources;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inability to commercialize any product candidate;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FDA, EMA, NMPA or comparable foreign regulatory authorities may disagree with the design, implementation or results of our clinical trials;</w:t>
      </w:r>
    </w:p>
    <w:p>
      <w:pPr>
        <w:spacing w:after="0" w:line="127" w:lineRule="exact"/>
        <w:rPr>
          <w:sz w:val="20"/>
          <w:szCs w:val="20"/>
          <w:color w:val="auto"/>
        </w:rPr>
      </w:pPr>
    </w:p>
    <w:p>
      <w:pPr>
        <w:ind w:left="700" w:right="200"/>
        <w:spacing w:after="0" w:line="248" w:lineRule="auto"/>
        <w:rPr>
          <w:sz w:val="20"/>
          <w:szCs w:val="20"/>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4" w:lineRule="exact"/>
        <w:rPr>
          <w:sz w:val="20"/>
          <w:szCs w:val="20"/>
          <w:color w:val="auto"/>
        </w:rPr>
      </w:pPr>
    </w:p>
    <w:p>
      <w:pPr>
        <w:ind w:left="700" w:right="180"/>
        <w:spacing w:after="0" w:line="261" w:lineRule="auto"/>
        <w:rPr>
          <w:sz w:val="20"/>
          <w:szCs w:val="20"/>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3"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 when compared to the standard of care, is acceptable;</w:t>
      </w:r>
    </w:p>
    <w:p>
      <w:pPr>
        <w:spacing w:after="0" w:line="63" w:lineRule="exact"/>
        <w:rPr>
          <w:sz w:val="20"/>
          <w:szCs w:val="20"/>
          <w:color w:val="auto"/>
        </w:rPr>
      </w:pPr>
    </w:p>
    <w:p>
      <w:pPr>
        <w:ind w:left="700" w:right="440"/>
        <w:spacing w:after="0" w:line="261" w:lineRule="auto"/>
        <w:rPr>
          <w:sz w:val="20"/>
          <w:szCs w:val="20"/>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63"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3" w:lineRule="exact"/>
        <w:rPr>
          <w:sz w:val="20"/>
          <w:szCs w:val="20"/>
          <w:color w:val="auto"/>
        </w:rPr>
      </w:pPr>
    </w:p>
    <w:p>
      <w:pPr>
        <w:ind w:left="700" w:right="560"/>
        <w:spacing w:after="0" w:line="324" w:lineRule="auto"/>
        <w:rPr>
          <w:sz w:val="20"/>
          <w:szCs w:val="20"/>
          <w:color w:val="auto"/>
        </w:rPr>
      </w:pPr>
      <w:r>
        <w:rPr>
          <w:rFonts w:ascii="Arial" w:cs="Arial" w:eastAsia="Arial" w:hAnsi="Arial"/>
          <w:sz w:val="16"/>
          <w:szCs w:val="16"/>
          <w:color w:val="auto"/>
        </w:rPr>
        <w:t>the FDA, EMA, NMPA or comparable foreign regulatory authorities may fail to approve the manufacturing processes, test procedures and specifications, or facilities of third-party manufacturers with which we contract for clinical and commercial supplies; and</w:t>
      </w:r>
    </w:p>
    <w:p>
      <w:pPr>
        <w:spacing w:after="0" w:line="16"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NMPA and applicable foreign regulatory authorities may not accept data from such trials.</w:t>
      </w:r>
    </w:p>
    <w:p>
      <w:pPr>
        <w:spacing w:after="0" w:line="6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 United States or the applicable jurisdiction, including any trials that we may conduct in China.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97"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31" w:lineRule="exact"/>
        <w:rPr>
          <w:sz w:val="20"/>
          <w:szCs w:val="20"/>
          <w:color w:val="auto"/>
        </w:rPr>
      </w:pPr>
    </w:p>
    <w:p>
      <w:pPr>
        <w:jc w:val="both"/>
        <w:ind w:right="400" w:firstLine="509"/>
        <w:spacing w:after="0" w:line="329"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0"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66"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58"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issue warning letters that would result in adverse publicity;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impose civil or criminal penalties;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suspend or withdraw regulatory approvals;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suspend any of our ongoing clinical trials;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refuse to approve pending applications or supplements to approved applications submitted by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impose restrictions on our operations, including closing our contract manufacturers’ facilities;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seize or detain products; 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require a product recall.</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54"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62"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However, COVID-19 relief support legislation suspended the 2% Medicare sequester from May 1, 2020 through December 31, 2021.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4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demand for our product candidates, if we obtain regulatory approval;</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generate revenue and achieve or maintain profitability;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level of taxes that we are required to pay;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availability of capital.</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0" w:name="page41"/>
    <w:bookmarkEnd w:id="40"/>
    <w:p>
      <w:pPr>
        <w:ind w:firstLine="509"/>
        <w:spacing w:after="0" w:line="282"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the Centers for Medicare &amp; Medicaid Services issued an interim final rule implementing President Trump’s Most Favored Nation, or MFN, executive order, which would tie Medicare Part B payments for certain physician-administered drugs to the lowest price paid in other economically advanced countries, effective January 1, 2021. On December 28, 2020, the U.S. District Court for the Northern District of California issued a nationwide preliminary injunction against implementation of the interim final rule.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model interim final rule shall not commence earlier than sixty</w:t>
      </w:r>
    </w:p>
    <w:p>
      <w:pPr>
        <w:spacing w:after="0" w:line="11" w:lineRule="exact"/>
        <w:rPr>
          <w:sz w:val="20"/>
          <w:szCs w:val="20"/>
          <w:color w:val="auto"/>
        </w:rPr>
      </w:pPr>
    </w:p>
    <w:p>
      <w:pPr>
        <w:jc w:val="both"/>
        <w:ind w:right="160" w:firstLine="8"/>
        <w:spacing w:after="0" w:line="253"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days after publication of that regulation in the Federal Register. Based on a recent executive order, the Biden administration expressed its intent to pursue certain policy initiatives to reduce drug prices.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1" w:name="page42"/>
    <w:bookmarkEnd w:id="41"/>
    <w:p>
      <w:pPr>
        <w:ind w:firstLine="509"/>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700" w:right="40"/>
        <w:spacing w:after="0" w:line="272" w:lineRule="auto"/>
        <w:rPr>
          <w:sz w:val="20"/>
          <w:szCs w:val="20"/>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80" w:lineRule="exact"/>
        <w:rPr>
          <w:sz w:val="20"/>
          <w:szCs w:val="20"/>
          <w:color w:val="auto"/>
        </w:rPr>
      </w:pPr>
    </w:p>
    <w:p>
      <w:pPr>
        <w:ind w:left="700" w:right="60"/>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69" w:lineRule="exact"/>
        <w:rPr>
          <w:sz w:val="20"/>
          <w:szCs w:val="20"/>
          <w:color w:val="auto"/>
        </w:rPr>
      </w:pPr>
    </w:p>
    <w:p>
      <w:pPr>
        <w:ind w:left="700" w:right="260"/>
        <w:spacing w:after="0" w:line="257"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w:t>
      </w:r>
    </w:p>
    <w:p>
      <w:pPr>
        <w:spacing w:after="0" w:line="93" w:lineRule="exact"/>
        <w:rPr>
          <w:sz w:val="20"/>
          <w:szCs w:val="20"/>
          <w:color w:val="auto"/>
        </w:rPr>
      </w:pPr>
    </w:p>
    <w:p>
      <w:pPr>
        <w:ind w:left="700" w:right="40"/>
        <w:spacing w:after="0" w:line="287" w:lineRule="auto"/>
        <w:rPr>
          <w:sz w:val="20"/>
          <w:szCs w:val="20"/>
          <w:color w:val="auto"/>
        </w:rPr>
      </w:pPr>
      <w:r>
        <w:rPr>
          <w:rFonts w:ascii="Arial" w:cs="Arial" w:eastAsia="Arial" w:hAnsi="Arial"/>
          <w:sz w:val="17"/>
          <w:szCs w:val="17"/>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related to payments or other transfers of value made during the previous year to physician assistants, nurse practitioners, clinical nurse specialists, anesthesiologist assistants, certified registered nurse anesthetists and certified nurse midwives;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2" w:name="page43"/>
    <w:bookmarkEnd w:id="42"/>
    <w:p>
      <w:pPr>
        <w:ind w:left="700" w:right="50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sz w:val="20"/>
          <w:szCs w:val="20"/>
          <w:color w:val="auto"/>
        </w:rPr>
      </w:pPr>
    </w:p>
    <w:p>
      <w:pPr>
        <w:ind w:left="700" w:right="40"/>
        <w:spacing w:after="0" w:line="286" w:lineRule="auto"/>
        <w:rPr>
          <w:sz w:val="20"/>
          <w:szCs w:val="20"/>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4"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5"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A wide variety of provincial, state, national, and foreign laws and regulations, as well as policies, contracts and other obligations apply to the collection, use, retention, protection, disclosure and transfer of personal data. These data protection and privacy-related laws and regulations are evolving and may result in ever-increasing regulatory and public scrutiny and escalating levels of enforcement and sanctions.</w:t>
      </w:r>
    </w:p>
    <w:p>
      <w:pPr>
        <w:spacing w:after="0" w:line="56"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For example, the European Union’s General Data Protection Regulation, or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3" w:name="page44"/>
    <w:bookmarkEnd w:id="43"/>
    <w:p>
      <w:pPr>
        <w:ind w:right="20" w:firstLine="509"/>
        <w:spacing w:after="0" w:line="284" w:lineRule="auto"/>
        <w:rPr>
          <w:sz w:val="20"/>
          <w:szCs w:val="20"/>
          <w:color w:val="auto"/>
        </w:rPr>
      </w:pPr>
      <w:r>
        <w:rPr>
          <w:rFonts w:ascii="Arial" w:cs="Arial" w:eastAsia="Arial" w:hAnsi="Arial"/>
          <w:sz w:val="17"/>
          <w:szCs w:val="17"/>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 At present, there are few, if any, viable alternatives to the EU-U.S. Privacy Shield, the Swiss-U.S. Privacy Shield and the Standard Contractual Clauses. Although we and third party service providers rely primarily on individuals’ explicit consent to transfer certain information from Europe to the U.S. and other countries, in certain cases we and third parties we work with have relied on the EU-U.S. Privacy Shield and the Standard Contractual Clauses. If we are unable to rely on explicit consent to transfer individuals’ personal information from Europe, which can be revoked, or implement other valid compliance solutions, we may face increased exposure to fines under European data protection laws as well as bans on processing personal information from Europe. Inability to import personal information from Europe may also impact our operations in the European Economic Area and Switzerland and require us to incur significant costs to increase our data processing capabilities in Europe.</w:t>
      </w:r>
    </w:p>
    <w:p>
      <w:pPr>
        <w:spacing w:after="0" w:line="6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58" w:lineRule="exact"/>
        <w:rPr>
          <w:sz w:val="20"/>
          <w:szCs w:val="20"/>
          <w:color w:val="auto"/>
        </w:rPr>
      </w:pPr>
    </w:p>
    <w:p>
      <w:pPr>
        <w:ind w:right="180" w:firstLine="509"/>
        <w:spacing w:after="0" w:line="286"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 While certain clinical trial activities are exempt from the CCPA’s requirements, other personal information that we handle may be subject to the CCPA, which may increase our compliance costs, exposure to regulatory enforcement action and other liabilities.</w:t>
      </w:r>
    </w:p>
    <w:p>
      <w:pPr>
        <w:spacing w:after="0" w:line="83"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GDPR, CCPA and many other laws and regulations relating to privacy and data protection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8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privacy and data protection, or to protect personal data and other data we process or maintain, could result in regulatory fines and bans on processing personal information,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42"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35"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9"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firstLine="509"/>
        <w:spacing w:after="0" w:line="290"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68"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6"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8"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61" w:lineRule="exact"/>
        <w:rPr>
          <w:sz w:val="20"/>
          <w:szCs w:val="20"/>
          <w:color w:val="auto"/>
        </w:rPr>
      </w:pPr>
    </w:p>
    <w:p>
      <w:pPr>
        <w:ind w:right="640" w:firstLine="509"/>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breach of the manufacturing agreement by the third party or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40" w:firstLine="509"/>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40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94"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7"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42"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sz w:val="20"/>
          <w:szCs w:val="20"/>
          <w:color w:val="auto"/>
        </w:rPr>
      </w:pPr>
    </w:p>
    <w:p>
      <w:pPr>
        <w:ind w:left="700" w:right="10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31" w:lineRule="exact"/>
        <w:rPr>
          <w:sz w:val="20"/>
          <w:szCs w:val="20"/>
          <w:color w:val="auto"/>
        </w:rPr>
      </w:pPr>
    </w:p>
    <w:p>
      <w:pPr>
        <w:ind w:left="700" w:right="680"/>
        <w:spacing w:after="0" w:line="293" w:lineRule="auto"/>
        <w:rPr>
          <w:sz w:val="20"/>
          <w:szCs w:val="20"/>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sz w:val="20"/>
          <w:szCs w:val="20"/>
          <w:color w:val="auto"/>
        </w:rPr>
      </w:pPr>
    </w:p>
    <w:p>
      <w:pPr>
        <w:jc w:val="center"/>
        <w:ind w:right="420"/>
        <w:spacing w:after="0" w:line="418" w:lineRule="auto"/>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47" w:name="page48"/>
    <w:bookmarkEnd w:id="47"/>
    <w:p>
      <w:pPr>
        <w:ind w:left="700" w:right="100"/>
        <w:spacing w:after="0" w:line="342"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6" w:lineRule="exact"/>
        <w:rPr>
          <w:sz w:val="20"/>
          <w:szCs w:val="20"/>
          <w:color w:val="auto"/>
        </w:rPr>
      </w:pPr>
    </w:p>
    <w:p>
      <w:pPr>
        <w:ind w:left="700" w:right="20"/>
        <w:spacing w:after="0" w:line="263" w:lineRule="auto"/>
        <w:rPr>
          <w:sz w:val="20"/>
          <w:szCs w:val="20"/>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6"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jc w:val="both"/>
        <w:ind w:left="700" w:right="60"/>
        <w:spacing w:after="0" w:line="263"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29"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sz w:val="20"/>
          <w:szCs w:val="20"/>
          <w:color w:val="auto"/>
        </w:rPr>
      </w:pPr>
    </w:p>
    <w:p>
      <w:pPr>
        <w:ind w:left="700" w:right="860"/>
        <w:spacing w:after="0" w:line="342" w:lineRule="auto"/>
        <w:rPr>
          <w:sz w:val="20"/>
          <w:szCs w:val="20"/>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6" w:lineRule="exact"/>
        <w:rPr>
          <w:sz w:val="20"/>
          <w:szCs w:val="20"/>
          <w:color w:val="auto"/>
        </w:rPr>
      </w:pPr>
    </w:p>
    <w:p>
      <w:pPr>
        <w:ind w:left="700" w:right="380"/>
        <w:spacing w:after="0" w:line="308" w:lineRule="auto"/>
        <w:rPr>
          <w:sz w:val="20"/>
          <w:szCs w:val="20"/>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sz w:val="20"/>
          <w:szCs w:val="20"/>
          <w:color w:val="auto"/>
        </w:rPr>
      </w:pPr>
    </w:p>
    <w:p>
      <w:pPr>
        <w:ind w:left="700" w:right="1280"/>
        <w:spacing w:after="0" w:line="277"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60" w:firstLine="509"/>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9" w:name="page50"/>
    <w:bookmarkEnd w:id="49"/>
    <w:p>
      <w:pPr>
        <w:ind w:right="80" w:firstLine="50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9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0" w:name="page51"/>
    <w:bookmarkEnd w:id="50"/>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ind w:firstLine="509"/>
        <w:spacing w:after="0" w:line="271"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3"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54"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3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2" w:name="page53"/>
    <w:bookmarkEnd w:id="52"/>
    <w:p>
      <w:pPr>
        <w:ind w:firstLine="509"/>
        <w:spacing w:after="0" w:line="285"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2"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4"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8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7"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ind w:right="20" w:firstLine="509"/>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76"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4" w:name="page55"/>
    <w:bookmarkEnd w:id="54"/>
    <w:p>
      <w:pPr>
        <w:ind w:right="8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6"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3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00" w:right="80"/>
        <w:spacing w:after="0" w:line="293" w:lineRule="auto"/>
        <w:rPr>
          <w:sz w:val="20"/>
          <w:szCs w:val="20"/>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sz w:val="20"/>
          <w:szCs w:val="20"/>
          <w:color w:val="auto"/>
        </w:rPr>
      </w:pPr>
    </w:p>
    <w:p>
      <w:pPr>
        <w:ind w:left="700" w:right="600"/>
        <w:spacing w:after="0" w:line="293" w:lineRule="auto"/>
        <w:rPr>
          <w:sz w:val="20"/>
          <w:szCs w:val="20"/>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5" w:name="page56"/>
    <w:bookmarkEnd w:id="55"/>
    <w:p>
      <w:pPr>
        <w:ind w:left="700"/>
        <w:spacing w:after="0"/>
        <w:rPr>
          <w:sz w:val="20"/>
          <w:szCs w:val="20"/>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31"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sz w:val="20"/>
          <w:szCs w:val="20"/>
          <w:color w:val="auto"/>
        </w:rPr>
      </w:pPr>
    </w:p>
    <w:p>
      <w:pPr>
        <w:ind w:left="700" w:right="60"/>
        <w:spacing w:after="0" w:line="324" w:lineRule="auto"/>
        <w:rPr>
          <w:sz w:val="20"/>
          <w:szCs w:val="20"/>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not develop additional proprietary technologies that are patentable;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patents of others may harm our business; and</w:t>
      </w:r>
    </w:p>
    <w:p>
      <w:pPr>
        <w:spacing w:after="0" w:line="117"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As of June 30, 2021, we had 76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sz w:val="20"/>
          <w:szCs w:val="20"/>
          <w:color w:val="auto"/>
        </w:rPr>
      </w:pPr>
    </w:p>
    <w:p>
      <w:pPr>
        <w:ind w:left="700" w:right="740"/>
        <w:spacing w:after="0" w:line="277" w:lineRule="auto"/>
        <w:rPr>
          <w:sz w:val="20"/>
          <w:szCs w:val="20"/>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76" w:lineRule="exact"/>
        <w:rPr>
          <w:sz w:val="20"/>
          <w:szCs w:val="20"/>
          <w:color w:val="auto"/>
        </w:rPr>
      </w:pPr>
    </w:p>
    <w:p>
      <w:pPr>
        <w:ind w:left="700" w:right="3160"/>
        <w:spacing w:after="0" w:line="391" w:lineRule="auto"/>
        <w:rPr>
          <w:sz w:val="20"/>
          <w:szCs w:val="20"/>
          <w:color w:val="auto"/>
        </w:rPr>
      </w:pPr>
      <w:r>
        <w:rPr>
          <w:rFonts w:ascii="Arial" w:cs="Arial" w:eastAsia="Arial" w:hAnsi="Arial"/>
          <w:sz w:val="18"/>
          <w:szCs w:val="18"/>
          <w:color w:val="auto"/>
        </w:rPr>
        <w:t>expanding our operational, financial and management controls, reporting systems and procedures; and managing increasing operational and managerial complexity.</w:t>
      </w:r>
    </w:p>
    <w:p>
      <w:pPr>
        <w:spacing w:after="0" w:line="1"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ind w:right="40" w:firstLine="509"/>
        <w:spacing w:after="0" w:line="270"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increased operating expenses and cash requirements;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 of indebtedness or contingent liabilities;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issuance of our equity securities which would result in dilution to our stockholders;</w:t>
      </w:r>
    </w:p>
    <w:p>
      <w:pPr>
        <w:spacing w:after="0" w:line="13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1"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77"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with which we work,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68" w:lineRule="exact"/>
        <w:rPr>
          <w:sz w:val="20"/>
          <w:szCs w:val="20"/>
          <w:color w:val="auto"/>
        </w:rPr>
      </w:pPr>
    </w:p>
    <w:p>
      <w:pPr>
        <w:ind w:right="180" w:firstLine="509"/>
        <w:spacing w:after="0" w:line="296"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our security measures or those of the third parties we depend on will be effective in preventing cybersecurity incidents. There are many different and rapidly evolving cybercrime and hacking techniques, and we may be unable to anticipate attempted security breaches, identify them before our information is exploited, or react in a timely manner.</w:t>
      </w:r>
    </w:p>
    <w:p>
      <w:pPr>
        <w:spacing w:after="0" w:line="62"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ind w:right="20" w:firstLine="509"/>
        <w:spacing w:after="0" w:line="269" w:lineRule="auto"/>
        <w:rPr>
          <w:sz w:val="20"/>
          <w:szCs w:val="20"/>
          <w:color w:val="auto"/>
        </w:rPr>
      </w:pPr>
      <w:r>
        <w:rPr>
          <w:rFonts w:ascii="Arial" w:cs="Arial" w:eastAsia="Arial" w:hAnsi="Arial"/>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or potential vulnerabilities. Although to our knowledge, we have not experienced a material system failure or cybersecurity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6"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Cybersecurity incidents and any unauthorized access or disclosure of our information or intellectual property could also compromise our intellectual property, expose sensitive business information, expose the personal information of our employees, require us to incur significant remediation costs, disrupt key business operations and divert attention of management and key information technology resources. Such incidents could also subject us to significant liability, harm our competitive position and delay the further development and commercialization of our product candidates.</w:t>
      </w:r>
    </w:p>
    <w:p>
      <w:pPr>
        <w:spacing w:after="0" w:line="48"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Additionally, applicable data protection requirements, including, without limitation, laws, regulations, guidance as well as our internal and external policies and our contractual obligations, may require us to notify relevant stakeholders of security breaches,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w:t>
      </w:r>
    </w:p>
    <w:p>
      <w:pPr>
        <w:spacing w:after="0" w:line="52"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1"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7"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700" w:right="2680"/>
        <w:spacing w:after="0" w:line="440" w:lineRule="auto"/>
        <w:rPr>
          <w:sz w:val="20"/>
          <w:szCs w:val="20"/>
          <w:color w:val="auto"/>
        </w:rPr>
      </w:pPr>
      <w:r>
        <w:rPr>
          <w:rFonts w:ascii="Arial" w:cs="Arial" w:eastAsia="Arial" w:hAnsi="Arial"/>
          <w:sz w:val="16"/>
          <w:szCs w:val="16"/>
          <w:color w:val="auto"/>
        </w:rPr>
        <w:t>economic weakness, including inflation or political instability in particular non-U.S. economies and markets; differing and changing regulatory requirements, pricing and reimbursement regimes in non-U.S. countries;</w:t>
      </w:r>
    </w:p>
    <w:p>
      <w:pPr>
        <w:ind w:left="700" w:right="74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difficulties in compliance with non-U.S. laws and regulations;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non-U.S. regulations and customs, tariffs and trade barriers;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non-U.S. currency exchange rates and currency controls;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a specific country’s or region’s political or economic environment;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negative consequences from changes in tax laws;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compliance with tax, employment, immigration and labor laws for employees living or traveling abroad;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potential liability under the FCPA or comparable foreign laws;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31"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48"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would delay or prevent us from commercializing our product candidates in the UK or the EU and restrict our ability to generate revenue and achieve and sustain profitability.</w:t>
      </w:r>
    </w:p>
    <w:p>
      <w:pPr>
        <w:spacing w:after="0" w:line="88"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55" w:lineRule="exact"/>
        <w:rPr>
          <w:sz w:val="20"/>
          <w:szCs w:val="20"/>
          <w:color w:val="auto"/>
        </w:rPr>
      </w:pPr>
    </w:p>
    <w:p>
      <w:pPr>
        <w:jc w:val="center"/>
        <w:ind w:left="760" w:right="80"/>
        <w:spacing w:after="0" w:line="41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right="40"/>
        <w:spacing w:after="0" w:line="275"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 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55"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 These events have begun to impact our manufacturing activities and timelines and may cause delays to our commercial manufacturing timelines. Currently, the critical path item on the path to complete our manufacturing regulatory dossiers to be used in our BLA filing is completion of our dedicated IBEX facility which is needed for at-commercial-scale qualification and validation manufacturing batches to be included in our BLA filing. Our IBEX facility was originally scheduled for completion in late 2021 and is now schedule for completion in 1H 2022. This delay is due to construction resources having been allocated to build commercial manufacturing suites for COVID-19 vaccines in the IBEX. Notably, another four commercial scale manufacturing suites have just been announced and are scheduled for construction completion early 2022. At this time, we are not aware and do not believe these new vaccine production lines will impact our manufacturing timelines.</w:t>
      </w:r>
    </w:p>
    <w:p>
      <w:pPr>
        <w:spacing w:after="0" w:line="7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0"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0" w:name="page61"/>
    <w:bookmarkEnd w:id="60"/>
    <w:p>
      <w:pPr>
        <w:ind w:right="40" w:firstLine="509"/>
        <w:spacing w:after="0" w:line="271" w:lineRule="auto"/>
        <w:rPr>
          <w:sz w:val="20"/>
          <w:szCs w:val="20"/>
          <w:color w:val="auto"/>
        </w:rPr>
      </w:pPr>
      <w:r>
        <w:rPr>
          <w:rFonts w:ascii="Arial" w:cs="Arial" w:eastAsia="Arial" w:hAnsi="Arial"/>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U.S. and in other countries to contain and treat the disease, including the effectiveness and timing of vaccine programs in the U.S. and worldwide. The COVID-19 pandemic may also have the effect of heightening many of the other risks described in this “Risk Factors” section.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31"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As of December 31, 2020, the Company had $50.1 million of federal and $171.0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4"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We have incurred net losses in each reporting period since our inception, including net losses of $106.3 million for the six months ended June 30, 2021. As of June 30, 2021, we had an accumulated deficit of $397.5 million.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progress our current and any future product candidates through preclinical and clinical development;</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left="700" w:right="20"/>
        <w:spacing w:after="0" w:line="293" w:lineRule="auto"/>
        <w:rPr>
          <w:sz w:val="20"/>
          <w:szCs w:val="20"/>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our research and discovery activities;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the development of our ABC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 or add additional contract manufacturers or suppliers;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and marketing authorizations for our product candidates, including KSI-301;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 or in-license product candidates, intellectual property and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 maintain, expand, protect and enforce our intellectual property portfolio;</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hire and retain qualified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experience any delays or encounter other issues related to our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meet the requirements and demands of being a public company;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defend against any product liability claims or other lawsuits related to our products.</w:t>
      </w:r>
    </w:p>
    <w:p>
      <w:pPr>
        <w:spacing w:after="0" w:line="131"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3"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5"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successfully completing research and preclinical and clinical development of our product candidates;</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sz w:val="20"/>
          <w:szCs w:val="20"/>
          <w:color w:val="auto"/>
        </w:rPr>
      </w:pPr>
    </w:p>
    <w:p>
      <w:pPr>
        <w:jc w:val="both"/>
        <w:ind w:left="700" w:right="220"/>
        <w:spacing w:after="0" w:line="279" w:lineRule="auto"/>
        <w:rPr>
          <w:sz w:val="20"/>
          <w:szCs w:val="20"/>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identifying, assessing, acquiring and/or developing new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1"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adequate reimbursement for our product candidates from payors;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market acceptance of our product candidates as viable treatment options;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addressing any competing technological and market developments;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2" w:name="page63"/>
    <w:bookmarkEnd w:id="62"/>
    <w:p>
      <w:pPr>
        <w:ind w:left="700" w:right="80"/>
        <w:spacing w:after="0" w:line="391" w:lineRule="auto"/>
        <w:rPr>
          <w:sz w:val="20"/>
          <w:szCs w:val="20"/>
          <w:color w:val="auto"/>
        </w:rPr>
      </w:pPr>
      <w:r>
        <w:rPr>
          <w:rFonts w:ascii="Arial" w:cs="Arial" w:eastAsia="Arial" w:hAnsi="Arial"/>
          <w:sz w:val="18"/>
          <w:szCs w:val="18"/>
          <w:color w:val="auto"/>
        </w:rPr>
        <w:t>maintaining, protecting, expanding and enforcing our portfolio of intellectual property rights, including patents, trade secrets and know-how; and attracting, hiring and retaining qualified personnel.</w:t>
      </w:r>
    </w:p>
    <w:p>
      <w:pPr>
        <w:spacing w:after="0" w:line="1"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right="2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existing or new competitive products or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commencement or termination of collaborations for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or discontinuation of any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to develop our ABC Platform;</w:t>
      </w:r>
    </w:p>
    <w:p>
      <w:pPr>
        <w:spacing w:after="0" w:line="131" w:lineRule="exact"/>
        <w:rPr>
          <w:sz w:val="20"/>
          <w:szCs w:val="20"/>
          <w:color w:val="auto"/>
        </w:rPr>
      </w:pPr>
    </w:p>
    <w:p>
      <w:pPr>
        <w:ind w:left="700" w:right="600"/>
        <w:spacing w:after="0" w:line="293" w:lineRule="auto"/>
        <w:rPr>
          <w:sz w:val="20"/>
          <w:szCs w:val="20"/>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commencement of litigation;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level of expenses related to any of our research programs, product candidates that we may develop;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results of our efforts to develop additional product candidates or products;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of our common stock by us, our insiders, or other stockholders;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estimates or recommendations by securities analysts, if any, that cover our stock;</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4" w:name="page65"/>
    <w:bookmarkEnd w:id="64"/>
    <w:p>
      <w:pPr>
        <w:ind w:left="700" w:right="980"/>
        <w:spacing w:after="0" w:line="293" w:lineRule="auto"/>
        <w:rPr>
          <w:sz w:val="20"/>
          <w:szCs w:val="20"/>
          <w:color w:val="auto"/>
        </w:rPr>
      </w:pPr>
      <w:r>
        <w:rPr>
          <w:rFonts w:ascii="Arial" w:cs="Arial" w:eastAsia="Arial" w:hAnsi="Arial"/>
          <w:sz w:val="18"/>
          <w:szCs w:val="18"/>
          <w:color w:val="auto"/>
        </w:rPr>
        <w:t>general economic, industry, and market conditions, including fluctuations attributable to the ongoing COVID-19 pandemic and other unforeseeable circumstances;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13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7" w:lineRule="exact"/>
        <w:rPr>
          <w:sz w:val="20"/>
          <w:szCs w:val="20"/>
          <w:color w:val="auto"/>
        </w:rPr>
      </w:pPr>
    </w:p>
    <w:p>
      <w:pPr>
        <w:ind w:left="700" w:right="440"/>
        <w:spacing w:after="0" w:line="391" w:lineRule="auto"/>
        <w:rPr>
          <w:sz w:val="20"/>
          <w:szCs w:val="20"/>
          <w:color w:val="auto"/>
        </w:rPr>
      </w:pPr>
      <w:r>
        <w:rPr>
          <w:rFonts w:ascii="Arial" w:cs="Arial" w:eastAsia="Arial" w:hAnsi="Arial"/>
          <w:sz w:val="18"/>
          <w:szCs w:val="18"/>
          <w:color w:val="auto"/>
        </w:rPr>
        <w:t>provide that vacancies on our board of directors may be filled only by a majority of directors then in office, even though less than a quorum; eliminate cumulative voting in the election of directors;</w:t>
      </w:r>
    </w:p>
    <w:p>
      <w:pPr>
        <w:spacing w:after="0" w:line="1"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prohibit stockholders from calling a special meeting of stockholders;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ind w:left="700" w:right="1100"/>
        <w:spacing w:after="0" w:line="391" w:lineRule="auto"/>
        <w:rPr>
          <w:sz w:val="20"/>
          <w:szCs w:val="20"/>
          <w:color w:val="auto"/>
        </w:rPr>
      </w:pPr>
      <w:r>
        <w:rPr>
          <w:rFonts w:ascii="Arial" w:cs="Arial" w:eastAsia="Arial" w:hAnsi="Arial"/>
          <w:sz w:val="18"/>
          <w:szCs w:val="18"/>
          <w:color w:val="auto"/>
        </w:rPr>
        <w:t>require that stockholders give advance notice to nominate directors or submit proposals for consideration at stockholder meetings; authorize our board of directors, by a majority vote, to amend the bylaws; and</w:t>
      </w:r>
    </w:p>
    <w:p>
      <w:pPr>
        <w:spacing w:after="0" w:line="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3" w:lineRule="exact"/>
        <w:rPr>
          <w:sz w:val="20"/>
          <w:szCs w:val="20"/>
          <w:color w:val="auto"/>
        </w:rPr>
      </w:pPr>
    </w:p>
    <w:p>
      <w:pPr>
        <w:jc w:val="both"/>
        <w:ind w:right="460"/>
        <w:spacing w:after="0" w:line="279"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2" w:lineRule="exact"/>
        <w:rPr>
          <w:sz w:val="20"/>
          <w:szCs w:val="20"/>
          <w:color w:val="auto"/>
        </w:rPr>
      </w:pPr>
    </w:p>
    <w:p>
      <w:pPr>
        <w:jc w:val="both"/>
        <w:ind w:right="100"/>
        <w:spacing w:after="0" w:line="303"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6" w:lineRule="exact"/>
        <w:rPr>
          <w:sz w:val="20"/>
          <w:szCs w:val="20"/>
          <w:color w:val="auto"/>
        </w:rPr>
      </w:pPr>
    </w:p>
    <w:p>
      <w:pPr>
        <w:jc w:val="both"/>
        <w:ind w:right="280" w:firstLine="509"/>
        <w:spacing w:after="0" w:line="293"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60" w:firstLine="509"/>
        <w:spacing w:after="0" w:line="299"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92"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900" w:type="dxa"/>
            <w:vAlign w:val="bottom"/>
            <w:gridSpan w:val="17"/>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820" w:type="dxa"/>
            <w:vAlign w:val="bottom"/>
          </w:tcPr>
          <w:p>
            <w:pPr>
              <w:ind w:left="520"/>
              <w:spacing w:after="0"/>
              <w:rPr>
                <w:sz w:val="20"/>
                <w:szCs w:val="20"/>
                <w:color w:val="auto"/>
              </w:rPr>
            </w:pPr>
            <w:r>
              <w:rPr>
                <w:rFonts w:ascii="Arial" w:cs="Arial" w:eastAsia="Arial" w:hAnsi="Arial"/>
                <w:sz w:val="18"/>
                <w:szCs w:val="18"/>
                <w:i w:val="1"/>
                <w:iCs w:val="1"/>
                <w:color w:val="auto"/>
              </w:rPr>
              <w:t>(a)</w:t>
            </w:r>
          </w:p>
        </w:tc>
        <w:tc>
          <w:tcPr>
            <w:tcW w:w="7080" w:type="dxa"/>
            <w:vAlign w:val="bottom"/>
            <w:gridSpan w:val="16"/>
          </w:tcPr>
          <w:p>
            <w:pPr>
              <w:ind w:left="20"/>
              <w:spacing w:after="0"/>
              <w:rPr>
                <w:sz w:val="20"/>
                <w:szCs w:val="20"/>
                <w:color w:val="auto"/>
              </w:rPr>
            </w:pPr>
            <w:r>
              <w:rPr>
                <w:rFonts w:ascii="Arial" w:cs="Arial" w:eastAsia="Arial" w:hAnsi="Arial"/>
                <w:sz w:val="18"/>
                <w:szCs w:val="18"/>
                <w:i w:val="1"/>
                <w:iCs w:val="1"/>
                <w:color w:val="auto"/>
              </w:rPr>
              <w:t>Exhibits.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r>
      <w:tr>
        <w:trPr>
          <w:trHeight w:val="166"/>
        </w:trPr>
        <w:tc>
          <w:tcPr>
            <w:tcW w:w="820" w:type="dxa"/>
            <w:vAlign w:val="bottom"/>
          </w:tcPr>
          <w:p>
            <w:pPr>
              <w:ind w:left="340"/>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Filing Date</w:t>
            </w:r>
          </w:p>
        </w:tc>
      </w:tr>
      <w:tr>
        <w:trPr>
          <w:trHeight w:val="344"/>
        </w:trPr>
        <w:tc>
          <w:tcPr>
            <w:tcW w:w="820" w:type="dxa"/>
            <w:vAlign w:val="bottom"/>
          </w:tcPr>
          <w:p>
            <w:pPr>
              <w:ind w:left="12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Certification of Principal Executive Officer Pursuant to Rules 13a-14(a) and 15d-14(a)</w:t>
              </w:r>
            </w:hyperlink>
          </w:p>
        </w:tc>
        <w:tc>
          <w:tcPr>
            <w:tcW w:w="4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00" w:type="dxa"/>
            <w:vAlign w:val="bottom"/>
            <w:gridSpan w:val="13"/>
          </w:tcPr>
          <w:p>
            <w:pPr>
              <w:spacing w:after="0"/>
              <w:rPr>
                <w:rFonts w:ascii="Arial" w:cs="Arial" w:eastAsia="Arial" w:hAnsi="Arial"/>
                <w:sz w:val="18"/>
                <w:szCs w:val="18"/>
                <w:color w:val="0000FF"/>
                <w:w w:val="96"/>
              </w:rPr>
            </w:pPr>
            <w:hyperlink w:anchor="page71">
              <w:r>
                <w:rPr>
                  <w:rFonts w:ascii="Arial" w:cs="Arial" w:eastAsia="Arial" w:hAnsi="Arial"/>
                  <w:sz w:val="18"/>
                  <w:szCs w:val="18"/>
                  <w:color w:val="0000FF"/>
                  <w:w w:val="96"/>
                </w:rPr>
                <w:t>under the Securities Exchange Act of 1934, as Adopted Pursuant to Section 302 of the</w:t>
              </w:r>
            </w:hyperlink>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tcBorders>
              <w:top w:val="single" w:sz="8" w:color="0000FF"/>
            </w:tcBorders>
            <w:gridSpan w:val="7"/>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Sarbanes-Oxley Act of 2002</w:t>
              </w:r>
            </w:hyperlink>
          </w:p>
        </w:tc>
        <w:tc>
          <w:tcPr>
            <w:tcW w:w="50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820" w:type="dxa"/>
            <w:vAlign w:val="bottom"/>
          </w:tcPr>
          <w:p>
            <w:pPr>
              <w:ind w:left="12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Accounting and Financial Officer Pursuant to Rules 13a-14(a)</w:t>
              </w:r>
            </w:hyperlink>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and 15d-14(a) under the Securities Exchange Act of 1934, as Adopted Pursuant to Section</w:t>
              </w:r>
            </w:hyperlink>
          </w:p>
        </w:tc>
        <w:tc>
          <w:tcPr>
            <w:tcW w:w="2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00" w:type="dxa"/>
            <w:vAlign w:val="bottom"/>
            <w:gridSpan w:val="1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302 of the Sarbanes-Oxley Act of 2002</w:t>
              </w:r>
            </w:hyperlink>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right w:val="single" w:sz="8" w:color="0000EE"/>
            </w:tcBorders>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820" w:type="dxa"/>
            <w:vAlign w:val="bottom"/>
          </w:tcPr>
          <w:p>
            <w:pPr>
              <w:ind w:left="12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Executive Officer Pursuant to 18 U.S.C. Section 1350, as</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Adopted Pursuant to Section 906 of the Sarbanes-Oxley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74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85"/>
        </w:trPr>
        <w:tc>
          <w:tcPr>
            <w:tcW w:w="820" w:type="dxa"/>
            <w:vAlign w:val="bottom"/>
          </w:tcPr>
          <w:p>
            <w:pPr>
              <w:ind w:left="12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74">
              <w:r>
                <w:rPr>
                  <w:rFonts w:ascii="Arial" w:cs="Arial" w:eastAsia="Arial" w:hAnsi="Arial"/>
                  <w:sz w:val="18"/>
                  <w:szCs w:val="18"/>
                  <w:color w:val="0000FF"/>
                  <w:w w:val="92"/>
                </w:rPr>
                <w:t>Certification of Principal Accounting and Financial Officer Pursuant to 18 U.S.C. Section</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1350, as Adopted Pursuant to Section 906 of the Sarbanes-Oxley Act of 2002</w:t>
              </w:r>
            </w:hyperlink>
          </w:p>
        </w:tc>
        <w:tc>
          <w:tcPr>
            <w:tcW w:w="112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25"/>
        </w:trPr>
        <w:tc>
          <w:tcPr>
            <w:tcW w:w="820" w:type="dxa"/>
            <w:vAlign w:val="bottom"/>
          </w:tcPr>
          <w:p>
            <w:pPr>
              <w:ind w:left="20"/>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5"/>
        </w:trPr>
        <w:tc>
          <w:tcPr>
            <w:tcW w:w="820" w:type="dxa"/>
            <w:vAlign w:val="bottom"/>
          </w:tcPr>
          <w:p>
            <w:pPr>
              <w:ind w:left="20"/>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8"/>
        </w:trPr>
        <w:tc>
          <w:tcPr>
            <w:tcW w:w="820" w:type="dxa"/>
            <w:vAlign w:val="bottom"/>
          </w:tcPr>
          <w:p>
            <w:pPr>
              <w:ind w:left="20"/>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820" w:type="dxa"/>
            <w:vAlign w:val="bottom"/>
          </w:tcPr>
          <w:p>
            <w:pPr>
              <w:ind w:left="20"/>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8"/>
        </w:trPr>
        <w:tc>
          <w:tcPr>
            <w:tcW w:w="820" w:type="dxa"/>
            <w:vAlign w:val="bottom"/>
          </w:tcPr>
          <w:p>
            <w:pPr>
              <w:ind w:left="20"/>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820" w:type="dxa"/>
            <w:vAlign w:val="bottom"/>
          </w:tcPr>
          <w:p>
            <w:pPr>
              <w:ind w:left="20"/>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88" w:lineRule="exact"/>
        <w:rPr>
          <w:sz w:val="20"/>
          <w:szCs w:val="20"/>
          <w:color w:val="auto"/>
        </w:rPr>
      </w:pPr>
    </w:p>
    <w:p>
      <w:pPr>
        <w:ind w:left="1200" w:right="3780" w:hanging="1179"/>
        <w:spacing w:after="0" w:line="293"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20" w:right="200" w:hanging="509"/>
        <w:spacing w:after="0" w:line="319" w:lineRule="auto"/>
        <w:rPr>
          <w:rFonts w:ascii="Arial" w:cs="Arial" w:eastAsia="Arial" w:hAnsi="Arial"/>
          <w:sz w:val="18"/>
          <w:szCs w:val="18"/>
          <w:color w:val="auto"/>
        </w:rPr>
      </w:pPr>
      <w:r>
        <w:rPr>
          <w:rFonts w:ascii="Arial" w:cs="Arial" w:eastAsia="Arial" w:hAnsi="Arial"/>
          <w:sz w:val="16"/>
          <w:szCs w:val="16"/>
          <w:color w:val="auto"/>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951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1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3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79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3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20" w:hanging="479"/>
        <w:spacing w:after="0" w:line="279" w:lineRule="auto"/>
        <w:tabs>
          <w:tab w:leader="none" w:pos="7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800" w:hanging="259"/>
        <w:spacing w:after="0"/>
        <w:tabs>
          <w:tab w:leader="none" w:pos="8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June 30, 2021 as filed with the Securities and Exchange Commission on the date hereof (the “Report”), I certify, pursuant to 18 U.S.C. § 1350, as adopted pursuant to § 906 of the Sarbanes-Oxley Act of 2002, to the best of my knowledge, that:</w:t>
      </w:r>
    </w:p>
    <w:p>
      <w:pPr>
        <w:spacing w:after="0" w:line="183" w:lineRule="exact"/>
        <w:rPr>
          <w:sz w:val="20"/>
          <w:szCs w:val="20"/>
          <w:color w:val="auto"/>
        </w:rPr>
      </w:pPr>
    </w:p>
    <w:p>
      <w:pPr>
        <w:ind w:left="800" w:hanging="259"/>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tabs>
          <w:tab w:leader="none" w:pos="5500" w:val="left"/>
          <w:tab w:leader="none" w:pos="79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Executive Officer)</w:t>
      </w:r>
    </w:p>
    <w:p>
      <w:pPr>
        <w:spacing w:after="0" w:line="26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June 30, 2021 as filed with the Securities and Exchange Commission on the date hereof (the “Report”), I certify, pursuant to 18 U.S.C. § 1350, as adopted pursuant to § 906 of the Sarbanes-Oxley Act of 2002, to the best of my knowledge, that:</w:t>
      </w:r>
    </w:p>
    <w:p>
      <w:pPr>
        <w:spacing w:after="0" w:line="183" w:lineRule="exact"/>
        <w:rPr>
          <w:sz w:val="20"/>
          <w:szCs w:val="20"/>
          <w:color w:val="auto"/>
        </w:rPr>
      </w:pPr>
    </w:p>
    <w:p>
      <w:pPr>
        <w:ind w:left="800" w:hanging="259"/>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tabs>
          <w:tab w:leader="none" w:pos="5500" w:val="left"/>
          <w:tab w:leader="none" w:pos="79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6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60"/>
    </w:lvl>
  </w:abstractNum>
  <w:abstractNum w:abstractNumId="3">
    <w:nsid w:val="507ED7AB"/>
    <w:multiLevelType w:val="hybridMultilevel"/>
    <w:lvl w:ilvl="0">
      <w:lvlJc w:val="left"/>
      <w:lvlText w:val="*"/>
      <w:numFmt w:val="bullet"/>
      <w:start w:val="1"/>
    </w:lvl>
    <w:lvl w:ilvl="1">
      <w:lvlJc w:val="left"/>
      <w:lvlText w:val="%2"/>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2021-08-09T16:21:06Z</dcterms:created>
  <dcterms:modified xsi:type="dcterms:W3CDTF">2021-08-09T16:21:06Z</dcterms:modified>
</cp:coreProperties>
</file>