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75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75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0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BORGESON JOHN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PAGE MILL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1039"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33"/>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94304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7"/>
          </w:tcPr>
          <w:p>
            <w:pPr>
              <w:ind w:left="1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04/02/2026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8"/>
              </w:rPr>
              <w:t>30,000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213,316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04/02/2026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12,692</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39.14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200,624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04/02/2026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12,477</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40.29</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188,147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04/02/2026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9"/>
              </w:rPr>
              <w:t>4,231</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40.88</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183,916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04/02/2026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rPr>
              <w:t>600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41.77</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183,316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04/02/2026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06/22/2026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58,614</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10b5-1 trading plan adopted by the Reporting Person on September 29, 2025.</w:t>
      </w:r>
    </w:p>
    <w:p>
      <w:pPr>
        <w:spacing w:after="0" w:line="43"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$38.68 to $39.67, inclusive. The Reporting Person undertakes to provide the Issuer, any security holder of the Issuer, or the Staff of the Securities and Exchange Commission, upon request, full information regarding the number of shares sold at each separate price within the ranges set forth in these footnotes.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$39.68 to $40.67,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$40.68 to $41.67,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$41.69 to $41.91, inclusive.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David Peinsipp, Attorney-in- </w:t>
      </w:r>
      <w:r>
        <w:rPr>
          <w:rFonts w:ascii="Times New Roman" w:cs="Times New Roman" w:eastAsia="Times New Roman" w:hAnsi="Times New Roman"/>
          <w:sz w:val="33"/>
          <w:szCs w:val="33"/>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John A. Borgeson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0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4045" TargetMode="External"/><Relationship Id="rId14" Type="http://schemas.openxmlformats.org/officeDocument/2006/relationships/hyperlink" Target="http://www.sec.gov/cgi-bin/browse-edgar?action=getcompany&amp;CIK=00014687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2026-04-02T19:29:09Z</dcterms:created>
  <dcterms:modified xsi:type="dcterms:W3CDTF">2026-04-02T19:29:09Z</dcterms:modified>
</cp:coreProperties>
</file>