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41275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July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Kodiak Sciences Inc.</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9" w:lineRule="exact"/>
        <w:rPr>
          <w:sz w:val="24"/>
          <w:szCs w:val="24"/>
          <w:color w:val="auto"/>
        </w:rPr>
      </w:pPr>
    </w:p>
    <w:tbl>
      <w:tblPr>
        <w:tblLayout w:type="fixed"/>
        <w:tblInd w:w="1240" w:type="dxa"/>
        <w:tblCellMar>
          <w:top w:w="0" w:type="dxa"/>
          <w:left w:w="0" w:type="dxa"/>
          <w:bottom w:w="0" w:type="dxa"/>
          <w:right w:w="0" w:type="dxa"/>
        </w:tblCellMar>
      </w:tblPr>
      <w:tr>
        <w:trPr>
          <w:trHeight w:val="248"/>
        </w:trPr>
        <w:tc>
          <w:tcPr>
            <w:tcW w:w="3260" w:type="dxa"/>
            <w:vAlign w:val="bottom"/>
          </w:tcPr>
          <w:p>
            <w:pPr>
              <w:jc w:val="center"/>
              <w:ind w:right="1024"/>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644"/>
              <w:spacing w:after="0"/>
              <w:rPr>
                <w:sz w:val="20"/>
                <w:szCs w:val="20"/>
                <w:color w:val="auto"/>
              </w:rPr>
            </w:pPr>
            <w:r>
              <w:rPr>
                <w:rFonts w:ascii="Arial" w:cs="Arial" w:eastAsia="Arial" w:hAnsi="Arial"/>
                <w:sz w:val="18"/>
                <w:szCs w:val="18"/>
                <w:b w:val="1"/>
                <w:bCs w:val="1"/>
                <w:color w:val="auto"/>
              </w:rPr>
              <w:t>001-38682</w:t>
            </w:r>
          </w:p>
        </w:tc>
        <w:tc>
          <w:tcPr>
            <w:tcW w:w="2700" w:type="dxa"/>
            <w:vAlign w:val="bottom"/>
          </w:tcPr>
          <w:p>
            <w:pPr>
              <w:jc w:val="right"/>
              <w:spacing w:after="0"/>
              <w:rPr>
                <w:sz w:val="20"/>
                <w:szCs w:val="20"/>
                <w:color w:val="auto"/>
              </w:rPr>
            </w:pPr>
            <w:r>
              <w:rPr>
                <w:rFonts w:ascii="Arial" w:cs="Arial" w:eastAsia="Arial" w:hAnsi="Arial"/>
                <w:sz w:val="18"/>
                <w:szCs w:val="18"/>
                <w:b w:val="1"/>
                <w:bCs w:val="1"/>
                <w:color w:val="auto"/>
              </w:rPr>
              <w:t>27-0476525</w:t>
            </w:r>
          </w:p>
        </w:tc>
      </w:tr>
      <w:tr>
        <w:trPr>
          <w:trHeight w:val="166"/>
        </w:trPr>
        <w:tc>
          <w:tcPr>
            <w:tcW w:w="3260" w:type="dxa"/>
            <w:vAlign w:val="bottom"/>
          </w:tcPr>
          <w:p>
            <w:pPr>
              <w:jc w:val="center"/>
              <w:ind w:right="1044"/>
              <w:spacing w:after="0"/>
              <w:rPr>
                <w:sz w:val="20"/>
                <w:szCs w:val="20"/>
                <w:color w:val="auto"/>
              </w:rPr>
            </w:pPr>
            <w:r>
              <w:rPr>
                <w:rFonts w:ascii="Arial" w:cs="Arial" w:eastAsia="Arial" w:hAnsi="Arial"/>
                <w:sz w:val="13"/>
                <w:szCs w:val="13"/>
                <w:b w:val="1"/>
                <w:bCs w:val="1"/>
                <w:color w:val="auto"/>
                <w:w w:val="89"/>
              </w:rPr>
              <w:t>(State or Other Jurisdiction</w:t>
            </w: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88"/>
              </w:rPr>
              <w:t>(Commission File Number)</w:t>
            </w: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3260" w:type="dxa"/>
            <w:vAlign w:val="bottom"/>
          </w:tcPr>
          <w:p>
            <w:pPr>
              <w:jc w:val="center"/>
              <w:ind w:right="1044"/>
              <w:spacing w:after="0"/>
              <w:rPr>
                <w:sz w:val="20"/>
                <w:szCs w:val="20"/>
                <w:color w:val="auto"/>
              </w:rPr>
            </w:pPr>
            <w:r>
              <w:rPr>
                <w:rFonts w:ascii="Arial" w:cs="Arial" w:eastAsia="Arial" w:hAnsi="Arial"/>
                <w:sz w:val="13"/>
                <w:szCs w:val="13"/>
                <w:b w:val="1"/>
                <w:bCs w:val="1"/>
                <w:color w:val="auto"/>
                <w:w w:val="90"/>
              </w:rPr>
              <w:t>of Incorporation)</w:t>
            </w:r>
          </w:p>
        </w:tc>
        <w:tc>
          <w:tcPr>
            <w:tcW w:w="2240" w:type="dxa"/>
            <w:vAlign w:val="bottom"/>
          </w:tcPr>
          <w:p>
            <w:pPr>
              <w:spacing w:after="0"/>
              <w:rPr>
                <w:sz w:val="14"/>
                <w:szCs w:val="14"/>
                <w:color w:val="auto"/>
              </w:rPr>
            </w:pP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91"/>
              </w:rPr>
              <w:t>Identification No.)</w:t>
            </w:r>
          </w:p>
        </w:tc>
      </w:tr>
      <w:tr>
        <w:trPr>
          <w:trHeight w:val="488"/>
        </w:trPr>
        <w:tc>
          <w:tcPr>
            <w:tcW w:w="3260" w:type="dxa"/>
            <w:vAlign w:val="bottom"/>
          </w:tcPr>
          <w:p>
            <w:pPr>
              <w:jc w:val="center"/>
              <w:ind w:right="1024"/>
              <w:spacing w:after="0"/>
              <w:rPr>
                <w:sz w:val="20"/>
                <w:szCs w:val="20"/>
                <w:color w:val="auto"/>
              </w:rPr>
            </w:pPr>
            <w:r>
              <w:rPr>
                <w:rFonts w:ascii="Arial" w:cs="Arial" w:eastAsia="Arial" w:hAnsi="Arial"/>
                <w:sz w:val="18"/>
                <w:szCs w:val="18"/>
                <w:b w:val="1"/>
                <w:bCs w:val="1"/>
                <w:color w:val="auto"/>
                <w:w w:val="98"/>
              </w:rPr>
              <w:t>1200 PAGE MILL RD</w:t>
            </w:r>
          </w:p>
        </w:tc>
        <w:tc>
          <w:tcPr>
            <w:tcW w:w="22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43"/>
        </w:trPr>
        <w:tc>
          <w:tcPr>
            <w:tcW w:w="3260" w:type="dxa"/>
            <w:vAlign w:val="bottom"/>
          </w:tcPr>
          <w:p>
            <w:pPr>
              <w:jc w:val="center"/>
              <w:ind w:right="1044"/>
              <w:spacing w:after="0"/>
              <w:rPr>
                <w:sz w:val="20"/>
                <w:szCs w:val="20"/>
                <w:color w:val="auto"/>
              </w:rPr>
            </w:pPr>
            <w:r>
              <w:rPr>
                <w:rFonts w:ascii="Arial" w:cs="Arial" w:eastAsia="Arial" w:hAnsi="Arial"/>
                <w:sz w:val="18"/>
                <w:szCs w:val="18"/>
                <w:b w:val="1"/>
                <w:bCs w:val="1"/>
                <w:color w:val="auto"/>
                <w:w w:val="96"/>
              </w:rPr>
              <w:t>PALO ALTO, California</w:t>
            </w:r>
          </w:p>
        </w:tc>
        <w:tc>
          <w:tcPr>
            <w:tcW w:w="2240" w:type="dxa"/>
            <w:vAlign w:val="bottom"/>
          </w:tcPr>
          <w:p>
            <w:pPr>
              <w:spacing w:after="0"/>
              <w:rPr>
                <w:sz w:val="21"/>
                <w:szCs w:val="21"/>
                <w:color w:val="auto"/>
              </w:rPr>
            </w:pPr>
          </w:p>
        </w:tc>
        <w:tc>
          <w:tcPr>
            <w:tcW w:w="2700" w:type="dxa"/>
            <w:vAlign w:val="bottom"/>
          </w:tcPr>
          <w:p>
            <w:pPr>
              <w:jc w:val="right"/>
              <w:ind w:right="206"/>
              <w:spacing w:after="0"/>
              <w:rPr>
                <w:sz w:val="20"/>
                <w:szCs w:val="20"/>
                <w:color w:val="auto"/>
              </w:rPr>
            </w:pPr>
            <w:r>
              <w:rPr>
                <w:rFonts w:ascii="Arial" w:cs="Arial" w:eastAsia="Arial" w:hAnsi="Arial"/>
                <w:sz w:val="18"/>
                <w:szCs w:val="18"/>
                <w:b w:val="1"/>
                <w:bCs w:val="1"/>
                <w:color w:val="auto"/>
              </w:rPr>
              <w:t>94304</w:t>
            </w:r>
          </w:p>
        </w:tc>
      </w:tr>
      <w:tr>
        <w:trPr>
          <w:trHeight w:val="173"/>
        </w:trPr>
        <w:tc>
          <w:tcPr>
            <w:tcW w:w="3260" w:type="dxa"/>
            <w:vAlign w:val="bottom"/>
          </w:tcPr>
          <w:p>
            <w:pPr>
              <w:jc w:val="center"/>
              <w:ind w:right="1024"/>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2240" w:type="dxa"/>
            <w:vAlign w:val="bottom"/>
          </w:tcPr>
          <w:p>
            <w:pPr>
              <w:spacing w:after="0"/>
              <w:rPr>
                <w:sz w:val="15"/>
                <w:szCs w:val="15"/>
                <w:color w:val="auto"/>
              </w:rPr>
            </w:pP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93"/>
              </w:rPr>
              <w:t>(Zip Code)</w:t>
            </w:r>
          </w:p>
        </w:tc>
      </w:tr>
    </w:tbl>
    <w:p>
      <w:pPr>
        <w:spacing w:after="0" w:line="24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650 281-0850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47" w:lineRule="exact"/>
        <w:rPr>
          <w:sz w:val="24"/>
          <w:szCs w:val="24"/>
          <w:color w:val="auto"/>
        </w:rPr>
      </w:pPr>
    </w:p>
    <w:p>
      <w:pPr>
        <w:ind w:right="6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r>
      <w:tr>
        <w:trPr>
          <w:trHeight w:val="24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7"/>
              </w:rPr>
              <w:t>KOD</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28" w:lineRule="exact"/>
        <w:rPr>
          <w:sz w:val="24"/>
          <w:szCs w:val="24"/>
          <w:color w:val="auto"/>
        </w:rPr>
      </w:pPr>
    </w:p>
    <w:p>
      <w:pPr>
        <w:ind w:right="480"/>
        <w:spacing w:after="0" w:line="29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6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Financing Letter Agreement</w:t>
      </w:r>
    </w:p>
    <w:p>
      <w:pPr>
        <w:spacing w:after="0" w:line="25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In December 2019, Kodiak Sciences Inc. together with its subsidiary Kodiak Sciences GmbH (collectively, “</w:t>
      </w:r>
      <w:r>
        <w:rPr>
          <w:rFonts w:ascii="Arial" w:cs="Arial" w:eastAsia="Arial" w:hAnsi="Arial"/>
          <w:sz w:val="18"/>
          <w:szCs w:val="18"/>
          <w:b w:val="1"/>
          <w:bCs w:val="1"/>
          <w:i w:val="1"/>
          <w:iCs w:val="1"/>
          <w:color w:val="auto"/>
        </w:rPr>
        <w:t>Kodiak</w:t>
      </w:r>
      <w:r>
        <w:rPr>
          <w:rFonts w:ascii="Arial" w:cs="Arial" w:eastAsia="Arial" w:hAnsi="Arial"/>
          <w:sz w:val="18"/>
          <w:szCs w:val="18"/>
          <w:color w:val="auto"/>
        </w:rPr>
        <w:t>”) entered into a funding agreement (the “</w:t>
      </w:r>
      <w:r>
        <w:rPr>
          <w:rFonts w:ascii="Arial" w:cs="Arial" w:eastAsia="Arial" w:hAnsi="Arial"/>
          <w:sz w:val="18"/>
          <w:szCs w:val="18"/>
          <w:b w:val="1"/>
          <w:bCs w:val="1"/>
          <w:i w:val="1"/>
          <w:iCs w:val="1"/>
          <w:color w:val="auto"/>
        </w:rPr>
        <w:t>Funding Agreement</w:t>
      </w:r>
      <w:r>
        <w:rPr>
          <w:rFonts w:ascii="Arial" w:cs="Arial" w:eastAsia="Arial" w:hAnsi="Arial"/>
          <w:sz w:val="18"/>
          <w:szCs w:val="18"/>
          <w:color w:val="auto"/>
        </w:rPr>
        <w:t>”) with certain assignees of Baker Bros. Advisors, LP (collectively, “</w:t>
      </w:r>
      <w:r>
        <w:rPr>
          <w:rFonts w:ascii="Arial" w:cs="Arial" w:eastAsia="Arial" w:hAnsi="Arial"/>
          <w:sz w:val="18"/>
          <w:szCs w:val="18"/>
          <w:b w:val="1"/>
          <w:bCs w:val="1"/>
          <w:i w:val="1"/>
          <w:iCs w:val="1"/>
          <w:color w:val="auto"/>
        </w:rPr>
        <w:t>BBA</w:t>
      </w:r>
      <w:r>
        <w:rPr>
          <w:rFonts w:ascii="Arial" w:cs="Arial" w:eastAsia="Arial" w:hAnsi="Arial"/>
          <w:sz w:val="18"/>
          <w:szCs w:val="18"/>
          <w:color w:val="auto"/>
        </w:rPr>
        <w:t>”) under which BBA agreed to fund up to $225.0 million in the aggregate in exchange for the right to 4.5% royalties on Kodiak’s potential future net sales of KSI-301 and certain other products. The royalty was capped at 4.5 times the total amount funded under the Funding Agreement. BBA funded $100.0 million at closing in February 2020, with the remaining $125.0 million to be funded upon receipt of Kodiak’s notice that it had satisfied specified product development criteria and making certain certifications to BBA.</w:t>
      </w:r>
    </w:p>
    <w:p>
      <w:pPr>
        <w:spacing w:after="0" w:line="204" w:lineRule="exact"/>
        <w:rPr>
          <w:sz w:val="20"/>
          <w:szCs w:val="20"/>
          <w:color w:val="auto"/>
        </w:rPr>
      </w:pPr>
    </w:p>
    <w:p>
      <w:pPr>
        <w:jc w:val="both"/>
        <w:ind w:firstLine="749"/>
        <w:spacing w:after="0" w:line="292" w:lineRule="auto"/>
        <w:rPr>
          <w:sz w:val="20"/>
          <w:szCs w:val="20"/>
          <w:color w:val="auto"/>
        </w:rPr>
      </w:pPr>
      <w:r>
        <w:rPr>
          <w:rFonts w:ascii="Arial" w:cs="Arial" w:eastAsia="Arial" w:hAnsi="Arial"/>
          <w:sz w:val="17"/>
          <w:szCs w:val="17"/>
          <w:color w:val="auto"/>
        </w:rPr>
        <w:t>At Kodiak’s request, BBA acknowledged and confirmed on July 22, 2021 in a letter agreement (the “</w:t>
      </w:r>
      <w:r>
        <w:rPr>
          <w:rFonts w:ascii="Arial" w:cs="Arial" w:eastAsia="Arial" w:hAnsi="Arial"/>
          <w:sz w:val="17"/>
          <w:szCs w:val="17"/>
          <w:b w:val="1"/>
          <w:bCs w:val="1"/>
          <w:i w:val="1"/>
          <w:iCs w:val="1"/>
          <w:color w:val="auto"/>
        </w:rPr>
        <w:t>Letter Agreement</w:t>
      </w:r>
      <w:r>
        <w:rPr>
          <w:rFonts w:ascii="Arial" w:cs="Arial" w:eastAsia="Arial" w:hAnsi="Arial"/>
          <w:sz w:val="17"/>
          <w:szCs w:val="17"/>
          <w:color w:val="auto"/>
        </w:rPr>
        <w:t>”) that, despite Kodiak being in a position to satisfy the product development criteria, the second funding amount would not be paid and the aggregate royalty cap under the Funding Agreement would be reduced from $1,012.5 million to $450.0 million. The request was made in light of, among other factors, Kodiak’s strong balance sheet due to the $612.0 million capital raise in November 2020, its clinical trial progress and capital resources. An independent committee of the Board of Directors of Kodiak ratified the decision not to draw the second funding payment.</w:t>
      </w:r>
    </w:p>
    <w:p>
      <w:pPr>
        <w:spacing w:after="0" w:line="188"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The foregoing description of the Funding Agreement and the Letter Agreement do not purport to be complete and are qualified in its entirety by reference to the complete text of the Funding Agreement and the Letter Agreement, copies of which are filed as Exhibit 10.1 to that certain Current Report on Form 8-K filed with the Securities and Exchange Commission on December 2, 2019, and Exhibit 10.1 to this Current Report on Form 8-K, and each of which is incorporated herein by reference.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 The following exhibits are being filed herewith:</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0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10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41"/>
        </w:trPr>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w:t>
            </w:r>
          </w:p>
        </w:tc>
        <w:tc>
          <w:tcPr>
            <w:tcW w:w="2780" w:type="dxa"/>
            <w:vAlign w:val="bottom"/>
            <w:tcBorders>
              <w:bottom w:val="single" w:sz="8" w:color="auto"/>
            </w:tcBorders>
          </w:tcPr>
          <w:p>
            <w:pPr>
              <w:spacing w:after="0"/>
              <w:rPr>
                <w:sz w:val="20"/>
                <w:szCs w:val="20"/>
                <w:color w:val="auto"/>
              </w:rPr>
            </w:pPr>
          </w:p>
        </w:tc>
        <w:tc>
          <w:tcPr>
            <w:tcW w:w="7260" w:type="dxa"/>
            <w:vAlign w:val="bottom"/>
            <w:tcBorders>
              <w:bottom w:val="single" w:sz="8" w:color="auto"/>
            </w:tcBorders>
          </w:tcPr>
          <w:p>
            <w:pPr>
              <w:spacing w:after="0"/>
              <w:rPr>
                <w:sz w:val="20"/>
                <w:szCs w:val="20"/>
                <w:color w:val="auto"/>
              </w:rPr>
            </w:pPr>
          </w:p>
        </w:tc>
      </w:tr>
      <w:tr>
        <w:trPr>
          <w:trHeight w:val="189"/>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10.1</w:t>
            </w:r>
          </w:p>
        </w:tc>
        <w:tc>
          <w:tcPr>
            <w:tcW w:w="10040" w:type="dxa"/>
            <w:vAlign w:val="bottom"/>
            <w:gridSpan w:val="2"/>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Letter Agreement, dated July 22, 2021</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2780" w:type="dxa"/>
            <w:vAlign w:val="bottom"/>
            <w:tcBorders>
              <w:right w:val="single" w:sz="8" w:color="0000EE"/>
            </w:tcBorders>
            <w:shd w:val="clear" w:color="auto" w:fill="0000FF"/>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493"/>
        </w:trPr>
        <w:tc>
          <w:tcPr>
            <w:tcW w:w="1200" w:type="dxa"/>
            <w:vAlign w:val="bottom"/>
          </w:tcPr>
          <w:p>
            <w:pPr>
              <w:ind w:left="20"/>
              <w:spacing w:after="0"/>
              <w:rPr>
                <w:sz w:val="20"/>
                <w:szCs w:val="20"/>
                <w:color w:val="auto"/>
              </w:rPr>
            </w:pPr>
            <w:r>
              <w:rPr>
                <w:rFonts w:ascii="Arial" w:cs="Arial" w:eastAsia="Arial" w:hAnsi="Arial"/>
                <w:sz w:val="18"/>
                <w:szCs w:val="18"/>
                <w:color w:val="auto"/>
              </w:rPr>
              <w:t>104</w:t>
            </w:r>
          </w:p>
        </w:tc>
        <w:tc>
          <w:tcPr>
            <w:tcW w:w="100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88"/>
        </w:trPr>
        <w:tc>
          <w:tcPr>
            <w:tcW w:w="120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KODIAK SCIENCES INC.</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Victor Perlroth, M.D.</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347"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7"/>
          <w:szCs w:val="17"/>
          <w:b w:val="1"/>
          <w:bCs w:val="1"/>
          <w:color w:val="auto"/>
        </w:rPr>
        <w:t>THIS AGREEMENT</w:t>
      </w:r>
      <w:r>
        <w:rPr>
          <w:rFonts w:ascii="Arial" w:cs="Arial" w:eastAsia="Arial" w:hAnsi="Arial"/>
          <w:sz w:val="17"/>
          <w:szCs w:val="17"/>
          <w:color w:val="auto"/>
        </w:rPr>
        <w:t>, dated July 22, 2021 is made and entered into by and between</w:t>
      </w:r>
      <w:r>
        <w:rPr>
          <w:rFonts w:ascii="Arial" w:cs="Arial" w:eastAsia="Arial" w:hAnsi="Arial"/>
          <w:sz w:val="17"/>
          <w:szCs w:val="17"/>
          <w:b w:val="1"/>
          <w:bCs w:val="1"/>
          <w:color w:val="auto"/>
        </w:rPr>
        <w:t xml:space="preserve"> E</w:t>
      </w:r>
      <w:r>
        <w:rPr>
          <w:rFonts w:ascii="Arial" w:cs="Arial" w:eastAsia="Arial" w:hAnsi="Arial"/>
          <w:sz w:val="11"/>
          <w:szCs w:val="11"/>
          <w:b w:val="1"/>
          <w:bCs w:val="1"/>
          <w:color w:val="auto"/>
        </w:rPr>
        <w:t>DISON</w:t>
      </w:r>
      <w:r>
        <w:rPr>
          <w:rFonts w:ascii="Arial" w:cs="Arial" w:eastAsia="Arial" w:hAnsi="Arial"/>
          <w:sz w:val="17"/>
          <w:szCs w:val="17"/>
          <w:b w:val="1"/>
          <w:bCs w:val="1"/>
          <w:color w:val="auto"/>
        </w:rPr>
        <w:t xml:space="preserve"> ICAV</w:t>
      </w:r>
      <w:r>
        <w:rPr>
          <w:rFonts w:ascii="Arial" w:cs="Arial" w:eastAsia="Arial" w:hAnsi="Arial"/>
          <w:sz w:val="17"/>
          <w:szCs w:val="17"/>
          <w:color w:val="auto"/>
        </w:rPr>
        <w:t xml:space="preserve">, an Irish Collective Investment Asset-management Vehicle, acting for and on behalf of its sub-fund, the Essex Fund, as assignee of </w:t>
      </w:r>
      <w:r>
        <w:rPr>
          <w:rFonts w:ascii="Arial" w:cs="Arial" w:eastAsia="Arial" w:hAnsi="Arial"/>
          <w:sz w:val="17"/>
          <w:szCs w:val="17"/>
          <w:b w:val="1"/>
          <w:bCs w:val="1"/>
          <w:color w:val="auto"/>
        </w:rPr>
        <w:t>B</w:t>
      </w:r>
      <w:r>
        <w:rPr>
          <w:rFonts w:ascii="Arial" w:cs="Arial" w:eastAsia="Arial" w:hAnsi="Arial"/>
          <w:sz w:val="11"/>
          <w:szCs w:val="11"/>
          <w:b w:val="1"/>
          <w:bCs w:val="1"/>
          <w:color w:val="auto"/>
        </w:rPr>
        <w:t>AKER</w:t>
      </w:r>
      <w:r>
        <w:rPr>
          <w:rFonts w:ascii="Arial" w:cs="Arial" w:eastAsia="Arial" w:hAnsi="Arial"/>
          <w:sz w:val="17"/>
          <w:szCs w:val="17"/>
          <w:color w:val="auto"/>
        </w:rPr>
        <w:t xml:space="preserve"> </w:t>
      </w:r>
      <w:r>
        <w:rPr>
          <w:rFonts w:ascii="Arial" w:cs="Arial" w:eastAsia="Arial" w:hAnsi="Arial"/>
          <w:sz w:val="17"/>
          <w:szCs w:val="17"/>
          <w:b w:val="1"/>
          <w:bCs w:val="1"/>
          <w:color w:val="auto"/>
        </w:rPr>
        <w:t>B</w:t>
      </w:r>
      <w:r>
        <w:rPr>
          <w:rFonts w:ascii="Arial" w:cs="Arial" w:eastAsia="Arial" w:hAnsi="Arial"/>
          <w:sz w:val="11"/>
          <w:szCs w:val="11"/>
          <w:b w:val="1"/>
          <w:bCs w:val="1"/>
          <w:color w:val="auto"/>
        </w:rPr>
        <w:t>ROS</w:t>
      </w:r>
      <w:r>
        <w:rPr>
          <w:rFonts w:ascii="Arial" w:cs="Arial" w:eastAsia="Arial" w:hAnsi="Arial"/>
          <w:sz w:val="17"/>
          <w:szCs w:val="17"/>
          <w:b w:val="1"/>
          <w:bCs w:val="1"/>
          <w:color w:val="auto"/>
        </w:rPr>
        <w:t>. A</w:t>
      </w:r>
      <w:r>
        <w:rPr>
          <w:rFonts w:ascii="Arial" w:cs="Arial" w:eastAsia="Arial" w:hAnsi="Arial"/>
          <w:sz w:val="11"/>
          <w:szCs w:val="11"/>
          <w:b w:val="1"/>
          <w:bCs w:val="1"/>
          <w:color w:val="auto"/>
        </w:rPr>
        <w:t>DVISORS</w:t>
      </w:r>
      <w:r>
        <w:rPr>
          <w:rFonts w:ascii="Arial" w:cs="Arial" w:eastAsia="Arial" w:hAnsi="Arial"/>
          <w:sz w:val="17"/>
          <w:szCs w:val="17"/>
          <w:b w:val="1"/>
          <w:bCs w:val="1"/>
          <w:color w:val="auto"/>
        </w:rPr>
        <w:t>, LP</w:t>
      </w:r>
      <w:r>
        <w:rPr>
          <w:rFonts w:ascii="Arial" w:cs="Arial" w:eastAsia="Arial" w:hAnsi="Arial"/>
          <w:sz w:val="17"/>
          <w:szCs w:val="17"/>
          <w:color w:val="auto"/>
        </w:rPr>
        <w:t>, a Delaware limited partnership (the “</w:t>
      </w:r>
      <w:r>
        <w:rPr>
          <w:rFonts w:ascii="Arial" w:cs="Arial" w:eastAsia="Arial" w:hAnsi="Arial"/>
          <w:sz w:val="17"/>
          <w:szCs w:val="17"/>
          <w:b w:val="1"/>
          <w:bCs w:val="1"/>
          <w:i w:val="1"/>
          <w:iCs w:val="1"/>
          <w:color w:val="auto"/>
        </w:rPr>
        <w:t>Buyer</w:t>
      </w:r>
      <w:r>
        <w:rPr>
          <w:rFonts w:ascii="Arial" w:cs="Arial" w:eastAsia="Arial" w:hAnsi="Arial"/>
          <w:sz w:val="17"/>
          <w:szCs w:val="17"/>
          <w:color w:val="auto"/>
        </w:rPr>
        <w:t xml:space="preserve">”), and </w:t>
      </w:r>
      <w:r>
        <w:rPr>
          <w:rFonts w:ascii="Arial" w:cs="Arial" w:eastAsia="Arial" w:hAnsi="Arial"/>
          <w:sz w:val="17"/>
          <w:szCs w:val="17"/>
          <w:b w:val="1"/>
          <w:bCs w:val="1"/>
          <w:color w:val="auto"/>
        </w:rPr>
        <w:t>K</w:t>
      </w:r>
      <w:r>
        <w:rPr>
          <w:rFonts w:ascii="Arial" w:cs="Arial" w:eastAsia="Arial" w:hAnsi="Arial"/>
          <w:sz w:val="11"/>
          <w:szCs w:val="11"/>
          <w:b w:val="1"/>
          <w:bCs w:val="1"/>
          <w:color w:val="auto"/>
        </w:rPr>
        <w:t>ODIAK</w:t>
      </w:r>
      <w:r>
        <w:rPr>
          <w:rFonts w:ascii="Arial" w:cs="Arial" w:eastAsia="Arial" w:hAnsi="Arial"/>
          <w:sz w:val="17"/>
          <w:szCs w:val="17"/>
          <w:color w:val="auto"/>
        </w:rPr>
        <w:t xml:space="preserve"> </w:t>
      </w:r>
      <w:r>
        <w:rPr>
          <w:rFonts w:ascii="Arial" w:cs="Arial" w:eastAsia="Arial" w:hAnsi="Arial"/>
          <w:sz w:val="17"/>
          <w:szCs w:val="17"/>
          <w:b w:val="1"/>
          <w:bCs w:val="1"/>
          <w:color w:val="auto"/>
        </w:rPr>
        <w:t>S</w:t>
      </w:r>
      <w:r>
        <w:rPr>
          <w:rFonts w:ascii="Arial" w:cs="Arial" w:eastAsia="Arial" w:hAnsi="Arial"/>
          <w:sz w:val="11"/>
          <w:szCs w:val="11"/>
          <w:b w:val="1"/>
          <w:bCs w:val="1"/>
          <w:color w:val="auto"/>
        </w:rPr>
        <w:t>CIENCES</w:t>
      </w:r>
      <w:r>
        <w:rPr>
          <w:rFonts w:ascii="Arial" w:cs="Arial" w:eastAsia="Arial" w:hAnsi="Arial"/>
          <w:sz w:val="17"/>
          <w:szCs w:val="17"/>
          <w:color w:val="auto"/>
        </w:rPr>
        <w:t xml:space="preserve"> </w:t>
      </w:r>
      <w:r>
        <w:rPr>
          <w:rFonts w:ascii="Arial" w:cs="Arial" w:eastAsia="Arial" w:hAnsi="Arial"/>
          <w:sz w:val="17"/>
          <w:szCs w:val="17"/>
          <w:b w:val="1"/>
          <w:bCs w:val="1"/>
          <w:color w:val="auto"/>
        </w:rPr>
        <w:t>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Delaware corporation (“</w:t>
      </w:r>
      <w:r>
        <w:rPr>
          <w:rFonts w:ascii="Arial" w:cs="Arial" w:eastAsia="Arial" w:hAnsi="Arial"/>
          <w:sz w:val="17"/>
          <w:szCs w:val="17"/>
          <w:b w:val="1"/>
          <w:bCs w:val="1"/>
          <w:i w:val="1"/>
          <w:iCs w:val="1"/>
          <w:color w:val="auto"/>
        </w:rPr>
        <w:t>Kodiak</w:t>
      </w:r>
      <w:r>
        <w:rPr>
          <w:rFonts w:ascii="Arial" w:cs="Arial" w:eastAsia="Arial" w:hAnsi="Arial"/>
          <w:sz w:val="17"/>
          <w:szCs w:val="17"/>
          <w:color w:val="auto"/>
        </w:rPr>
        <w:t xml:space="preserve">”) together with its Subsidiary </w:t>
      </w:r>
      <w:r>
        <w:rPr>
          <w:rFonts w:ascii="Arial" w:cs="Arial" w:eastAsia="Arial" w:hAnsi="Arial"/>
          <w:sz w:val="17"/>
          <w:szCs w:val="17"/>
          <w:b w:val="1"/>
          <w:bCs w:val="1"/>
          <w:color w:val="auto"/>
        </w:rPr>
        <w:t>K</w:t>
      </w:r>
      <w:r>
        <w:rPr>
          <w:rFonts w:ascii="Arial" w:cs="Arial" w:eastAsia="Arial" w:hAnsi="Arial"/>
          <w:sz w:val="11"/>
          <w:szCs w:val="11"/>
          <w:b w:val="1"/>
          <w:bCs w:val="1"/>
          <w:color w:val="auto"/>
        </w:rPr>
        <w:t>ODIAK</w:t>
      </w:r>
      <w:r>
        <w:rPr>
          <w:rFonts w:ascii="Arial" w:cs="Arial" w:eastAsia="Arial" w:hAnsi="Arial"/>
          <w:sz w:val="17"/>
          <w:szCs w:val="17"/>
          <w:color w:val="auto"/>
        </w:rPr>
        <w:t xml:space="preserve"> </w:t>
      </w:r>
      <w:r>
        <w:rPr>
          <w:rFonts w:ascii="Arial" w:cs="Arial" w:eastAsia="Arial" w:hAnsi="Arial"/>
          <w:sz w:val="17"/>
          <w:szCs w:val="17"/>
          <w:b w:val="1"/>
          <w:bCs w:val="1"/>
          <w:color w:val="auto"/>
        </w:rPr>
        <w:t>S</w:t>
      </w:r>
      <w:r>
        <w:rPr>
          <w:rFonts w:ascii="Arial" w:cs="Arial" w:eastAsia="Arial" w:hAnsi="Arial"/>
          <w:sz w:val="11"/>
          <w:szCs w:val="11"/>
          <w:b w:val="1"/>
          <w:bCs w:val="1"/>
          <w:color w:val="auto"/>
        </w:rPr>
        <w:t>CIENCES</w:t>
      </w:r>
      <w:r>
        <w:rPr>
          <w:rFonts w:ascii="Arial" w:cs="Arial" w:eastAsia="Arial" w:hAnsi="Arial"/>
          <w:sz w:val="17"/>
          <w:szCs w:val="17"/>
          <w:color w:val="auto"/>
        </w:rPr>
        <w:t xml:space="preserve"> </w:t>
      </w:r>
      <w:r>
        <w:rPr>
          <w:rFonts w:ascii="Arial" w:cs="Arial" w:eastAsia="Arial" w:hAnsi="Arial"/>
          <w:sz w:val="17"/>
          <w:szCs w:val="17"/>
          <w:b w:val="1"/>
          <w:bCs w:val="1"/>
          <w:color w:val="auto"/>
        </w:rPr>
        <w:t>G</w:t>
      </w:r>
      <w:r>
        <w:rPr>
          <w:rFonts w:ascii="Arial" w:cs="Arial" w:eastAsia="Arial" w:hAnsi="Arial"/>
          <w:sz w:val="11"/>
          <w:szCs w:val="11"/>
          <w:b w:val="1"/>
          <w:bCs w:val="1"/>
          <w:color w:val="auto"/>
        </w:rPr>
        <w:t>MB</w:t>
      </w:r>
      <w:r>
        <w:rPr>
          <w:rFonts w:ascii="Arial" w:cs="Arial" w:eastAsia="Arial" w:hAnsi="Arial"/>
          <w:sz w:val="17"/>
          <w:szCs w:val="17"/>
          <w:b w:val="1"/>
          <w:bCs w:val="1"/>
          <w:color w:val="auto"/>
        </w:rPr>
        <w:t>H</w:t>
      </w:r>
      <w:r>
        <w:rPr>
          <w:rFonts w:ascii="Arial" w:cs="Arial" w:eastAsia="Arial" w:hAnsi="Arial"/>
          <w:sz w:val="17"/>
          <w:szCs w:val="17"/>
          <w:color w:val="auto"/>
        </w:rPr>
        <w:t>, a Swiss corporation (“</w:t>
      </w:r>
      <w:r>
        <w:rPr>
          <w:rFonts w:ascii="Arial" w:cs="Arial" w:eastAsia="Arial" w:hAnsi="Arial"/>
          <w:sz w:val="17"/>
          <w:szCs w:val="17"/>
          <w:b w:val="1"/>
          <w:bCs w:val="1"/>
          <w:i w:val="1"/>
          <w:iCs w:val="1"/>
          <w:color w:val="auto"/>
        </w:rPr>
        <w:t>Kodiak GmbH</w:t>
      </w:r>
      <w:r>
        <w:rPr>
          <w:rFonts w:ascii="Arial" w:cs="Arial" w:eastAsia="Arial" w:hAnsi="Arial"/>
          <w:sz w:val="17"/>
          <w:szCs w:val="17"/>
          <w:color w:val="auto"/>
        </w:rPr>
        <w:t>”, and with Kodiak, the “</w:t>
      </w:r>
      <w:r>
        <w:rPr>
          <w:rFonts w:ascii="Arial" w:cs="Arial" w:eastAsia="Arial" w:hAnsi="Arial"/>
          <w:sz w:val="17"/>
          <w:szCs w:val="17"/>
          <w:b w:val="1"/>
          <w:bCs w:val="1"/>
          <w:i w:val="1"/>
          <w:iCs w:val="1"/>
          <w:color w:val="auto"/>
        </w:rPr>
        <w:t>Sellers</w:t>
      </w:r>
      <w:r>
        <w:rPr>
          <w:rFonts w:ascii="Arial" w:cs="Arial" w:eastAsia="Arial" w:hAnsi="Arial"/>
          <w:sz w:val="17"/>
          <w:szCs w:val="17"/>
          <w:color w:val="auto"/>
        </w:rPr>
        <w:t>”) and relates to a Funding Agreement dated December 1, 2019 (the “</w:t>
      </w:r>
      <w:r>
        <w:rPr>
          <w:rFonts w:ascii="Arial" w:cs="Arial" w:eastAsia="Arial" w:hAnsi="Arial"/>
          <w:sz w:val="17"/>
          <w:szCs w:val="17"/>
          <w:b w:val="1"/>
          <w:bCs w:val="1"/>
          <w:i w:val="1"/>
          <w:iCs w:val="1"/>
          <w:color w:val="auto"/>
        </w:rPr>
        <w:t>Funding Agreement</w:t>
      </w:r>
      <w:r>
        <w:rPr>
          <w:rFonts w:ascii="Arial" w:cs="Arial" w:eastAsia="Arial" w:hAnsi="Arial"/>
          <w:sz w:val="17"/>
          <w:szCs w:val="17"/>
          <w:color w:val="auto"/>
        </w:rPr>
        <w:t>”). All capitalized terms used but not otherwise defined herein shall have the meanings ascribed to them in the Funding Agreement.</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Sellers and Buyer agree as follows:</w:t>
      </w:r>
    </w:p>
    <w:p>
      <w:pPr>
        <w:spacing w:after="0" w:line="239" w:lineRule="exact"/>
        <w:rPr>
          <w:sz w:val="20"/>
          <w:szCs w:val="20"/>
          <w:color w:val="auto"/>
        </w:rPr>
      </w:pPr>
    </w:p>
    <w:p>
      <w:pPr>
        <w:ind w:right="180" w:firstLine="800"/>
        <w:spacing w:after="0" w:line="293" w:lineRule="auto"/>
        <w:tabs>
          <w:tab w:leader="none" w:pos="139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Second Payment will not be made and all references to “Purchase Price” mean One Hundred Million Dollars ($100,000,000). Any reference to “Second Payment” is of no further effect, and</w:t>
      </w:r>
    </w:p>
    <w:p>
      <w:pPr>
        <w:spacing w:after="0" w:line="169" w:lineRule="exact"/>
        <w:rPr>
          <w:rFonts w:ascii="Arial" w:cs="Arial" w:eastAsia="Arial" w:hAnsi="Arial"/>
          <w:sz w:val="18"/>
          <w:szCs w:val="18"/>
          <w:color w:val="auto"/>
        </w:rPr>
      </w:pPr>
    </w:p>
    <w:p>
      <w:pPr>
        <w:ind w:right="20" w:firstLine="800"/>
        <w:spacing w:after="0" w:line="293" w:lineRule="auto"/>
        <w:tabs>
          <w:tab w:leader="none" w:pos="1397"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except as expressly modified hereby, the Funding Agreement is and remains in full force and effect (and all provisions therein, except as modified by this Amendment, shall apply to this Amendment).</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Signed on July 22, 2021.</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2"/>
                <w:szCs w:val="12"/>
                <w:b w:val="1"/>
                <w:bCs w:val="1"/>
                <w:color w:val="auto"/>
              </w:rPr>
              <w:t>ODIAK</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CIENCES</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56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2"/>
                <w:szCs w:val="12"/>
                <w:b w:val="1"/>
                <w:bCs w:val="1"/>
                <w:color w:val="auto"/>
              </w:rPr>
              <w:t>ODIAK</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CIENCES</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MB</w:t>
            </w:r>
            <w:r>
              <w:rPr>
                <w:rFonts w:ascii="Arial" w:cs="Arial" w:eastAsia="Arial" w:hAnsi="Arial"/>
                <w:sz w:val="18"/>
                <w:szCs w:val="18"/>
                <w:b w:val="1"/>
                <w:bCs w:val="1"/>
                <w:color w:val="auto"/>
              </w:rPr>
              <w:t>H</w:t>
            </w:r>
          </w:p>
        </w:tc>
        <w:tc>
          <w:tcPr>
            <w:tcW w:w="500" w:type="dxa"/>
            <w:vAlign w:val="bottom"/>
          </w:tcPr>
          <w:p>
            <w:pPr>
              <w:spacing w:after="0"/>
              <w:rPr>
                <w:sz w:val="20"/>
                <w:szCs w:val="20"/>
                <w:color w:val="auto"/>
              </w:rPr>
            </w:pPr>
          </w:p>
        </w:tc>
      </w:tr>
      <w:tr>
        <w:trPr>
          <w:trHeight w:val="466"/>
        </w:trPr>
        <w:tc>
          <w:tcPr>
            <w:tcW w:w="8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Victor Perlroth</w:t>
            </w:r>
          </w:p>
        </w:tc>
        <w:tc>
          <w:tcPr>
            <w:tcW w:w="560" w:type="dxa"/>
            <w:vAlign w:val="bottom"/>
          </w:tcPr>
          <w:p>
            <w:pPr>
              <w:spacing w:after="0"/>
              <w:rPr>
                <w:sz w:val="24"/>
                <w:szCs w:val="24"/>
                <w:color w:val="auto"/>
              </w:rPr>
            </w:pP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Victor Perlroth</w:t>
            </w:r>
          </w:p>
        </w:tc>
        <w:tc>
          <w:tcPr>
            <w:tcW w:w="500" w:type="dxa"/>
            <w:vAlign w:val="bottom"/>
          </w:tcPr>
          <w:p>
            <w:pPr>
              <w:spacing w:after="0"/>
              <w:rPr>
                <w:sz w:val="24"/>
                <w:szCs w:val="24"/>
                <w:color w:val="auto"/>
              </w:rPr>
            </w:pPr>
          </w:p>
        </w:tc>
      </w:tr>
      <w:tr>
        <w:trPr>
          <w:trHeight w:val="230"/>
        </w:trPr>
        <w:tc>
          <w:tcPr>
            <w:tcW w:w="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Name/Title: Victor Perlroth, Chief Executive Officer</w:t>
            </w:r>
          </w:p>
        </w:tc>
        <w:tc>
          <w:tcPr>
            <w:tcW w:w="56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Name/Title: Victor Perlroth, Chairman</w:t>
            </w:r>
          </w:p>
        </w:tc>
        <w:tc>
          <w:tcPr>
            <w:tcW w:w="500" w:type="dxa"/>
            <w:vAlign w:val="bottom"/>
          </w:tcPr>
          <w:p>
            <w:pPr>
              <w:spacing w:after="0"/>
              <w:rPr>
                <w:sz w:val="20"/>
                <w:szCs w:val="20"/>
                <w:color w:val="auto"/>
              </w:rPr>
            </w:pPr>
          </w:p>
        </w:tc>
      </w:tr>
      <w:tr>
        <w:trPr>
          <w:trHeight w:val="90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BUYER</w:t>
            </w:r>
          </w:p>
        </w:tc>
        <w:tc>
          <w:tcPr>
            <w:tcW w:w="5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53"/>
        </w:trPr>
        <w:tc>
          <w:tcPr>
            <w:tcW w:w="8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DISON</w:t>
            </w:r>
            <w:r>
              <w:rPr>
                <w:rFonts w:ascii="Arial" w:cs="Arial" w:eastAsia="Arial" w:hAnsi="Arial"/>
                <w:sz w:val="18"/>
                <w:szCs w:val="18"/>
                <w:b w:val="1"/>
                <w:bCs w:val="1"/>
                <w:color w:val="auto"/>
              </w:rPr>
              <w:t xml:space="preserve"> ICAV,</w:t>
            </w:r>
          </w:p>
        </w:tc>
        <w:tc>
          <w:tcPr>
            <w:tcW w:w="5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38"/>
        </w:trPr>
        <w:tc>
          <w:tcPr>
            <w:tcW w:w="8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Acting for and on behalf of its Sub-Fund</w:t>
            </w:r>
          </w:p>
        </w:tc>
        <w:tc>
          <w:tcPr>
            <w:tcW w:w="5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38"/>
        </w:trPr>
        <w:tc>
          <w:tcPr>
            <w:tcW w:w="8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The Essex Fund</w:t>
            </w:r>
          </w:p>
        </w:tc>
        <w:tc>
          <w:tcPr>
            <w:tcW w:w="5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58"/>
        </w:trPr>
        <w:tc>
          <w:tcPr>
            <w:tcW w:w="8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Scott L. Lessing</w:t>
            </w:r>
          </w:p>
        </w:tc>
        <w:tc>
          <w:tcPr>
            <w:tcW w:w="5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30"/>
        </w:trPr>
        <w:tc>
          <w:tcPr>
            <w:tcW w:w="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Name/Title: Scott L. Lessing, Director</w:t>
            </w:r>
          </w:p>
        </w:tc>
        <w:tc>
          <w:tcPr>
            <w:tcW w:w="5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1113"/>
        </w:trPr>
        <w:tc>
          <w:tcPr>
            <w:tcW w:w="8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2021-07-23T05:12:36Z</dcterms:created>
  <dcterms:modified xsi:type="dcterms:W3CDTF">2021-07-23T05:12:36Z</dcterms:modified>
</cp:coreProperties>
</file>