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40930.htm"/>
      <w:bookmarkStart w:id="1" w:name="kskod20240930"/>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001-38682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27-0476525</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1200 Page Mill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Palo Alto, CA</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(650) 281-0850</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608" w:type="dxa"/>
        <w:jc w:val="left"/>
        <w:tblInd w:w="0" w:type="dxa"/>
        <w:tblLayout w:type="fixed"/>
        <w:tblCellMar>
          <w:top w:w="28" w:type="dxa"/>
          <w:left w:w="28" w:type="dxa"/>
          <w:bottom w:w="28" w:type="dxa"/>
          <w:right w:w="28" w:type="dxa"/>
        </w:tblCellMar>
      </w:tblPr>
      <w:tblGrid>
        <w:gridCol w:w="2566"/>
        <w:gridCol w:w="1561"/>
        <w:gridCol w:w="3481"/>
      </w:tblGrid>
      <w:tr>
        <w:trPr/>
        <w:tc>
          <w:tcPr>
            <w:tcW w:w="256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Common stock, par value $0.0001</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KOD</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No ☐</w:t>
      </w:r>
    </w:p>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1901"/>
        <w:gridCol w:w="806"/>
        <w:gridCol w:w="2231"/>
        <w:gridCol w:w="851"/>
      </w:tblGrid>
      <w:tr>
        <w:trPr/>
        <w:tc>
          <w:tcPr>
            <w:tcW w:w="19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Large accelerated filer</w:t>
            </w:r>
          </w:p>
        </w:tc>
        <w:tc>
          <w:tcPr>
            <w:tcW w:w="806" w:type="dxa"/>
            <w:tcBorders/>
            <w:vAlign w:val="center"/>
          </w:tcPr>
          <w:p>
            <w:pPr>
              <w:pStyle w:val="TableContents"/>
              <w:bidi w:val="0"/>
              <w:spacing w:before="0" w:after="283"/>
              <w:ind w:left="0" w:right="0" w:firstLine="490"/>
              <w:jc w:val="left"/>
              <w:rPr>
                <w:color w:val="000000"/>
              </w:rPr>
            </w:pPr>
            <w:r>
              <w:rPr>
                <w:color w:val="000000"/>
              </w:rPr>
              <w:t>☐</w:t>
            </w:r>
          </w:p>
        </w:tc>
        <w:tc>
          <w:tcPr>
            <w:tcW w:w="223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Accelerated filer</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r>
        <w:trPr/>
        <w:tc>
          <w:tcPr>
            <w:tcW w:w="190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Non-accelerated filer</w:t>
            </w:r>
          </w:p>
        </w:tc>
        <w:tc>
          <w:tcPr>
            <w:tcW w:w="806" w:type="dxa"/>
            <w:tcBorders/>
            <w:vAlign w:val="center"/>
          </w:tcPr>
          <w:p>
            <w:pPr>
              <w:pStyle w:val="TableContents"/>
              <w:bidi w:val="0"/>
              <w:spacing w:before="0" w:after="283"/>
              <w:ind w:left="0" w:right="0" w:firstLine="490"/>
              <w:jc w:val="left"/>
              <w:rPr>
                <w:color w:val="000000"/>
              </w:rPr>
            </w:pPr>
            <w:r>
              <w:rPr>
                <w:color w:val="000000"/>
              </w:rPr>
              <w:t>☒</w:t>
            </w:r>
          </w:p>
        </w:tc>
        <w:tc>
          <w:tcPr>
            <w:tcW w:w="223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Smaller reporting company</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r>
        <w:trPr/>
        <w:tc>
          <w:tcPr>
            <w:tcW w:w="1901" w:type="dxa"/>
            <w:tcBorders/>
            <w:vAlign w:val="center"/>
          </w:tcPr>
          <w:p>
            <w:pPr>
              <w:pStyle w:val="TableContents"/>
              <w:bidi w:val="0"/>
              <w:spacing w:before="0" w:after="283"/>
              <w:ind w:left="0" w:right="0" w:firstLine="490"/>
              <w:jc w:val="left"/>
              <w:rPr>
                <w:sz w:val="4"/>
                <w:szCs w:val="4"/>
              </w:rPr>
            </w:pPr>
            <w:r>
              <w:rPr>
                <w:sz w:val="4"/>
                <w:szCs w:val="4"/>
              </w:rPr>
            </w:r>
          </w:p>
        </w:tc>
        <w:tc>
          <w:tcPr>
            <w:tcW w:w="806" w:type="dxa"/>
            <w:tcBorders/>
            <w:vAlign w:val="center"/>
          </w:tcPr>
          <w:p>
            <w:pPr>
              <w:pStyle w:val="TableContents"/>
              <w:bidi w:val="0"/>
              <w:spacing w:before="0" w:after="283"/>
              <w:ind w:left="0" w:right="0" w:firstLine="490"/>
              <w:jc w:val="left"/>
              <w:rPr>
                <w:sz w:val="4"/>
                <w:szCs w:val="4"/>
              </w:rPr>
            </w:pPr>
            <w:r>
              <w:rPr>
                <w:sz w:val="4"/>
                <w:szCs w:val="4"/>
              </w:rPr>
            </w:r>
          </w:p>
        </w:tc>
        <w:tc>
          <w:tcPr>
            <w:tcW w:w="2231" w:type="dxa"/>
            <w:tcBorders/>
            <w:vAlign w:val="center"/>
          </w:tcPr>
          <w:p>
            <w:pPr>
              <w:pStyle w:val="TableContents"/>
              <w:bidi w:val="0"/>
              <w:spacing w:before="0" w:after="283"/>
              <w:ind w:left="0" w:right="0" w:firstLine="490"/>
              <w:jc w:val="left"/>
              <w:rPr>
                <w:rFonts w:ascii="Times New Roman" w:hAnsi="Times New Roman"/>
                <w:color w:val="000000"/>
                <w:sz w:val="15"/>
              </w:rPr>
            </w:pPr>
            <w:r>
              <w:rPr>
                <w:rFonts w:ascii="Times New Roman" w:hAnsi="Times New Roman"/>
                <w:color w:val="000000"/>
                <w:sz w:val="15"/>
              </w:rPr>
              <w:t>Emerging growth company</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bl>
    <w:p>
      <w:pPr>
        <w:pStyle w:val="TextBody"/>
        <w:bidi w:val="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5"/>
        </w:rPr>
        <w:t>As of October 31, 2024, the registrant had 52,623,774</w:t>
      </w:r>
      <w:r>
        <w:rPr>
          <w:rFonts w:ascii="Times New Roman" w:hAnsi="Times New Roman"/>
          <w:color w:val="000000"/>
          <w:sz w:val="20"/>
        </w:rPr>
        <w:t xml:space="preserve"> </w:t>
      </w:r>
      <w:r>
        <w:rPr>
          <w:rFonts w:ascii="Times New Roman" w:hAnsi="Times New Roman"/>
          <w:color w:val="000000"/>
          <w:sz w:val="15"/>
        </w:rPr>
        <w:t>shares of common stock, $0.0001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Quarterly Report.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portfolio of clinical trials planned for submission in our Biologics License Application, or BLA, of tarcocimab tedromer (formerly KSI-301, also known as tarcocimab);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any product candidates we have or may develop,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 including the sufficiency of a single additional pivotal study of tarcocimab tedromer and a single BLA for wet AMD, RVO and DR 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enhancements and benefits of new formulations of tarcocimab, KSI-501 and KSI-101 or other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including the potential to achieve FDA approval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product candidates for which we obtain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enter into manufacturing-related commitments,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agreements with third parties in connection with the commercialization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 agreements and our ability to attract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unfavorable U.S. and global economic conditions on our business and operations, the business and operations of our collaborators, and on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aspirational goals and objectives related to our human capital resources and workforce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managerial,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the sufficiency of our cash resources, expenses, future revenue, capital requirements and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SELECTED RISKS AFFECTING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Investing in our common stock involves numerous risks, including the risks described in “Part II—Other Information, Item 1A.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period since our inception and anticipate that we will continue to incur significant and increasing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are heavily dependent on our tarcocimab, KSI-501 and KSI-101 product candidates, which are currently in clinical development for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for the development of tarcocimab, KSI-501 or KSI-101 may be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encounter substantial delays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additional financing, we may be unable to complete the development and, if approved, commercialization of our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2" w:type="dxa"/>
        <w:jc w:val="left"/>
        <w:tblInd w:w="0" w:type="dxa"/>
        <w:tblLayout w:type="fixed"/>
        <w:tblCellMar>
          <w:top w:w="28" w:type="dxa"/>
          <w:left w:w="28" w:type="dxa"/>
          <w:bottom w:w="28" w:type="dxa"/>
          <w:right w:w="28" w:type="dxa"/>
        </w:tblCellMar>
      </w:tblPr>
      <w:tblGrid>
        <w:gridCol w:w="1025"/>
        <w:gridCol w:w="7366"/>
        <w:gridCol w:w="511"/>
      </w:tblGrid>
      <w:tr>
        <w:trPr/>
        <w:tc>
          <w:tcPr>
            <w:tcW w:w="1025"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864"/>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730" w:type="dxa"/>
        <w:jc w:val="left"/>
        <w:tblInd w:w="0" w:type="dxa"/>
        <w:tblLayout w:type="fixed"/>
        <w:tblCellMar>
          <w:top w:w="28" w:type="dxa"/>
          <w:left w:w="28" w:type="dxa"/>
          <w:bottom w:w="28" w:type="dxa"/>
          <w:right w:w="28" w:type="dxa"/>
        </w:tblCellMar>
      </w:tblPr>
      <w:tblGrid>
        <w:gridCol w:w="6096"/>
        <w:gridCol w:w="146"/>
        <w:gridCol w:w="229"/>
        <w:gridCol w:w="1076"/>
        <w:gridCol w:w="166"/>
        <w:gridCol w:w="146"/>
        <w:gridCol w:w="221"/>
        <w:gridCol w:w="1039"/>
        <w:gridCol w:w="611"/>
      </w:tblGrid>
      <w:tr>
        <w:trPr/>
        <w:tc>
          <w:tcPr>
            <w:tcW w:w="6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sz w:val="4"/>
                <w:szCs w:val="4"/>
              </w:rPr>
            </w:pPr>
            <w:r>
              <w:rPr>
                <w:sz w:val="4"/>
                <w:szCs w:val="4"/>
              </w:rPr>
            </w:r>
          </w:p>
        </w:tc>
        <w:tc>
          <w:tcPr>
            <w:tcW w:w="611" w:type="dxa"/>
            <w:tcBorders/>
            <w:shd w:fill="CFF0FC" w:val="clear"/>
            <w:vAlign w:val="center"/>
          </w:tcPr>
          <w:p>
            <w:pPr>
              <w:pStyle w:val="TableContents"/>
              <w:bidi w:val="0"/>
              <w:spacing w:before="0" w:after="283"/>
              <w:jc w:val="righ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285,507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289,309</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120,482</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54,541</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71,862</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royalties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187,299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w:t>
              <w:br/>
              <w:t xml:space="preserve">   0 shares issued and outstanding at September 30, 2024 and </w:t>
              <w:br/>
              <w:t>   December 31, 2023, respectively</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$0.0001 par value, 490,000,000 shares authorized </w:t>
              <w:br/>
              <w:t xml:space="preserve">   at September 30, 2024 and December 31, 2023; 52,623,087 and </w:t>
              <w:br/>
              <w:t xml:space="preserve">   52,508,602 shares issued and outstanding at September 30, 2024 and </w:t>
              <w:br/>
              <w:t>   December 31, 2023, respectively</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1,469,998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1,418,307</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(213,947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used </w:t>
              <w:br/>
              <w:t>   in computing 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52,616,183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52,455,620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52,560,489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52,391,083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Change in unrealized gains (losses) related to available-for-sale </w:t>
              <w:br/>
              <w:t>   debt securities,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471" w:type="dxa"/>
        <w:jc w:val="left"/>
        <w:tblInd w:w="0" w:type="dxa"/>
        <w:tblLayout w:type="fixed"/>
        <w:tblCellMar>
          <w:top w:w="28" w:type="dxa"/>
          <w:left w:w="28" w:type="dxa"/>
          <w:bottom w:w="28" w:type="dxa"/>
          <w:right w:w="28" w:type="dxa"/>
        </w:tblCellMar>
      </w:tblPr>
      <w:tblGrid>
        <w:gridCol w:w="2241"/>
        <w:gridCol w:w="146"/>
        <w:gridCol w:w="146"/>
        <w:gridCol w:w="766"/>
        <w:gridCol w:w="146"/>
        <w:gridCol w:w="146"/>
        <w:gridCol w:w="196"/>
        <w:gridCol w:w="375"/>
        <w:gridCol w:w="146"/>
        <w:gridCol w:w="146"/>
        <w:gridCol w:w="181"/>
        <w:gridCol w:w="691"/>
        <w:gridCol w:w="146"/>
        <w:gridCol w:w="146"/>
        <w:gridCol w:w="279"/>
        <w:gridCol w:w="742"/>
        <w:gridCol w:w="151"/>
        <w:gridCol w:w="146"/>
        <w:gridCol w:w="181"/>
        <w:gridCol w:w="736"/>
        <w:gridCol w:w="151"/>
        <w:gridCol w:w="146"/>
        <w:gridCol w:w="219"/>
        <w:gridCol w:w="711"/>
        <w:gridCol w:w="391"/>
      </w:tblGrid>
      <w:tr>
        <w:trPr/>
        <w:tc>
          <w:tcPr>
            <w:tcW w:w="2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2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52,508,602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1,418,307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(1,152,531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265,781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18,409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52,523,447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1,436,754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(1,195,570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241,189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w:t>
              <w:br/>
              <w:t xml:space="preserve">   pursuant to employee stock </w:t>
              <w:br/>
              <w:t>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52,614,729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(1,240,687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214,506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14,810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52,623,087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(1,284,633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185,370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2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52,333,850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(892,040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436,167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52,344,741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(962,820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392,587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w:t>
              <w:br/>
              <w:t xml:space="preserve">   pursuant to employee stock </w:t>
              <w:br/>
              <w:t>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52,453,163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1,381,481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(1,043,008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338,478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upon </w:t>
              <w:br/>
              <w:t>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13,946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Balances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52,467,291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1,395,427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(1,093,015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302,417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03"/>
        <w:gridCol w:w="252"/>
        <w:gridCol w:w="1006"/>
        <w:gridCol w:w="198"/>
        <w:gridCol w:w="174"/>
        <w:gridCol w:w="252"/>
        <w:gridCol w:w="1006"/>
        <w:gridCol w:w="814"/>
      </w:tblGrid>
      <w:tr>
        <w:trPr/>
        <w:tc>
          <w:tcPr>
            <w:tcW w:w="65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503" w:type="dxa"/>
            <w:tcBorders/>
            <w:shd w:fill="FFFFFF" w:val="clear"/>
            <w:vAlign w:val="center"/>
          </w:tcPr>
          <w:p>
            <w:pPr>
              <w:pStyle w:val="TableContents"/>
              <w:bidi w:val="0"/>
              <w:spacing w:before="0" w:after="283"/>
              <w:jc w:val="left"/>
              <w:rPr/>
            </w:pPr>
            <w:r>
              <w:rPr/>
              <w:t> </w:t>
            </w:r>
          </w:p>
        </w:tc>
        <w:tc>
          <w:tcPr>
            <w:tcW w:w="2888"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814" w:type="dxa"/>
            <w:tcBorders/>
            <w:shd w:fill="FFFFFF" w:val="clear"/>
            <w:vAlign w:val="center"/>
          </w:tcPr>
          <w:p>
            <w:pPr>
              <w:pStyle w:val="TableContents"/>
              <w:bidi w:val="0"/>
              <w:spacing w:before="0" w:after="283"/>
              <w:jc w:val="center"/>
              <w:rPr/>
            </w:pPr>
            <w:r>
              <w:rPr/>
              <w:t> </w:t>
            </w:r>
          </w:p>
        </w:tc>
      </w:tr>
      <w:tr>
        <w:trPr/>
        <w:tc>
          <w:tcPr>
            <w:tcW w:w="6503" w:type="dxa"/>
            <w:tcBorders/>
            <w:shd w:fill="FFFFFF" w:val="clear"/>
            <w:vAlign w:val="center"/>
          </w:tcPr>
          <w:p>
            <w:pPr>
              <w:pStyle w:val="TableContents"/>
              <w:bidi w:val="0"/>
              <w:spacing w:before="0" w:after="283"/>
              <w:jc w:val="left"/>
              <w:rPr/>
            </w:pPr>
            <w:r>
              <w:rPr/>
              <w:t> </w:t>
            </w:r>
          </w:p>
        </w:tc>
        <w:tc>
          <w:tcPr>
            <w:tcW w:w="12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2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258"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(132,102</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(200,975</w:t>
            </w:r>
          </w:p>
        </w:tc>
        <w:tc>
          <w:tcPr>
            <w:tcW w:w="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258"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200"/>
              <w:jc w:val="right"/>
              <w:rPr/>
            </w:pPr>
            <w:r>
              <w:rPr/>
              <w:t> </w:t>
            </w:r>
          </w:p>
        </w:tc>
      </w:tr>
      <w:tr>
        <w:trPr/>
        <w:tc>
          <w:tcPr>
            <w:tcW w:w="65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14,084</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5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51,594</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65,727</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amortization (accretion) of premium (discount) on marketable securities</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8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Settlement of derivative contracts</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8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operating lease right-of-use asset</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5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issuance costs</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400"/>
              <w:jc w:val="right"/>
              <w:rPr/>
            </w:pPr>
            <w:r>
              <w:rPr/>
              <w:t> </w:t>
            </w:r>
          </w:p>
        </w:tc>
      </w:tr>
      <w:tr>
        <w:trPr/>
        <w:tc>
          <w:tcPr>
            <w:tcW w:w="650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5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50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5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and other current liabilities</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(87,249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(121,944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258"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(13,866</w:t>
            </w:r>
          </w:p>
        </w:tc>
        <w:tc>
          <w:tcPr>
            <w:tcW w:w="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on property and equipment</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8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marketable securities</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(49,347</w:t>
            </w:r>
          </w:p>
        </w:tc>
        <w:tc>
          <w:tcPr>
            <w:tcW w:w="8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340,000</w:t>
            </w:r>
          </w:p>
        </w:tc>
        <w:tc>
          <w:tcPr>
            <w:tcW w:w="814" w:type="dxa"/>
            <w:tcBorders/>
            <w:shd w:fill="CFF0FC" w:val="cle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derivative contracts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277,024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upon options exercise</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814" w:type="dxa"/>
            <w:tcBorders/>
            <w:shd w:fill="CFF0FC" w:val="cle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pursuant to employee stock purchase plan</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814" w:type="dxa"/>
            <w:tcBorders/>
            <w:shd w:fill="FFFFFF" w:val="clear"/>
            <w:vAlign w:val="center"/>
          </w:tcPr>
          <w:p>
            <w:pPr>
              <w:pStyle w:val="TableContents"/>
              <w:bidi w:val="0"/>
              <w:spacing w:before="0" w:after="283"/>
              <w:jc w:val="lef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of tenant improvement allowance payable</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814"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2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(87,783</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155,235</w:t>
            </w:r>
          </w:p>
        </w:tc>
        <w:tc>
          <w:tcPr>
            <w:tcW w:w="814" w:type="dxa"/>
            <w:tcBorders/>
            <w:shd w:fill="CFF0FC" w:val="cle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291,831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196,757</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351,992</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consolidated balance sheets</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197,864</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345,668</w:t>
            </w:r>
          </w:p>
        </w:tc>
        <w:tc>
          <w:tcPr>
            <w:tcW w:w="814" w:type="dxa"/>
            <w:tcBorders/>
            <w:shd w:fill="CFF0FC" w:val="cle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in consolidated balance sheets</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351,992</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information:</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operating lease liability</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814" w:type="dxa"/>
            <w:tcBorders/>
            <w:shd w:fill="CFF0FC" w:val="cle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under accounts payable and accruals</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27,465</w:t>
            </w:r>
          </w:p>
        </w:tc>
        <w:tc>
          <w:tcPr>
            <w:tcW w:w="8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Inc. (the “Company”) is a clinical stage biopharmaceutical company committed to researching, developing and commercializing transformative therapeutics to treat a broad spectrum of retinal diseases.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Company had cash and cash equivalents of $197.9 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plans to raise additional funding based on the status of its clinical trials and projected cash flows. While the Company has been able to raise multiple rounds of financing, there can be no assurance that such financing will be available on terms which are favorable or at all.</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on a basis substantially consistent with, and should be read in conjunction with the audited financial statements for the year ended December 31, 2023 and notes thereto, including the Company’s critical accounting policies for accrued research and development, stock-based compensation, and impairment of long-lived assets, the Company’s Annual Report on Form 10-K filed with the Securities and Exchange Commission (“SEC”) on March 28, 2024.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2024, or for any future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reflect the operations of the Company and its wholly owned subsidiaries. All intercompany accounts and transactions have been eliminated.</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stock-based compensation and impairment of long-lived assets.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health epidemics, labor shortages, bank failures, inflation and monetary supply shifts,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for the three and nine months ended September 30, 2024, are consistent with those discussed in Note 2 to the consolidated financial statements in the Company’s Annual Report on Form 10-K for the year ended December 31, 2023, except as noted below within the “Recent Accounting Pronouncements” section.</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under its Accounting Standards Codification ("ASC") or other standard setting bodies and adopted by the Company as of the specified effective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Segment Reporting (Topic 280), which requires disclosure of incremental segment information on an annual and interim basis, including enhanced disclosures for companies that have a single reportable segment. The amendment is effective for fiscal years beginning after December 15, 2023 and interim periods beginning after December 15, 2024, and early adoption is permitted. The Company is currently assessing the impact of this amendment on its consolidated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which enhances the disclosures required for income taxes in annual consolidated financial statements. The amendment is effective for fiscal years beginning after December 15, 2024, and early adoption is permitted. The Company is currently assessing the impact of this amendment on its consolidated financial statements and related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consist of the following (in thousands): </w:t>
      </w:r>
    </w:p>
    <w:p>
      <w:pPr>
        <w:pStyle w:val="TextBody"/>
        <w:bidi w:val="0"/>
        <w:jc w:val="left"/>
        <w:rPr/>
      </w:pPr>
      <w:r>
        <w:rPr/>
        <w:t> </w:t>
      </w:r>
    </w:p>
    <w:tbl>
      <w:tblPr>
        <w:tblW w:w="8025" w:type="dxa"/>
        <w:jc w:val="left"/>
        <w:tblInd w:w="0" w:type="dxa"/>
        <w:tblLayout w:type="fixed"/>
        <w:tblCellMar>
          <w:top w:w="28" w:type="dxa"/>
          <w:left w:w="28" w:type="dxa"/>
          <w:bottom w:w="28" w:type="dxa"/>
          <w:right w:w="28" w:type="dxa"/>
        </w:tblCellMar>
      </w:tblPr>
      <w:tblGrid>
        <w:gridCol w:w="4831"/>
        <w:gridCol w:w="146"/>
        <w:gridCol w:w="310"/>
        <w:gridCol w:w="995"/>
        <w:gridCol w:w="146"/>
        <w:gridCol w:w="146"/>
        <w:gridCol w:w="299"/>
        <w:gridCol w:w="96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and research &amp; development costs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and related costs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 and professional fees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3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Company’s fair value hierarchy for assets measured at fair value on a recurring basis (in thousands): </w:t>
      </w:r>
    </w:p>
    <w:p>
      <w:pPr>
        <w:pStyle w:val="TextBody"/>
        <w:bidi w:val="0"/>
        <w:jc w:val="left"/>
        <w:rPr/>
      </w:pPr>
      <w:r>
        <w:rPr/>
        <w:t> </w:t>
      </w:r>
    </w:p>
    <w:tbl>
      <w:tblPr>
        <w:tblW w:w="6834" w:type="dxa"/>
        <w:jc w:val="left"/>
        <w:tblInd w:w="0" w:type="dxa"/>
        <w:tblLayout w:type="fixed"/>
        <w:tblCellMar>
          <w:top w:w="28" w:type="dxa"/>
          <w:left w:w="28" w:type="dxa"/>
          <w:bottom w:w="28" w:type="dxa"/>
          <w:right w:w="28" w:type="dxa"/>
        </w:tblCellMar>
      </w:tblPr>
      <w:tblGrid>
        <w:gridCol w:w="1901"/>
        <w:gridCol w:w="146"/>
        <w:gridCol w:w="223"/>
        <w:gridCol w:w="828"/>
        <w:gridCol w:w="154"/>
        <w:gridCol w:w="154"/>
        <w:gridCol w:w="278"/>
        <w:gridCol w:w="457"/>
        <w:gridCol w:w="154"/>
        <w:gridCol w:w="154"/>
        <w:gridCol w:w="278"/>
        <w:gridCol w:w="457"/>
        <w:gridCol w:w="154"/>
        <w:gridCol w:w="154"/>
        <w:gridCol w:w="223"/>
        <w:gridCol w:w="828"/>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September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194,728</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194,728</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194,728</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274,466</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Palo Alto, California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entered into lease agreements for two buildings at 1200 and 1250 Page Mill Road in Palo Alto, California, which are now the Company’s U.S. corporate offices. Under ASC 842, the Company classified these leases as operating leases and recorded right-of-use assets and lease liabilities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Switzerland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the Company entered into a lease agreement for office and laboratory space at Rottenstrasse 5 in Visp, Switzerland. Under ASC 842, the Company classified this lease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The Company concluded that this agreement contained an embedded lease as the custom-built manufacturing suite would be dedicated for the Company’s use. Under ASC 842, the Company classified the lease portion as an operating lease and recorded a right-of-use asset and lease liability on the lease commencement date.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service and equipment purchase agreements and manufacturing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Funding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and 2023, the number of shares of common stock available for issuance under the 2018 Equity Incentive Plan (the "2018 Plan") was increased by approximately 2.1 million shares in each period, as a result of the automatic increase provision in the 2018 Plan.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including stock options and performance-based stock options under the 2021 Long-Term Performance Incentive Plan (“2021 LTPIP”), 2018 Plan and 2015 Plan is summarized as follows: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2986"/>
        <w:gridCol w:w="146"/>
        <w:gridCol w:w="146"/>
        <w:gridCol w:w="1036"/>
        <w:gridCol w:w="166"/>
        <w:gridCol w:w="146"/>
        <w:gridCol w:w="247"/>
        <w:gridCol w:w="669"/>
        <w:gridCol w:w="146"/>
        <w:gridCol w:w="146"/>
        <w:gridCol w:w="268"/>
        <w:gridCol w:w="858"/>
        <w:gridCol w:w="146"/>
        <w:gridCol w:w="146"/>
        <w:gridCol w:w="343"/>
        <w:gridCol w:w="932"/>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17,601,466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20,660,523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share activity, including restricted stock awards, restricted stock units, and performance-based restricted stock units, under the 2018 Plan is summarized as follows:</w:t>
      </w:r>
    </w:p>
    <w:p>
      <w:pPr>
        <w:pStyle w:val="TextBody"/>
        <w:bidi w:val="0"/>
        <w:jc w:val="left"/>
        <w:rPr/>
      </w:pPr>
      <w:r>
        <w:rPr/>
        <w:t> </w:t>
      </w:r>
    </w:p>
    <w:tbl>
      <w:tblPr>
        <w:tblW w:w="5450" w:type="dxa"/>
        <w:jc w:val="left"/>
        <w:tblInd w:w="0" w:type="dxa"/>
        <w:tblLayout w:type="fixed"/>
        <w:tblCellMar>
          <w:top w:w="28" w:type="dxa"/>
          <w:left w:w="28" w:type="dxa"/>
          <w:bottom w:w="28" w:type="dxa"/>
          <w:right w:w="28" w:type="dxa"/>
        </w:tblCellMar>
      </w:tblPr>
      <w:tblGrid>
        <w:gridCol w:w="2746"/>
        <w:gridCol w:w="146"/>
        <w:gridCol w:w="158"/>
        <w:gridCol w:w="847"/>
        <w:gridCol w:w="166"/>
        <w:gridCol w:w="146"/>
        <w:gridCol w:w="283"/>
        <w:gridCol w:w="767"/>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Restricted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September 30, 2024</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classified in the condensed consolidated statements of operations and comprehensive loss as follows (in thousands): </w:t>
      </w:r>
    </w:p>
    <w:p>
      <w:pPr>
        <w:pStyle w:val="TextBody"/>
        <w:bidi w:val="0"/>
        <w:jc w:val="left"/>
        <w:rPr/>
      </w:pPr>
      <w:r>
        <w:rPr/>
        <w:t> </w:t>
      </w:r>
    </w:p>
    <w:tbl>
      <w:tblPr>
        <w:tblW w:w="7507"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676"/>
        <w:gridCol w:w="146"/>
        <w:gridCol w:w="146"/>
        <w:gridCol w:w="211"/>
        <w:gridCol w:w="676"/>
        <w:gridCol w:w="146"/>
        <w:gridCol w:w="146"/>
        <w:gridCol w:w="211"/>
        <w:gridCol w:w="676"/>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32,093</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their inclusion would have been antidilutive: </w:t>
      </w:r>
    </w:p>
    <w:p>
      <w:pPr>
        <w:pStyle w:val="TextBody"/>
        <w:bidi w:val="0"/>
        <w:jc w:val="left"/>
        <w:rPr/>
      </w:pPr>
      <w:r>
        <w:rPr/>
        <w:t> </w:t>
      </w:r>
    </w:p>
    <w:tbl>
      <w:tblPr>
        <w:tblW w:w="5259"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20,660,523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18,629,117</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186,267</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20,782,872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18,815,384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_item2"/>
      <w:bookmarkEnd w:id="9"/>
      <w:r>
        <w:rPr>
          <w:rFonts w:ascii="Times New Roman" w:hAnsi="Times New Roman"/>
          <w:b/>
          <w:color w:val="000000"/>
          <w:sz w:val="20"/>
        </w:rPr>
        <w:t xml:space="preserve">Item 2. Management’s Discussion and Analysis of </w:t>
      </w:r>
      <w:bookmarkStart w:id="10" w:name="item_2_managements_discussion_analysis_f"/>
      <w:bookmarkEnd w:id="10"/>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2023, included in our Annual Report on Form 10-K filed with the Securities and Exchange Commission, or the SEC, on March 28, 2024.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Sciences (“we”, the “Company” or “Kodiak”) is a biopharmaceutical company committed to researching, developing, and commercializing transformative therapeutics to treat a broad spectrum of retinal diseases. We are focused on bringing new science to the design and manufacture of next generation retinal medicines to prevent and treat the leading causes of blindness globally. Our ABC Platform uses molecular engineering to merge the fields of protein-based and chemistry-based therapies and has been at the core of Kodiak's discovery engine. We are developing a portfolio of three clinical programs, two of which are late-stage today and derived from our ABC Platform and one which is platform-independent and which we believe can progress rapidly into pivotal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Kodiak's lead investigational medicine, tarcocimab, is a novel anti-VEGF antibody biopolymer conjugate under development for the treatment of high prevalence retinal vascular diseases. Tarcocimab is currently being studied in two Phase 3 clinical trials, GLOW2 in patients with diabetic retinopathy and DAYBREAK in patients with wet AMD. Both studies are actively enrolling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is our second investigational medicine, a first-in-class anti-IL-6, VEGF-trap bispecific antibody biopolymer conjugate designed to inhibit both IL-6 mediated inflammation and VEGF-mediated angiogenesis and vascular permeability. KSI-501 is being developed for the treatment of high prevalence retinal vascular diseases to address the unmet needs of extended durability and targeting disease biology beyond VEGF for differentiated efficacy. The Phase 3 DAYBREAK study of KSI-501 in wet AMD is actively enrolling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KSI-101, our third product candidate, is a novel anti-IL-6, VEGF-trap bispecific protein. Kodiak is developing KSI-101 for the treatment of retinal inflammatory diseases, as currently there are no available intravitreal biologic therapies addressing the spectrum of inflammatory conditions of the retina. The Phase 1b APEX study of KSI-101 is actively enrolling patients, as a precursor to activating the Phase 2b/3 PEAK and PINNACLE studies in patients with macular edema secondary to inflammation (“MESI”).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Kodiak is advancing its platform technology to embed small molecules and other active pharmaceutical ingredients ("APIs") into Kodiak's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diseases and builds directly from our Antibody Biopolymer Conjugate technology and its 15 years of design, development and manufacturing experience. We call this platform extension our Antibody Biopolymer Conjugate </w:t>
      </w:r>
      <w:r>
        <w:rPr>
          <w:rFonts w:ascii="Times New Roman" w:hAnsi="Times New Roman"/>
          <w:i/>
          <w:color w:val="000000"/>
          <w:sz w:val="20"/>
        </w:rPr>
        <w:t>Drug</w:t>
      </w:r>
      <w:r>
        <w:rPr>
          <w:rFonts w:ascii="Times New Roman" w:hAnsi="Times New Roman"/>
          <w:color w:val="000000"/>
          <w:sz w:val="20"/>
        </w:rPr>
        <w:t xml:space="preserve"> (“ABCD”) Platform because we are extending our platform capabilities to include the conjugation of small molecule drugs whereas historically we conjugated biologics such as antibodies. </w:t>
      </w:r>
    </w:p>
    <w:p>
      <w:pPr>
        <w:pStyle w:val="TextBody"/>
        <w:bidi w:val="0"/>
        <w:jc w:val="left"/>
        <w:rPr>
          <w:rFonts w:ascii="Times New Roman" w:hAnsi="Times New Roman"/>
          <w:b/>
          <w:color w:val="000000"/>
          <w:sz w:val="20"/>
        </w:rPr>
      </w:pPr>
      <w:r>
        <w:rPr>
          <w:rFonts w:ascii="Times New Roman" w:hAnsi="Times New Roman"/>
          <w:b/>
          <w:color w:val="000000"/>
          <w:sz w:val="20"/>
        </w:rPr>
        <w:t>Recent Updates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Investor R&amp;D Day: </w:t>
      </w:r>
      <w:r>
        <w:rPr>
          <w:rFonts w:ascii="Times New Roman" w:hAnsi="Times New Roman"/>
          <w:color w:val="000000"/>
          <w:sz w:val="20"/>
        </w:rPr>
        <w:t>We hosted an Investor R&amp;D Day with financial analysts and institutional investors on September 23, 2024, in New York City, with a webcast available for virtual attendees. The event featured presentations and roundtable discussions on Kodiak’s science of durability, including (i) first-time presentation of human ocular half-life data of tarcocimab, (ii) science of the enhanced formulation for the Antibody Biopolymer Conjugate (“ABC”) Platform, including how the enhanced formulations of tarcocimab and KSI-501 are designed to provide strong immediacy while preserving their signature 6-month durability profile, (iii) updates on our clinical programs including rationale on how our pivotal Phase 3 studies GLOW2 and DAYBREAK are designed to maximize probability of success, and (iv) new progress on our preclinical pipeline including new glaucoma and geographic atrophy programs built from our ABCD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Leading retina specialist key opinion leaders Dr. David Brown and Dr. Charles Wykoff joined us at the event as guest speakers and shared their perspectives. The event was well-attended by financial analysts and invited institutional investors.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Tarcocimab Clinical Program: </w:t>
      </w:r>
      <w:r>
        <w:rPr>
          <w:rFonts w:ascii="Times New Roman" w:hAnsi="Times New Roman"/>
          <w:color w:val="000000"/>
          <w:sz w:val="20"/>
        </w:rPr>
        <w:t>In the</w:t>
      </w:r>
      <w:r>
        <w:rPr>
          <w:color w:val="000000"/>
        </w:rPr>
        <w:t xml:space="preserve"> </w:t>
      </w:r>
      <w:r>
        <w:rPr>
          <w:rFonts w:ascii="Times New Roman" w:hAnsi="Times New Roman"/>
          <w:color w:val="000000"/>
          <w:sz w:val="20"/>
        </w:rPr>
        <w:t>third quarter of 2024 we continued enrollment for the ongoing Phase 3 GLOW2 study of tarcocimab in diabetic retinopathy (“DR”).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GLOW2 is a prospective, randomized, double-masked, multi-center pivotal superiority study designed to evaluate the efficacy and safety of tarcocimab tedromer in treatment-naïve patients with DR. Patients are randomized 1:1 to receive either sham injections or tarcocimab via intravitreal injection at baseline, Week 4, Week 8, Week 20 and Week 44. The primary endpoint is the proportion of eyes improving ≥2 steps on Diabetic Retinopathy Severity Scale (“DRSS”) from baseline at Week 48. Additional outcome measures include the proportion of eyes developing a sight threatening complication of diabetic retinopathy and the proportion of eyes improving ≥3 steps on DRSS from baseline at Week 48.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GLOW2 is the second Phase 3 study of tarcocimab in DR in which all patients randomized to investigational therapy will receive tarcocimab on extended, 6-month dosing. The GLOW2 study design mirrors that of the successful GLOW1 Phase 3 study with the benefit of an additional, third monthly loading dose (baseline, Week 4, Week 8). If successful, GLOW2 could serve as one of the two successful pivotal studies in one foundational indication, diabetic retinopathy, to support the marketing authorization application for tarcocimab.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third quarter of 2024, we continued site activations and patient enrollment for the Phase 3 DAYBREAK study in wet age-related macular degeneration (“AMD”). The DAYBREAK study includes tarcocimab in a second investigational arm against active comparator aflibercept and incorporates learnings from prior pivotal trials of tarcocimab to maximize the probability of meeting the primary endpoint of non-inferiority in visual acuity gains. Patients randomized to tarcocimab will receive individualized dosing every 4 to 24 weeks on an as needed basis following four monthly loading doses. Patients randomized to aflibercept will be dosed per its label. The individualized dosing of tarcocimab is determined by a treat-to-dryness proactive approach using presence of retinal fluid as a disease activity marker which (i) is the way retina specialists actually treat patients in the real world, (ii) results in a treatment every time it is needed, (iii) prevents undertreatment, and (iv) enhances the probability of meeting the primary endpoint. The objectives for tarcocimab in DAYBREAK are to assess its 6-month durability potential, strengthen its competitive position in wet AMD, and bolster the regulatory application package for the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GLOW2 and DAYBREAK use tarcocimab’s enhanced 50 mg/mL formulation containing both conjugated and unconjugated antibody that is intended to balance immediacy and durability.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KSI-501 Clinical Program: </w:t>
      </w:r>
      <w:r>
        <w:rPr>
          <w:rFonts w:ascii="Times New Roman" w:hAnsi="Times New Roman"/>
          <w:color w:val="000000"/>
          <w:sz w:val="20"/>
        </w:rPr>
        <w:t>The objective for KSI-501 in DAYBREAK is to explore the efficacy potential of bispecific VEGF and IL-6 inhibition in a broad treatment-naïve wet AMD population. In preclinical models, KSI-501 was shown to be a potent inhibitor of VEGF and IL-6 and, further, was shown to normalize the blood retinal barrier opening the possibility that KSI-501 may be a disease-modifying therapy for retinal vascular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third quarter of 2024, we continued site activations and patient enrollment for the Phase 3 DAYBREAK study in wet AMD. DAYBREAK is a non-inferiority study including parallel investigational arms of KSI-501 and tarcocimab against active comparator aflibercept. Patients randomized to KSI-501 will receive fixed every 8-week dosing with additional individualized dosing (up to monthly dosing) on an as needed basis after four monthly loading doses. Patients randomized to aflibercept will be dosed per its label. Using the same treat-to-dryness approach as tarcocimab, coupled with fixed intensive proactive dosing, maximizes both the probability of meeting the primary endpoint as well as the probability of demonstrating additional efficacy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DAYBREAK uses KSI-501’s enhanced 50 mg/mL formulation containing both conjugated and unconjugated antibody that is intended to balance immediacy and durability.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KSI-101 Clinical Program: </w:t>
      </w:r>
      <w:r>
        <w:rPr>
          <w:rFonts w:ascii="Times New Roman" w:hAnsi="Times New Roman"/>
          <w:color w:val="000000"/>
          <w:sz w:val="20"/>
        </w:rPr>
        <w:t>We continued site activation and patient enrollment in the third quarter of 2024 for the Phase 1b APEX study of KSI-101. KSI-101 is</w:t>
      </w:r>
      <w:r>
        <w:rPr>
          <w:color w:val="000000"/>
        </w:rPr>
        <w:t xml:space="preserve"> </w:t>
      </w:r>
      <w:r>
        <w:rPr>
          <w:rFonts w:ascii="Times New Roman" w:hAnsi="Times New Roman"/>
          <w:color w:val="000000"/>
          <w:sz w:val="20"/>
        </w:rPr>
        <w:t>a novel, potent and high-strength (100 mg/mL) bispecific protein targeting IL-6 and VEGF, which is a “traditional” (unconjugated) intravitreal biologic. The APEX study evaluates KSI-101 in two cohorts, Cohort 1 in patients with diabetic macular edema (“DME”) and Cohort 2 in patients with macular edema secondary to inflammation (“MESI”). The goal of the APEX study is to evaluate the safety and tolerability of KSI-101 and to identify two dose levels to progress into dual Phase 2b/3 studies (PEAK and PINNACLE) in MESI.</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ABCD Platform</w:t>
      </w:r>
      <w:r>
        <w:rPr>
          <w:rFonts w:ascii="Times New Roman" w:hAnsi="Times New Roman"/>
          <w:color w:val="000000"/>
          <w:sz w:val="20"/>
        </w:rPr>
        <w:t></w:t>
      </w:r>
      <w:r>
        <w:rPr>
          <w:rFonts w:ascii="Times New Roman" w:hAnsi="Times New Roman"/>
          <w:b/>
          <w:i/>
          <w:color w:val="000000"/>
          <w:sz w:val="20"/>
        </w:rPr>
        <w:t xml:space="preserve">: </w:t>
      </w:r>
      <w:r>
        <w:rPr>
          <w:rFonts w:ascii="Times New Roman" w:hAnsi="Times New Roman"/>
          <w:color w:val="000000"/>
          <w:sz w:val="20"/>
        </w:rPr>
        <w:t>We are expanding our research pipeline of duets and triplets built from our modular ABCD Platform that embeds diverse active pharmaceutical ingredients ("API") including small molecules, proteins, peptides, macrocycles, and oligonucleotides in the biopolymer backbone to enable high drug antibody ratio ("DAR") medicines with targeted, multi-specific, tailored modulation of biological pathways for ophthalmic and systemic diseases.</w:t>
      </w:r>
      <w:r>
        <w:rPr>
          <w:color w:val="000000"/>
        </w:rPr>
        <w:t xml:space="preserve"> </w:t>
      </w:r>
      <w:r>
        <w:rPr>
          <w:rFonts w:ascii="Times New Roman" w:hAnsi="Times New Roman"/>
          <w:color w:val="000000"/>
          <w:sz w:val="20"/>
        </w:rPr>
        <w:t xml:space="preserve">We recently shared at the Investor R&amp;D Day that we are advancing two preclinical programs built on the ABCD Platform.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program is to create an intravitreally injected therapy that delivers two mechanisms of action (“MOA”) in a sustained release fashion, to fulfill the unmet needs in the glaucoma field for non-topical, long-durability therapy that delivers MOAs beyond IOP lowering.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program is for the treatment of dry AMD. Currently there are no approved therapies for early or intermediate-stage dry AMD. There are two approved therapies, both complement inhibitors, for geographic atrophy (“GA”), the advanced stage of dry AMD. These therapies require monthly or every other month intravitreal injections and neither sufficiently halts disease progression. This program at Kodiak explores the potential of embedding in the biopolymer backbone (i) a macrocyclic peptide inhibitor of the complement pathway, and (ii) an NLRP3 small molecule inhibitor. The NLRP3 inflammasome is known to play a key role in AMD disease etiology. The objective of this program is to create an intravitreally injected ABCD platform-enabled therapy with a dual mechanism of action to achieve better efficacy and extended durability as compared to currently approved therapies for GA.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income earned on our cash and cash equivalents.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the change in fair value and settlement of derivative contracts and tax expense.</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1"/>
        <w:gridCol w:w="146"/>
        <w:gridCol w:w="211"/>
        <w:gridCol w:w="736"/>
        <w:gridCol w:w="166"/>
        <w:gridCol w:w="146"/>
        <w:gridCol w:w="211"/>
        <w:gridCol w:w="736"/>
        <w:gridCol w:w="166"/>
        <w:gridCol w:w="146"/>
        <w:gridCol w:w="211"/>
        <w:gridCol w:w="631"/>
        <w:gridCol w:w="166"/>
        <w:gridCol w:w="146"/>
        <w:gridCol w:w="211"/>
        <w:gridCol w:w="841"/>
        <w:gridCol w:w="166"/>
        <w:gridCol w:w="146"/>
        <w:gridCol w:w="211"/>
        <w:gridCol w:w="841"/>
        <w:gridCol w:w="166"/>
        <w:gridCol w:w="146"/>
        <w:gridCol w:w="211"/>
        <w:gridCol w:w="736"/>
        <w:gridCol w:w="3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4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4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4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211"/>
        <w:gridCol w:w="676"/>
        <w:gridCol w:w="146"/>
        <w:gridCol w:w="146"/>
        <w:gridCol w:w="211"/>
        <w:gridCol w:w="631"/>
        <w:gridCol w:w="166"/>
        <w:gridCol w:w="146"/>
        <w:gridCol w:w="211"/>
        <w:gridCol w:w="676"/>
        <w:gridCol w:w="146"/>
        <w:gridCol w:w="146"/>
        <w:gridCol w:w="211"/>
        <w:gridCol w:w="781"/>
        <w:gridCol w:w="146"/>
        <w:gridCol w:w="146"/>
        <w:gridCol w:w="211"/>
        <w:gridCol w:w="736"/>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KSI-501 and KSI-101 program </w:t>
              <w:br/>
              <w: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ABC Platform and other </w:t>
              <w:br/>
              <w:t>   program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Facilities and other research and </w:t>
              <w:br/>
              <w:t>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Total research and development </w:t>
              <w:br/>
              <w: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Tarcocimab program expenses decreased $7.8 million and $53.5 million during the three and nine months ended September 30, 2024 as compared to the same periods in 2023, primarily driven by reduced manufacturing activities and decreased clinical activities for completed trials, partially offset by costs from active clinical trials for the tarcocimab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and KSI-101 program expenses increased $0.9 million during the three months ended September 30, 2024 as compared to the same period in 2023, due to increased clinical activities of KSI-501 and KSI-101. KSI-501 and KSI-101 program expenses increased $2.4 million during the nine months ended September 30, 2024 as compared to the same period in 2023, stemming from manufacturing activities in the first half of 2024 as well as expanding clinical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ABC Platform and other program expenses decreased $1.1 million and $4.6 million during the three and nine months ended September 30, 2024 as compared to the same periods in 2023, due to reduced manufacturing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personnel expenses increased $3.9 million and decreased $7.5 million during the three and nine months ended September 30, 2024 as compared to the same periods in 2023. The fluctuations in payroll and personnel expenses were primarily driven by timing of forfeitures of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research and development expenses decreased $0.1 million and $2.2 million during the three and nine months ended September 30, 2024 as compared to the same periods in 2023, primarily driven by reduced costs for digital transformation activities as well as currency fluctuations in the revaluation of our lease and capital obligations.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$3.6 million and $7.9 million during the three and nine months ended September 30, 2024 as compared to the same periods in 2023. The decrease was primarily driven by stock-based compensation expense related to previously issued higher value awards becoming fully vested.</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issuance of common stock and the sale of future royalties. As of September 30, 2024, we had cash and cash equivalents of $197.9 million. We believe that our current cash and cash equivalents will be sufficient to support our current and planned operations into 2026.</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since our inception. For the three and nine months ended September 30, 2024, we had net loss of $43.9 million and $132.1 million, of which $14.8 million and $51.6 million related to non-cash stock-based compensation expense, respectively. We expect to continue to incur additional losses in future periods. As of September 30, 2024, we had an accumulated deficit of $1,284.6 million. We believe that the cash and cash equivalents will be sufficient to meet our anticipated operating and capital expenditure requirements at least 12 months following the date of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estimates on assumptions that may prove to be wrong, and we could deplete our capital resources sooner than we expect. 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manufacturing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plans to raise additional funding based on the status of its clinical trials and projected cash flows.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significant uncertainties caused by any public health crises, the on-going geopolitical conflicts, inflation, rising interest rates, bank failures,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for each of the periods presented below, in thousands: </w:t>
      </w:r>
    </w:p>
    <w:p>
      <w:pPr>
        <w:pStyle w:val="TextBody"/>
        <w:bidi w:val="0"/>
        <w:jc w:val="left"/>
        <w:rPr/>
      </w:pPr>
      <w:r>
        <w:rPr/>
        <w:t> </w:t>
      </w:r>
    </w:p>
    <w:tbl>
      <w:tblPr>
        <w:tblW w:w="8234"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84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(121,944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277,024</w:t>
            </w:r>
          </w:p>
        </w:tc>
        <w:tc>
          <w:tcPr>
            <w:tcW w:w="2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$87.2 million for the nine months ended September 30, 2024, based on operational spend of $60.1 million and changes in operating assets and liabilities of $27.1 million.</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2023, which was filed with the SEC on March 28, 2024. There have been no material changes in our contractual obligations and commitments since December 31, 2023, except as otherwise described in Note 5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there were no material changes to our critical accounting policies as reported in our Annual Report on Form 10-K for the year ended December 31, 2023, which was filed with the SEC on March 28, 2024, except as otherwise described in Note 2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discussed under Note 2 to our unaudited condensed consolidated financial statements included in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_item3"/>
      <w:bookmarkEnd w:id="11"/>
      <w:r>
        <w:rPr>
          <w:rFonts w:ascii="Times New Roman" w:hAnsi="Times New Roman"/>
          <w:b/>
          <w:color w:val="000000"/>
          <w:sz w:val="20"/>
        </w:rPr>
        <w:t>Item 3. Quantitative and Qualitati</w:t>
      </w:r>
      <w:bookmarkStart w:id="12" w:name="item_3_quantitative_qualitative_disclosu"/>
      <w:bookmarkEnd w:id="12"/>
      <w:r>
        <w:rPr>
          <w:rFonts w:ascii="Times New Roman" w:hAnsi="Times New Roman"/>
          <w:b/>
          <w:color w:val="000000"/>
          <w:sz w:val="20"/>
        </w:rPr>
        <w:t>ve Disclosures About Market Risk.</w:t>
      </w:r>
    </w:p>
    <w:p>
      <w:pPr>
        <w:pStyle w:val="TextBody"/>
        <w:bidi w:val="0"/>
        <w:spacing w:before="120" w:after="283"/>
        <w:jc w:val="left"/>
        <w:rPr>
          <w:rFonts w:ascii="Times New Roman" w:hAnsi="Times New Roman"/>
          <w:color w:val="000000"/>
          <w:sz w:val="20"/>
        </w:rPr>
      </w:pPr>
      <w:bookmarkStart w:id="13" w:name="s161692780"/>
      <w:bookmarkEnd w:id="13"/>
      <w:r>
        <w:rPr>
          <w:rFonts w:ascii="Times New Roman" w:hAnsi="Times New Roman"/>
          <w:color w:val="000000"/>
          <w:sz w:val="20"/>
        </w:rPr>
        <w:t>During the nine months ended September 30, 2024, there were no material changes to our market risk disclosures as reported in our Annual Report on Form 10-K for the year ended December 31, 2023, which was filed with the SEC on March 28, 2024.</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Evaluation of our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September 30, 2024. Based upon such evaluation, our principal executive officer and principal financial officer concluded that the design and operation of our disclosure controls and procedures were effective at a reasonable assurance level as of September 30,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September 30, 2024,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i_item4t"/>
      <w:bookmarkEnd w:id="15"/>
      <w:r>
        <w:rPr>
          <w:rFonts w:ascii="Times New Roman" w:hAnsi="Times New Roman"/>
          <w:b/>
          <w:color w:val="000000"/>
          <w:sz w:val="20"/>
        </w:rPr>
        <w:t>PART II—OTHER</w:t>
      </w:r>
      <w:bookmarkStart w:id="16" w:name="part_iior_information"/>
      <w:bookmarkEnd w:id="16"/>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pStyle w:val="TextBody"/>
        <w:bidi w:val="0"/>
        <w:spacing w:before="24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28,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In May 2024, we dosed the first patients in the Phase 3 GLOW2 study of tarcocimab in patients with DR. We have initiated an additional Phase 3 clinical trial of tarcocimab and KSI-501 in wet AMD and a Phase 1b trial in patients who have retinal fluid and inflammation.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marketing approval for any of our product candidates, including tarcocimab, KSI-501 or KSI-101, manufactured a commercial scale product,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prospects are heavily dependent on our tarcocimab, KSI-501 and KSI-101 product candidates, which are currently in clinical development for multiple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will be heavily dependent on our tarcocimab, KSI-501 and KSI-101 product candidates and the results of planned or pending clinical studies. We cannot be certain that our product candidates will be successful in any of the planned or pending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previous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clinical study designs and data are not necessarily predictive of the final marketed product label. FDA may not approve a label for a particular dosing frequency, even if we believe the data demonstrate support for that dosing.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 Phase 1 study of KSI-501 to evaluate the safety, tolerability and bioactivity of KSI-501 in DME. Although we have begun enrolling patients in the Phase 3 DAYBREAK study for patients with wet AMD, it could take years before a registrational-type trial is completed, if at all. In addition, we have initiated a dose-finding Phase 1b APEX study in 2024 and may initiate dual Phase 2b/3 studies, PEAK and PINNACLE, in the second quarter of 2025.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plan for the development of tarcocimab, KSI-501 or KSI-101 may be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resumed further development of tarcocimab in November 2023 following the outcomes of two other trials that were then underway. While we have previous trials with favorable results and we have since resumed development of tarcocimab, further development of tarcocimab may ultimately not be successful.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w:t>
      </w:r>
    </w:p>
    <w:p>
      <w:pPr>
        <w:pStyle w:val="TextBody"/>
        <w:bidi w:val="0"/>
        <w:jc w:val="left"/>
        <w:rPr>
          <w:rFonts w:ascii="Times New Roman" w:hAnsi="Times New Roman"/>
          <w:b/>
          <w:i/>
          <w:color w:val="000000"/>
          <w:sz w:val="20"/>
        </w:rPr>
      </w:pPr>
      <w:r>
        <w:rPr>
          <w:rFonts w:ascii="Times New Roman" w:hAnsi="Times New Roman"/>
          <w:b/>
          <w:i/>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announced that two of our pivotal Phase 3 clinical trials of tarcocimab did not meet their primary efficacy endpoints and, as a result, we paused further development of tarcocimab pending review of Year 1 data from the BEACON study in patients with macular edema due to RVO and the GLOW1 study patients with diabetic retinopathy. Although we resumed the development of tarcocimab in November 2023, we may again determine to discontinue development of tarcocimab or our ABC Platform or other product candidates based on future information or trials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and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may not be successful in our efforts to further develop our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our CROs, other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 Most product candidates that begin clinical trials are never approved by regulatory authorities for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are currently pursuing the development of products for the treatment of the retinal diseases for which we have product candidates. Certain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and/or commercializing therapeutics in the retinal disease area include large companies with significant financial resources, such as Roche, Novartis, Bayer and Regeneron, AbbVie, Boehringer Ingelheim, Amgen, and Samsung Bioepis. In addition to competition from other companies targeting retinal indications, any products we may develop may also face competition from other types of therapies, such as gene-editing therapies and drug delivery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Quarterly Report on Form 10-Q titled “Risks Related to Our Intellectual Property.”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p>
    <w:p>
      <w:pPr>
        <w:pStyle w:val="TextBody"/>
        <w:bidi w:val="0"/>
        <w:spacing w:before="120" w:after="283"/>
        <w:jc w:val="left"/>
        <w:rPr>
          <w:rFonts w:ascii="Times New Roman" w:hAnsi="Times New Roman"/>
          <w:sz w:val="20"/>
        </w:rPr>
      </w:pPr>
      <w:r>
        <w:rPr>
          <w:rFonts w:ascii="Times New Roman" w:hAnsi="Times New Roman"/>
          <w:color w:val="000000"/>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Times New Roman" w:hAnsi="Times New Roman"/>
          <w:color w:val="000000"/>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methods of manufacturing or formulation of product candidates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recently created a scale-up formulation of tarcocimab in a manner that we believe may improve manufacturability and usability.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product revenue, and we may not become profitable.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pricing and access policies in the United States and internationally may change and negatively impact the commercial viability of our product candidates. Proposed policy changes, including the potential for Medicare to negotiate with drug manufacturers under the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development program and timeline of tarcocimab may impact our ability to use the Ursus facility as intended, which could result in an excess of 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regulatory scrutiny.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Biden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and Consolidated Appropriations Act of 2023, will remain in effect until 2032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effective January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took effect progressively starting in fiscal year 2023. On August 15, 2024, HHS announced the agreed-upon reimbursement prices of the first ten drugs that were subject to price negotiations, although the Medicare drug price negotiation program is currently subject to legal challenges. HHS will select up to fifteen additional drugs covered under Part D for price negotiation in 2025.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provincial, state, national, and foreign laws and regulations, as well as policies, contracts and other obligations. Data privacy and security laws and regulations are evolving and may result in ever-increasing regulatory and public scrutiny and escalating levels of enforcement and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and other similar laws. In the past few years, numerous U.S. states — including California, Colorado, Connecticut, Utah and Virginia — have enacted comprehensive privacy laws that impose certain obligations on covered businesses, including providing specific disclosures in privacy notices and affording residents with certain rights concerning their personal data. As applicable, such rights may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(the CCPA) provides for civil penalties for violations (up to $7,500 per violation) and a private right of action for certain data breaches(which could lead to the recovery of significant statutory damages). Although these laws may exempt some data processed in the context of clinical trials, these laws increase compliance costs and potential liability in the general data processing industry. Similar laws are being considered in other states as well as at the federal and local levels. We expect more laws to apply to our data processing activities. These laws will further complicate our compliance efforts and increase our legal risks and compliance costs (including of third parties upon whom we rely).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government regulators may impose temporary or definitive bans on data processing, as well as fines of up to 20 million Euros (under the EU GDPR) or 17.5 million pounds sterling (under the UK GDPR), or 4% of annual global revenue, whichever is greater, under either law. Further, the EU and UK GDPR also provide for private litigation related to the processing of personal data that can be brought by classes of data subjects or consumer protection organizations authorized at law to represent the data subjects’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transfers. Although there are various mechanisms (such as the European Economic Area standard contractual clauses, the UK’s International Data Transfer Agreement/Addendum, and the EU-U.S. Data Privacy Framework and the UK extension), that may be used in some cases to lawfully transfer personal data to the United States or other countries, these mechanisms are subject to legal challenges and may not be available to us. An inability or material limitation on our ability to transfer personal data to the United States or other countries could materially impact our business operations. If we cannot implement a valid compliance mechanism for cross-border data transfers, we may face increased exposure to regulatory actions, substantial fines, and injunctions against processing or transferring personal data from Europe and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across borders are subject to increased regulator, individual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left"/>
        <w:rPr>
          <w:rFonts w:ascii="Times New Roman" w:hAnsi="Times New Roman"/>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If we or any third party on which we rely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to our development process; and damage to our reputation, any of which could materially affect our business, financial condition, results of operations and growth prospects</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 third-party manufacturer, Lonza AG, for the manufacture of our materials for preclinical studies and clinical trials and expect to continue to do so for preclinical studies, clinical trials and for commercial supply of any product candidates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any further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we may develop,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 KSI-101, if we rely on a different product, its development could involve the use of government funds, which can require additional compliance aspects to make certain all rights are transferred to or remain with us.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 </w:t>
      </w:r>
    </w:p>
    <w:p>
      <w:pPr>
        <w:pStyle w:val="TextBody"/>
        <w:bidi w:val="0"/>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hAnsi="Times New Roman"/>
          <w:i/>
          <w:color w:val="000000"/>
          <w:sz w:val="20"/>
        </w:rPr>
        <w:t xml:space="preserve">inter partes </w:t>
      </w:r>
      <w:r>
        <w:rPr>
          <w:rFonts w:ascii="Times New Roman" w:hAnsi="Times New Roman"/>
          <w:color w:val="000000"/>
          <w:sz w:val="20"/>
        </w:rPr>
        <w:t xml:space="preserve">review and post-grant review have been implemented. As stated above, this reform adds uncertainty to the possibility of challenge to our patents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patents and patent applications that are directed to one or more aspects of tarcocimab and KSI-501. Our intent is to maintain our development efforts under 35 U.S.C. Section 271(e)(1) (which provides a safe harbor from patent infringement claims related to certain drug development activities) through to at least the launch of any tarcocimab and KSI-501 product. We are aware of at least one pending patent application with claims that are directed to some aspect of tarcocimab and KSI-501, and that could, if issued, result in a patent term beyond a potential launch date for tarcocimab or KSI-501. If this were to occur, we may be required to challenge the validity of the claims, obtain a license, modify tarcocimab or KSI-501, or delay launch. We are also aware of at least one issued patent family with claims that may be related to some potential future aspect(s) of KSI-501 and that has a patent term beyond a potential launch date for KSI-501. If this or any other patent family were perceived relevant, we may be required to challenge the validity of the claims, obtain a license, modify KSI-501, or delay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to further the pipeline and develop a different product, such a product would be delayed until the expiration of any valid patent that is still in force on such product. Alternatively, our options for addressing any such patents relating to these non- tarcocimab and KSI-501 products would include the following: challenge the validity of the claims, obtain a license, or modify the non- tarcocimab and non-KSI-501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we had 108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increasing operational and managerial complexity.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engage in various acquisitions and strategic partnerships in the future, including licensing or acquiring complementary products, intellectual property rights, technologies or businesses. Any acquisition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incur large one-time expenses and acquire intangible assets that could result in significant future amortization expense.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security measures, or those maintained on our behalf by CROs, service providers or other third parties, are compromised now, or in the future, or the security, confidentiality, integrity or availability of our or others' information technology, software, services, networks, communications or data is compromised, limited or fails, this could result in significant fines or other liability, interrupt our development programs, harm our reputation, or otherwise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others upon which we rely process personal data and other sensitive information, including proprietary and confidential business data, trade secrets, intellectual property, data collected about trial participants in connection with clinical trials, and sensitive third-party data. 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upon which we rely may be vulnerable to a heightened risk of attacks, including cyber-attacks that could materially disrupt our systems and operations and supply chain. We and the third parties upon which we rely may be subject to a variety of evolving threats, including but not limited to social-engineering attacks (including through deep fakes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certain personnel may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A security incident or other interruption could result in unauthorized, unlawful, or accidental acquisition, modification, destruction, loss, alteration, encryption, disclosure of, access to our sensitive information, or interruptions or stoppages in our business operations (including our clinical trials).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be unable to detect vulnerabilities in our information technology systems and software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applicable data protection requirements, including, without limitation, laws, regulations, guidance as well as our internal and external policies and our contractual obligations, may require us to notify relevant stakeholders of security incident,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suppliers and collaborative relationships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changing regulatory requirements, pricing and reimbursement regimes in non-U.S.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business, financial condition, and ability to attain profitable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the effects of disease outbreaks, epidemics and pandemics, as well as the business or operations of our manufacturers, CROs or other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 To date, we continue to see low levels of patient missed visits.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had $83.8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Unfavorable U.S. and global economic conditions could adversely affect our business, financial condition or results of operations</w:t>
      </w:r>
      <w:r>
        <w:rPr>
          <w:rFonts w:ascii="Arial" w:hAnsi="Arial"/>
          <w:b/>
          <w:i/>
          <w:color w:val="000000"/>
          <w:sz w:val="17"/>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incurred significant net losses in each period since our inception and anticipate that we will continue to incur significant and increasing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reporting period since our inception, including net losses of $132.1 million for the nine months ended September 30, 2024. As of September 30, 2024, we had an accumulated deficit of $1,284.6 million.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and increasingly higher expenses and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 against any product liability claims or other lawsuits related to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required substantial amounts of cash since inception. To date, we have funded our operations primarily through the sale of equity securities.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Foreign currency exchange rate risk may impact our financial position and results.</w:t>
      </w:r>
    </w:p>
    <w:p>
      <w:pPr>
        <w:pStyle w:val="TextBody"/>
        <w:bidi w:val="0"/>
        <w:spacing w:before="120" w:after="283"/>
        <w:jc w:val="left"/>
        <w:rPr>
          <w:rFonts w:ascii="Times New Roman" w:hAnsi="Times New Roman"/>
          <w:sz w:val="20"/>
        </w:rPr>
      </w:pPr>
      <w:r>
        <w:rPr>
          <w:rFonts w:ascii="Times New Roman" w:hAnsi="Times New Roman"/>
          <w:color w:val="000000"/>
          <w:sz w:val="20"/>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market price of our common stock may be volatile, which could result in substantial losses for investors purchasing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be volatile. For example, the closing price of our common stock from December 31, 2022 to December 31, 2023 ranged from a low of $1.40 to a high of $9.48 and from January 1, 2024 to October 31, 2024, ranged from a low of $2.20 to a high of $7.45. As a result, shareholders may not be able to sell their common stock at or above the price that they paid for such shares.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the Court of Chancery of the State of Delaware will be the exclusive forum for: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the U.S. federal district courts will be the exclusive forum for resolving any complaint asserting a cause of action arising under the Securities Act of 1933, as amended.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rely in part on the research and reports that industry or financial analysts publish about us or our business. If one or more of the analysts covering our business downgrade their evaluations of our stock, the price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could decline. If one or more of these analysts cease to cover our stock, we could lose visibility in the market for our stock, which in turn could cause our stock price to decline.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decline,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i_item2"/>
      <w:bookmarkEnd w:id="19"/>
      <w:r>
        <w:rPr>
          <w:rFonts w:ascii="Times New Roman" w:hAnsi="Times New Roman"/>
          <w:b/>
          <w:color w:val="000000"/>
          <w:sz w:val="20"/>
        </w:rPr>
        <w:t xml:space="preserve">Item 2. </w:t>
      </w:r>
      <w:bookmarkStart w:id="20" w:name="item_2_unregistered_sales_equity_securit"/>
      <w:bookmarkEnd w:id="20"/>
      <w:r>
        <w:rPr>
          <w:rFonts w:ascii="Times New Roman" w:hAnsi="Times New Roman"/>
          <w:b/>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1" w:name="item_3_defaults_upon_senior_securities"/>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3" w:name="item_5_or_information"/>
      <w:bookmarkEnd w:id="23"/>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4" w:name="ii_item6"/>
      <w:bookmarkEnd w:id="24"/>
      <w:r>
        <w:rPr>
          <w:rFonts w:ascii="Times New Roman" w:hAnsi="Times New Roman"/>
          <w:b/>
          <w:color w:val="000000"/>
          <w:sz w:val="20"/>
        </w:rPr>
        <w:t>Item 6. E</w:t>
      </w:r>
      <w:bookmarkStart w:id="25" w:name="item_6_exhibits"/>
      <w:bookmarkEnd w:id="25"/>
      <w:r>
        <w:rPr>
          <w:rFonts w:ascii="Times New Roman" w:hAnsi="Times New Roman"/>
          <w:b/>
          <w:color w:val="000000"/>
          <w:sz w:val="20"/>
        </w:rPr>
        <w:t>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6001"/>
        <w:gridCol w:w="146"/>
        <w:gridCol w:w="527"/>
        <w:gridCol w:w="146"/>
        <w:gridCol w:w="842"/>
        <w:gridCol w:w="146"/>
        <w:gridCol w:w="631"/>
        <w:gridCol w:w="146"/>
        <w:gridCol w:w="726"/>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6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Kodiak Sciences Inc.</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Kodiak Sciences Inc.</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9/24/2018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Class B Share Warrant</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Registration Rights Agreement, dated March 1, 2021, by and among the registrant and the investors named therein</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3/1/2021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Times New Roman" w:hAnsi="Times New Roman"/>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Times New Roman" w:hAnsi="Times New Roman"/>
                  <w:color w:val="0000FF"/>
                  <w:sz w:val="20"/>
                  <w:u w:val="single"/>
                </w:rPr>
                <w:t>Certification of Principal Accounting and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signatures"/>
      <w:bookmarkEnd w:id="26"/>
      <w:r>
        <w:rPr>
          <w:rFonts w:ascii="Times New Roman" w:hAnsi="Times New Roman"/>
          <w:b/>
          <w:color w:val="000000"/>
          <w:sz w:val="20"/>
        </w:rPr>
        <w:t>SIGNAT</w:t>
      </w:r>
      <w:bookmarkStart w:id="27" w:name="signature"/>
      <w:bookmarkEnd w:id="27"/>
      <w:r>
        <w:rPr>
          <w:rFonts w:ascii="Times New Roman" w:hAnsi="Times New Roman"/>
          <w:b/>
          <w:color w:val="000000"/>
          <w:sz w:val="20"/>
        </w:rPr>
        <w: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bookmarkStart w:id="28" w:name="kod-ex31_1.htm"/>
      <w:bookmarkStart w:id="29" w:name="kskod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Victor Perlroth,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2206"/>
        <w:gridCol w:w="109"/>
        <w:gridCol w:w="406"/>
        <w:gridCol w:w="34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kod-ex31_2.htm"/>
      <w:bookmarkStart w:id="31" w:name="kskod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Borgeson,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kod-ex32_1.htm"/>
      <w:bookmarkStart w:id="33" w:name="kskod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September 30, 2024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2206"/>
        <w:gridCol w:w="109"/>
        <w:gridCol w:w="406"/>
        <w:gridCol w:w="34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kod-ex32_2.htm"/>
      <w:bookmarkStart w:id="35" w:name="kskod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September 30, 2024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748/000156459018029743/kod-ex31_303.htm" TargetMode="External"/><Relationship Id="rId3" Type="http://schemas.openxmlformats.org/officeDocument/2006/relationships/hyperlink" Target="https://www.sec.gov/Archives/edgar/data/1468748/000156459018029743/kod-ex32_302.htm" TargetMode="External"/><Relationship Id="rId4" Type="http://schemas.openxmlformats.org/officeDocument/2006/relationships/hyperlink" Target="https://www.sec.gov/Archives/edgar/data/1468748/000119312518280419/d516071dex41.htm" TargetMode="External"/><Relationship Id="rId5" Type="http://schemas.openxmlformats.org/officeDocument/2006/relationships/hyperlink" Target="https://www.sec.gov/Archives/edgar/data/1468748/000119312518269221/d516071dex45.htm" TargetMode="External"/><Relationship Id="rId6" Type="http://schemas.openxmlformats.org/officeDocument/2006/relationships/hyperlink" Target="https://www.sec.gov/Archives/edgar/data/1468748/000156459021009946/kod-ex47_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48416</Words>
  <Characters>274257</Characters>
  <CharactersWithSpaces>323242</CharactersWithSpaces>
  <Paragraphs>4482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