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kod-20230630.htm"/>
      <w:bookmarkStart w:id="1" w:name="kskod20230630"/>
      <w:bookmarkEnd w:id="0"/>
      <w:bookmarkEnd w:id="1"/>
      <w:r>
        <w:rPr/>
        <w:t> </w:t>
      </w:r>
    </w:p>
    <w:p>
      <w:pPr>
        <w:pStyle w:val="TextBody"/>
        <w:pBdr>
          <w:bottom w:val="double" w:sz="6" w:space="1" w:color="000000"/>
        </w:pBdr>
        <w:bidi w:val="0"/>
        <w:spacing w:before="0" w:after="0"/>
        <w:jc w:val="center"/>
        <w:rPr/>
      </w:pPr>
      <w:r>
        <w:rPr/>
        <w:t> </w:t>
      </w:r>
    </w:p>
    <w:p>
      <w:pPr>
        <w:pStyle w:val="TextBody"/>
        <w:bidi w:val="0"/>
        <w:spacing w:before="40" w:after="0"/>
        <w:jc w:val="center"/>
        <w:rPr>
          <w:rFonts w:ascii="Times New Roman;serif" w:hAnsi="Times New Roman;serif"/>
          <w:b/>
          <w:sz w:val="36"/>
        </w:rPr>
      </w:pPr>
      <w:r>
        <w:rPr>
          <w:rFonts w:ascii="Times New Roman;serif" w:hAnsi="Times New Roman;serif"/>
          <w:b/>
          <w:sz w:val="36"/>
        </w:rPr>
        <w:t>UNITED STATES</w:t>
      </w:r>
    </w:p>
    <w:p>
      <w:pPr>
        <w:pStyle w:val="TextBody"/>
        <w:bidi w:val="0"/>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bidi w:val="0"/>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bidi w:val="0"/>
        <w:spacing w:before="0" w:after="0"/>
        <w:jc w:val="center"/>
        <w:rPr/>
      </w:pPr>
      <w:r>
        <w:rPr/>
        <w:t> </w:t>
      </w:r>
    </w:p>
    <w:p>
      <w:pPr>
        <w:pStyle w:val="TextBody"/>
        <w:bidi w:val="0"/>
        <w:spacing w:before="12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bidi w:val="0"/>
        <w:spacing w:before="0" w:after="0"/>
        <w:jc w:val="center"/>
        <w:rPr/>
      </w:pPr>
      <w:r>
        <w:rPr/>
        <w:t> </w:t>
      </w:r>
    </w:p>
    <w:p>
      <w:pPr>
        <w:pStyle w:val="TextBody"/>
        <w:bidi w:val="0"/>
        <w:spacing w:before="0" w:after="0"/>
        <w:jc w:val="left"/>
        <w:rPr>
          <w:rFonts w:ascii="Times New Roman;serif" w:hAnsi="Times New Roman;serif"/>
          <w:b/>
          <w:sz w:val="16"/>
        </w:rPr>
      </w:pPr>
      <w:r>
        <w:rPr>
          <w:rFonts w:ascii="Times New Roman;serif" w:hAnsi="Times New Roman;serif"/>
          <w:b/>
          <w:sz w:val="16"/>
        </w:rPr>
        <w:t>(Mark One)</w:t>
      </w:r>
    </w:p>
    <w:p>
      <w:pPr>
        <w:pStyle w:val="TextBody"/>
        <w:bidi w:val="0"/>
        <w:spacing w:before="0" w:after="0"/>
        <w:jc w:val="left"/>
        <w:rPr/>
      </w:pPr>
      <w:r>
        <w:rPr/>
        <w:t xml:space="preserve">☒ </w:t>
      </w:r>
      <w:r>
        <w:rPr>
          <w:rFonts w:ascii="Times New Roman;serif" w:hAnsi="Times New Roman;serif"/>
          <w:b/>
          <w:sz w:val="20"/>
        </w:rPr>
        <w:t>QUARTERLY REPORT PURSUANT TO SECTION 13 OR 15(d) OF THE SECURITIES EXCHANGE ACT OF 1934</w:t>
      </w:r>
    </w:p>
    <w:p>
      <w:pPr>
        <w:pStyle w:val="TextBody"/>
        <w:bidi w:val="0"/>
        <w:spacing w:before="120" w:after="0"/>
        <w:jc w:val="center"/>
        <w:rPr>
          <w:rFonts w:ascii="Times New Roman;serif" w:hAnsi="Times New Roman;serif"/>
          <w:b/>
          <w:sz w:val="20"/>
        </w:rPr>
      </w:pPr>
      <w:r>
        <w:rPr>
          <w:rFonts w:ascii="Times New Roman;serif" w:hAnsi="Times New Roman;serif"/>
          <w:b/>
          <w:sz w:val="20"/>
        </w:rPr>
        <w:t>For the quarterly period ended June 30, 2023</w:t>
      </w:r>
    </w:p>
    <w:p>
      <w:pPr>
        <w:pStyle w:val="TextBody"/>
        <w:bidi w:val="0"/>
        <w:spacing w:before="120" w:after="0"/>
        <w:jc w:val="center"/>
        <w:rPr>
          <w:rFonts w:ascii="Times New Roman;serif" w:hAnsi="Times New Roman;serif"/>
          <w:b/>
          <w:sz w:val="20"/>
        </w:rPr>
      </w:pPr>
      <w:r>
        <w:rPr>
          <w:rFonts w:ascii="Times New Roman;serif" w:hAnsi="Times New Roman;serif"/>
          <w:b/>
          <w:sz w:val="20"/>
        </w:rPr>
        <w:t>OR</w:t>
      </w:r>
    </w:p>
    <w:p>
      <w:pPr>
        <w:pStyle w:val="TextBody"/>
        <w:bidi w:val="0"/>
        <w:spacing w:before="120" w:after="0"/>
        <w:jc w:val="left"/>
        <w:rPr/>
      </w:pPr>
      <w:r>
        <w:rPr/>
        <w:t xml:space="preserve">☐ </w:t>
      </w:r>
      <w:r>
        <w:rPr>
          <w:rFonts w:ascii="Times New Roman;serif" w:hAnsi="Times New Roman;serif"/>
          <w:b/>
          <w:sz w:val="20"/>
        </w:rPr>
        <w:t>TRANSITION REPORT PURSUANT TO SECTION 13 OR 15(d) OF THE SECURITIES EXCHANGE ACT OF 1934</w:t>
      </w:r>
    </w:p>
    <w:p>
      <w:pPr>
        <w:pStyle w:val="TextBody"/>
        <w:bidi w:val="0"/>
        <w:spacing w:before="120" w:after="0"/>
        <w:jc w:val="center"/>
        <w:rPr>
          <w:rFonts w:ascii="Times New Roman;serif" w:hAnsi="Times New Roman;serif"/>
          <w:b/>
          <w:sz w:val="20"/>
        </w:rPr>
      </w:pPr>
      <w:r>
        <w:rPr>
          <w:rFonts w:ascii="Times New Roman;serif" w:hAnsi="Times New Roman;serif"/>
          <w:b/>
          <w:sz w:val="20"/>
        </w:rPr>
        <w:t>For the transition period from __________ to _________</w:t>
      </w:r>
    </w:p>
    <w:p>
      <w:pPr>
        <w:pStyle w:val="TextBody"/>
        <w:bidi w:val="0"/>
        <w:spacing w:before="120" w:after="0"/>
        <w:jc w:val="center"/>
        <w:rPr>
          <w:rFonts w:ascii="Times New Roman;serif" w:hAnsi="Times New Roman;serif"/>
          <w:b/>
          <w:sz w:val="20"/>
        </w:rPr>
      </w:pPr>
      <w:r>
        <w:rPr>
          <w:rFonts w:ascii="Times New Roman;serif" w:hAnsi="Times New Roman;serif"/>
          <w:b/>
          <w:sz w:val="20"/>
        </w:rPr>
        <w:t>Commission File Number: 001-38682</w:t>
      </w:r>
    </w:p>
    <w:p>
      <w:pPr>
        <w:pStyle w:val="TextBody"/>
        <w:pBdr>
          <w:bottom w:val="single" w:sz="4" w:space="1" w:color="000000"/>
        </w:pBdr>
        <w:bidi w:val="0"/>
        <w:spacing w:before="0" w:after="0"/>
        <w:jc w:val="center"/>
        <w:rPr/>
      </w:pPr>
      <w:r>
        <w:rPr/>
        <w:t> </w:t>
      </w:r>
    </w:p>
    <w:p>
      <w:pPr>
        <w:pStyle w:val="TextBody"/>
        <w:bidi w:val="0"/>
        <w:spacing w:before="0" w:after="0"/>
        <w:jc w:val="center"/>
        <w:rPr>
          <w:rFonts w:ascii="Times New Roman;serif" w:hAnsi="Times New Roman;serif"/>
          <w:b/>
          <w:sz w:val="48"/>
        </w:rPr>
      </w:pPr>
      <w:r>
        <w:rPr>
          <w:rFonts w:ascii="Times New Roman;serif" w:hAnsi="Times New Roman;serif"/>
          <w:b/>
          <w:sz w:val="48"/>
        </w:rPr>
        <w:t>KODIAK SCIENCES INC.</w:t>
      </w:r>
    </w:p>
    <w:p>
      <w:pPr>
        <w:pStyle w:val="TextBody"/>
        <w:bidi w:val="0"/>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bidi w:val="0"/>
        <w:spacing w:before="0" w:after="0"/>
        <w:jc w:val="center"/>
        <w:rPr/>
      </w:pPr>
      <w:r>
        <w:rPr/>
        <w:t> </w:t>
      </w:r>
    </w:p>
    <w:p>
      <w:pPr>
        <w:pStyle w:val="TextBody"/>
        <w:bidi w:val="0"/>
        <w:spacing w:before="0" w:after="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48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27-0476525</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 of</w:t>
            </w:r>
          </w:p>
          <w:p>
            <w:pPr>
              <w:pStyle w:val="TableContents"/>
              <w:bidi w:val="0"/>
              <w:spacing w:before="0" w:after="15"/>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4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(I.R.S. Employer</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Identification No.)</w:t>
            </w:r>
          </w:p>
        </w:tc>
      </w:tr>
      <w:tr>
        <w:trPr/>
        <w:tc>
          <w:tcPr>
            <w:tcW w:w="2926" w:type="dxa"/>
            <w:tcBorders/>
            <w:vAlign w:val="center"/>
          </w:tcPr>
          <w:p>
            <w:pPr>
              <w:pStyle w:val="TableContents"/>
              <w:bidi w:val="0"/>
              <w:spacing w:before="40" w:after="0"/>
              <w:ind w:left="0" w:right="0" w:hanging="0"/>
              <w:jc w:val="center"/>
              <w:rPr>
                <w:rFonts w:ascii="Times New Roman;serif" w:hAnsi="Times New Roman;serif"/>
                <w:b/>
                <w:sz w:val="20"/>
              </w:rPr>
            </w:pPr>
            <w:r>
              <w:rPr>
                <w:rFonts w:ascii="Times New Roman;serif" w:hAnsi="Times New Roman;serif"/>
                <w:b/>
                <w:sz w:val="20"/>
              </w:rPr>
              <w:t>1200 Page Mill Road</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Palo Alto, CA</w:t>
            </w:r>
          </w:p>
        </w:tc>
        <w:tc>
          <w:tcPr>
            <w:tcW w:w="148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94304</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(Address of principal executive offices)</w:t>
            </w:r>
          </w:p>
        </w:tc>
        <w:tc>
          <w:tcPr>
            <w:tcW w:w="14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(Zip Code)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 xml:space="preserve">Registrant’s telephone number, including area code: </w:t>
      </w:r>
      <w:r>
        <w:rPr>
          <w:rFonts w:ascii="Times New Roman;serif" w:hAnsi="Times New Roman;serif"/>
          <w:b/>
          <w:sz w:val="18"/>
        </w:rPr>
        <w:t>(650) 281-0850</w:t>
      </w:r>
    </w:p>
    <w:p>
      <w:pPr>
        <w:pStyle w:val="TextBody"/>
        <w:pBdr>
          <w:bottom w:val="single" w:sz="4" w:space="1" w:color="000000"/>
        </w:pBdr>
        <w:bidi w:val="0"/>
        <w:spacing w:before="0" w:after="0"/>
        <w:jc w:val="center"/>
        <w:rPr/>
      </w:pPr>
      <w:r>
        <w:rPr/>
        <w:t> </w:t>
      </w:r>
    </w:p>
    <w:p>
      <w:pPr>
        <w:pStyle w:val="TextBody"/>
        <w:bidi w:val="0"/>
        <w:spacing w:before="60" w:after="0"/>
        <w:jc w:val="left"/>
        <w:rPr>
          <w:rFonts w:ascii="Times New Roman;serif" w:hAnsi="Times New Roman;serif"/>
          <w:b/>
          <w:sz w:val="18"/>
        </w:rPr>
      </w:pPr>
      <w:r>
        <w:rPr>
          <w:rFonts w:ascii="Times New Roman;serif" w:hAnsi="Times New Roman;serif"/>
          <w:b/>
          <w:sz w:val="18"/>
        </w:rPr>
        <w:t>Securities registered pursuant to Section 12(b) of the Act:</w:t>
      </w:r>
    </w:p>
    <w:p>
      <w:pPr>
        <w:pStyle w:val="TextBody"/>
        <w:bidi w:val="0"/>
        <w:spacing w:before="0" w:after="0"/>
        <w:jc w:val="left"/>
        <w:rPr/>
      </w:pPr>
      <w:r>
        <w:rPr/>
        <w:t> </w:t>
      </w:r>
    </w:p>
    <w:tbl>
      <w:tblPr>
        <w:tblW w:w="7608" w:type="dxa"/>
        <w:jc w:val="left"/>
        <w:tblInd w:w="0" w:type="dxa"/>
        <w:tblLayout w:type="fixed"/>
        <w:tblCellMar>
          <w:top w:w="28" w:type="dxa"/>
          <w:left w:w="28" w:type="dxa"/>
          <w:bottom w:w="28" w:type="dxa"/>
          <w:right w:w="28" w:type="dxa"/>
        </w:tblCellMar>
      </w:tblPr>
      <w:tblGrid>
        <w:gridCol w:w="2566"/>
        <w:gridCol w:w="1561"/>
        <w:gridCol w:w="3481"/>
      </w:tblGrid>
      <w:tr>
        <w:trPr/>
        <w:tc>
          <w:tcPr>
            <w:tcW w:w="256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256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120" w:after="0"/>
              <w:ind w:left="0" w:right="0" w:hanging="0"/>
              <w:jc w:val="center"/>
              <w:rPr>
                <w:rFonts w:ascii="Times New Roman;serif" w:hAnsi="Times New Roman;serif"/>
                <w:b/>
                <w:sz w:val="18"/>
              </w:rPr>
            </w:pPr>
            <w:r>
              <w:rPr>
                <w:rFonts w:ascii="Times New Roman;serif" w:hAnsi="Times New Roman;serif"/>
                <w:b/>
                <w:sz w:val="18"/>
              </w:rPr>
              <w:t>Title of each class</w:t>
            </w:r>
          </w:p>
        </w:tc>
        <w:tc>
          <w:tcPr>
            <w:tcW w:w="156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120" w:after="0"/>
              <w:ind w:left="0" w:right="0" w:hanging="0"/>
              <w:jc w:val="center"/>
              <w:rPr>
                <w:rFonts w:ascii="Times New Roman;serif" w:hAnsi="Times New Roman;serif"/>
                <w:b/>
                <w:sz w:val="18"/>
              </w:rPr>
            </w:pPr>
            <w:r>
              <w:rPr>
                <w:rFonts w:ascii="Times New Roman;serif" w:hAnsi="Times New Roman;serif"/>
                <w:b/>
                <w:sz w:val="18"/>
              </w:rPr>
              <w:t>Trading Symbol(s)</w:t>
            </w:r>
          </w:p>
        </w:tc>
        <w:tc>
          <w:tcPr>
            <w:tcW w:w="348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120" w:after="0"/>
              <w:ind w:left="0" w:right="0" w:hanging="0"/>
              <w:jc w:val="center"/>
              <w:rPr>
                <w:rFonts w:ascii="Times New Roman;serif" w:hAnsi="Times New Roman;serif"/>
                <w:b/>
                <w:sz w:val="18"/>
              </w:rPr>
            </w:pPr>
            <w:r>
              <w:rPr>
                <w:rFonts w:ascii="Times New Roman;serif" w:hAnsi="Times New Roman;serif"/>
                <w:b/>
                <w:sz w:val="18"/>
              </w:rPr>
              <w:t>Name of each exchange on which registered</w:t>
            </w:r>
          </w:p>
        </w:tc>
      </w:tr>
      <w:tr>
        <w:trPr/>
        <w:tc>
          <w:tcPr>
            <w:tcW w:w="256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0"/>
              <w:ind w:left="0" w:right="0" w:hanging="0"/>
              <w:jc w:val="center"/>
              <w:rPr>
                <w:rFonts w:ascii="Times New Roman;serif" w:hAnsi="Times New Roman;serif"/>
                <w:b w:val="false"/>
                <w:sz w:val="18"/>
              </w:rPr>
            </w:pPr>
            <w:r>
              <w:rPr>
                <w:rFonts w:ascii="Times New Roman;serif" w:hAnsi="Times New Roman;serif"/>
                <w:b w:val="false"/>
                <w:sz w:val="18"/>
              </w:rPr>
              <w:t>Common stock, par value $0.0001</w:t>
            </w:r>
          </w:p>
        </w:tc>
        <w:tc>
          <w:tcPr>
            <w:tcW w:w="1561" w:type="dxa"/>
            <w:tcBorders>
              <w:bottom w:val="single" w:sz="4" w:space="0" w:color="000000"/>
              <w:right w:val="single" w:sz="4" w:space="0" w:color="000000"/>
            </w:tcBorders>
            <w:tcMar>
              <w:top w:w="0" w:type="dxa"/>
              <w:left w:w="0" w:type="dxa"/>
            </w:tcMar>
            <w:vAlign w:val="center"/>
          </w:tcPr>
          <w:p>
            <w:pPr>
              <w:pStyle w:val="TableContents"/>
              <w:bidi w:val="0"/>
              <w:spacing w:before="120" w:after="0"/>
              <w:ind w:left="0" w:right="0" w:hanging="0"/>
              <w:jc w:val="center"/>
              <w:rPr>
                <w:rFonts w:ascii="Times New Roman;serif" w:hAnsi="Times New Roman;serif"/>
                <w:b w:val="false"/>
                <w:sz w:val="18"/>
              </w:rPr>
            </w:pPr>
            <w:r>
              <w:rPr>
                <w:rFonts w:ascii="Times New Roman;serif" w:hAnsi="Times New Roman;serif"/>
                <w:b w:val="false"/>
                <w:sz w:val="18"/>
              </w:rPr>
              <w:t>KOD</w:t>
            </w:r>
          </w:p>
        </w:tc>
        <w:tc>
          <w:tcPr>
            <w:tcW w:w="3481" w:type="dxa"/>
            <w:tcBorders>
              <w:bottom w:val="single" w:sz="4" w:space="0" w:color="000000"/>
              <w:right w:val="single" w:sz="4" w:space="0" w:color="000000"/>
            </w:tcBorders>
            <w:tcMar>
              <w:top w:w="0" w:type="dxa"/>
              <w:left w:w="0" w:type="dxa"/>
            </w:tcMar>
            <w:vAlign w:val="center"/>
          </w:tcPr>
          <w:p>
            <w:pPr>
              <w:pStyle w:val="TableContents"/>
              <w:bidi w:val="0"/>
              <w:spacing w:before="120" w:after="0"/>
              <w:ind w:left="0" w:right="0" w:hanging="0"/>
              <w:jc w:val="center"/>
              <w:rPr>
                <w:rFonts w:ascii="Times New Roman;serif" w:hAnsi="Times New Roman;serif"/>
                <w:b w:val="false"/>
                <w:sz w:val="18"/>
              </w:rPr>
            </w:pPr>
            <w:r>
              <w:rPr>
                <w:rFonts w:ascii="Times New Roman;serif" w:hAnsi="Times New Roman;serif"/>
                <w:b w:val="false"/>
                <w:sz w:val="18"/>
              </w:rPr>
              <w:t>The Nasdaq Stock Market LLC</w:t>
            </w:r>
          </w:p>
        </w:tc>
      </w:tr>
    </w:tbl>
    <w:p>
      <w:pPr>
        <w:pStyle w:val="TextBody"/>
        <w:bidi w:val="0"/>
        <w:spacing w:before="0" w:after="0"/>
        <w:jc w:val="center"/>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5"/>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5"/>
        </w:rPr>
        <w:t xml:space="preserve">No </w:t>
      </w:r>
      <w:r>
        <w:rPr>
          <w:rFonts w:ascii="Times New Roman" w:hAnsi="Times New Roman"/>
          <w:sz w:val="20"/>
        </w:rPr>
        <w:t>☐</w:t>
      </w:r>
    </w:p>
    <w:p>
      <w:pPr>
        <w:pStyle w:val="TextBody"/>
        <w:bidi w:val="0"/>
        <w:spacing w:before="0" w:after="0"/>
        <w:jc w:val="left"/>
        <w:rPr>
          <w:rFonts w:ascii="Times New Roman" w:hAnsi="Times New Roman"/>
          <w:sz w:val="20"/>
        </w:rPr>
      </w:pPr>
      <w:r>
        <w:rPr>
          <w:rFonts w:ascii="Times New Roman;serif" w:hAnsi="Times New Roman;serif"/>
          <w:b w:val="false"/>
          <w:sz w:val="15"/>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5"/>
        </w:rPr>
        <w:t>No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5"/>
        </w:rPr>
      </w:pPr>
      <w:r>
        <w:rPr>
          <w:rFonts w:ascii="Times New Roman;serif" w:hAnsi="Times New Roman;serif"/>
          <w:b w:val="false"/>
          <w:sz w:val="1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5789" w:type="dxa"/>
        <w:jc w:val="left"/>
        <w:tblInd w:w="0" w:type="dxa"/>
        <w:tblLayout w:type="fixed"/>
        <w:tblCellMar>
          <w:top w:w="28" w:type="dxa"/>
          <w:left w:w="28" w:type="dxa"/>
          <w:bottom w:w="28" w:type="dxa"/>
          <w:right w:w="28" w:type="dxa"/>
        </w:tblCellMar>
      </w:tblPr>
      <w:tblGrid>
        <w:gridCol w:w="1901"/>
        <w:gridCol w:w="806"/>
        <w:gridCol w:w="2231"/>
        <w:gridCol w:w="851"/>
      </w:tblGrid>
      <w:tr>
        <w:trPr/>
        <w:tc>
          <w:tcPr>
            <w:tcW w:w="19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901" w:type="dxa"/>
            <w:tcBorders/>
            <w:vAlign w:val="center"/>
          </w:tcPr>
          <w:p>
            <w:pPr>
              <w:pStyle w:val="TableContents"/>
              <w:bidi w:val="0"/>
              <w:spacing w:before="0" w:after="0"/>
              <w:ind w:left="0" w:right="0" w:firstLine="490"/>
              <w:jc w:val="left"/>
              <w:rPr>
                <w:rFonts w:ascii="Times New Roman;serif" w:hAnsi="Times New Roman;serif"/>
                <w:b w:val="false"/>
                <w:sz w:val="15"/>
              </w:rPr>
            </w:pPr>
            <w:r>
              <w:rPr>
                <w:rFonts w:ascii="Times New Roman;serif" w:hAnsi="Times New Roman;serif"/>
                <w:b w:val="false"/>
                <w:sz w:val="15"/>
              </w:rPr>
              <w:t>Large accelerated filer</w:t>
            </w:r>
          </w:p>
        </w:tc>
        <w:tc>
          <w:tcPr>
            <w:tcW w:w="806" w:type="dxa"/>
            <w:tcBorders/>
            <w:vAlign w:val="center"/>
          </w:tcPr>
          <w:p>
            <w:pPr>
              <w:pStyle w:val="TableContents"/>
              <w:bidi w:val="0"/>
              <w:spacing w:before="0" w:after="0"/>
              <w:ind w:left="0" w:right="0" w:firstLine="490"/>
              <w:jc w:val="left"/>
              <w:rPr/>
            </w:pPr>
            <w:r>
              <w:rPr/>
              <w:t>☐</w:t>
            </w:r>
          </w:p>
        </w:tc>
        <w:tc>
          <w:tcPr>
            <w:tcW w:w="2231" w:type="dxa"/>
            <w:tcBorders/>
            <w:vAlign w:val="center"/>
          </w:tcPr>
          <w:p>
            <w:pPr>
              <w:pStyle w:val="TableContents"/>
              <w:bidi w:val="0"/>
              <w:spacing w:before="0" w:after="0"/>
              <w:ind w:left="0" w:right="0" w:firstLine="490"/>
              <w:jc w:val="left"/>
              <w:rPr>
                <w:rFonts w:ascii="Times New Roman;serif" w:hAnsi="Times New Roman;serif"/>
                <w:b w:val="false"/>
                <w:sz w:val="15"/>
              </w:rPr>
            </w:pPr>
            <w:r>
              <w:rPr>
                <w:rFonts w:ascii="Times New Roman;serif" w:hAnsi="Times New Roman;serif"/>
                <w:b w:val="false"/>
                <w:sz w:val="15"/>
              </w:rPr>
              <w:t>Accelerated filer</w:t>
            </w:r>
          </w:p>
        </w:tc>
        <w:tc>
          <w:tcPr>
            <w:tcW w:w="851" w:type="dxa"/>
            <w:tcBorders/>
            <w:vAlign w:val="center"/>
          </w:tcPr>
          <w:p>
            <w:pPr>
              <w:pStyle w:val="TableContents"/>
              <w:bidi w:val="0"/>
              <w:spacing w:before="0" w:after="0"/>
              <w:ind w:left="0" w:right="0" w:firstLine="490"/>
              <w:jc w:val="left"/>
              <w:rPr/>
            </w:pPr>
            <w:r>
              <w:rPr/>
              <w:t>☐</w:t>
            </w:r>
          </w:p>
        </w:tc>
      </w:tr>
      <w:tr>
        <w:trPr/>
        <w:tc>
          <w:tcPr>
            <w:tcW w:w="1901" w:type="dxa"/>
            <w:tcBorders/>
            <w:vAlign w:val="center"/>
          </w:tcPr>
          <w:p>
            <w:pPr>
              <w:pStyle w:val="TableContents"/>
              <w:bidi w:val="0"/>
              <w:spacing w:before="0" w:after="0"/>
              <w:ind w:left="0" w:right="0" w:firstLine="490"/>
              <w:jc w:val="left"/>
              <w:rPr>
                <w:rFonts w:ascii="Times New Roman;serif" w:hAnsi="Times New Roman;serif"/>
                <w:b w:val="false"/>
                <w:sz w:val="15"/>
              </w:rPr>
            </w:pPr>
            <w:r>
              <w:rPr>
                <w:rFonts w:ascii="Times New Roman;serif" w:hAnsi="Times New Roman;serif"/>
                <w:b w:val="false"/>
                <w:sz w:val="15"/>
              </w:rPr>
              <w:t>Non-accelerated filer</w:t>
            </w:r>
          </w:p>
        </w:tc>
        <w:tc>
          <w:tcPr>
            <w:tcW w:w="806" w:type="dxa"/>
            <w:tcBorders/>
            <w:vAlign w:val="center"/>
          </w:tcPr>
          <w:p>
            <w:pPr>
              <w:pStyle w:val="TableContents"/>
              <w:bidi w:val="0"/>
              <w:spacing w:before="0" w:after="0"/>
              <w:ind w:left="0" w:right="0" w:firstLine="490"/>
              <w:jc w:val="left"/>
              <w:rPr/>
            </w:pPr>
            <w:r>
              <w:rPr/>
              <w:t>☒</w:t>
            </w:r>
          </w:p>
        </w:tc>
        <w:tc>
          <w:tcPr>
            <w:tcW w:w="2231" w:type="dxa"/>
            <w:tcBorders/>
            <w:vAlign w:val="center"/>
          </w:tcPr>
          <w:p>
            <w:pPr>
              <w:pStyle w:val="TableContents"/>
              <w:bidi w:val="0"/>
              <w:spacing w:before="0" w:after="0"/>
              <w:ind w:left="0" w:right="0" w:firstLine="490"/>
              <w:jc w:val="left"/>
              <w:rPr>
                <w:rFonts w:ascii="Times New Roman;serif" w:hAnsi="Times New Roman;serif"/>
                <w:b w:val="false"/>
                <w:sz w:val="15"/>
              </w:rPr>
            </w:pPr>
            <w:r>
              <w:rPr>
                <w:rFonts w:ascii="Times New Roman;serif" w:hAnsi="Times New Roman;serif"/>
                <w:b w:val="false"/>
                <w:sz w:val="15"/>
              </w:rPr>
              <w:t>Smaller reporting company</w:t>
            </w:r>
          </w:p>
        </w:tc>
        <w:tc>
          <w:tcPr>
            <w:tcW w:w="851" w:type="dxa"/>
            <w:tcBorders/>
            <w:vAlign w:val="center"/>
          </w:tcPr>
          <w:p>
            <w:pPr>
              <w:pStyle w:val="TableContents"/>
              <w:bidi w:val="0"/>
              <w:spacing w:before="0" w:after="0"/>
              <w:ind w:left="0" w:right="0" w:firstLine="490"/>
              <w:jc w:val="left"/>
              <w:rPr/>
            </w:pPr>
            <w:r>
              <w:rPr/>
              <w:t>☒</w:t>
            </w:r>
          </w:p>
        </w:tc>
      </w:tr>
      <w:tr>
        <w:trPr/>
        <w:tc>
          <w:tcPr>
            <w:tcW w:w="1901" w:type="dxa"/>
            <w:tcBorders/>
            <w:vAlign w:val="center"/>
          </w:tcPr>
          <w:p>
            <w:pPr>
              <w:pStyle w:val="TableContents"/>
              <w:bidi w:val="0"/>
              <w:spacing w:before="0" w:after="283"/>
              <w:ind w:left="0" w:right="0" w:firstLine="490"/>
              <w:jc w:val="left"/>
              <w:rPr>
                <w:sz w:val="4"/>
                <w:szCs w:val="4"/>
              </w:rPr>
            </w:pPr>
            <w:r>
              <w:rPr>
                <w:sz w:val="4"/>
                <w:szCs w:val="4"/>
              </w:rPr>
            </w:r>
          </w:p>
        </w:tc>
        <w:tc>
          <w:tcPr>
            <w:tcW w:w="806" w:type="dxa"/>
            <w:tcBorders/>
            <w:vAlign w:val="center"/>
          </w:tcPr>
          <w:p>
            <w:pPr>
              <w:pStyle w:val="TableContents"/>
              <w:bidi w:val="0"/>
              <w:spacing w:before="0" w:after="283"/>
              <w:ind w:left="0" w:right="0" w:firstLine="490"/>
              <w:jc w:val="left"/>
              <w:rPr>
                <w:sz w:val="4"/>
                <w:szCs w:val="4"/>
              </w:rPr>
            </w:pPr>
            <w:r>
              <w:rPr>
                <w:sz w:val="4"/>
                <w:szCs w:val="4"/>
              </w:rPr>
            </w:r>
          </w:p>
        </w:tc>
        <w:tc>
          <w:tcPr>
            <w:tcW w:w="2231" w:type="dxa"/>
            <w:tcBorders/>
            <w:vAlign w:val="center"/>
          </w:tcPr>
          <w:p>
            <w:pPr>
              <w:pStyle w:val="TableContents"/>
              <w:bidi w:val="0"/>
              <w:spacing w:before="0" w:after="0"/>
              <w:ind w:left="0" w:right="0" w:firstLine="490"/>
              <w:jc w:val="left"/>
              <w:rPr>
                <w:rFonts w:ascii="Times New Roman;serif" w:hAnsi="Times New Roman;serif"/>
                <w:b w:val="false"/>
                <w:sz w:val="15"/>
              </w:rPr>
            </w:pPr>
            <w:r>
              <w:rPr>
                <w:rFonts w:ascii="Times New Roman;serif" w:hAnsi="Times New Roman;serif"/>
                <w:b w:val="false"/>
                <w:sz w:val="15"/>
              </w:rPr>
              <w:t>Emerging growth company</w:t>
            </w:r>
          </w:p>
        </w:tc>
        <w:tc>
          <w:tcPr>
            <w:tcW w:w="851" w:type="dxa"/>
            <w:tcBorders/>
            <w:vAlign w:val="center"/>
          </w:tcPr>
          <w:p>
            <w:pPr>
              <w:pStyle w:val="TableContents"/>
              <w:bidi w:val="0"/>
              <w:spacing w:before="0" w:after="0"/>
              <w:ind w:left="0" w:right="0" w:firstLine="490"/>
              <w:jc w:val="left"/>
              <w:rPr/>
            </w:pPr>
            <w:r>
              <w:rPr/>
              <w:t>☐</w:t>
            </w:r>
          </w:p>
        </w:tc>
      </w:tr>
    </w:tbl>
    <w:p>
      <w:pPr>
        <w:pStyle w:val="TextBody"/>
        <w:bidi w:val="0"/>
        <w:spacing w:before="0" w:after="0"/>
        <w:jc w:val="left"/>
        <w:rPr>
          <w:rFonts w:ascii="Times New Roman;serif" w:hAnsi="Times New Roman;serif"/>
          <w:b w:val="false"/>
          <w:sz w:val="15"/>
        </w:rPr>
      </w:pPr>
      <w:r>
        <w:rPr>
          <w:rFonts w:ascii="Times New Roman;serif" w:hAnsi="Times New Roman;serif"/>
          <w:b w:val="false"/>
          <w:sz w:val="15"/>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5"/>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15"/>
        </w:rPr>
        <w:t xml:space="preserve">No </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serif" w:hAnsi="Times New Roman;serif"/>
          <w:b w:val="false"/>
          <w:sz w:val="15"/>
        </w:rPr>
        <w:t>As of July 31, 2023, the registrant had 52,453,163</w:t>
      </w:r>
      <w:r>
        <w:rPr>
          <w:rFonts w:ascii="Times New Roman" w:hAnsi="Times New Roman"/>
          <w:sz w:val="20"/>
        </w:rPr>
        <w:t xml:space="preserve"> </w:t>
      </w:r>
      <w:r>
        <w:rPr>
          <w:rFonts w:ascii="Times New Roman;serif" w:hAnsi="Times New Roman;serif"/>
          <w:b w:val="false"/>
          <w:sz w:val="15"/>
        </w:rPr>
        <w:t>shares of common stock, $0.0001 par value per share, outstanding.</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TextBody"/>
        <w:bidi w:val="0"/>
        <w:spacing w:before="12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SPECIAL NOTE REGARDING FORWARD-LOOKING STATEMENTS</w:t>
      </w:r>
    </w:p>
    <w:p>
      <w:pPr>
        <w:pStyle w:val="TextBody"/>
        <w:bidi w:val="0"/>
        <w:spacing w:before="240" w:after="0"/>
        <w:jc w:val="left"/>
        <w:rPr>
          <w:rFonts w:ascii="Times New Roman" w:hAnsi="Times New Roman"/>
          <w:sz w:val="20"/>
        </w:rPr>
      </w:pPr>
      <w:r>
        <w:rPr>
          <w:rFonts w:ascii="Times New Roman;serif" w:hAnsi="Times New Roman;serif"/>
          <w:b w:val="false"/>
          <w:sz w:val="20"/>
        </w:rPr>
        <w:t>This Quarterly Report on Form 10-Q contains “forward-looking statements” within the meaning of Section 21E of the Securities Exchange Act of 1934, as amended, or Exchange Act. 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beliefs as of that time with respect to future events, and are subject to risks and uncertainties that could cause actual performance or results to differ materially from those expressed in or suggested by the forward-looking statements.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Forward-looking statements include all statements that are not historical facts. In some cases, you can identify forward-looking statements by terms such as “may,” “might,” “will,” “objective,” “intend,” “should,” “could,” “can,” “would,” “expect,” “believe,” “anticipate,” “project,” “target,” “design,” “estimate,” “predict,” “potential,” “plan”, “hope” or the negative of these terms, or similar expressions and comparable terminology intended to identify forward-looking statements. These statements reflect our current views with respect to future events and are based on assumptions and subject to risks and uncertainties, including those set forth under the section of this Quarterly Report on Form 10-Q titled “Part II, Item 1A — Risk Factors” and elsewhere in this Quarterly Report. Forward-looking statements include, but are not limited to, statements about: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success, cost and timing of our development activities, preclinical studies, clinical trials and regulatory filings;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translation of our preclinical results and data and early clinical trial results in particular relating to safety, efficacy and durability into future clinical trials in humans;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continued durability, efficacy and safety of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scope, progress, results and costs of developing any product candidates we have or may have develop, and conducting preclinical studies and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present clinical data from our remaining pivotal trials during 2023;</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and Lonza’s ability to successfully execute on our manufacturing development plan;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number, size and design of clinical trials that regulatory authorities may require to obtain marketing approval of any of our current or future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expectations regarding chemistry manufacturing and controls, or CMC, requirements of the United States Food and Drug Administration, or FDA, and other regulatory bodies to support any BLA submission and potential commercial launch;</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timing or likelihood of regulatory filings and approvals, including the potential to achieve FDA approval of any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obtain and maintain regulatory approval of our product candidates, and any related restrictions, limitations and/or warnings in the label of any approved product candidate;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obtain funding for our operations, including funding necessary to develop, manufacture and commercialize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rate and degree of market acceptance of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success of competing products or platform technologies that are or may become available;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plans and ability to establish sales, marketing and distribution infrastructure to commercialize any product candidates for which we obtain approval;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expectation as to the concentration of retinal specialists in the United States and its impact on our sales and marketing plans;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expectations regarding our ability to enter into manufacturing-related commitments, and the timing thereof;</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future agreements with third parties in connection with the commercialization of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size and growth potential of the markets for our product candidates, if approved for commercial use, and our ability to serve those markets;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existing regulations and regulatory developments in the United States and foreign countries;</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expected potential benefits of strategic collaboration agreements and our ability to attract collaborators with development, regulatory and commercialization expertise;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scope of protection we are able to establish and maintain for intellectual property rights covering our product candidates and technology;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potential claims relating to our intellectual property and third-party intellectual property;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contract with third-party suppliers and manufacturers and their ability to perform adequately;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pricing and reimbursement of our product candidates, if approved;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estimates regarding the impact of the unfavorable U.S. and global economic conditions on our business and operations, the business and operations of our collaborators, and on the global economy;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aspirational goals and objectives related to our human capital resources and workforce objectives;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attract and retain key managerial, scientific and medical personnel;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accuracy of our estimates regarding the sufficiency of our cash resources, expenses, future revenue, capital requirements and needs for additional financing;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our financial performance.</w:t>
      </w:r>
    </w:p>
    <w:p>
      <w:pPr>
        <w:pStyle w:val="TextBody"/>
        <w:bidi w:val="0"/>
        <w:spacing w:before="120" w:after="0"/>
        <w:jc w:val="left"/>
        <w:rPr>
          <w:rFonts w:ascii="Times New Roman" w:hAnsi="Times New Roman"/>
          <w:sz w:val="20"/>
        </w:rPr>
      </w:pPr>
      <w:r>
        <w:rPr>
          <w:rFonts w:ascii="Times New Roman;serif" w:hAnsi="Times New Roman;serif"/>
          <w:b w:val="false"/>
          <w:sz w:val="20"/>
        </w:rPr>
        <w:t>All forward-looking statements are based on information available to us on the date of this Quarterly Report on Form 10-Q and we will not update any of the forward-looking statements after the date of this Quarterly Report on Form 10-Q, except as required by law. Our actual results could differ materially from those discussed in this Quarterly Report on Form 10-Q. The forward-looking statements contained in this Quarterly Report on Form 10-Q, and other written and oral forward-looking statements made by us from time to time, are subject to certain risks and uncertainties that could cause actual results to differ materially from those anticipated in the forward-looking statements, and you should not regard these statements as a representation or warranty by us or any other person that we will achieve our objectives and plans in any specified time frame, or at all. Factors that might cause such a difference include, but are not limited to, those discussed in the following discussion and within the section of this Quarterly Report on Form 10-Q titled “Part II, Item 1A — Risk Factors”.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statements that “we believe” and similar statements reflect our beliefs and opinions on the relevant subject. These statements are based upon information available to us as of the date of this Quarterly Report on Form 10-Q,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pStyle w:val="TextBody"/>
        <w:bidi w:val="0"/>
        <w:spacing w:before="240" w:after="0"/>
        <w:jc w:val="left"/>
        <w:rPr>
          <w:rFonts w:ascii="Times New Roman" w:hAnsi="Times New Roman"/>
          <w:sz w:val="20"/>
        </w:rPr>
      </w:pPr>
      <w:r>
        <w:rPr>
          <w:rFonts w:ascii="Times New Roman;serif" w:hAnsi="Times New Roman;serif"/>
          <w:b w:val="false"/>
          <w:i/>
          <w:sz w:val="20"/>
        </w:rPr>
        <w:t>All brand names or trademarks appearing in this Quarterly Report are the property of their respective holders. Unless the context requires otherwise, references in this Quarterly Report to “Kodiak” the “Company,” “we,” “us,” and “our” refer to Kodiak Sciences Inc. and its subsidiaries.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ii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SELECTED RISKS AFFECTING OUR BUSINESS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Investing in our common stock involves numerous risks, including the risks described in “Part II—Other Information, Item 1A. Risk Factors” of this Quarterly Report on Form 10-Q, any one of which could materially adversely affect our business, financial condition, results of operations, and prospects. These risks include, among others, the following: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are in the clinical stage of drug development and have a very limited operating history and no products approved for commercial sale, which may make it difficult to evaluate our current business and predict our future success and viability.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recent failure of pivotal studies of tarcocimab to meet their primary efficacy endpoints may lead us to discontinue development of other product candidates based on our ABC Platform.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Research and development of biopharmaceutical products is inherently risky. We cannot give any assurance that any of our product candidates will receive regulatory, including marketing, approval, which is necessary before they can be commercialized.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encounter substantial delays in our clinical trials, or we may not be able to conduct or complete our clinical trials on the timelines we expect, if at all.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encounter difficulties enrolling patients in our clinical trials, and our clinical development activities could thereby be delayed or otherwise adversely affected.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clinical trials may fail to demonstrate substantial evidence of the durability, efficacy and safety of our product candidates, which would prevent, delay or limit the scope of regulatory approval and commercialization.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manufacture of our product candidates is highly complex and requires substantial lead time to produce.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have limited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or our ability to supply our products for patients, if approved, could be delayed or stopped, or we may be unable to establish a commercially viable cost structure.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decision to cease development of tarcocimab may impact our ability to use the Ursus facility as intended, which could result in an excess of capital expenditures.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regulatory approval processes of the FDA, EMA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 </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sz w:val="20"/>
        </w:rPr>
        <w:t>We have conducted clinical trials for our product candidates outside the United States (or the respective jurisdictions of other regulatory authorities), and the FDA, (or EMA and applicable foreign regulatory authorities) may not accept data from such trials.</w:t>
      </w:r>
      <w:r>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If we or any contract manufacturers and suppliers we engage fail to comply with environmental, health, and safety laws and regulations, we could become subject to fines or penalties or incur costs that could have a material adverse effect on the success of our business.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to rely on third parties to conduct many aspects of our clinical trials and some aspects of our research and preclinical testing, and those third parties may not perform satisfactorily, including failing to meet deadlines for the completion of such trials, research or testing.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If the scope of any patent protection we obtain is not sufficiently broad, or if we lose any of our patent protection, our ability to prevent our competitors from commercializing similar or identical technology and product candidates would be adversely affected.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Third-party claims of intellectual property infringement, misappropriation or other violation against us or our collaborators may prevent or delay the development and commercialization of our product candidates, the ABC Platform and other technologies.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iii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become involved in lawsuits to protect or enforce our patents and other intellectual property rights, which could be expensive, time consuming and unsuccessful.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are highly dependent on our key personnel, and if we are not successful in attracting, motivating and retaining highly qualified personnel, we may not be able to successfully implement our business strategy. </w:t>
      </w:r>
    </w:p>
    <w:p>
      <w:pPr>
        <w:pStyle w:val="TextBody"/>
        <w:bidi w:val="0"/>
        <w:spacing w:before="120" w:after="0"/>
        <w:jc w:val="both"/>
        <w:rPr/>
      </w:pPr>
      <w:r>
        <w:rPr/>
        <w:t>•</w:t>
      </w:r>
    </w:p>
    <w:p>
      <w:pPr>
        <w:pStyle w:val="TextBody"/>
        <w:bidi w:val="0"/>
        <w:spacing w:before="120" w:after="0"/>
        <w:jc w:val="both"/>
        <w:rPr/>
      </w:pPr>
      <w:r>
        <w:rPr>
          <w:rFonts w:ascii="Times New Roman;serif" w:hAnsi="Times New Roman;serif"/>
          <w:b w:val="false"/>
          <w:sz w:val="20"/>
        </w:rPr>
        <w:t>Our business could be materially and adversely affected in the future by the effects of disease outbreaks, epidemics and pandemics, as well as the business or operations of our manufacturers, CROs or other third parties with whom we conduct business</w:t>
      </w:r>
      <w:r>
        <w:rPr>
          <w:rFonts w:ascii="Arial;sans-serif" w:hAnsi="Arial;sans-serif"/>
          <w:b w:val="false"/>
          <w:sz w:val="16"/>
        </w:rPr>
        <w: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Unfavorable U.S. and global economic conditions could adversely affect our business, financial condition or results of operations.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have incurred significant net losses in each period since our inception and anticipate that we will continue to incur significant and increasing net losses for the foreseeable future.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Drug development is a highly uncertain undertaking and involves a substantial degree of risk. We have never generated any revenue from product sales, and we may never generate revenue or be profitable.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Our business decision to discontinue ongoing development of tarcocimab may not result in any cost savings, and could result in total costs and expenses that are greater than expected in the short term and could disrupt our business.</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iv</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bidi w:val="0"/>
        <w:spacing w:before="0" w:after="0"/>
        <w:jc w:val="left"/>
        <w:rPr/>
      </w:pPr>
      <w:r>
        <w:rPr/>
        <w:t> </w:t>
      </w:r>
    </w:p>
    <w:tbl>
      <w:tblPr>
        <w:tblW w:w="8902" w:type="dxa"/>
        <w:jc w:val="left"/>
        <w:tblInd w:w="0" w:type="dxa"/>
        <w:tblLayout w:type="fixed"/>
        <w:tblCellMar>
          <w:top w:w="28" w:type="dxa"/>
          <w:left w:w="28" w:type="dxa"/>
          <w:bottom w:w="28" w:type="dxa"/>
          <w:right w:w="28" w:type="dxa"/>
        </w:tblCellMar>
      </w:tblPr>
      <w:tblGrid>
        <w:gridCol w:w="1025"/>
        <w:gridCol w:w="7366"/>
        <w:gridCol w:w="511"/>
      </w:tblGrid>
      <w:tr>
        <w:trPr/>
        <w:tc>
          <w:tcPr>
            <w:tcW w:w="1025"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1025"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102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financial_information">
              <w:r>
                <w:rPr>
                  <w:rStyle w:val="InternetLink"/>
                  <w:rFonts w:ascii="Times New Roman;serif" w:hAnsi="Times New Roman;serif"/>
                  <w:b w:val="false"/>
                  <w:sz w:val="20"/>
                  <w:u w:val="single"/>
                </w:rPr>
                <w:t>FINANCIAL INFORMATION</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102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financial_statements">
              <w:r>
                <w:rPr>
                  <w:rStyle w:val="InternetLink"/>
                  <w:rFonts w:ascii="Times New Roman;serif" w:hAnsi="Times New Roman;serif"/>
                  <w:b w:val="false"/>
                  <w:sz w:val="20"/>
                  <w:u w:val="single"/>
                </w:rPr>
                <w:t>Financial Statements (Unaudited)</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1</w:t>
            </w:r>
          </w:p>
        </w:tc>
      </w:tr>
      <w:tr>
        <w:trPr/>
        <w:tc>
          <w:tcPr>
            <w:tcW w:w="1025"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consolidated_balance_sheets">
              <w:r>
                <w:rPr>
                  <w:rStyle w:val="InternetLink"/>
                  <w:rFonts w:ascii="Times New Roman;serif" w:hAnsi="Times New Roman;serif"/>
                  <w:b w:val="false"/>
                  <w:sz w:val="20"/>
                  <w:u w:val="single"/>
                </w:rPr>
                <w:t>Condensed Consolidated Balance Sheets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1</w:t>
            </w:r>
          </w:p>
        </w:tc>
      </w:tr>
      <w:tr>
        <w:trPr/>
        <w:tc>
          <w:tcPr>
            <w:tcW w:w="1025"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consolidated_statements_operat">
              <w:r>
                <w:rPr>
                  <w:rStyle w:val="InternetLink"/>
                  <w:rFonts w:ascii="Times New Roman;serif" w:hAnsi="Times New Roman;serif"/>
                  <w:b w:val="false"/>
                  <w:sz w:val="20"/>
                  <w:u w:val="single"/>
                </w:rPr>
                <w:t>Condensed Consolidated Statements of Operations and Comprehensive Loss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2</w:t>
            </w:r>
          </w:p>
        </w:tc>
      </w:tr>
      <w:tr>
        <w:trPr/>
        <w:tc>
          <w:tcPr>
            <w:tcW w:w="1025" w:type="dxa"/>
            <w:tcBorders/>
            <w:tcMar>
              <w:top w:w="0" w:type="dxa"/>
              <w:left w:w="0" w:type="dxa"/>
              <w:bottom w:w="0" w:type="dxa"/>
              <w:right w:w="0" w:type="dxa"/>
            </w:tcMar>
            <w:vAlign w:val="center"/>
          </w:tcPr>
          <w:p>
            <w:pPr>
              <w:pStyle w:val="TableContents"/>
              <w:bidi w:val="0"/>
              <w:spacing w:before="0" w:after="0"/>
              <w:ind w:left="137" w:right="0" w:hanging="0"/>
              <w:jc w:val="left"/>
              <w:rPr/>
            </w:pPr>
            <w:r>
              <w:rPr/>
              <w:t> </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consolidated_statements_stockh">
              <w:r>
                <w:rPr>
                  <w:rStyle w:val="InternetLink"/>
                  <w:rFonts w:ascii="Times New Roman;serif" w:hAnsi="Times New Roman;serif"/>
                  <w:b w:val="false"/>
                  <w:sz w:val="20"/>
                  <w:u w:val="single"/>
                </w:rPr>
                <w:t>Condensed Consolidated Statements of Stockholders’ Equity</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3</w:t>
            </w:r>
          </w:p>
        </w:tc>
      </w:tr>
      <w:tr>
        <w:trPr/>
        <w:tc>
          <w:tcPr>
            <w:tcW w:w="1025"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consolidated_statements_cash_f">
              <w:r>
                <w:rPr>
                  <w:rStyle w:val="InternetLink"/>
                  <w:rFonts w:ascii="Times New Roman;serif" w:hAnsi="Times New Roman;serif"/>
                  <w:b w:val="false"/>
                  <w:sz w:val="20"/>
                  <w:u w:val="single"/>
                </w:rPr>
                <w:t>Condensed Consolidated Statements of Cash Flows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4</w:t>
            </w:r>
          </w:p>
        </w:tc>
      </w:tr>
      <w:tr>
        <w:trPr/>
        <w:tc>
          <w:tcPr>
            <w:tcW w:w="1025"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notes_to_unaudited_condensed_consolidate">
              <w:r>
                <w:rPr>
                  <w:rStyle w:val="InternetLink"/>
                  <w:rFonts w:ascii="Times New Roman;serif" w:hAnsi="Times New Roman;serif"/>
                  <w:b w:val="false"/>
                  <w:sz w:val="20"/>
                  <w:u w:val="single"/>
                </w:rPr>
                <w:t>Notes to Unaudited Condensed Consolidated Financial Statements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102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r>
      <w:tr>
        <w:trPr/>
        <w:tc>
          <w:tcPr>
            <w:tcW w:w="102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r>
      <w:tr>
        <w:trPr/>
        <w:tc>
          <w:tcPr>
            <w:tcW w:w="102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r>
      <w:tr>
        <w:trPr/>
        <w:tc>
          <w:tcPr>
            <w:tcW w:w="102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ior_information">
              <w:r>
                <w:rPr>
                  <w:rStyle w:val="InternetLink"/>
                  <w:rFonts w:ascii="Times New Roman;serif" w:hAnsi="Times New Roman;serif"/>
                  <w:b w:val="false"/>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r>
      <w:tr>
        <w:trPr/>
        <w:tc>
          <w:tcPr>
            <w:tcW w:w="102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r>
      <w:tr>
        <w:trPr/>
        <w:tc>
          <w:tcPr>
            <w:tcW w:w="102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r>
      <w:tr>
        <w:trPr/>
        <w:tc>
          <w:tcPr>
            <w:tcW w:w="102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r>
      <w:tr>
        <w:trPr/>
        <w:tc>
          <w:tcPr>
            <w:tcW w:w="102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r>
      <w:tr>
        <w:trPr/>
        <w:tc>
          <w:tcPr>
            <w:tcW w:w="102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r>
      <w:tr>
        <w:trPr/>
        <w:tc>
          <w:tcPr>
            <w:tcW w:w="102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5_or_information">
              <w:r>
                <w:rPr>
                  <w:rStyle w:val="InternetLink"/>
                  <w:rFonts w:ascii="Times New Roman;serif" w:hAnsi="Times New Roman;serif"/>
                  <w:b w:val="false"/>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r>
      <w:tr>
        <w:trPr/>
        <w:tc>
          <w:tcPr>
            <w:tcW w:w="102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r>
      <w:tr>
        <w:trPr/>
        <w:tc>
          <w:tcPr>
            <w:tcW w:w="1025" w:type="dxa"/>
            <w:tcBorders/>
            <w:tcMar>
              <w:top w:w="0" w:type="dxa"/>
              <w:left w:w="0" w:type="dxa"/>
              <w:bottom w:w="0" w:type="dxa"/>
              <w:right w:w="0" w:type="dxa"/>
            </w:tcMar>
            <w:vAlign w:val="center"/>
          </w:tcPr>
          <w:p>
            <w:pPr>
              <w:pStyle w:val="TableContents"/>
              <w:bidi w:val="0"/>
              <w:spacing w:before="0" w:after="0"/>
              <w:ind w:left="0" w:right="0" w:firstLine="864"/>
              <w:jc w:val="left"/>
              <w:rPr/>
            </w:pPr>
            <w:r>
              <w:rPr/>
              <w:t> </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v</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 w:name="part_ifinancial_information"/>
      <w:bookmarkEnd w:id="2"/>
      <w:r>
        <w:rPr>
          <w:rFonts w:ascii="Times New Roman;serif" w:hAnsi="Times New Roman;serif"/>
          <w:b/>
          <w:sz w:val="20"/>
        </w:rPr>
        <w:t>PART I—FINANCIAL INFORMATION</w:t>
      </w:r>
    </w:p>
    <w:p>
      <w:pPr>
        <w:pStyle w:val="TextBody"/>
        <w:bidi w:val="0"/>
        <w:spacing w:before="240" w:after="0"/>
        <w:jc w:val="left"/>
        <w:rPr>
          <w:rFonts w:ascii="Times New Roman;serif" w:hAnsi="Times New Roman;serif"/>
          <w:b/>
          <w:sz w:val="20"/>
        </w:rPr>
      </w:pPr>
      <w:bookmarkStart w:id="3" w:name="item_1_financial_statements"/>
      <w:bookmarkEnd w:id="3"/>
      <w:r>
        <w:rPr>
          <w:rFonts w:ascii="Times New Roman;serif" w:hAnsi="Times New Roman;serif"/>
          <w:b/>
          <w:sz w:val="20"/>
        </w:rPr>
        <w:t>Item 1. Financial Statements (Unaudited).</w:t>
      </w:r>
    </w:p>
    <w:p>
      <w:pPr>
        <w:pStyle w:val="TextBody"/>
        <w:bidi w:val="0"/>
        <w:spacing w:before="240" w:after="0"/>
        <w:jc w:val="center"/>
        <w:rPr>
          <w:rFonts w:ascii="Times New Roman;serif" w:hAnsi="Times New Roman;serif"/>
          <w:b/>
          <w:sz w:val="20"/>
        </w:rPr>
      </w:pPr>
      <w:r>
        <w:rPr>
          <w:rFonts w:ascii="Times New Roman;serif" w:hAnsi="Times New Roman;serif"/>
          <w:b/>
          <w:sz w:val="20"/>
        </w:rPr>
        <w:t>Kodiak Sciences Inc.</w:t>
      </w:r>
    </w:p>
    <w:p>
      <w:pPr>
        <w:pStyle w:val="TextBody"/>
        <w:bidi w:val="0"/>
        <w:spacing w:before="0" w:after="0"/>
        <w:jc w:val="center"/>
        <w:rPr>
          <w:rFonts w:ascii="Times New Roman;serif" w:hAnsi="Times New Roman;serif"/>
          <w:b/>
          <w:sz w:val="20"/>
        </w:rPr>
      </w:pPr>
      <w:bookmarkStart w:id="4" w:name="condensed_consolidated_balance_sheets"/>
      <w:bookmarkEnd w:id="4"/>
      <w:r>
        <w:rPr>
          <w:rFonts w:ascii="Times New Roman;serif" w:hAnsi="Times New Roman;serif"/>
          <w:b/>
          <w:sz w:val="20"/>
        </w:rPr>
        <w:t>Condensed Consolidated Balance Sheets</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 and per share amounts)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left"/>
        <w:rPr/>
      </w:pPr>
      <w:r>
        <w:rPr/>
        <w:t> </w:t>
      </w:r>
    </w:p>
    <w:tbl>
      <w:tblPr>
        <w:tblW w:w="9067" w:type="dxa"/>
        <w:jc w:val="left"/>
        <w:tblInd w:w="0" w:type="dxa"/>
        <w:tblLayout w:type="fixed"/>
        <w:tblCellMar>
          <w:top w:w="28" w:type="dxa"/>
          <w:left w:w="28" w:type="dxa"/>
          <w:bottom w:w="28" w:type="dxa"/>
          <w:right w:w="28" w:type="dxa"/>
        </w:tblCellMar>
      </w:tblPr>
      <w:tblGrid>
        <w:gridCol w:w="5536"/>
        <w:gridCol w:w="146"/>
        <w:gridCol w:w="211"/>
        <w:gridCol w:w="991"/>
        <w:gridCol w:w="166"/>
        <w:gridCol w:w="146"/>
        <w:gridCol w:w="232"/>
        <w:gridCol w:w="1028"/>
        <w:gridCol w:w="611"/>
      </w:tblGrid>
      <w:tr>
        <w:trPr/>
        <w:tc>
          <w:tcPr>
            <w:tcW w:w="5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5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w:t>
              <w:b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53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283"/>
              <w:ind w:left="0" w:right="0" w:hanging="0"/>
              <w:jc w:val="left"/>
              <w:rPr>
                <w:sz w:val="4"/>
                <w:szCs w:val="4"/>
              </w:rPr>
            </w:pPr>
            <w:r>
              <w:rPr>
                <w:sz w:val="4"/>
                <w:szCs w:val="4"/>
              </w:rPr>
            </w:r>
          </w:p>
        </w:tc>
        <w:tc>
          <w:tcPr>
            <w:tcW w:w="611" w:type="dxa"/>
            <w:tcBorders/>
            <w:vAlign w:val="center"/>
          </w:tcPr>
          <w:p>
            <w:pPr>
              <w:pStyle w:val="TableContents"/>
              <w:bidi w:val="0"/>
              <w:spacing w:before="0" w:after="0"/>
              <w:ind w:left="0" w:right="0" w:hanging="0"/>
              <w:jc w:val="right"/>
              <w:rPr/>
            </w:pPr>
            <w:r>
              <w:rPr/>
              <w:t> </w:t>
            </w:r>
          </w:p>
        </w:tc>
      </w:tr>
      <w:tr>
        <w:trPr/>
        <w:tc>
          <w:tcPr>
            <w:tcW w:w="5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55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378,670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190,433</w:t>
            </w:r>
          </w:p>
        </w:tc>
        <w:tc>
          <w:tcPr>
            <w:tcW w:w="611" w:type="dxa"/>
            <w:tcBorders/>
            <w:vAlign w:val="center"/>
          </w:tcPr>
          <w:p>
            <w:pPr>
              <w:pStyle w:val="TableContents"/>
              <w:bidi w:val="0"/>
              <w:spacing w:before="0" w:after="0"/>
              <w:ind w:left="0" w:right="0" w:firstLine="200"/>
              <w:jc w:val="left"/>
              <w:rPr/>
            </w:pPr>
            <w:r>
              <w:rPr/>
              <w:t> </w:t>
            </w:r>
          </w:p>
        </w:tc>
      </w:tr>
      <w:tr>
        <w:trPr/>
        <w:tc>
          <w:tcPr>
            <w:tcW w:w="55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288,500</w:t>
            </w:r>
          </w:p>
        </w:tc>
        <w:tc>
          <w:tcPr>
            <w:tcW w:w="611" w:type="dxa"/>
            <w:tcBorders/>
            <w:vAlign w:val="center"/>
          </w:tcPr>
          <w:p>
            <w:pPr>
              <w:pStyle w:val="TableContents"/>
              <w:bidi w:val="0"/>
              <w:spacing w:before="0" w:after="0"/>
              <w:ind w:left="0" w:right="0" w:firstLine="200"/>
              <w:jc w:val="left"/>
              <w:rPr/>
            </w:pPr>
            <w:r>
              <w:rPr/>
              <w:t> </w:t>
            </w:r>
          </w:p>
        </w:tc>
      </w:tr>
      <w:tr>
        <w:trPr/>
        <w:tc>
          <w:tcPr>
            <w:tcW w:w="55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7,072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5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386,959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486,005</w:t>
            </w:r>
          </w:p>
        </w:tc>
        <w:tc>
          <w:tcPr>
            <w:tcW w:w="611" w:type="dxa"/>
            <w:tcBorders/>
            <w:vAlign w:val="center"/>
          </w:tcPr>
          <w:p>
            <w:pPr>
              <w:pStyle w:val="TableContents"/>
              <w:bidi w:val="0"/>
              <w:spacing w:before="0" w:after="0"/>
              <w:ind w:left="0" w:right="0" w:hanging="0"/>
              <w:jc w:val="left"/>
              <w:rPr/>
            </w:pPr>
            <w:r>
              <w:rPr/>
              <w:t> </w:t>
            </w:r>
          </w:p>
        </w:tc>
      </w:tr>
      <w:tr>
        <w:trPr/>
        <w:tc>
          <w:tcPr>
            <w:tcW w:w="5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6,324</w:t>
            </w:r>
          </w:p>
        </w:tc>
        <w:tc>
          <w:tcPr>
            <w:tcW w:w="611" w:type="dxa"/>
            <w:tcBorders/>
            <w:vAlign w:val="center"/>
          </w:tcPr>
          <w:p>
            <w:pPr>
              <w:pStyle w:val="TableContents"/>
              <w:bidi w:val="0"/>
              <w:spacing w:before="0" w:after="0"/>
              <w:ind w:left="0" w:right="0" w:hanging="0"/>
              <w:jc w:val="left"/>
              <w:rPr/>
            </w:pPr>
            <w:r>
              <w:rPr/>
              <w:t> </w:t>
            </w:r>
          </w:p>
        </w:tc>
      </w:tr>
      <w:tr>
        <w:trPr/>
        <w:tc>
          <w:tcPr>
            <w:tcW w:w="5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130,121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56,384</w:t>
            </w:r>
          </w:p>
        </w:tc>
        <w:tc>
          <w:tcPr>
            <w:tcW w:w="611" w:type="dxa"/>
            <w:tcBorders/>
            <w:vAlign w:val="center"/>
          </w:tcPr>
          <w:p>
            <w:pPr>
              <w:pStyle w:val="TableContents"/>
              <w:bidi w:val="0"/>
              <w:spacing w:before="0" w:after="0"/>
              <w:ind w:left="0" w:right="0" w:hanging="0"/>
              <w:jc w:val="left"/>
              <w:rPr/>
            </w:pPr>
            <w:r>
              <w:rPr/>
              <w:t> </w:t>
            </w:r>
          </w:p>
        </w:tc>
      </w:tr>
      <w:tr>
        <w:trPr/>
        <w:tc>
          <w:tcPr>
            <w:tcW w:w="5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57,251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59,369</w:t>
            </w:r>
          </w:p>
        </w:tc>
        <w:tc>
          <w:tcPr>
            <w:tcW w:w="611" w:type="dxa"/>
            <w:tcBorders/>
            <w:vAlign w:val="center"/>
          </w:tcPr>
          <w:p>
            <w:pPr>
              <w:pStyle w:val="TableContents"/>
              <w:bidi w:val="0"/>
              <w:spacing w:before="0" w:after="0"/>
              <w:ind w:left="0" w:right="0" w:hanging="0"/>
              <w:jc w:val="left"/>
              <w:rPr/>
            </w:pPr>
            <w:r>
              <w:rPr/>
              <w:t> </w:t>
            </w:r>
          </w:p>
        </w:tc>
      </w:tr>
      <w:tr>
        <w:trPr/>
        <w:tc>
          <w:tcPr>
            <w:tcW w:w="5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58,546</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5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589,659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666,628</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53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5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55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9,130</w:t>
            </w:r>
          </w:p>
        </w:tc>
        <w:tc>
          <w:tcPr>
            <w:tcW w:w="611" w:type="dxa"/>
            <w:tcBorders/>
            <w:vAlign w:val="center"/>
          </w:tcPr>
          <w:p>
            <w:pPr>
              <w:pStyle w:val="TableContents"/>
              <w:bidi w:val="0"/>
              <w:spacing w:before="0" w:after="0"/>
              <w:ind w:left="0" w:right="0" w:firstLine="200"/>
              <w:jc w:val="left"/>
              <w:rPr/>
            </w:pPr>
            <w:r>
              <w:rPr/>
              <w:t> </w:t>
            </w:r>
          </w:p>
        </w:tc>
      </w:tr>
      <w:tr>
        <w:trPr/>
        <w:tc>
          <w:tcPr>
            <w:tcW w:w="55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and 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54,044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33,440</w:t>
            </w:r>
          </w:p>
        </w:tc>
        <w:tc>
          <w:tcPr>
            <w:tcW w:w="611" w:type="dxa"/>
            <w:tcBorders/>
            <w:vAlign w:val="center"/>
          </w:tcPr>
          <w:p>
            <w:pPr>
              <w:pStyle w:val="TableContents"/>
              <w:bidi w:val="0"/>
              <w:spacing w:before="0" w:after="0"/>
              <w:ind w:left="0" w:right="0" w:firstLine="200"/>
              <w:jc w:val="left"/>
              <w:rPr/>
            </w:pPr>
            <w:r>
              <w:rPr/>
              <w:t> </w:t>
            </w:r>
          </w:p>
        </w:tc>
      </w:tr>
      <w:tr>
        <w:trPr/>
        <w:tc>
          <w:tcPr>
            <w:tcW w:w="55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7,851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9,926</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5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74,242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52,496</w:t>
            </w:r>
          </w:p>
        </w:tc>
        <w:tc>
          <w:tcPr>
            <w:tcW w:w="611" w:type="dxa"/>
            <w:tcBorders/>
            <w:vAlign w:val="center"/>
          </w:tcPr>
          <w:p>
            <w:pPr>
              <w:pStyle w:val="TableContents"/>
              <w:bidi w:val="0"/>
              <w:spacing w:before="0" w:after="0"/>
              <w:ind w:left="0" w:right="0" w:hanging="0"/>
              <w:jc w:val="left"/>
              <w:rPr/>
            </w:pPr>
            <w:r>
              <w:rPr/>
              <w:t> </w:t>
            </w:r>
          </w:p>
        </w:tc>
      </w:tr>
      <w:tr>
        <w:trPr/>
        <w:tc>
          <w:tcPr>
            <w:tcW w:w="5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liability, net of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76,939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77,807</w:t>
            </w:r>
          </w:p>
        </w:tc>
        <w:tc>
          <w:tcPr>
            <w:tcW w:w="611" w:type="dxa"/>
            <w:tcBorders/>
            <w:vAlign w:val="center"/>
          </w:tcPr>
          <w:p>
            <w:pPr>
              <w:pStyle w:val="TableContents"/>
              <w:bidi w:val="0"/>
              <w:spacing w:before="0" w:after="0"/>
              <w:ind w:left="0" w:right="0" w:hanging="0"/>
              <w:jc w:val="left"/>
              <w:rPr/>
            </w:pPr>
            <w:r>
              <w:rPr/>
              <w:t> </w:t>
            </w:r>
          </w:p>
        </w:tc>
      </w:tr>
      <w:tr>
        <w:trPr/>
        <w:tc>
          <w:tcPr>
            <w:tcW w:w="5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Liability related to sale of future royalties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99,996</w:t>
            </w:r>
          </w:p>
        </w:tc>
        <w:tc>
          <w:tcPr>
            <w:tcW w:w="611" w:type="dxa"/>
            <w:tcBorders/>
            <w:vAlign w:val="center"/>
          </w:tcPr>
          <w:p>
            <w:pPr>
              <w:pStyle w:val="TableContents"/>
              <w:bidi w:val="0"/>
              <w:spacing w:before="0" w:after="0"/>
              <w:ind w:left="0" w:right="0" w:hanging="0"/>
              <w:jc w:val="left"/>
              <w:rPr/>
            </w:pPr>
            <w:r>
              <w:rPr/>
              <w:t> </w:t>
            </w:r>
          </w:p>
        </w:tc>
      </w:tr>
      <w:tr>
        <w:trPr/>
        <w:tc>
          <w:tcPr>
            <w:tcW w:w="5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5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251,181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230,461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(Note 7)</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5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553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Preferred stock, $0.0001</w:t>
            </w:r>
            <w:r>
              <w:rPr>
                <w:rFonts w:ascii="Times New Roman" w:hAnsi="Times New Roman"/>
                <w:sz w:val="20"/>
              </w:rPr>
              <w:t> </w:t>
            </w:r>
            <w:r>
              <w:rPr>
                <w:rFonts w:ascii="Times New Roman;serif" w:hAnsi="Times New Roman;serif"/>
                <w:b w:val="false"/>
                <w:sz w:val="20"/>
              </w:rPr>
              <w:t>par value, 10,000,000</w:t>
            </w:r>
            <w:r>
              <w:rPr>
                <w:rFonts w:ascii="Times New Roman" w:hAnsi="Times New Roman"/>
                <w:sz w:val="20"/>
              </w:rPr>
              <w:t> </w:t>
            </w:r>
            <w:r>
              <w:rPr>
                <w:rFonts w:ascii="Times New Roman;serif" w:hAnsi="Times New Roman;serif"/>
                <w:b w:val="false"/>
                <w:sz w:val="20"/>
              </w:rPr>
              <w:t>shares authorized;</w:t>
              <w:br/>
              <w:t>   0</w:t>
            </w:r>
            <w:r>
              <w:rPr>
                <w:rFonts w:ascii="Times New Roman" w:hAnsi="Times New Roman"/>
                <w:sz w:val="20"/>
              </w:rPr>
              <w:t> </w:t>
            </w:r>
            <w:r>
              <w:rPr>
                <w:rFonts w:ascii="Times New Roman;serif" w:hAnsi="Times New Roman;serif"/>
                <w:b w:val="false"/>
                <w:sz w:val="20"/>
              </w:rPr>
              <w:t xml:space="preserve">shares issued and outstanding at June 30, 2023 and </w:t>
              <w:br/>
              <w:t>   December 31, 2022,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firstLine="200"/>
              <w:jc w:val="left"/>
              <w:rPr/>
            </w:pPr>
            <w:r>
              <w:rPr/>
              <w:t> </w:t>
            </w:r>
          </w:p>
        </w:tc>
      </w:tr>
      <w:tr>
        <w:trPr/>
        <w:tc>
          <w:tcPr>
            <w:tcW w:w="553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Common stock, $0.0001</w:t>
            </w:r>
            <w:r>
              <w:rPr>
                <w:rFonts w:ascii="Times New Roman" w:hAnsi="Times New Roman"/>
                <w:sz w:val="20"/>
              </w:rPr>
              <w:t> </w:t>
            </w:r>
            <w:r>
              <w:rPr>
                <w:rFonts w:ascii="Times New Roman;serif" w:hAnsi="Times New Roman;serif"/>
                <w:b w:val="false"/>
                <w:sz w:val="20"/>
              </w:rPr>
              <w:t>par value, 490,000,000</w:t>
            </w:r>
            <w:r>
              <w:rPr>
                <w:rFonts w:ascii="Times New Roman" w:hAnsi="Times New Roman"/>
                <w:sz w:val="20"/>
              </w:rPr>
              <w:t> </w:t>
            </w:r>
            <w:r>
              <w:rPr>
                <w:rFonts w:ascii="Times New Roman;serif" w:hAnsi="Times New Roman;serif"/>
                <w:b w:val="false"/>
                <w:sz w:val="20"/>
              </w:rPr>
              <w:t xml:space="preserve">shares authorized </w:t>
              <w:br/>
              <w:t>   at June 30, 2023 and December 31, 2022; 52,453,163</w:t>
            </w:r>
            <w:r>
              <w:rPr>
                <w:rFonts w:ascii="Times New Roman" w:hAnsi="Times New Roman"/>
                <w:sz w:val="20"/>
              </w:rPr>
              <w:t> </w:t>
            </w:r>
            <w:r>
              <w:rPr>
                <w:rFonts w:ascii="Times New Roman;serif" w:hAnsi="Times New Roman;serif"/>
                <w:b w:val="false"/>
                <w:sz w:val="20"/>
              </w:rPr>
              <w:t xml:space="preserve">and </w:t>
              <w:br/>
              <w:t>   52,333,850</w:t>
            </w:r>
            <w:r>
              <w:rPr>
                <w:rFonts w:ascii="Times New Roman" w:hAnsi="Times New Roman"/>
                <w:sz w:val="20"/>
              </w:rPr>
              <w:t> </w:t>
            </w:r>
            <w:r>
              <w:rPr>
                <w:rFonts w:ascii="Times New Roman;serif" w:hAnsi="Times New Roman;serif"/>
                <w:b w:val="false"/>
                <w:sz w:val="20"/>
              </w:rPr>
              <w:t xml:space="preserve">shares issued and outstanding at June 30, 2023 and </w:t>
              <w:br/>
              <w:t>   December 31, 2022,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611" w:type="dxa"/>
            <w:tcBorders/>
            <w:vAlign w:val="center"/>
          </w:tcPr>
          <w:p>
            <w:pPr>
              <w:pStyle w:val="TableContents"/>
              <w:bidi w:val="0"/>
              <w:spacing w:before="0" w:after="0"/>
              <w:ind w:left="0" w:right="0" w:hanging="0"/>
              <w:jc w:val="left"/>
              <w:rPr/>
            </w:pPr>
            <w:r>
              <w:rPr/>
              <w:t> </w:t>
            </w:r>
          </w:p>
        </w:tc>
      </w:tr>
      <w:tr>
        <w:trPr/>
        <w:tc>
          <w:tcPr>
            <w:tcW w:w="5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1,381,481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1,329,509</w:t>
            </w:r>
          </w:p>
        </w:tc>
        <w:tc>
          <w:tcPr>
            <w:tcW w:w="611" w:type="dxa"/>
            <w:tcBorders/>
            <w:vAlign w:val="center"/>
          </w:tcPr>
          <w:p>
            <w:pPr>
              <w:pStyle w:val="TableContents"/>
              <w:bidi w:val="0"/>
              <w:spacing w:before="0" w:after="0"/>
              <w:ind w:left="0" w:right="0" w:hanging="0"/>
              <w:jc w:val="left"/>
              <w:rPr/>
            </w:pPr>
            <w:r>
              <w:rPr/>
              <w:t> </w:t>
            </w:r>
          </w:p>
        </w:tc>
      </w:tr>
      <w:tr>
        <w:trPr/>
        <w:tc>
          <w:tcPr>
            <w:tcW w:w="5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other comprehensive income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(1,307</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(1,043,008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(892,040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55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338,478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436,167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53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589,659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666,628</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Kodiak Sciences Inc.</w:t>
      </w:r>
    </w:p>
    <w:p>
      <w:pPr>
        <w:pStyle w:val="TextBody"/>
        <w:bidi w:val="0"/>
        <w:spacing w:before="0" w:after="0"/>
        <w:jc w:val="center"/>
        <w:rPr>
          <w:rFonts w:ascii="Times New Roman;serif" w:hAnsi="Times New Roman;serif"/>
          <w:b/>
          <w:sz w:val="20"/>
        </w:rPr>
      </w:pPr>
      <w:bookmarkStart w:id="5" w:name="condensed_consolidated_statements_operat"/>
      <w:bookmarkEnd w:id="5"/>
      <w:r>
        <w:rPr>
          <w:rFonts w:ascii="Times New Roman;serif" w:hAnsi="Times New Roman;serif"/>
          <w:b/>
          <w:sz w:val="20"/>
        </w:rPr>
        <w:t>Condensed Consolidated Statements of Operations and Comprehensive Loss</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 and per share amounts)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524"/>
        <w:gridCol w:w="146"/>
        <w:gridCol w:w="211"/>
        <w:gridCol w:w="1036"/>
        <w:gridCol w:w="166"/>
        <w:gridCol w:w="146"/>
        <w:gridCol w:w="211"/>
        <w:gridCol w:w="1036"/>
        <w:gridCol w:w="166"/>
        <w:gridCol w:w="146"/>
        <w:gridCol w:w="211"/>
        <w:gridCol w:w="1036"/>
        <w:gridCol w:w="166"/>
        <w:gridCol w:w="146"/>
        <w:gridCol w:w="211"/>
        <w:gridCol w:w="1036"/>
        <w:gridCol w:w="611"/>
      </w:tblGrid>
      <w:tr>
        <w:trPr/>
        <w:tc>
          <w:tcPr>
            <w:tcW w:w="3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xml:space="preserve">Three Months Ended </w:t>
              <w:br/>
              <w:t>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06"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xml:space="preserve">Six Months Ended </w:t>
              <w:br/>
              <w:t>  June 30,</w:t>
            </w:r>
          </w:p>
        </w:tc>
        <w:tc>
          <w:tcPr>
            <w:tcW w:w="611" w:type="dxa"/>
            <w:tcBorders/>
            <w:vAlign w:val="center"/>
          </w:tcPr>
          <w:p>
            <w:pPr>
              <w:pStyle w:val="TableContents"/>
              <w:bidi w:val="0"/>
              <w:spacing w:before="0" w:after="0"/>
              <w:ind w:left="0" w:right="0" w:hanging="0"/>
              <w:jc w:val="center"/>
              <w:rPr/>
            </w:pPr>
            <w:r>
              <w:rPr/>
              <w:t> </w:t>
            </w:r>
          </w:p>
        </w:tc>
      </w:tr>
      <w:tr>
        <w:trPr/>
        <w:tc>
          <w:tcPr>
            <w:tcW w:w="35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6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35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66,961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73,744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123,481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149,921</w:t>
            </w:r>
          </w:p>
        </w:tc>
        <w:tc>
          <w:tcPr>
            <w:tcW w:w="611" w:type="dxa"/>
            <w:tcBorders/>
            <w:vAlign w:val="center"/>
          </w:tcPr>
          <w:p>
            <w:pPr>
              <w:pStyle w:val="TableContents"/>
              <w:bidi w:val="0"/>
              <w:spacing w:before="0" w:after="0"/>
              <w:ind w:left="0" w:right="0" w:firstLine="200"/>
              <w:jc w:val="left"/>
              <w:rPr/>
            </w:pPr>
            <w:r>
              <w:rPr/>
              <w:t> </w:t>
            </w:r>
          </w:p>
        </w:tc>
      </w:tr>
      <w:tr>
        <w:trPr/>
        <w:tc>
          <w:tcPr>
            <w:tcW w:w="35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35,966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37,914</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52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84,832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92,068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159,447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187,835</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(84,832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(92,068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(159,447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(187,835</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5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1,570</w:t>
            </w:r>
          </w:p>
        </w:tc>
        <w:tc>
          <w:tcPr>
            <w:tcW w:w="611" w:type="dxa"/>
            <w:tcBorders/>
            <w:vAlign w:val="center"/>
          </w:tcPr>
          <w:p>
            <w:pPr>
              <w:pStyle w:val="TableContents"/>
              <w:bidi w:val="0"/>
              <w:spacing w:before="0" w:after="0"/>
              <w:ind w:left="0" w:right="0" w:firstLine="200"/>
              <w:jc w:val="left"/>
              <w:rPr/>
            </w:pPr>
            <w:r>
              <w:rPr/>
              <w:t> </w:t>
            </w:r>
          </w:p>
        </w:tc>
      </w:tr>
      <w:tr>
        <w:trPr/>
        <w:tc>
          <w:tcPr>
            <w:tcW w:w="35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5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(80,188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(90,628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(150,968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(186,337</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common share,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Weighted-average shares of common stock outstanding used </w:t>
              <w:br/>
              <w:t>   in computing net loss per common share,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52,378,729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52,218,773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52,358,279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52,195,972</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(loss)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352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 xml:space="preserve">Change in unrealized gains (losses) related to available-for-sale </w:t>
              <w:br/>
              <w:t>   debt securities, net of tax</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(1,869</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352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comprehensive income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(1,869</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(80,092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(92,497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(149,661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(188,206</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Kodiak Sciences Inc.</w:t>
      </w:r>
    </w:p>
    <w:p>
      <w:pPr>
        <w:pStyle w:val="TextBody"/>
        <w:bidi w:val="0"/>
        <w:spacing w:before="0" w:after="0"/>
        <w:jc w:val="center"/>
        <w:rPr>
          <w:rFonts w:ascii="Times New Roman;serif" w:hAnsi="Times New Roman;serif"/>
          <w:b/>
          <w:sz w:val="20"/>
        </w:rPr>
      </w:pPr>
      <w:bookmarkStart w:id="6" w:name="condensed_consolidated_statements_stockh"/>
      <w:bookmarkEnd w:id="6"/>
      <w:r>
        <w:rPr>
          <w:rFonts w:ascii="Times New Roman;serif" w:hAnsi="Times New Roman;serif"/>
          <w:b/>
          <w:sz w:val="20"/>
        </w:rPr>
        <w:t>Condensed Consolidated Statements of Stockholders’ Equity</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 and per share amounts)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999"/>
        <w:gridCol w:w="146"/>
        <w:gridCol w:w="146"/>
        <w:gridCol w:w="916"/>
        <w:gridCol w:w="146"/>
        <w:gridCol w:w="146"/>
        <w:gridCol w:w="249"/>
        <w:gridCol w:w="442"/>
        <w:gridCol w:w="146"/>
        <w:gridCol w:w="146"/>
        <w:gridCol w:w="196"/>
        <w:gridCol w:w="826"/>
        <w:gridCol w:w="146"/>
        <w:gridCol w:w="146"/>
        <w:gridCol w:w="310"/>
        <w:gridCol w:w="906"/>
        <w:gridCol w:w="166"/>
        <w:gridCol w:w="146"/>
        <w:gridCol w:w="196"/>
        <w:gridCol w:w="886"/>
        <w:gridCol w:w="166"/>
        <w:gridCol w:w="146"/>
        <w:gridCol w:w="236"/>
        <w:gridCol w:w="838"/>
        <w:gridCol w:w="413"/>
      </w:tblGrid>
      <w:tr>
        <w:trPr/>
        <w:tc>
          <w:tcPr>
            <w:tcW w:w="19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99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4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Other</w:t>
              <w:b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4"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br/>
              <w:t>Stockholders’</w:t>
            </w:r>
          </w:p>
        </w:tc>
        <w:tc>
          <w:tcPr>
            <w:tcW w:w="413" w:type="dxa"/>
            <w:tcBorders/>
            <w:vAlign w:val="center"/>
          </w:tcPr>
          <w:p>
            <w:pPr>
              <w:pStyle w:val="TableContents"/>
              <w:bidi w:val="0"/>
              <w:spacing w:before="0" w:after="0"/>
              <w:ind w:left="0" w:right="0" w:hanging="0"/>
              <w:jc w:val="center"/>
              <w:rPr/>
            </w:pPr>
            <w:r>
              <w:rPr/>
              <w:t> </w:t>
            </w:r>
          </w:p>
        </w:tc>
      </w:tr>
      <w:tr>
        <w:trPr/>
        <w:tc>
          <w:tcPr>
            <w:tcW w:w="199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Income (Loss)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9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Balances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52,333,850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4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1,329,509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(1,307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(892,040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3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436,167</w:t>
            </w:r>
          </w:p>
        </w:tc>
        <w:tc>
          <w:tcPr>
            <w:tcW w:w="413" w:type="dxa"/>
            <w:tcBorders/>
            <w:vAlign w:val="center"/>
          </w:tcPr>
          <w:p>
            <w:pPr>
              <w:pStyle w:val="TableContents"/>
              <w:bidi w:val="0"/>
              <w:spacing w:before="0" w:after="0"/>
              <w:ind w:left="0" w:right="0" w:firstLine="200"/>
              <w:jc w:val="left"/>
              <w:rPr/>
            </w:pPr>
            <w:r>
              <w:rPr/>
              <w:t> </w:t>
            </w:r>
          </w:p>
        </w:tc>
      </w:tr>
      <w:tr>
        <w:trPr/>
        <w:tc>
          <w:tcPr>
            <w:tcW w:w="199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 xml:space="preserve">Issuance of common stock upon </w:t>
              <w:br/>
              <w:t>   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w:t>
            </w:r>
          </w:p>
        </w:tc>
        <w:tc>
          <w:tcPr>
            <w:tcW w:w="413" w:type="dxa"/>
            <w:tcBorders/>
            <w:vAlign w:val="center"/>
          </w:tcPr>
          <w:p>
            <w:pPr>
              <w:pStyle w:val="TableContents"/>
              <w:bidi w:val="0"/>
              <w:spacing w:before="0" w:after="0"/>
              <w:ind w:left="0" w:right="0" w:firstLine="200"/>
              <w:jc w:val="left"/>
              <w:rPr/>
            </w:pPr>
            <w:r>
              <w:rPr/>
              <w:t> </w:t>
            </w:r>
          </w:p>
        </w:tc>
      </w:tr>
      <w:tr>
        <w:trPr/>
        <w:tc>
          <w:tcPr>
            <w:tcW w:w="199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 xml:space="preserve">Issuance of common stock upon </w:t>
              <w:br/>
              <w:t>   vesting of 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9,793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8" w:type="dxa"/>
            <w:tcBorders/>
            <w:vAlign w:val="center"/>
          </w:tcPr>
          <w:p>
            <w:pPr>
              <w:pStyle w:val="TableContents"/>
              <w:bidi w:val="0"/>
              <w:spacing w:before="0" w:after="0"/>
              <w:ind w:left="0" w:right="0" w:hanging="0"/>
              <w:jc w:val="right"/>
              <w:rPr/>
            </w:pPr>
            <w:r>
              <w:rPr/>
              <w:t>—</w:t>
            </w:r>
          </w:p>
        </w:tc>
        <w:tc>
          <w:tcPr>
            <w:tcW w:w="413" w:type="dxa"/>
            <w:tcBorders/>
            <w:vAlign w:val="center"/>
          </w:tcPr>
          <w:p>
            <w:pPr>
              <w:pStyle w:val="TableContents"/>
              <w:bidi w:val="0"/>
              <w:spacing w:before="0" w:after="0"/>
              <w:ind w:left="0" w:right="0" w:firstLine="200"/>
              <w:jc w:val="left"/>
              <w:rPr/>
            </w:pPr>
            <w:r>
              <w:rPr/>
              <w:t> </w:t>
            </w:r>
          </w:p>
        </w:tc>
      </w:tr>
      <w:tr>
        <w:trPr/>
        <w:tc>
          <w:tcPr>
            <w:tcW w:w="199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Stock-based compensation</w:t>
              <w:br/>
              <w:t>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25,980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25,980</w:t>
            </w:r>
          </w:p>
        </w:tc>
        <w:tc>
          <w:tcPr>
            <w:tcW w:w="413" w:type="dxa"/>
            <w:tcBorders/>
            <w:vAlign w:val="center"/>
          </w:tcPr>
          <w:p>
            <w:pPr>
              <w:pStyle w:val="TableContents"/>
              <w:bidi w:val="0"/>
              <w:spacing w:before="0" w:after="0"/>
              <w:ind w:left="0" w:right="0" w:firstLine="200"/>
              <w:jc w:val="left"/>
              <w:rPr/>
            </w:pPr>
            <w:r>
              <w:rPr/>
              <w:t> </w:t>
            </w:r>
          </w:p>
        </w:tc>
      </w:tr>
      <w:tr>
        <w:trPr/>
        <w:tc>
          <w:tcPr>
            <w:tcW w:w="199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Other comprehensive income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1,211</w:t>
            </w:r>
          </w:p>
        </w:tc>
        <w:tc>
          <w:tcPr>
            <w:tcW w:w="413" w:type="dxa"/>
            <w:tcBorders/>
            <w:vAlign w:val="center"/>
          </w:tcPr>
          <w:p>
            <w:pPr>
              <w:pStyle w:val="TableContents"/>
              <w:bidi w:val="0"/>
              <w:spacing w:before="0" w:after="0"/>
              <w:ind w:left="0" w:right="0" w:firstLine="200"/>
              <w:jc w:val="left"/>
              <w:rPr/>
            </w:pPr>
            <w:r>
              <w:rPr/>
              <w:t> </w:t>
            </w:r>
          </w:p>
        </w:tc>
      </w:tr>
      <w:tr>
        <w:trPr/>
        <w:tc>
          <w:tcPr>
            <w:tcW w:w="199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(70,780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(70,780</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99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Balances at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52,344,741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1,355,498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(962,820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392,587</w:t>
            </w:r>
          </w:p>
        </w:tc>
        <w:tc>
          <w:tcPr>
            <w:tcW w:w="413" w:type="dxa"/>
            <w:tcBorders/>
            <w:vAlign w:val="center"/>
          </w:tcPr>
          <w:p>
            <w:pPr>
              <w:pStyle w:val="TableContents"/>
              <w:bidi w:val="0"/>
              <w:spacing w:before="0" w:after="0"/>
              <w:ind w:left="0" w:right="0" w:firstLine="200"/>
              <w:jc w:val="left"/>
              <w:rPr/>
            </w:pPr>
            <w:r>
              <w:rPr/>
              <w:t> </w:t>
            </w:r>
          </w:p>
        </w:tc>
      </w:tr>
      <w:tr>
        <w:trPr/>
        <w:tc>
          <w:tcPr>
            <w:tcW w:w="199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 xml:space="preserve">Issuance of common stock upon </w:t>
              <w:br/>
              <w:t>   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6,430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w:t>
            </w:r>
          </w:p>
        </w:tc>
        <w:tc>
          <w:tcPr>
            <w:tcW w:w="413" w:type="dxa"/>
            <w:tcBorders/>
            <w:vAlign w:val="center"/>
          </w:tcPr>
          <w:p>
            <w:pPr>
              <w:pStyle w:val="TableContents"/>
              <w:bidi w:val="0"/>
              <w:spacing w:before="0" w:after="0"/>
              <w:ind w:left="0" w:right="0" w:firstLine="200"/>
              <w:jc w:val="left"/>
              <w:rPr/>
            </w:pPr>
            <w:r>
              <w:rPr/>
              <w:t> </w:t>
            </w:r>
          </w:p>
        </w:tc>
      </w:tr>
      <w:tr>
        <w:trPr/>
        <w:tc>
          <w:tcPr>
            <w:tcW w:w="199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 xml:space="preserve">Issuance of common stock upon </w:t>
              <w:br/>
              <w:t>   vesting of 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76,152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8" w:type="dxa"/>
            <w:tcBorders/>
            <w:vAlign w:val="center"/>
          </w:tcPr>
          <w:p>
            <w:pPr>
              <w:pStyle w:val="TableContents"/>
              <w:bidi w:val="0"/>
              <w:spacing w:before="0" w:after="0"/>
              <w:ind w:left="0" w:right="0" w:hanging="0"/>
              <w:jc w:val="right"/>
              <w:rPr/>
            </w:pPr>
            <w:r>
              <w:rPr/>
              <w:t>—</w:t>
            </w:r>
          </w:p>
        </w:tc>
        <w:tc>
          <w:tcPr>
            <w:tcW w:w="413" w:type="dxa"/>
            <w:tcBorders/>
            <w:vAlign w:val="center"/>
          </w:tcPr>
          <w:p>
            <w:pPr>
              <w:pStyle w:val="TableContents"/>
              <w:bidi w:val="0"/>
              <w:spacing w:before="0" w:after="0"/>
              <w:ind w:left="0" w:right="0" w:firstLine="200"/>
              <w:jc w:val="left"/>
              <w:rPr/>
            </w:pPr>
            <w:r>
              <w:rPr/>
              <w:t> </w:t>
            </w:r>
          </w:p>
        </w:tc>
      </w:tr>
      <w:tr>
        <w:trPr/>
        <w:tc>
          <w:tcPr>
            <w:tcW w:w="199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Issuance of common stock</w:t>
              <w:br/>
              <w:t xml:space="preserve">   pursuant to employee stock </w:t>
              <w:br/>
              <w:t>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25,840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131</w:t>
            </w:r>
          </w:p>
        </w:tc>
        <w:tc>
          <w:tcPr>
            <w:tcW w:w="413" w:type="dxa"/>
            <w:tcBorders/>
            <w:vAlign w:val="center"/>
          </w:tcPr>
          <w:p>
            <w:pPr>
              <w:pStyle w:val="TableContents"/>
              <w:bidi w:val="0"/>
              <w:spacing w:before="0" w:after="0"/>
              <w:ind w:left="0" w:right="0" w:firstLine="200"/>
              <w:jc w:val="left"/>
              <w:rPr/>
            </w:pPr>
            <w:r>
              <w:rPr/>
              <w:t> </w:t>
            </w:r>
          </w:p>
        </w:tc>
      </w:tr>
      <w:tr>
        <w:trPr/>
        <w:tc>
          <w:tcPr>
            <w:tcW w:w="199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Stock-based compensation</w:t>
              <w:br/>
              <w:t>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25,801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25,801</w:t>
            </w:r>
          </w:p>
        </w:tc>
        <w:tc>
          <w:tcPr>
            <w:tcW w:w="413" w:type="dxa"/>
            <w:tcBorders/>
            <w:vAlign w:val="center"/>
          </w:tcPr>
          <w:p>
            <w:pPr>
              <w:pStyle w:val="TableContents"/>
              <w:bidi w:val="0"/>
              <w:spacing w:before="0" w:after="0"/>
              <w:ind w:left="0" w:right="0" w:firstLine="200"/>
              <w:jc w:val="left"/>
              <w:rPr/>
            </w:pPr>
            <w:r>
              <w:rPr/>
              <w:t> </w:t>
            </w:r>
          </w:p>
        </w:tc>
      </w:tr>
      <w:tr>
        <w:trPr/>
        <w:tc>
          <w:tcPr>
            <w:tcW w:w="199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Other comprehensive income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96</w:t>
            </w:r>
          </w:p>
        </w:tc>
        <w:tc>
          <w:tcPr>
            <w:tcW w:w="413" w:type="dxa"/>
            <w:tcBorders/>
            <w:vAlign w:val="center"/>
          </w:tcPr>
          <w:p>
            <w:pPr>
              <w:pStyle w:val="TableContents"/>
              <w:bidi w:val="0"/>
              <w:spacing w:before="0" w:after="0"/>
              <w:ind w:left="0" w:right="0" w:firstLine="200"/>
              <w:jc w:val="left"/>
              <w:rPr/>
            </w:pPr>
            <w:r>
              <w:rPr/>
              <w:t> </w:t>
            </w:r>
          </w:p>
        </w:tc>
      </w:tr>
      <w:tr>
        <w:trPr/>
        <w:tc>
          <w:tcPr>
            <w:tcW w:w="199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(80,188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(80,188</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99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Balances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52,453,163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1,381,481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(1,043,008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338,478</w:t>
            </w:r>
          </w:p>
        </w:tc>
        <w:tc>
          <w:tcPr>
            <w:tcW w:w="4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99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8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4" w:type="dxa"/>
            <w:gridSpan w:val="2"/>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left"/>
              <w:rPr/>
            </w:pPr>
            <w:r>
              <w:rPr/>
              <w:t> </w:t>
            </w:r>
          </w:p>
        </w:tc>
      </w:tr>
      <w:tr>
        <w:trPr/>
        <w:tc>
          <w:tcPr>
            <w:tcW w:w="199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4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Other</w:t>
              <w:b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4"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br/>
              <w:t>Stockholders’</w:t>
            </w:r>
          </w:p>
        </w:tc>
        <w:tc>
          <w:tcPr>
            <w:tcW w:w="413" w:type="dxa"/>
            <w:tcBorders/>
            <w:vAlign w:val="center"/>
          </w:tcPr>
          <w:p>
            <w:pPr>
              <w:pStyle w:val="TableContents"/>
              <w:bidi w:val="0"/>
              <w:spacing w:before="0" w:after="0"/>
              <w:ind w:left="0" w:right="0" w:hanging="0"/>
              <w:jc w:val="center"/>
              <w:rPr/>
            </w:pPr>
            <w:r>
              <w:rPr/>
              <w:t> </w:t>
            </w:r>
          </w:p>
        </w:tc>
      </w:tr>
      <w:tr>
        <w:trPr/>
        <w:tc>
          <w:tcPr>
            <w:tcW w:w="199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Income (Loss)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9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Balances at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51,826,257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4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1,221,532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(558,217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3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663,320</w:t>
            </w:r>
          </w:p>
        </w:tc>
        <w:tc>
          <w:tcPr>
            <w:tcW w:w="413" w:type="dxa"/>
            <w:tcBorders/>
            <w:vAlign w:val="center"/>
          </w:tcPr>
          <w:p>
            <w:pPr>
              <w:pStyle w:val="TableContents"/>
              <w:bidi w:val="0"/>
              <w:spacing w:before="0" w:after="0"/>
              <w:ind w:left="0" w:right="0" w:firstLine="200"/>
              <w:jc w:val="left"/>
              <w:rPr/>
            </w:pPr>
            <w:r>
              <w:rPr/>
              <w:t> </w:t>
            </w:r>
          </w:p>
        </w:tc>
      </w:tr>
      <w:tr>
        <w:trPr/>
        <w:tc>
          <w:tcPr>
            <w:tcW w:w="199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 xml:space="preserve">Issuance of common stock upon </w:t>
              <w:br/>
              <w:t>   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110,043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1,678</w:t>
            </w:r>
          </w:p>
        </w:tc>
        <w:tc>
          <w:tcPr>
            <w:tcW w:w="413" w:type="dxa"/>
            <w:tcBorders/>
            <w:vAlign w:val="center"/>
          </w:tcPr>
          <w:p>
            <w:pPr>
              <w:pStyle w:val="TableContents"/>
              <w:bidi w:val="0"/>
              <w:spacing w:before="0" w:after="0"/>
              <w:ind w:left="0" w:right="0" w:firstLine="200"/>
              <w:jc w:val="left"/>
              <w:rPr/>
            </w:pPr>
            <w:r>
              <w:rPr/>
              <w:t> </w:t>
            </w:r>
          </w:p>
        </w:tc>
      </w:tr>
      <w:tr>
        <w:trPr/>
        <w:tc>
          <w:tcPr>
            <w:tcW w:w="199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 xml:space="preserve">Issuance of common stock upon </w:t>
              <w:br/>
              <w:t>   vesting of 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8" w:type="dxa"/>
            <w:tcBorders/>
            <w:vAlign w:val="center"/>
          </w:tcPr>
          <w:p>
            <w:pPr>
              <w:pStyle w:val="TableContents"/>
              <w:bidi w:val="0"/>
              <w:spacing w:before="0" w:after="0"/>
              <w:ind w:left="0" w:right="0" w:hanging="0"/>
              <w:jc w:val="right"/>
              <w:rPr/>
            </w:pPr>
            <w:r>
              <w:rPr/>
              <w:t>—</w:t>
            </w:r>
          </w:p>
        </w:tc>
        <w:tc>
          <w:tcPr>
            <w:tcW w:w="413" w:type="dxa"/>
            <w:tcBorders/>
            <w:vAlign w:val="center"/>
          </w:tcPr>
          <w:p>
            <w:pPr>
              <w:pStyle w:val="TableContents"/>
              <w:bidi w:val="0"/>
              <w:spacing w:before="0" w:after="0"/>
              <w:ind w:left="0" w:right="0" w:firstLine="200"/>
              <w:jc w:val="left"/>
              <w:rPr/>
            </w:pPr>
            <w:r>
              <w:rPr/>
              <w:t> </w:t>
            </w:r>
          </w:p>
        </w:tc>
      </w:tr>
      <w:tr>
        <w:trPr/>
        <w:tc>
          <w:tcPr>
            <w:tcW w:w="199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Stock-based compensation</w:t>
              <w:br/>
              <w:t>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28,095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28,095</w:t>
            </w:r>
          </w:p>
        </w:tc>
        <w:tc>
          <w:tcPr>
            <w:tcW w:w="413" w:type="dxa"/>
            <w:tcBorders/>
            <w:vAlign w:val="center"/>
          </w:tcPr>
          <w:p>
            <w:pPr>
              <w:pStyle w:val="TableContents"/>
              <w:bidi w:val="0"/>
              <w:spacing w:before="0" w:after="0"/>
              <w:ind w:left="0" w:right="0" w:firstLine="200"/>
              <w:jc w:val="left"/>
              <w:rPr/>
            </w:pPr>
            <w:r>
              <w:rPr/>
              <w:t> </w:t>
            </w:r>
          </w:p>
        </w:tc>
      </w:tr>
      <w:tr>
        <w:trPr/>
        <w:tc>
          <w:tcPr>
            <w:tcW w:w="199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(95,709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(95,709</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99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Balances at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51,939,881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1,251,305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(653,926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597,384</w:t>
            </w:r>
          </w:p>
        </w:tc>
        <w:tc>
          <w:tcPr>
            <w:tcW w:w="413" w:type="dxa"/>
            <w:tcBorders/>
            <w:vAlign w:val="center"/>
          </w:tcPr>
          <w:p>
            <w:pPr>
              <w:pStyle w:val="TableContents"/>
              <w:bidi w:val="0"/>
              <w:spacing w:before="0" w:after="0"/>
              <w:ind w:left="0" w:right="0" w:firstLine="200"/>
              <w:jc w:val="left"/>
              <w:rPr/>
            </w:pPr>
            <w:r>
              <w:rPr/>
              <w:t> </w:t>
            </w:r>
          </w:p>
        </w:tc>
      </w:tr>
      <w:tr>
        <w:trPr/>
        <w:tc>
          <w:tcPr>
            <w:tcW w:w="199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 xml:space="preserve">Issuance of common stock upon </w:t>
              <w:br/>
              <w:t>   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413" w:type="dxa"/>
            <w:tcBorders/>
            <w:vAlign w:val="center"/>
          </w:tcPr>
          <w:p>
            <w:pPr>
              <w:pStyle w:val="TableContents"/>
              <w:bidi w:val="0"/>
              <w:spacing w:before="0" w:after="0"/>
              <w:ind w:left="0" w:right="0" w:firstLine="200"/>
              <w:jc w:val="left"/>
              <w:rPr/>
            </w:pPr>
            <w:r>
              <w:rPr/>
              <w:t> </w:t>
            </w:r>
          </w:p>
        </w:tc>
      </w:tr>
      <w:tr>
        <w:trPr/>
        <w:tc>
          <w:tcPr>
            <w:tcW w:w="199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 xml:space="preserve">Issuance of common stock upon </w:t>
              <w:br/>
              <w:t>   vesting of 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74,148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8" w:type="dxa"/>
            <w:tcBorders/>
            <w:vAlign w:val="center"/>
          </w:tcPr>
          <w:p>
            <w:pPr>
              <w:pStyle w:val="TableContents"/>
              <w:bidi w:val="0"/>
              <w:spacing w:before="0" w:after="0"/>
              <w:ind w:left="0" w:right="0" w:hanging="0"/>
              <w:jc w:val="right"/>
              <w:rPr/>
            </w:pPr>
            <w:r>
              <w:rPr/>
              <w:t>—</w:t>
            </w:r>
          </w:p>
        </w:tc>
        <w:tc>
          <w:tcPr>
            <w:tcW w:w="413" w:type="dxa"/>
            <w:tcBorders/>
            <w:vAlign w:val="center"/>
          </w:tcPr>
          <w:p>
            <w:pPr>
              <w:pStyle w:val="TableContents"/>
              <w:bidi w:val="0"/>
              <w:spacing w:before="0" w:after="0"/>
              <w:ind w:left="0" w:right="0" w:firstLine="200"/>
              <w:jc w:val="left"/>
              <w:rPr/>
            </w:pPr>
            <w:r>
              <w:rPr/>
              <w:t> </w:t>
            </w:r>
          </w:p>
        </w:tc>
      </w:tr>
      <w:tr>
        <w:trPr/>
        <w:tc>
          <w:tcPr>
            <w:tcW w:w="199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Issuance of common stock</w:t>
              <w:br/>
              <w:t xml:space="preserve">   pursuant to employee stock </w:t>
              <w:br/>
              <w:t>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10,272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64</w:t>
            </w:r>
          </w:p>
        </w:tc>
        <w:tc>
          <w:tcPr>
            <w:tcW w:w="413" w:type="dxa"/>
            <w:tcBorders/>
            <w:vAlign w:val="center"/>
          </w:tcPr>
          <w:p>
            <w:pPr>
              <w:pStyle w:val="TableContents"/>
              <w:bidi w:val="0"/>
              <w:spacing w:before="0" w:after="0"/>
              <w:ind w:left="0" w:right="0" w:firstLine="200"/>
              <w:jc w:val="left"/>
              <w:rPr/>
            </w:pPr>
            <w:r>
              <w:rPr/>
              <w:t> </w:t>
            </w:r>
          </w:p>
        </w:tc>
      </w:tr>
      <w:tr>
        <w:trPr/>
        <w:tc>
          <w:tcPr>
            <w:tcW w:w="199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Stock-based compensation</w:t>
              <w:br/>
              <w:t>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25,978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25,978</w:t>
            </w:r>
          </w:p>
        </w:tc>
        <w:tc>
          <w:tcPr>
            <w:tcW w:w="413" w:type="dxa"/>
            <w:tcBorders/>
            <w:vAlign w:val="center"/>
          </w:tcPr>
          <w:p>
            <w:pPr>
              <w:pStyle w:val="TableContents"/>
              <w:bidi w:val="0"/>
              <w:spacing w:before="0" w:after="0"/>
              <w:ind w:left="0" w:right="0" w:firstLine="200"/>
              <w:jc w:val="left"/>
              <w:rPr/>
            </w:pPr>
            <w:r>
              <w:rPr/>
              <w:t> </w:t>
            </w:r>
          </w:p>
        </w:tc>
      </w:tr>
      <w:tr>
        <w:trPr/>
        <w:tc>
          <w:tcPr>
            <w:tcW w:w="199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Other comprehensive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90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(1,869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83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(1,869</w:t>
            </w:r>
          </w:p>
        </w:tc>
        <w:tc>
          <w:tcPr>
            <w:tcW w:w="413"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199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(90,628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(90,628</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99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Balances at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52,024,621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1,277,349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(1,869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(744,554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530,931</w:t>
            </w:r>
          </w:p>
        </w:tc>
        <w:tc>
          <w:tcPr>
            <w:tcW w:w="4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Kodiak Sciences Inc.</w:t>
      </w:r>
    </w:p>
    <w:p>
      <w:pPr>
        <w:pStyle w:val="TextBody"/>
        <w:bidi w:val="0"/>
        <w:spacing w:before="0" w:after="0"/>
        <w:jc w:val="center"/>
        <w:rPr>
          <w:rFonts w:ascii="Times New Roman;serif" w:hAnsi="Times New Roman;serif"/>
          <w:b/>
          <w:sz w:val="20"/>
        </w:rPr>
      </w:pPr>
      <w:bookmarkStart w:id="7" w:name="condensed_consolidated_statements_cash_f"/>
      <w:bookmarkEnd w:id="7"/>
      <w:r>
        <w:rPr>
          <w:rFonts w:ascii="Times New Roman;serif" w:hAnsi="Times New Roman;serif"/>
          <w:b/>
          <w:sz w:val="20"/>
        </w:rPr>
        <w:t>Condensed Consolidated Statements of Cash Flows</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6978"/>
        <w:gridCol w:w="211"/>
        <w:gridCol w:w="841"/>
        <w:gridCol w:w="166"/>
        <w:gridCol w:w="146"/>
        <w:gridCol w:w="211"/>
        <w:gridCol w:w="841"/>
        <w:gridCol w:w="811"/>
      </w:tblGrid>
      <w:tr>
        <w:trPr/>
        <w:tc>
          <w:tcPr>
            <w:tcW w:w="69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978" w:type="dxa"/>
            <w:tcBorders/>
            <w:vAlign w:val="center"/>
          </w:tcPr>
          <w:p>
            <w:pPr>
              <w:pStyle w:val="TableContents"/>
              <w:bidi w:val="0"/>
              <w:spacing w:before="0" w:after="0"/>
              <w:ind w:left="0" w:right="0" w:hanging="0"/>
              <w:jc w:val="left"/>
              <w:rPr/>
            </w:pPr>
            <w:r>
              <w:rPr/>
              <w:t> </w:t>
            </w:r>
          </w:p>
        </w:tc>
        <w:tc>
          <w:tcPr>
            <w:tcW w:w="2416"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 June 30,</w:t>
            </w:r>
          </w:p>
        </w:tc>
        <w:tc>
          <w:tcPr>
            <w:tcW w:w="811" w:type="dxa"/>
            <w:tcBorders/>
            <w:vAlign w:val="center"/>
          </w:tcPr>
          <w:p>
            <w:pPr>
              <w:pStyle w:val="TableContents"/>
              <w:bidi w:val="0"/>
              <w:spacing w:before="0" w:after="0"/>
              <w:ind w:left="0" w:right="0" w:hanging="0"/>
              <w:jc w:val="center"/>
              <w:rPr/>
            </w:pPr>
            <w:r>
              <w:rPr/>
              <w:t> </w:t>
            </w:r>
          </w:p>
        </w:tc>
      </w:tr>
      <w:tr>
        <w:trPr/>
        <w:tc>
          <w:tcPr>
            <w:tcW w:w="6978" w:type="dxa"/>
            <w:tcBorders/>
            <w:vAlign w:val="center"/>
          </w:tcPr>
          <w:p>
            <w:pPr>
              <w:pStyle w:val="TableContents"/>
              <w:bidi w:val="0"/>
              <w:spacing w:before="0" w:after="0"/>
              <w:ind w:left="0" w:right="0" w:hanging="0"/>
              <w:jc w:val="left"/>
              <w:rPr/>
            </w:pPr>
            <w:r>
              <w:rPr/>
              <w:t> </w:t>
            </w:r>
          </w:p>
        </w:tc>
        <w:tc>
          <w:tcPr>
            <w:tcW w:w="1052"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8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r>
      <w:tr>
        <w:trPr/>
        <w:tc>
          <w:tcPr>
            <w:tcW w:w="697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operating activities</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pPr>
            <w:r>
              <w:rPr/>
              <w:t> </w:t>
            </w:r>
          </w:p>
        </w:tc>
      </w:tr>
      <w:tr>
        <w:trPr/>
        <w:tc>
          <w:tcPr>
            <w:tcW w:w="69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(150,968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(186,337</w:t>
            </w:r>
          </w:p>
        </w:tc>
        <w:tc>
          <w:tcPr>
            <w:tcW w:w="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9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provided by (used in) operating activities:</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firstLine="200"/>
              <w:jc w:val="right"/>
              <w:rPr/>
            </w:pPr>
            <w:r>
              <w:rPr/>
              <w:t> </w:t>
            </w:r>
          </w:p>
        </w:tc>
      </w:tr>
      <w:tr>
        <w:trPr/>
        <w:tc>
          <w:tcPr>
            <w:tcW w:w="697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1,075</w:t>
            </w:r>
          </w:p>
        </w:tc>
        <w:tc>
          <w:tcPr>
            <w:tcW w:w="811" w:type="dxa"/>
            <w:tcBorders/>
            <w:vAlign w:val="center"/>
          </w:tcPr>
          <w:p>
            <w:pPr>
              <w:pStyle w:val="TableContents"/>
              <w:bidi w:val="0"/>
              <w:spacing w:before="0" w:after="0"/>
              <w:ind w:left="0" w:right="0" w:firstLine="200"/>
              <w:jc w:val="left"/>
              <w:rPr/>
            </w:pPr>
            <w:r>
              <w:rPr/>
              <w:t> </w:t>
            </w:r>
          </w:p>
        </w:tc>
      </w:tr>
      <w:tr>
        <w:trPr/>
        <w:tc>
          <w:tcPr>
            <w:tcW w:w="697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51,781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54,073</w:t>
            </w:r>
          </w:p>
        </w:tc>
        <w:tc>
          <w:tcPr>
            <w:tcW w:w="811" w:type="dxa"/>
            <w:tcBorders/>
            <w:vAlign w:val="center"/>
          </w:tcPr>
          <w:p>
            <w:pPr>
              <w:pStyle w:val="TableContents"/>
              <w:bidi w:val="0"/>
              <w:spacing w:before="0" w:after="0"/>
              <w:ind w:left="0" w:right="0" w:firstLine="200"/>
              <w:jc w:val="left"/>
              <w:rPr/>
            </w:pPr>
            <w:r>
              <w:rPr/>
              <w:t> </w:t>
            </w:r>
          </w:p>
        </w:tc>
      </w:tr>
      <w:tr>
        <w:trPr/>
        <w:tc>
          <w:tcPr>
            <w:tcW w:w="697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amortization (accretion) of premium (discount) on marketable securities</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w:t>
            </w:r>
          </w:p>
        </w:tc>
        <w:tc>
          <w:tcPr>
            <w:tcW w:w="8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97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Settlement of derivative contracts</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firstLine="200"/>
              <w:jc w:val="left"/>
              <w:rPr/>
            </w:pPr>
            <w:r>
              <w:rPr/>
              <w:t> </w:t>
            </w:r>
          </w:p>
        </w:tc>
      </w:tr>
      <w:tr>
        <w:trPr/>
        <w:tc>
          <w:tcPr>
            <w:tcW w:w="697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of operating lease right-of-use asset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3,742</w:t>
            </w:r>
          </w:p>
        </w:tc>
        <w:tc>
          <w:tcPr>
            <w:tcW w:w="811" w:type="dxa"/>
            <w:tcBorders/>
            <w:vAlign w:val="center"/>
          </w:tcPr>
          <w:p>
            <w:pPr>
              <w:pStyle w:val="TableContents"/>
              <w:bidi w:val="0"/>
              <w:spacing w:before="0" w:after="0"/>
              <w:ind w:left="0" w:right="0" w:firstLine="200"/>
              <w:jc w:val="left"/>
              <w:rPr/>
            </w:pPr>
            <w:r>
              <w:rPr/>
              <w:t> </w:t>
            </w:r>
          </w:p>
        </w:tc>
      </w:tr>
      <w:tr>
        <w:trPr/>
        <w:tc>
          <w:tcPr>
            <w:tcW w:w="697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of issuance costs</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811" w:type="dxa"/>
            <w:tcBorders/>
            <w:vAlign w:val="center"/>
          </w:tcPr>
          <w:p>
            <w:pPr>
              <w:pStyle w:val="TableContents"/>
              <w:bidi w:val="0"/>
              <w:spacing w:before="0" w:after="0"/>
              <w:ind w:left="0" w:right="0" w:firstLine="200"/>
              <w:jc w:val="left"/>
              <w:rPr/>
            </w:pPr>
            <w:r>
              <w:rPr/>
              <w:t> </w:t>
            </w:r>
          </w:p>
        </w:tc>
      </w:tr>
      <w:tr>
        <w:trPr/>
        <w:tc>
          <w:tcPr>
            <w:tcW w:w="697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in assets and liabilities:</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firstLine="400"/>
              <w:jc w:val="right"/>
              <w:rPr/>
            </w:pPr>
            <w:r>
              <w:rPr/>
              <w:t> </w:t>
            </w:r>
          </w:p>
        </w:tc>
      </w:tr>
      <w:tr>
        <w:trPr/>
        <w:tc>
          <w:tcPr>
            <w:tcW w:w="6978"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(2,165</w:t>
            </w:r>
          </w:p>
        </w:tc>
        <w:tc>
          <w:tcPr>
            <w:tcW w:w="8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978"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Other assets</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10,235</w:t>
            </w:r>
          </w:p>
        </w:tc>
        <w:tc>
          <w:tcPr>
            <w:tcW w:w="811" w:type="dxa"/>
            <w:tcBorders/>
            <w:vAlign w:val="center"/>
          </w:tcPr>
          <w:p>
            <w:pPr>
              <w:pStyle w:val="TableContents"/>
              <w:bidi w:val="0"/>
              <w:spacing w:before="0" w:after="0"/>
              <w:ind w:left="0" w:right="0" w:firstLine="400"/>
              <w:jc w:val="left"/>
              <w:rPr/>
            </w:pPr>
            <w:r>
              <w:rPr/>
              <w:t> </w:t>
            </w:r>
          </w:p>
        </w:tc>
      </w:tr>
      <w:tr>
        <w:trPr/>
        <w:tc>
          <w:tcPr>
            <w:tcW w:w="6978"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12,864</w:t>
            </w:r>
          </w:p>
        </w:tc>
        <w:tc>
          <w:tcPr>
            <w:tcW w:w="811" w:type="dxa"/>
            <w:tcBorders/>
            <w:vAlign w:val="center"/>
          </w:tcPr>
          <w:p>
            <w:pPr>
              <w:pStyle w:val="TableContents"/>
              <w:bidi w:val="0"/>
              <w:spacing w:before="0" w:after="0"/>
              <w:ind w:left="0" w:right="0" w:firstLine="400"/>
              <w:jc w:val="left"/>
              <w:rPr/>
            </w:pPr>
            <w:r>
              <w:rPr/>
              <w:t> </w:t>
            </w:r>
          </w:p>
        </w:tc>
      </w:tr>
      <w:tr>
        <w:trPr/>
        <w:tc>
          <w:tcPr>
            <w:tcW w:w="6978"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Accrued and other current liabilities</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1,545</w:t>
            </w:r>
          </w:p>
        </w:tc>
        <w:tc>
          <w:tcPr>
            <w:tcW w:w="811" w:type="dxa"/>
            <w:tcBorders/>
            <w:vAlign w:val="center"/>
          </w:tcPr>
          <w:p>
            <w:pPr>
              <w:pStyle w:val="TableContents"/>
              <w:bidi w:val="0"/>
              <w:spacing w:before="0" w:after="0"/>
              <w:ind w:left="0" w:right="0" w:firstLine="400"/>
              <w:jc w:val="left"/>
              <w:rPr/>
            </w:pPr>
            <w:r>
              <w:rPr/>
              <w:t> </w:t>
            </w:r>
          </w:p>
        </w:tc>
      </w:tr>
      <w:tr>
        <w:trPr/>
        <w:tc>
          <w:tcPr>
            <w:tcW w:w="6978"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Operating lease liability</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(4,570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6,959</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6978"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Net cash provided by (used in) operating activities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(89,180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(98,297</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97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investing activities</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pPr>
            <w:r>
              <w:rPr/>
              <w:t> </w:t>
            </w:r>
          </w:p>
        </w:tc>
      </w:tr>
      <w:tr>
        <w:trPr/>
        <w:tc>
          <w:tcPr>
            <w:tcW w:w="69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 of property and equipment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(25,690</w:t>
            </w:r>
          </w:p>
        </w:tc>
        <w:tc>
          <w:tcPr>
            <w:tcW w:w="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9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Deposits on property and equipment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(8,785</w:t>
            </w:r>
          </w:p>
        </w:tc>
        <w:tc>
          <w:tcPr>
            <w:tcW w:w="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9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 of marketable securities</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(49,347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(427,766</w:t>
            </w:r>
          </w:p>
        </w:tc>
        <w:tc>
          <w:tcPr>
            <w:tcW w:w="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9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Maturities of marketable securities</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left"/>
              <w:rPr/>
            </w:pPr>
            <w:r>
              <w:rPr/>
              <w:t> </w:t>
            </w:r>
          </w:p>
        </w:tc>
      </w:tr>
      <w:tr>
        <w:trPr/>
        <w:tc>
          <w:tcPr>
            <w:tcW w:w="69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derivative activity</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6978"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Net cash provided by (used in) investing activities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277,250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(462,241</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97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financing activities</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pPr>
            <w:r>
              <w:rPr/>
              <w:t> </w:t>
            </w:r>
          </w:p>
        </w:tc>
      </w:tr>
      <w:tr>
        <w:trPr/>
        <w:tc>
          <w:tcPr>
            <w:tcW w:w="69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issuance of common stock upon options exercise</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1,680</w:t>
            </w:r>
          </w:p>
        </w:tc>
        <w:tc>
          <w:tcPr>
            <w:tcW w:w="811" w:type="dxa"/>
            <w:tcBorders/>
            <w:vAlign w:val="center"/>
          </w:tcPr>
          <w:p>
            <w:pPr>
              <w:pStyle w:val="TableContents"/>
              <w:bidi w:val="0"/>
              <w:spacing w:before="0" w:after="0"/>
              <w:ind w:left="0" w:right="0" w:hanging="0"/>
              <w:jc w:val="left"/>
              <w:rPr/>
            </w:pPr>
            <w:r>
              <w:rPr/>
              <w:t> </w:t>
            </w:r>
          </w:p>
        </w:tc>
      </w:tr>
      <w:tr>
        <w:trPr/>
        <w:tc>
          <w:tcPr>
            <w:tcW w:w="69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issuance of common stock pursuant to employee stock purchase plan</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811" w:type="dxa"/>
            <w:tcBorders/>
            <w:vAlign w:val="center"/>
          </w:tcPr>
          <w:p>
            <w:pPr>
              <w:pStyle w:val="TableContents"/>
              <w:bidi w:val="0"/>
              <w:spacing w:before="0" w:after="0"/>
              <w:ind w:left="0" w:right="0" w:hanging="0"/>
              <w:jc w:val="left"/>
              <w:rPr/>
            </w:pPr>
            <w:r>
              <w:rPr/>
              <w:t> </w:t>
            </w:r>
          </w:p>
        </w:tc>
      </w:tr>
      <w:tr>
        <w:trPr/>
        <w:tc>
          <w:tcPr>
            <w:tcW w:w="69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payments of tenant improvement allowance payable</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811" w:type="dxa"/>
            <w:tcBorders/>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978"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Net cash provided by (used in) financing activities</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4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4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1,720</w:t>
            </w:r>
          </w:p>
        </w:tc>
        <w:tc>
          <w:tcPr>
            <w:tcW w:w="8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69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increase (decrease) in cash, cash equivalents and restricted cash</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188,237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(558,818</w:t>
            </w:r>
          </w:p>
        </w:tc>
        <w:tc>
          <w:tcPr>
            <w:tcW w:w="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9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at beginning of period</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196,757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737,834</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9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at end of period</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384,994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179,016</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97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Reconciliation of cash, cash equivalents and restricted cash to consolidated balance sheets</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pPr>
            <w:r>
              <w:rPr/>
              <w:t> </w:t>
            </w:r>
          </w:p>
        </w:tc>
      </w:tr>
      <w:tr>
        <w:trPr/>
        <w:tc>
          <w:tcPr>
            <w:tcW w:w="69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378,670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172,692</w:t>
            </w:r>
          </w:p>
        </w:tc>
        <w:tc>
          <w:tcPr>
            <w:tcW w:w="811" w:type="dxa"/>
            <w:tcBorders/>
            <w:vAlign w:val="center"/>
          </w:tcPr>
          <w:p>
            <w:pPr>
              <w:pStyle w:val="TableContents"/>
              <w:bidi w:val="0"/>
              <w:spacing w:before="0" w:after="0"/>
              <w:ind w:left="0" w:right="0" w:hanging="0"/>
              <w:jc w:val="left"/>
              <w:rPr/>
            </w:pPr>
            <w:r>
              <w:rPr/>
              <w:t> </w:t>
            </w:r>
          </w:p>
        </w:tc>
      </w:tr>
      <w:tr>
        <w:trPr/>
        <w:tc>
          <w:tcPr>
            <w:tcW w:w="69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6,324</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97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cash, cash equivalents and restricted cash in consolidated balance sheets</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384,994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179,016</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978"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pPr>
            <w:r>
              <w:rPr/>
              <w:t> </w:t>
            </w:r>
          </w:p>
        </w:tc>
      </w:tr>
      <w:tr>
        <w:trPr/>
        <w:tc>
          <w:tcPr>
            <w:tcW w:w="697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Supplemental disclosures of non-cash investing and financing information:</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pPr>
            <w:r>
              <w:rPr/>
              <w:t> </w:t>
            </w:r>
          </w:p>
        </w:tc>
      </w:tr>
      <w:tr>
        <w:trPr/>
        <w:tc>
          <w:tcPr>
            <w:tcW w:w="69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 obtained in exchange for operating lease liability</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811" w:type="dxa"/>
            <w:tcBorders/>
            <w:vAlign w:val="center"/>
          </w:tcPr>
          <w:p>
            <w:pPr>
              <w:pStyle w:val="TableContents"/>
              <w:bidi w:val="0"/>
              <w:spacing w:before="0" w:after="0"/>
              <w:ind w:left="0" w:right="0" w:hanging="0"/>
              <w:jc w:val="left"/>
              <w:rPr/>
            </w:pPr>
            <w:r>
              <w:rPr/>
              <w:t> </w:t>
            </w:r>
          </w:p>
        </w:tc>
      </w:tr>
      <w:tr>
        <w:trPr/>
        <w:tc>
          <w:tcPr>
            <w:tcW w:w="69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 of property and equipment under accounts payable and accruals</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9,718</w:t>
            </w:r>
          </w:p>
        </w:tc>
        <w:tc>
          <w:tcPr>
            <w:tcW w:w="8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Kodiak Sciences Inc.</w:t>
      </w:r>
    </w:p>
    <w:p>
      <w:pPr>
        <w:pStyle w:val="TextBody"/>
        <w:bidi w:val="0"/>
        <w:spacing w:before="0" w:after="0"/>
        <w:jc w:val="center"/>
        <w:rPr>
          <w:rFonts w:ascii="Times New Roman;serif" w:hAnsi="Times New Roman;serif"/>
          <w:b/>
          <w:sz w:val="20"/>
        </w:rPr>
      </w:pPr>
      <w:bookmarkStart w:id="8" w:name="notes_to_unaudited_condensed_consolidate"/>
      <w:bookmarkEnd w:id="8"/>
      <w:r>
        <w:rPr>
          <w:rFonts w:ascii="Times New Roman;serif" w:hAnsi="Times New Roman;serif"/>
          <w:b/>
          <w:sz w:val="20"/>
        </w:rPr>
        <w:t>Notes to Unaudited Condensed Consolidated Financial Statements</w:t>
      </w:r>
    </w:p>
    <w:p>
      <w:pPr>
        <w:pStyle w:val="TextBody"/>
        <w:bidi w:val="0"/>
        <w:spacing w:before="240" w:after="0"/>
        <w:jc w:val="left"/>
        <w:rPr>
          <w:rFonts w:ascii="Times New Roman" w:hAnsi="Times New Roman"/>
          <w:sz w:val="20"/>
        </w:rPr>
      </w:pPr>
      <w:r>
        <w:rPr>
          <w:rFonts w:ascii="Times New Roman;serif" w:hAnsi="Times New Roman;serif"/>
          <w:b/>
          <w:sz w:val="20"/>
        </w:rPr>
        <w:t>1. The Company</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Kodiak Sciences Inc. (the “Company”) is a clinical stage biopharmaceutical company committed to researching, developing and commercializing transformative therapeutics to treat high prevalence retinal diseases. The Company devotes substantially all of its resources to the research and development of its product platforms and product candidates including activities to conduct clinical studies of its product candidates, manufacture product candidates and provide general and administrative support for these operations.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Liquidity</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the Company had cash and cash equivalents of $378.7</w:t>
      </w:r>
      <w:r>
        <w:rPr>
          <w:rFonts w:ascii="Times New Roman" w:hAnsi="Times New Roman"/>
          <w:sz w:val="20"/>
        </w:rPr>
        <w:t xml:space="preserve"> </w:t>
      </w:r>
      <w:r>
        <w:rPr>
          <w:rFonts w:ascii="Times New Roman;serif" w:hAnsi="Times New Roman;serif"/>
          <w:b w:val="false"/>
          <w:sz w:val="20"/>
        </w:rPr>
        <w:t>million. Although the Company has incurred significant operating losses since inception and expects to continue to incur operating losses and negative operating cash flows for the foreseeable future, the Company believes that the cash and cash equivalents will be sufficient to meet the anticipated operating and capital expenditure requirements for the 12 months following the date of this Quarterly Report on Form 10-Q.</w:t>
      </w:r>
    </w:p>
    <w:p>
      <w:pPr>
        <w:pStyle w:val="TextBody"/>
        <w:bidi w:val="0"/>
        <w:spacing w:before="240" w:after="0"/>
        <w:jc w:val="left"/>
        <w:rPr>
          <w:rFonts w:ascii="Times New Roman" w:hAnsi="Times New Roman"/>
          <w:sz w:val="20"/>
        </w:rPr>
      </w:pPr>
      <w:r>
        <w:rPr>
          <w:rFonts w:ascii="Times New Roman;serif" w:hAnsi="Times New Roman;serif"/>
          <w:b/>
          <w:sz w:val="20"/>
        </w:rPr>
        <w:t>2. Summary of Significant Accounting Policies</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Basis of Presentation and Principles of Consolidation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accompanying condensed consolidated financial statements are unaudited and have been prepared in accordance with accounting principles generally accepted in the United States (“GAAP”) applicable to interim periods. The condensed consolidated financial statements, in the opinion of management, include all normal and recurring adjustments necessary to state fairly the Company's financial position and results of operations for the reported periods.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These condensed consolidated financial statements have been prepared on a basis substantially consistent with, and should be read in conjunction with the audited financial statements for the year ended December 31, 2022 and notes thereto, the Company’s Annual Report on Form 10-K filed with the Securities and Exchange Commission (“SEC”) on March 28, 2023. Certain information and note disclosures normally included in the audited financial statements prepared in accordance with GAAP have been condensed or omitted from this report. The results of operations for any interim period are not necessarily indicative of the results for the year ending December 31, 2023, or for any future period.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accompanying condensed consolidated financial statements reflect the operations of the Company and its wholly-owned subsidiaries. All intercompany accounts and transactions have been eliminated.</w:t>
      </w:r>
    </w:p>
    <w:p>
      <w:pPr>
        <w:pStyle w:val="TextBody"/>
        <w:bidi w:val="0"/>
        <w:spacing w:before="240" w:after="0"/>
        <w:jc w:val="left"/>
        <w:rPr>
          <w:rFonts w:ascii="Times New Roman;serif" w:hAnsi="Times New Roman;serif"/>
          <w:b/>
          <w:i/>
          <w:sz w:val="20"/>
        </w:rPr>
      </w:pPr>
      <w:r>
        <w:rPr>
          <w:rFonts w:ascii="Times New Roman;serif" w:hAnsi="Times New Roman;serif"/>
          <w:b/>
          <w:i/>
          <w:sz w:val="20"/>
        </w:rPr>
        <w:t>Reclassification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Certain prior period amounts in the consolidated financial statements have been reclassified to conform to the current period presentation.</w:t>
      </w:r>
    </w:p>
    <w:p>
      <w:pPr>
        <w:pStyle w:val="TextBody"/>
        <w:bidi w:val="0"/>
        <w:spacing w:before="240" w:after="0"/>
        <w:jc w:val="left"/>
        <w:rPr>
          <w:rFonts w:ascii="Times New Roman" w:hAnsi="Times New Roman"/>
          <w:sz w:val="20"/>
        </w:rPr>
      </w:pPr>
      <w:r>
        <w:rPr>
          <w:rFonts w:ascii="Times New Roman;serif" w:hAnsi="Times New Roman;serif"/>
          <w:b/>
          <w:i/>
          <w:sz w:val="20"/>
        </w:rPr>
        <w:t>Use of Estimates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preparation of consolidated financial statements in conformity with U.S. GAAP requires management to make estimates and assumptions that affect the reported amounts of assets and liabilities, disclosure of contingent assets and liabilities as of the date of the consolidated financial statements and expenses during the reporting period. Such estimates include, but are not limited to, accrued research and development and stock-based compensation. Actual results could differ from those estimates.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Risks and Uncertainties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Global economic and business activities continue to face widespread macroeconomic uncertainties, including health epidemics, labor shortages, bank failures, inflation and monetary supply shifts, recession risks and potential disruptions from the Russia-Ukraine conflict. The Company continues to actively monitor the impact of these macroeconomic factors on its financial condition, liquidity, operations, and workforce. The extent of the impact of these factors on the Company’s operational and financial performance, including its ability to execute its business strategies and initiatives in the expected timeframe, will depend on future developments, which are uncertain and cannot be predicted; however, any continued or renewed disruption resulting from these factors could negatively impact the Company’s business.</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Kodiak Sciences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Notes to Unaudited Condensed Consolidated Financial Statements (Continued)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Company’s future results of operations involve a number of risks and uncertainties common to clinical stage companies in the biotechnology industry. The Company’s product candidates are in development and the Company operates in an environment of rapid change in technology and substantial competition from other pharmaceutical and biotechnology companies.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drug candidates, uncertainty of market acceptance of any of the Company’s product candidates that receive regulatory approval, competition from new technological innovations, substitute products and larger companies, securing and protecting proprietary technology, strategic relationships and dependence on key individuals, contract manufacturer and research organizations, and other suppliers.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Products developed by the Company require approvals from the U.S. Food and Drug Administration (“FDA”) or other international regulatory agencies prior to commercial sales. There can be no assurance that any of the Company’s product candidates will receive the necessary approvals. If the Company is denied approval, approval is delayed or the Company is unable to maintain approvals, it could have a materially adverse impact on the Company. Even if the Company’s product development efforts are successful, it is uncertain when, if ever, the Company will generate significant revenue from product sales.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expects to incur substantial operating losses for the next several years and will need to obtain additional financing in order to complete clinical trials, launch and commercialize any product candidates for which it receives regulatory approval. There can be no assurance that such financing will be available or will be on terms acceptable by the Company.</w:t>
      </w:r>
    </w:p>
    <w:p>
      <w:pPr>
        <w:pStyle w:val="TextBody"/>
        <w:bidi w:val="0"/>
        <w:spacing w:before="240" w:after="0"/>
        <w:jc w:val="left"/>
        <w:rPr>
          <w:rFonts w:ascii="Times New Roman;serif" w:hAnsi="Times New Roman;serif"/>
          <w:b/>
          <w:i/>
          <w:sz w:val="20"/>
        </w:rPr>
      </w:pPr>
      <w:r>
        <w:rPr>
          <w:rFonts w:ascii="Times New Roman;serif" w:hAnsi="Times New Roman;serif"/>
          <w:b/>
          <w:i/>
          <w:sz w:val="20"/>
        </w:rPr>
        <w:t>Summary of Significant Accounting Policies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significant accounting policies used in preparation of these condensed consolidated financial statements for the three and six months ended June 30, 2023, are consistent with those discussed in Note 2 to the consolidated financial statements in the Company’s Annual Report on Form 10-K for the year ended December 31, 2022, except as noted below within the “Recent Accounting Pronouncements” section.</w:t>
      </w:r>
    </w:p>
    <w:p>
      <w:pPr>
        <w:pStyle w:val="TextBody"/>
        <w:bidi w:val="0"/>
        <w:spacing w:before="240" w:after="0"/>
        <w:jc w:val="left"/>
        <w:rPr>
          <w:rFonts w:ascii="Times New Roman" w:hAnsi="Times New Roman"/>
          <w:sz w:val="20"/>
        </w:rPr>
      </w:pPr>
      <w:r>
        <w:rPr>
          <w:rFonts w:ascii="Times New Roman;serif" w:hAnsi="Times New Roman;serif"/>
          <w:b/>
          <w:i/>
          <w:sz w:val="20"/>
        </w:rPr>
        <w:t>Recent Accounting Pronouncements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From time to time, new accounting pronouncements are issued by the Financial Accounting Standards Board ("FASB"), under its Accounting Standards Codification ("ASC") or other standard setting bodies, and adopted by the Company as of the specified effective date. There have been no new accounting pronouncements issued nor adopted during the three and six months ended June 30, 2023</w:t>
      </w:r>
      <w:r>
        <w:rPr>
          <w:rFonts w:ascii="Times New Roman" w:hAnsi="Times New Roman"/>
          <w:sz w:val="20"/>
        </w:rPr>
        <w:t xml:space="preserve"> </w:t>
      </w:r>
      <w:r>
        <w:rPr>
          <w:rFonts w:ascii="Times New Roman;serif" w:hAnsi="Times New Roman;serif"/>
          <w:b w:val="false"/>
          <w:sz w:val="20"/>
        </w:rPr>
        <w:t>that are of significance to the Company.</w:t>
      </w:r>
    </w:p>
    <w:p>
      <w:pPr>
        <w:pStyle w:val="TextBody"/>
        <w:bidi w:val="0"/>
        <w:spacing w:before="240" w:after="0"/>
        <w:jc w:val="left"/>
        <w:rPr>
          <w:rFonts w:ascii="Times New Roman" w:hAnsi="Times New Roman"/>
          <w:sz w:val="20"/>
        </w:rPr>
      </w:pPr>
      <w:r>
        <w:rPr>
          <w:rFonts w:ascii="Times New Roman;serif" w:hAnsi="Times New Roman;serif"/>
          <w:b/>
          <w:sz w:val="20"/>
        </w:rPr>
        <w:t>3. Accrued and Other Current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Accrued and other current liabilities consist of the following (in thousands):</w:t>
      </w:r>
      <w:r>
        <w:rPr>
          <w:rFonts w:ascii="Times New Roman" w:hAnsi="Times New Roman"/>
          <w:sz w:val="20"/>
        </w:rPr>
        <w:t xml:space="preserve"> </w:t>
      </w:r>
    </w:p>
    <w:p>
      <w:pPr>
        <w:pStyle w:val="TextBody"/>
        <w:bidi w:val="0"/>
        <w:spacing w:before="0" w:after="0"/>
        <w:jc w:val="left"/>
        <w:rPr/>
      </w:pPr>
      <w:r>
        <w:rPr/>
        <w:t> </w:t>
      </w:r>
    </w:p>
    <w:tbl>
      <w:tblPr>
        <w:tblW w:w="7607" w:type="dxa"/>
        <w:jc w:val="left"/>
        <w:tblInd w:w="0" w:type="dxa"/>
        <w:tblLayout w:type="fixed"/>
        <w:tblCellMar>
          <w:top w:w="28" w:type="dxa"/>
          <w:left w:w="28" w:type="dxa"/>
          <w:bottom w:w="28" w:type="dxa"/>
          <w:right w:w="28" w:type="dxa"/>
        </w:tblCellMar>
      </w:tblPr>
      <w:tblGrid>
        <w:gridCol w:w="4831"/>
        <w:gridCol w:w="146"/>
        <w:gridCol w:w="211"/>
        <w:gridCol w:w="676"/>
        <w:gridCol w:w="146"/>
        <w:gridCol w:w="146"/>
        <w:gridCol w:w="299"/>
        <w:gridCol w:w="961"/>
        <w:gridCol w:w="191"/>
      </w:tblGrid>
      <w:tr>
        <w:trPr/>
        <w:tc>
          <w:tcPr>
            <w:tcW w:w="4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w:t>
              <w:b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1,893</w:t>
            </w:r>
          </w:p>
        </w:tc>
        <w:tc>
          <w:tcPr>
            <w:tcW w:w="191" w:type="dxa"/>
            <w:tcBorders/>
            <w:vAlign w:val="center"/>
          </w:tcPr>
          <w:p>
            <w:pPr>
              <w:pStyle w:val="TableContents"/>
              <w:bidi w:val="0"/>
              <w:spacing w:before="0" w:after="0"/>
              <w:ind w:left="0" w:right="0" w:hanging="0"/>
              <w:jc w:val="left"/>
              <w:rPr/>
            </w:pPr>
            <w:r>
              <w:rPr/>
              <w:t> </w:t>
            </w:r>
          </w:p>
        </w:tc>
      </w:tr>
      <w:tr>
        <w:trPr/>
        <w:tc>
          <w:tcPr>
            <w:tcW w:w="48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clinical trial and related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18,334</w:t>
            </w:r>
          </w:p>
        </w:tc>
        <w:tc>
          <w:tcPr>
            <w:tcW w:w="191" w:type="dxa"/>
            <w:tcBorders/>
            <w:vAlign w:val="center"/>
          </w:tcPr>
          <w:p>
            <w:pPr>
              <w:pStyle w:val="TableContents"/>
              <w:bidi w:val="0"/>
              <w:spacing w:before="0" w:after="0"/>
              <w:ind w:left="0" w:right="0" w:hanging="0"/>
              <w:jc w:val="left"/>
              <w:rPr/>
            </w:pPr>
            <w:r>
              <w:rPr/>
              <w:t> </w:t>
            </w:r>
          </w:p>
        </w:tc>
      </w:tr>
      <w:tr>
        <w:trPr/>
        <w:tc>
          <w:tcPr>
            <w:tcW w:w="48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salaries and benefits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6,033</w:t>
            </w:r>
          </w:p>
        </w:tc>
        <w:tc>
          <w:tcPr>
            <w:tcW w:w="191" w:type="dxa"/>
            <w:tcBorders/>
            <w:vAlign w:val="center"/>
          </w:tcPr>
          <w:p>
            <w:pPr>
              <w:pStyle w:val="TableContents"/>
              <w:bidi w:val="0"/>
              <w:spacing w:before="0" w:after="0"/>
              <w:ind w:left="0" w:right="0" w:hanging="0"/>
              <w:jc w:val="left"/>
              <w:rPr/>
            </w:pPr>
            <w:r>
              <w:rPr/>
              <w:t> </w:t>
            </w:r>
          </w:p>
        </w:tc>
      </w:tr>
      <w:tr>
        <w:trPr/>
        <w:tc>
          <w:tcPr>
            <w:tcW w:w="48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manufacturing and research &amp; development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5,978</w:t>
            </w:r>
          </w:p>
        </w:tc>
        <w:tc>
          <w:tcPr>
            <w:tcW w:w="191" w:type="dxa"/>
            <w:tcBorders/>
            <w:vAlign w:val="center"/>
          </w:tcPr>
          <w:p>
            <w:pPr>
              <w:pStyle w:val="TableContents"/>
              <w:bidi w:val="0"/>
              <w:spacing w:before="0" w:after="0"/>
              <w:ind w:left="0" w:right="0" w:hanging="0"/>
              <w:jc w:val="left"/>
              <w:rPr/>
            </w:pPr>
            <w:r>
              <w:rPr/>
              <w:t> </w:t>
            </w:r>
          </w:p>
        </w:tc>
      </w:tr>
      <w:tr>
        <w:trPr/>
        <w:tc>
          <w:tcPr>
            <w:tcW w:w="48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legal fees and professional fees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w:t>
            </w:r>
          </w:p>
        </w:tc>
        <w:tc>
          <w:tcPr>
            <w:tcW w:w="191" w:type="dxa"/>
            <w:tcBorders/>
            <w:vAlign w:val="center"/>
          </w:tcPr>
          <w:p>
            <w:pPr>
              <w:pStyle w:val="TableContents"/>
              <w:bidi w:val="0"/>
              <w:spacing w:before="0" w:after="0"/>
              <w:ind w:left="0" w:right="0" w:hanging="0"/>
              <w:jc w:val="left"/>
              <w:rPr/>
            </w:pPr>
            <w:r>
              <w:rPr/>
              <w:t> </w:t>
            </w:r>
          </w:p>
        </w:tc>
      </w:tr>
      <w:tr>
        <w:trPr/>
        <w:tc>
          <w:tcPr>
            <w:tcW w:w="48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other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919</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8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accrued and 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54,044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33,440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Kodiak Sciences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Notes to Unaudited Condensed Consolidated Financial Statements (Continued)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4. Fair Value Measurements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tables present the Company’s fair value hierarchy for assets measured at fair value on a recurring basis (in thousands):</w:t>
      </w:r>
      <w:r>
        <w:rPr>
          <w:rFonts w:ascii="Times New Roman" w:hAnsi="Times New Roman"/>
          <w:sz w:val="20"/>
        </w:rPr>
        <w:t xml:space="preserve"> </w:t>
      </w:r>
    </w:p>
    <w:p>
      <w:pPr>
        <w:pStyle w:val="TextBody"/>
        <w:bidi w:val="0"/>
        <w:spacing w:before="0" w:after="0"/>
        <w:jc w:val="left"/>
        <w:rPr/>
      </w:pPr>
      <w:r>
        <w:rPr/>
        <w:t> </w:t>
      </w:r>
    </w:p>
    <w:tbl>
      <w:tblPr>
        <w:tblW w:w="6975" w:type="dxa"/>
        <w:jc w:val="left"/>
        <w:tblInd w:w="0" w:type="dxa"/>
        <w:tblLayout w:type="fixed"/>
        <w:tblCellMar>
          <w:top w:w="28" w:type="dxa"/>
          <w:left w:w="28" w:type="dxa"/>
          <w:bottom w:w="28" w:type="dxa"/>
          <w:right w:w="28" w:type="dxa"/>
        </w:tblCellMar>
      </w:tblPr>
      <w:tblGrid>
        <w:gridCol w:w="1951"/>
        <w:gridCol w:w="146"/>
        <w:gridCol w:w="211"/>
        <w:gridCol w:w="781"/>
        <w:gridCol w:w="146"/>
        <w:gridCol w:w="146"/>
        <w:gridCol w:w="211"/>
        <w:gridCol w:w="781"/>
        <w:gridCol w:w="146"/>
        <w:gridCol w:w="146"/>
        <w:gridCol w:w="277"/>
        <w:gridCol w:w="458"/>
        <w:gridCol w:w="146"/>
        <w:gridCol w:w="146"/>
        <w:gridCol w:w="211"/>
        <w:gridCol w:w="781"/>
        <w:gridCol w:w="2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587"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 Measurements at June 30, 2023</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195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368,661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368,661</w:t>
            </w:r>
          </w:p>
        </w:tc>
        <w:tc>
          <w:tcPr>
            <w:tcW w:w="29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195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firstLine="100"/>
              <w:jc w:val="left"/>
              <w:rPr/>
            </w:pPr>
            <w:r>
              <w:rPr/>
              <w:t> </w:t>
            </w:r>
          </w:p>
        </w:tc>
      </w:tr>
      <w:tr>
        <w:trPr/>
        <w:tc>
          <w:tcPr>
            <w:tcW w:w="195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368,661</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pPr>
            <w:r>
              <w:rPr/>
              <w:t>—</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8"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pPr>
            <w:r>
              <w:rPr/>
              <w:t>—</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368,661</w:t>
            </w:r>
          </w:p>
        </w:tc>
        <w:tc>
          <w:tcPr>
            <w:tcW w:w="2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587"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 Measurements at December 31, 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195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173,617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173,617</w:t>
            </w:r>
          </w:p>
        </w:tc>
        <w:tc>
          <w:tcPr>
            <w:tcW w:w="29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195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288,500</w:t>
            </w:r>
          </w:p>
        </w:tc>
        <w:tc>
          <w:tcPr>
            <w:tcW w:w="291" w:type="dxa"/>
            <w:tcBorders/>
            <w:vAlign w:val="center"/>
          </w:tcPr>
          <w:p>
            <w:pPr>
              <w:pStyle w:val="TableContents"/>
              <w:bidi w:val="0"/>
              <w:spacing w:before="0" w:after="0"/>
              <w:ind w:left="0" w:right="0" w:firstLine="100"/>
              <w:jc w:val="left"/>
              <w:rPr/>
            </w:pPr>
            <w:r>
              <w:rPr/>
              <w:t> </w:t>
            </w:r>
          </w:p>
        </w:tc>
      </w:tr>
      <w:tr>
        <w:trPr/>
        <w:tc>
          <w:tcPr>
            <w:tcW w:w="195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173,617</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288,500</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58"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pPr>
            <w:r>
              <w:rPr/>
              <w:t>—</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462,117</w:t>
            </w:r>
          </w:p>
        </w:tc>
        <w:tc>
          <w:tcPr>
            <w:tcW w:w="2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June 30, 2023, the fair value of the liability related to sale of future royalties is based on the Company's current estimates of future royalties expected to be paid to Baker Bros. Advisors, LP (“BBA”), which are considered Level 3 inputs.</w:t>
      </w:r>
    </w:p>
    <w:p>
      <w:pPr>
        <w:pStyle w:val="TextBody"/>
        <w:bidi w:val="0"/>
        <w:spacing w:before="240" w:after="0"/>
        <w:jc w:val="left"/>
        <w:rPr>
          <w:rFonts w:ascii="Times New Roman" w:hAnsi="Times New Roman"/>
          <w:sz w:val="20"/>
        </w:rPr>
      </w:pPr>
      <w:r>
        <w:rPr>
          <w:rFonts w:ascii="Times New Roman;serif" w:hAnsi="Times New Roman;serif"/>
          <w:b/>
          <w:sz w:val="20"/>
        </w:rPr>
        <w:t>5. Marketable Securities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Marketable securities are classified as available-for-sale. The Company obtains fair value measurement data from third party pricing services and understands the valuation methods and data sources to validate this information.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presents the Company's marketable securities by major security type (in thousands):</w:t>
      </w:r>
    </w:p>
    <w:p>
      <w:pPr>
        <w:pStyle w:val="TextBody"/>
        <w:bidi w:val="0"/>
        <w:spacing w:before="0" w:after="0"/>
        <w:jc w:val="left"/>
        <w:rPr/>
      </w:pPr>
      <w:r>
        <w:rPr/>
        <w:t> </w:t>
      </w:r>
    </w:p>
    <w:tbl>
      <w:tblPr>
        <w:tblW w:w="7509" w:type="dxa"/>
        <w:jc w:val="left"/>
        <w:tblInd w:w="0" w:type="dxa"/>
        <w:tblLayout w:type="fixed"/>
        <w:tblCellMar>
          <w:top w:w="28" w:type="dxa"/>
          <w:left w:w="28" w:type="dxa"/>
          <w:bottom w:w="28" w:type="dxa"/>
          <w:right w:w="28" w:type="dxa"/>
        </w:tblCellMar>
      </w:tblPr>
      <w:tblGrid>
        <w:gridCol w:w="2206"/>
        <w:gridCol w:w="146"/>
        <w:gridCol w:w="213"/>
        <w:gridCol w:w="793"/>
        <w:gridCol w:w="146"/>
        <w:gridCol w:w="146"/>
        <w:gridCol w:w="392"/>
        <w:gridCol w:w="644"/>
        <w:gridCol w:w="146"/>
        <w:gridCol w:w="146"/>
        <w:gridCol w:w="259"/>
        <w:gridCol w:w="777"/>
        <w:gridCol w:w="166"/>
        <w:gridCol w:w="146"/>
        <w:gridCol w:w="211"/>
        <w:gridCol w:w="781"/>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 of December 31, 2022</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Amortized</w:t>
              <w:b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Unrealized</w:t>
              <w:br/>
              <w:t>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Unrealized</w:t>
              <w:br/>
              <w:t>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w:t>
              <w:br/>
              <w:t>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289,807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288,500</w:t>
            </w:r>
          </w:p>
        </w:tc>
        <w:tc>
          <w:tcPr>
            <w:tcW w:w="191" w:type="dxa"/>
            <w:tcBorders/>
            <w:vAlign w:val="center"/>
          </w:tcPr>
          <w:p>
            <w:pPr>
              <w:pStyle w:val="TableContents"/>
              <w:bidi w:val="0"/>
              <w:spacing w:before="0" w:after="0"/>
              <w:ind w:left="0" w:right="0" w:hanging="0"/>
              <w:jc w:val="left"/>
              <w:rPr/>
            </w:pPr>
            <w:r>
              <w:rPr/>
              <w:t> </w:t>
            </w:r>
          </w:p>
        </w:tc>
      </w:tr>
      <w:tr>
        <w:trPr/>
        <w:tc>
          <w:tcPr>
            <w:tcW w:w="22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3"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3"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289,807</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2"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4"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pPr>
            <w:r>
              <w:rPr/>
              <w:t>—</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9"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7"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(1,307</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288,500</w:t>
            </w:r>
          </w:p>
        </w:tc>
        <w:tc>
          <w:tcPr>
            <w:tcW w:w="1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June 30, 2023, there were no marketable securities. There were no reclassifications out of accumulated other comprehensive income (loss), impairment charges or recoveries and no allowance for credit losses recorded during the six months ended June 30, 2023.</w:t>
      </w:r>
    </w:p>
    <w:p>
      <w:pPr>
        <w:pStyle w:val="TextBody"/>
        <w:bidi w:val="0"/>
        <w:spacing w:before="240" w:after="0"/>
        <w:jc w:val="left"/>
        <w:rPr>
          <w:rFonts w:ascii="Times New Roman" w:hAnsi="Times New Roman"/>
          <w:sz w:val="20"/>
        </w:rPr>
      </w:pPr>
      <w:r>
        <w:rPr>
          <w:rFonts w:ascii="Times New Roman;serif" w:hAnsi="Times New Roman;serif"/>
          <w:b/>
          <w:sz w:val="20"/>
        </w:rPr>
        <w:t>6. Derivatives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uses certain derivative instruments, that are not designated as hedges for accounting purposes, which include foreign currency forward contracts. As of June 30, 2023, these derivatives have been net settled.</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Kodiak Sciences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Notes to Unaudited Condensed Consolidated Financial Statements (Continued)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sz w:val="20"/>
        </w:rPr>
        <w:t>7. Commitments and Contingencies</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Ursus Facility</w:t>
      </w:r>
    </w:p>
    <w:p>
      <w:pPr>
        <w:pStyle w:val="TextBody"/>
        <w:bidi w:val="0"/>
        <w:spacing w:before="120" w:after="0"/>
        <w:jc w:val="left"/>
        <w:rPr>
          <w:rFonts w:ascii="Times New Roman" w:hAnsi="Times New Roman"/>
          <w:sz w:val="20"/>
        </w:rPr>
      </w:pPr>
      <w:r>
        <w:rPr>
          <w:rFonts w:ascii="Times New Roman;serif" w:hAnsi="Times New Roman;serif"/>
          <w:b w:val="false"/>
          <w:sz w:val="20"/>
        </w:rPr>
        <w:t>In August 2020, the Company and its wholly-owned subsidiary Kodiak Sciences GmbH entered into a manufacturing agreement with Lonza Ltd (“Lonza”) for the clinical and commercial supply of the Company’s antibody biopolymer conjugate drug substance which included a custom-built manufacturing facility. The manufacturing agreement has an initial term of eight years, and the Company has the right to extend the term up to a total of 16</w:t>
      </w:r>
      <w:r>
        <w:rPr>
          <w:rFonts w:ascii="Times New Roman" w:hAnsi="Times New Roman"/>
          <w:sz w:val="20"/>
        </w:rPr>
        <w:t xml:space="preserve"> </w:t>
      </w:r>
      <w:r>
        <w:rPr>
          <w:rFonts w:ascii="Times New Roman;serif" w:hAnsi="Times New Roman;serif"/>
          <w:b w:val="false"/>
          <w:sz w:val="20"/>
        </w:rPr>
        <w:t>years. The Company and Lonza each have the ability to terminate this agreement upon the occurrence of certain conditions.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April 2021, the agreement was amended to provide for greater manufacturing flexibility, to define a comprehensive mandate as an antibody biopolymer conjugates manufacturing facility to be used for the Company’s antibody biopolymer conjugates pipeline, at clinical as well as commercial scales, across a broad capacity range under the tight quality controls required for ophthalmology and retinal medicines, and to allow for future process and equipment changes as needed.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expanded and finalized the design and scope of the antibody biopolymer conjugates manufacturing facility with a revised estimated capital contribution of approximately 75.0</w:t>
      </w:r>
      <w:r>
        <w:rPr>
          <w:rFonts w:ascii="Times New Roman" w:hAnsi="Times New Roman"/>
          <w:sz w:val="20"/>
        </w:rPr>
        <w:t xml:space="preserve"> </w:t>
      </w:r>
      <w:r>
        <w:rPr>
          <w:rFonts w:ascii="Times New Roman;serif" w:hAnsi="Times New Roman;serif"/>
          <w:b w:val="false"/>
          <w:sz w:val="20"/>
        </w:rPr>
        <w:t>million Swiss Francs. Over the period from 2022 through 2030, manufacturing payments totaling approximately 150.0</w:t>
      </w:r>
      <w:r>
        <w:rPr>
          <w:rFonts w:ascii="Times New Roman" w:hAnsi="Times New Roman"/>
          <w:sz w:val="20"/>
        </w:rPr>
        <w:t xml:space="preserve"> </w:t>
      </w:r>
      <w:r>
        <w:rPr>
          <w:rFonts w:ascii="Times New Roman;serif" w:hAnsi="Times New Roman;serif"/>
          <w:b w:val="false"/>
          <w:sz w:val="20"/>
        </w:rPr>
        <w:t>million Swiss Francs may be incurred for the potential clinical and commercial supply of tarcocimab and other antibody biopolymer conjugates medicines based on the amended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concluded that this agreement contained an embedded lease as the custom-built manufacturing suite would be dedicated for the Company’s use. On January 31, 2023, the custom-built manufacturing suite was commissioned as a cGMP facility. The consideration was allocated to lease and non-lease components as this agreement contained a significant service component (manufacturing services). The Company recognized an operating lease right-of-use asset and corresponding liability based on the present value of remaining lease payments discounted at the Company’s estimated incremental borrowing rate of 6.3% over the remaining lease term of 7.2</w:t>
      </w:r>
      <w:r>
        <w:rPr>
          <w:rFonts w:ascii="Times New Roman" w:hAnsi="Times New Roman"/>
          <w:sz w:val="20"/>
        </w:rPr>
        <w:t xml:space="preserve"> </w:t>
      </w:r>
      <w:r>
        <w:rPr>
          <w:rFonts w:ascii="Times New Roman;serif" w:hAnsi="Times New Roman;serif"/>
          <w:b w:val="false"/>
          <w:sz w:val="20"/>
        </w:rPr>
        <w:t>years. The Company determined that the renewal options were not reasonably certain at lease inception. The Company recognized $0.2</w:t>
      </w:r>
      <w:r>
        <w:rPr>
          <w:rFonts w:ascii="Times New Roman" w:hAnsi="Times New Roman"/>
          <w:sz w:val="20"/>
        </w:rPr>
        <w:t xml:space="preserve"> </w:t>
      </w:r>
      <w:r>
        <w:rPr>
          <w:rFonts w:ascii="Times New Roman;serif" w:hAnsi="Times New Roman;serif"/>
          <w:b w:val="false"/>
          <w:sz w:val="20"/>
        </w:rPr>
        <w:t>million and $0.3</w:t>
      </w:r>
      <w:r>
        <w:rPr>
          <w:rFonts w:ascii="Times New Roman" w:hAnsi="Times New Roman"/>
          <w:sz w:val="20"/>
        </w:rPr>
        <w:t xml:space="preserve"> </w:t>
      </w:r>
      <w:r>
        <w:rPr>
          <w:rFonts w:ascii="Times New Roman;serif" w:hAnsi="Times New Roman;serif"/>
          <w:b w:val="false"/>
          <w:sz w:val="20"/>
        </w:rPr>
        <w:t>million as part of operating lease costs during the three and six months ended June 30, 2023, respectively.</w:t>
      </w:r>
    </w:p>
    <w:p>
      <w:pPr>
        <w:pStyle w:val="TextBody"/>
        <w:bidi w:val="0"/>
        <w:spacing w:before="120" w:after="0"/>
        <w:jc w:val="left"/>
        <w:rPr>
          <w:rFonts w:ascii="Times New Roman" w:hAnsi="Times New Roman"/>
          <w:sz w:val="20"/>
        </w:rPr>
      </w:pPr>
      <w:r>
        <w:rPr>
          <w:rFonts w:ascii="Times New Roman;serif" w:hAnsi="Times New Roman;serif"/>
          <w:b w:val="false"/>
          <w:sz w:val="20"/>
        </w:rPr>
        <w:t>Fixed assets of approximately 75.0</w:t>
      </w:r>
      <w:r>
        <w:rPr>
          <w:rFonts w:ascii="Times New Roman" w:hAnsi="Times New Roman"/>
          <w:sz w:val="20"/>
        </w:rPr>
        <w:t xml:space="preserve"> </w:t>
      </w:r>
      <w:r>
        <w:rPr>
          <w:rFonts w:ascii="Times New Roman;serif" w:hAnsi="Times New Roman;serif"/>
          <w:b w:val="false"/>
          <w:sz w:val="20"/>
        </w:rPr>
        <w:t>million Swiss Francs, equivalent to $81.7</w:t>
      </w:r>
      <w:r>
        <w:rPr>
          <w:rFonts w:ascii="Times New Roman" w:hAnsi="Times New Roman"/>
          <w:sz w:val="20"/>
        </w:rPr>
        <w:t xml:space="preserve"> </w:t>
      </w:r>
      <w:r>
        <w:rPr>
          <w:rFonts w:ascii="Times New Roman;serif" w:hAnsi="Times New Roman;serif"/>
          <w:b w:val="false"/>
          <w:sz w:val="20"/>
        </w:rPr>
        <w:t>million, in leasehold improvements and machinery and equipment, were placed in service and capitalized as of January 31, 2023. As of June 30, 2023, $26.8</w:t>
      </w:r>
      <w:r>
        <w:rPr>
          <w:rFonts w:ascii="Times New Roman" w:hAnsi="Times New Roman"/>
          <w:sz w:val="20"/>
        </w:rPr>
        <w:t xml:space="preserve"> </w:t>
      </w:r>
      <w:r>
        <w:rPr>
          <w:rFonts w:ascii="Times New Roman;serif" w:hAnsi="Times New Roman;serif"/>
          <w:b w:val="false"/>
          <w:sz w:val="20"/>
        </w:rPr>
        <w:t>million of these fixed assets were unpaid and recorded to accrued property and equipment under accrued and other current liabilities on the condensed consolidated balance sheet.</w:t>
      </w:r>
    </w:p>
    <w:p>
      <w:pPr>
        <w:pStyle w:val="TextBody"/>
        <w:bidi w:val="0"/>
        <w:spacing w:before="240" w:after="0"/>
        <w:jc w:val="left"/>
        <w:rPr>
          <w:rFonts w:ascii="Times New Roman;serif" w:hAnsi="Times New Roman;serif"/>
          <w:b/>
          <w:i/>
          <w:sz w:val="20"/>
        </w:rPr>
      </w:pPr>
      <w:r>
        <w:rPr>
          <w:rFonts w:ascii="Times New Roman;serif" w:hAnsi="Times New Roman;serif"/>
          <w:b/>
          <w:i/>
          <w:sz w:val="20"/>
        </w:rPr>
        <w:t>Manufacturing Agreements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entered into service and equipment purchase agreements in the normal course of business with various providers, pursuant to which such providers agreed to perform activities in connection with the manufacturing process of certain materials. These agreements, and any related amendments, state that planned activities and purchases that are included in the signed work orders are, in some cases, binding and, hence, obligate the Company to pay the full price of the work order upon satisfactory delivery of products and services or obligate the Company to the binding amount regardless of whether such planned activities are in fact performed. Per the terms of the agreements, the Company has the option to cancel signed orders at any time upon written notice, which may or may not be subject to payment of a cancellation fee. The level of cancellation fees may be dependent on the timing of the written notice in relation to the commencement date of the work, with the maximum cancellation amount dependent on the agreement or the work order.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Other Funding Commitments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the normal course of business, the Company enters into agreements with third-parties for services to be provided to the Company.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services to be provided to the Company.</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has also entered into various cancellable license agreements for certain technology. The Company may be obligated to make payments on future sales of specified products associated with such license agreements. Such payments are dependent on future product sales and are not estimable.</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Kodiak Sciences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Notes to Unaudited Condensed Consolidated Financial Statements (Continued)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Legal Proceedings</w:t>
      </w:r>
    </w:p>
    <w:p>
      <w:pPr>
        <w:pStyle w:val="TextBody"/>
        <w:bidi w:val="0"/>
        <w:spacing w:before="120" w:after="0"/>
        <w:jc w:val="left"/>
        <w:rPr>
          <w:rFonts w:ascii="Times New Roman" w:hAnsi="Times New Roman"/>
          <w:sz w:val="20"/>
        </w:rPr>
      </w:pPr>
      <w:r>
        <w:rPr>
          <w:rFonts w:ascii="Times New Roman;serif" w:hAnsi="Times New Roman;serif"/>
          <w:b w:val="false"/>
          <w:sz w:val="20"/>
        </w:rPr>
        <w:t>From time to time, the Company may become involved in legal proceedings arising from the ordinary course of its business. Management is currently not aware of any matters that could have a material adverse effect on the Company’s financial position, results of operations or cash flows. The Company records a legal liability when it believes that it is both probable that a liability may be imputed, and the amount of the liability can be reasonably estimated. Significant judgment by the Company is required to determine both probability and the estimated amount.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Indemnification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agreements is not specified in the agreements; however, the Company has director and officer insurance coverage that reduces its exposure and enables the Company to recover a portion of any future amounts paid. The Company believes the estimated fair value of these indemnification agreements in excess of applicable insurance coverage is minimal.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sz w:val="20"/>
        </w:rPr>
        <w:t>8. Stock-Based Compensation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January 2023 and 2022, the number of shares of common stock available for issuance under the 2018 Equity Incentive Plan (the "2018 Plan") was increased by approximately 2.1</w:t>
      </w:r>
      <w:r>
        <w:rPr>
          <w:rFonts w:ascii="Times New Roman" w:hAnsi="Times New Roman"/>
          <w:sz w:val="20"/>
        </w:rPr>
        <w:t xml:space="preserve"> </w:t>
      </w:r>
      <w:r>
        <w:rPr>
          <w:rFonts w:ascii="Times New Roman;serif" w:hAnsi="Times New Roman;serif"/>
          <w:b w:val="false"/>
          <w:sz w:val="20"/>
        </w:rPr>
        <w:t>million and 2.1</w:t>
      </w:r>
      <w:r>
        <w:rPr>
          <w:rFonts w:ascii="Times New Roman" w:hAnsi="Times New Roman"/>
          <w:sz w:val="20"/>
        </w:rPr>
        <w:t xml:space="preserve"> </w:t>
      </w:r>
      <w:r>
        <w:rPr>
          <w:rFonts w:ascii="Times New Roman;serif" w:hAnsi="Times New Roman;serif"/>
          <w:b w:val="false"/>
          <w:sz w:val="20"/>
        </w:rPr>
        <w:t>million shares, respectively, as a result of the automatic increase provision in the 2018 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Stock Options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Stock option activity, including stock options and performance-based stock options under the 2021 Long-Term Performance Incentive Plan (“2021 LTPIP”), 2018 Plan and 2015 Plan is summarized as follows:</w:t>
      </w:r>
    </w:p>
    <w:p>
      <w:pPr>
        <w:pStyle w:val="TextBody"/>
        <w:bidi w:val="0"/>
        <w:spacing w:before="0" w:after="0"/>
        <w:jc w:val="left"/>
        <w:rPr/>
      </w:pPr>
      <w:r>
        <w:rPr/>
        <w:t> </w:t>
      </w:r>
    </w:p>
    <w:tbl>
      <w:tblPr>
        <w:tblW w:w="8673" w:type="dxa"/>
        <w:jc w:val="left"/>
        <w:tblInd w:w="0" w:type="dxa"/>
        <w:tblLayout w:type="fixed"/>
        <w:tblCellMar>
          <w:top w:w="28" w:type="dxa"/>
          <w:left w:w="28" w:type="dxa"/>
          <w:bottom w:w="28" w:type="dxa"/>
          <w:right w:w="28" w:type="dxa"/>
        </w:tblCellMar>
      </w:tblPr>
      <w:tblGrid>
        <w:gridCol w:w="2941"/>
        <w:gridCol w:w="146"/>
        <w:gridCol w:w="146"/>
        <w:gridCol w:w="1036"/>
        <w:gridCol w:w="166"/>
        <w:gridCol w:w="146"/>
        <w:gridCol w:w="247"/>
        <w:gridCol w:w="669"/>
        <w:gridCol w:w="146"/>
        <w:gridCol w:w="146"/>
        <w:gridCol w:w="268"/>
        <w:gridCol w:w="858"/>
        <w:gridCol w:w="146"/>
        <w:gridCol w:w="146"/>
        <w:gridCol w:w="343"/>
        <w:gridCol w:w="932"/>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Number</w:t>
              <w:br/>
              <w:t>of</w:t>
              <w:br/>
              <w:t>Options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Weighted</w:t>
              <w:br/>
              <w:t>Average</w:t>
              <w:br/>
              <w:t>Exercise</w:t>
              <w:br/>
              <w:t>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Weighted</w:t>
              <w:br/>
              <w:t>Average</w:t>
              <w:br/>
              <w:t>Remaining</w:t>
              <w:br/>
              <w:t>Contractual</w:t>
              <w:br/>
              <w:t xml:space="preserve">Term </w:t>
              <w:br/>
              <w:t>(in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Aggregate</w:t>
              <w:br/>
              <w:t>Intrinsic</w:t>
              <w:br/>
              <w:t>Value</w:t>
              <w:br/>
              <w:t>(in thousands)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16,542,107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5,410</w:t>
            </w:r>
          </w:p>
        </w:tc>
        <w:tc>
          <w:tcPr>
            <w:tcW w:w="191" w:type="dxa"/>
            <w:tcBorders/>
            <w:vAlign w:val="center"/>
          </w:tcPr>
          <w:p>
            <w:pPr>
              <w:pStyle w:val="TableContents"/>
              <w:bidi w:val="0"/>
              <w:spacing w:before="0" w:after="0"/>
              <w:ind w:left="0" w:right="0" w:hanging="0"/>
              <w:jc w:val="left"/>
              <w:rPr/>
            </w:pPr>
            <w:r>
              <w:rPr/>
              <w:t> </w:t>
            </w:r>
          </w:p>
        </w:tc>
      </w:tr>
      <w:tr>
        <w:trPr/>
        <w:tc>
          <w:tcPr>
            <w:tcW w:w="2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3,257,000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2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(7,528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2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Forfeited or canceled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(47,798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2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19,743,781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5,023</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Restricted Shares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Restricted share activity, including restricted stock awards, restricted stock units, and performance-based restricted stock units, under the 2018 Plan is summarized as follows:</w:t>
      </w:r>
    </w:p>
    <w:p>
      <w:pPr>
        <w:pStyle w:val="TextBody"/>
        <w:bidi w:val="0"/>
        <w:spacing w:before="0" w:after="0"/>
        <w:jc w:val="left"/>
        <w:rPr/>
      </w:pPr>
      <w:r>
        <w:rPr/>
        <w:t> </w:t>
      </w:r>
    </w:p>
    <w:tbl>
      <w:tblPr>
        <w:tblW w:w="5405" w:type="dxa"/>
        <w:jc w:val="left"/>
        <w:tblInd w:w="0" w:type="dxa"/>
        <w:tblLayout w:type="fixed"/>
        <w:tblCellMar>
          <w:top w:w="28" w:type="dxa"/>
          <w:left w:w="28" w:type="dxa"/>
          <w:bottom w:w="28" w:type="dxa"/>
          <w:right w:w="28" w:type="dxa"/>
        </w:tblCellMar>
      </w:tblPr>
      <w:tblGrid>
        <w:gridCol w:w="2701"/>
        <w:gridCol w:w="146"/>
        <w:gridCol w:w="158"/>
        <w:gridCol w:w="847"/>
        <w:gridCol w:w="166"/>
        <w:gridCol w:w="146"/>
        <w:gridCol w:w="283"/>
        <w:gridCol w:w="767"/>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Number of</w:t>
              <w:br/>
              <w:t>Restricted</w:t>
              <w:b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Weighted</w:t>
              <w:br/>
              <w:t>Average</w:t>
              <w:br/>
              <w:t>Grant Date</w:t>
              <w:br/>
              <w:t>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at December 31, 2022</w:t>
            </w:r>
          </w:p>
        </w:tc>
        <w:tc>
          <w:tcPr>
            <w:tcW w:w="146"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280,522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60.17</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6.76</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vAlign w:val="center"/>
          </w:tcPr>
          <w:p>
            <w:pPr>
              <w:pStyle w:val="TableContents"/>
              <w:bidi w:val="0"/>
              <w:spacing w:before="0" w:after="0"/>
              <w:ind w:left="0" w:right="0" w:hanging="0"/>
              <w:jc w:val="left"/>
              <w:rPr/>
            </w:pPr>
            <w:r>
              <w:rPr/>
              <w:t> </w:t>
            </w:r>
          </w:p>
        </w:tc>
        <w:tc>
          <w:tcPr>
            <w:tcW w:w="158" w:type="dxa"/>
            <w:tcBorders/>
            <w:vAlign w:val="center"/>
          </w:tcPr>
          <w:p>
            <w:pPr>
              <w:pStyle w:val="TableContents"/>
              <w:bidi w:val="0"/>
              <w:spacing w:before="0" w:after="0"/>
              <w:ind w:left="0" w:right="0" w:hanging="0"/>
              <w:jc w:val="left"/>
              <w:rPr/>
            </w:pPr>
            <w:r>
              <w:rPr/>
              <w:t> </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(85,945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63.52</w:t>
            </w:r>
          </w:p>
        </w:tc>
        <w:tc>
          <w:tcPr>
            <w:tcW w:w="191" w:type="dxa"/>
            <w:tcBorders/>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Canceled</w:t>
            </w:r>
          </w:p>
        </w:tc>
        <w:tc>
          <w:tcPr>
            <w:tcW w:w="146" w:type="dxa"/>
            <w:tcBorders/>
            <w:vAlign w:val="center"/>
          </w:tcPr>
          <w:p>
            <w:pPr>
              <w:pStyle w:val="TableContents"/>
              <w:bidi w:val="0"/>
              <w:spacing w:before="0" w:after="0"/>
              <w:ind w:left="0" w:right="0" w:hanging="0"/>
              <w:jc w:val="left"/>
              <w:rPr/>
            </w:pPr>
            <w:r>
              <w:rPr/>
              <w:t> </w:t>
            </w:r>
          </w:p>
        </w:tc>
        <w:tc>
          <w:tcPr>
            <w:tcW w:w="1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44.16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at June 30, 2023</w:t>
            </w:r>
          </w:p>
        </w:tc>
        <w:tc>
          <w:tcPr>
            <w:tcW w:w="146" w:type="dxa"/>
            <w:tcBorders/>
            <w:vAlign w:val="center"/>
          </w:tcPr>
          <w:p>
            <w:pPr>
              <w:pStyle w:val="TableContents"/>
              <w:bidi w:val="0"/>
              <w:spacing w:before="0" w:after="0"/>
              <w:ind w:left="0" w:right="0" w:hanging="0"/>
              <w:jc w:val="left"/>
              <w:rPr/>
            </w:pPr>
            <w:r>
              <w:rPr/>
              <w:t> </w:t>
            </w:r>
          </w:p>
        </w:tc>
        <w:tc>
          <w:tcPr>
            <w:tcW w:w="1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212,977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53.35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Kodiak Sciences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Notes to Unaudited Condensed Consolidated Financial Statements (Continued)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Stock-Based Compensation Expense</w:t>
      </w:r>
    </w:p>
    <w:p>
      <w:pPr>
        <w:pStyle w:val="TextBody"/>
        <w:bidi w:val="0"/>
        <w:spacing w:before="120" w:after="0"/>
        <w:jc w:val="left"/>
        <w:rPr>
          <w:rFonts w:ascii="Times New Roman" w:hAnsi="Times New Roman"/>
          <w:sz w:val="20"/>
        </w:rPr>
      </w:pPr>
      <w:r>
        <w:rPr>
          <w:rFonts w:ascii="Times New Roman;serif" w:hAnsi="Times New Roman;serif"/>
          <w:b w:val="false"/>
          <w:sz w:val="20"/>
        </w:rPr>
        <w:t>Stock-based compensation is classified in the condensed consolidated statements of operations and comprehensive loss as follows (in thousands):</w:t>
      </w:r>
      <w:r>
        <w:rPr>
          <w:rFonts w:ascii="Times New Roman" w:hAnsi="Times New Roman"/>
          <w:sz w:val="20"/>
        </w:rPr>
        <w:t xml:space="preserve"> </w:t>
      </w:r>
    </w:p>
    <w:p>
      <w:pPr>
        <w:pStyle w:val="TextBody"/>
        <w:bidi w:val="0"/>
        <w:spacing w:before="0" w:after="0"/>
        <w:jc w:val="left"/>
        <w:rPr/>
      </w:pPr>
      <w:r>
        <w:rPr/>
        <w:t> </w:t>
      </w:r>
    </w:p>
    <w:tbl>
      <w:tblPr>
        <w:tblW w:w="7507" w:type="dxa"/>
        <w:jc w:val="left"/>
        <w:tblInd w:w="0" w:type="dxa"/>
        <w:tblLayout w:type="fixed"/>
        <w:tblCellMar>
          <w:top w:w="28" w:type="dxa"/>
          <w:left w:w="28" w:type="dxa"/>
          <w:bottom w:w="28" w:type="dxa"/>
          <w:right w:w="28" w:type="dxa"/>
        </w:tblCellMar>
      </w:tblPr>
      <w:tblGrid>
        <w:gridCol w:w="2746"/>
        <w:gridCol w:w="146"/>
        <w:gridCol w:w="211"/>
        <w:gridCol w:w="676"/>
        <w:gridCol w:w="146"/>
        <w:gridCol w:w="146"/>
        <w:gridCol w:w="211"/>
        <w:gridCol w:w="676"/>
        <w:gridCol w:w="146"/>
        <w:gridCol w:w="146"/>
        <w:gridCol w:w="211"/>
        <w:gridCol w:w="676"/>
        <w:gridCol w:w="146"/>
        <w:gridCol w:w="146"/>
        <w:gridCol w:w="211"/>
        <w:gridCol w:w="676"/>
        <w:gridCol w:w="1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xml:space="preserve">Three Months Ended </w:t>
              <w:br/>
              <w:t>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xml:space="preserve">Six Months Ended </w:t>
              <w:br/>
              <w:t>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30,084</w:t>
            </w:r>
          </w:p>
        </w:tc>
        <w:tc>
          <w:tcPr>
            <w:tcW w:w="191" w:type="dxa"/>
            <w:tcBorders/>
            <w:vAlign w:val="center"/>
          </w:tcPr>
          <w:p>
            <w:pPr>
              <w:pStyle w:val="TableContents"/>
              <w:bidi w:val="0"/>
              <w:spacing w:before="0" w:after="0"/>
              <w:ind w:left="0" w:right="0" w:hanging="0"/>
              <w:jc w:val="left"/>
              <w:rPr/>
            </w:pPr>
            <w:r>
              <w:rPr/>
              <w:t> </w:t>
            </w:r>
          </w:p>
        </w:tc>
      </w:tr>
      <w:tr>
        <w:trPr/>
        <w:tc>
          <w:tcPr>
            <w:tcW w:w="27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11,141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23,989</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stock-based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25,801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25,978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51,781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54,073</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r>
        <w:rPr>
          <w:rFonts w:ascii="Times New Roman;serif" w:hAnsi="Times New Roman;serif"/>
          <w:b/>
          <w:sz w:val="20"/>
        </w:rPr>
        <w:t>9. Net Loss per Common Share</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common share equivalents were excluded from the computation of diluted net loss per common share for the periods presented because their inclusion would have been antidilutive:</w:t>
      </w:r>
      <w:r>
        <w:rPr>
          <w:rFonts w:ascii="Times New Roman" w:hAnsi="Times New Roman"/>
          <w:sz w:val="20"/>
        </w:rPr>
        <w:t xml:space="preserve"> </w:t>
      </w:r>
    </w:p>
    <w:p>
      <w:pPr>
        <w:pStyle w:val="TextBody"/>
        <w:bidi w:val="0"/>
        <w:spacing w:before="0" w:after="0"/>
        <w:jc w:val="left"/>
        <w:rPr/>
      </w:pPr>
      <w:r>
        <w:rPr/>
        <w:t> </w:t>
      </w:r>
    </w:p>
    <w:tbl>
      <w:tblPr>
        <w:tblW w:w="5259" w:type="dxa"/>
        <w:jc w:val="left"/>
        <w:tblInd w:w="0" w:type="dxa"/>
        <w:tblLayout w:type="fixed"/>
        <w:tblCellMar>
          <w:top w:w="28" w:type="dxa"/>
          <w:left w:w="28" w:type="dxa"/>
          <w:bottom w:w="28" w:type="dxa"/>
          <w:right w:w="28" w:type="dxa"/>
        </w:tblCellMar>
      </w:tblPr>
      <w:tblGrid>
        <w:gridCol w:w="2266"/>
        <w:gridCol w:w="146"/>
        <w:gridCol w:w="146"/>
        <w:gridCol w:w="1036"/>
        <w:gridCol w:w="146"/>
        <w:gridCol w:w="146"/>
        <w:gridCol w:w="146"/>
        <w:gridCol w:w="1036"/>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19,743,781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14,239,338</w:t>
            </w:r>
          </w:p>
        </w:tc>
        <w:tc>
          <w:tcPr>
            <w:tcW w:w="191" w:type="dxa"/>
            <w:tcBorders/>
            <w:vAlign w:val="center"/>
          </w:tcPr>
          <w:p>
            <w:pPr>
              <w:pStyle w:val="TableContents"/>
              <w:bidi w:val="0"/>
              <w:spacing w:before="0" w:after="0"/>
              <w:ind w:left="0" w:right="0" w:hanging="0"/>
              <w:jc w:val="left"/>
              <w:rPr/>
            </w:pPr>
            <w:r>
              <w:rPr/>
              <w:t> </w:t>
            </w:r>
          </w:p>
        </w:tc>
      </w:tr>
      <w:tr>
        <w:trPr/>
        <w:tc>
          <w:tcPr>
            <w:tcW w:w="2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restricted shares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212,977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292,763</w:t>
            </w:r>
          </w:p>
        </w:tc>
        <w:tc>
          <w:tcPr>
            <w:tcW w:w="191" w:type="dxa"/>
            <w:tcBorders/>
            <w:vAlign w:val="center"/>
          </w:tcPr>
          <w:p>
            <w:pPr>
              <w:pStyle w:val="TableContents"/>
              <w:bidi w:val="0"/>
              <w:spacing w:before="0" w:after="0"/>
              <w:ind w:left="0" w:right="0" w:hanging="0"/>
              <w:jc w:val="left"/>
              <w:rPr/>
            </w:pPr>
            <w:r>
              <w:rPr/>
              <w:t> </w:t>
            </w:r>
          </w:p>
        </w:tc>
      </w:tr>
      <w:tr>
        <w:trPr/>
        <w:tc>
          <w:tcPr>
            <w:tcW w:w="2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03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19,956,758</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03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14,532,101</w:t>
            </w:r>
          </w:p>
        </w:tc>
        <w:tc>
          <w:tcPr>
            <w:tcW w:w="1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r>
        <w:rPr>
          <w:rFonts w:ascii="Times New Roman;serif" w:hAnsi="Times New Roman;serif"/>
          <w:b/>
          <w:sz w:val="20"/>
        </w:rPr>
        <w:t>10. Subsequent Events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July 24, 2023, the Company announced topline results from three Phase 3 studies of tarcocimab, its novel antibody biopolymer conjugate.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these data, and despite demonstrating potential, the Company announced a business decision to discontinue further development of tarcocimab. The Company continues to assess a variety of strategic and operational alternatives relating to the tarcocimab program, including the possibility that additional clinical trials may be conducted in the future, as well as the potential impact to the financial statements; however, the full impact cannot be ascertained at this time.</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9" w:name="i_item2"/>
      <w:bookmarkEnd w:id="9"/>
      <w:r>
        <w:rPr>
          <w:rFonts w:ascii="Times New Roman;serif" w:hAnsi="Times New Roman;serif"/>
          <w:b/>
          <w:sz w:val="20"/>
        </w:rPr>
        <w:t xml:space="preserve">Item 2. Management’s Discussion and Analysis of </w:t>
      </w:r>
      <w:bookmarkStart w:id="10" w:name="item_2_managements_discussion_analysis_f"/>
      <w:bookmarkEnd w:id="10"/>
      <w:r>
        <w:rPr>
          <w:rFonts w:ascii="Times New Roman;serif" w:hAnsi="Times New Roman;serif"/>
          <w:b/>
          <w:sz w:val="20"/>
        </w:rPr>
        <w:t>Financial Condition and Results of Operations.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You should read the following discussion and analysis of our financial condition and results of operations together with our unaudited condensed consolidated financial statements and the related notes included elsewhere in this report and with our audited financial statements and related notes thereto and management’s discussion and analysis of financial condition and results of operations for the year ended December 31, 2022, included in our Annual Report on Form 10-K filed with the Securities and Exchange Commission, or the SEC, on March 28, 2023.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of this report titled “Part II, Item 1A — Risk Factors” and elsewhere in this report.</w:t>
      </w:r>
    </w:p>
    <w:p>
      <w:pPr>
        <w:pStyle w:val="TextBody"/>
        <w:bidi w:val="0"/>
        <w:spacing w:before="240" w:after="0"/>
        <w:jc w:val="left"/>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Kodiak Sciences (“we” or the “Company”) is a biopharmaceutical company committed to researching, developing and commercializing transformative therapeutics to treat high prevalence retinal diseases. We are focused on bringing new science to the design and manufacture of next generation retinal medicines to prevent and treat the leading causes of blindness globally. Our ABC Platform uses molecular engineering to merge the fields of antibody-based and chemistry-based therapies and has been at the core of Kodiak's discovery engine. Kodiak's lead investigational medicine, tarcocimab, was a novel anti-VEGF antibody biopolymer conjugate under development for the treatment of retinal vascular diseases including diabetic eye disease, the leading cause of blindness in working-age patients in the developed world, and wet age-related macular degeneration, the leading cause of blindness in elderly patients in the developed world. The tarcocimab clinical program was designed to assess the product candidate's durability, efficacy and safety in major retinal vascular diseases in parallel, through the GLEAM and GLIMMER studies in diabetic macular edema, the BEACON study in retinal vein occlusion, the GLOW study in non-proliferative diabetic retinopathy and the DAYLIGHT study in wet age-related macular degeneration.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Kodiak has leveraged its ABC Platform to build a pipeline of product candidates in various stages of development. KSI-501 is our bispecific investigational medicine targeting two mechanisms implicated in retinal diseases: interleukin-6 ("IL-6") and vascular endothelial growth factor ("VEGF"). KSI-501 is being investigated in a Phase 1 clinical study, initially in patients with diabetic macular edema, to evaluate the safety, tolerability and bioactivity of KSI-501. Kodiak has expanded its early research pipeline of triplet inhibitors that combine small molecules and a biologic to form multi-targeting therapeutics with a high drug to antibody ratio ("DAR") for multifactorial ophthalmic and systemic diseases.</w:t>
      </w:r>
    </w:p>
    <w:p>
      <w:pPr>
        <w:pStyle w:val="TextBody"/>
        <w:bidi w:val="0"/>
        <w:spacing w:before="240" w:after="0"/>
        <w:jc w:val="left"/>
        <w:rPr>
          <w:rFonts w:ascii="Times New Roman;serif" w:hAnsi="Times New Roman;serif"/>
          <w:b/>
          <w:sz w:val="20"/>
        </w:rPr>
      </w:pPr>
      <w:r>
        <w:rPr>
          <w:rFonts w:ascii="Times New Roman;serif" w:hAnsi="Times New Roman;serif"/>
          <w:b/>
          <w:sz w:val="20"/>
        </w:rPr>
        <w:t>Recent Updates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Tarcocimab Clinical Program Update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July 24, 2023, Kodiak announced topline results from three Phase 3 studies of tarcocimab, a novel antibody biopolymer conjugate.</w:t>
      </w:r>
    </w:p>
    <w:p>
      <w:pPr>
        <w:pStyle w:val="TextBody"/>
        <w:bidi w:val="0"/>
        <w:spacing w:before="120" w:after="0"/>
        <w:jc w:val="left"/>
        <w:rPr>
          <w:rFonts w:ascii="Times New Roman" w:hAnsi="Times New Roman"/>
          <w:sz w:val="20"/>
        </w:rPr>
      </w:pPr>
      <w:r>
        <w:rPr>
          <w:rFonts w:ascii="Times New Roman;serif" w:hAnsi="Times New Roman;serif"/>
          <w:b w:val="false"/>
          <w:sz w:val="20"/>
        </w:rPr>
        <w:t>The DAYLIGHT study was a randomized, double-masked, active comparator-controlled study evaluating the efficacy and safety of a high intensity dosing regimen of tarcocimab in 557 treatment-naïve subjects with wet AMD. The DAYLIGHT study met the primary endpoint of non-inferior visual acuity gains for tarcocimab dosed monthly compared to aflibercept dosed every 8 weeks following 3 monthly loading doses.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GLEAM and GLIMMER studies are identically designed, randomized, double-masked, active comparator-controlled studies evaluating the efficacy, durability and safety of tarcocimab in 460 and 457 treatment-naïve subjects with DME, respectively, run in parallel. Although high proportions of patients on meaningfully longer treatment intervals were observed with tarcocimab, with half of patients on every 24-week dosing at the primary endpoint, the GLEAM and GLIMMER studies did not meet their primary efficacy endpoints of showing non-inferior visual acuity gains for tarcocimab dosed every 8 to 24 weeks after 3 monthly loading doses compared to aflibercept given every 8 weeks after 5 monthly loading doses. At the primary efficacy endpoint of the GLEAM study, patients treated with tarcocimab gained an observed average of 6.4 eye chart letters (to 73.1 letters), compared with 10.3 letters for patients treated with aflibercept (to 76.5 letters). In GLIMMER, patients treated with tarcocimab gained an observed average of 7.4 eye chart letters at the primary endpoint (to 72.5 letters) compared with 12.2 letters (to 76.4 letters) for patients treated with aflibercept.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 unexpected increase in cataract adverse events was reported over time in the tarcocimab arms of both GLEAM and GLIMMER, with 19% on tarcocimab versus 9% on aflibercept at the primary endpoint based on the pooled safety population. Kodiak’s initial evaluation suggests that the decline in visual acuity associated with cataracts contributed meaningfully to the failure of each study. In the DAYLIGHT study, no imbalance in cataracts was observed between wet AMD patients receiving tarcocimab or aflibercept throughout the one-year study period, despite the intensive monthly tarcocimab dosing regimen.</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Half of tarcocimab treated patients in the GLEAM and GLIMMER studies were on every 24-week dosing at the primary endpoint, two-thirds achieved at least one 6-month dosing interval during the studies, and three-quarters achieved at least one 5-month or longer treatment interval. Intraocular inflammation was rare, occurring in 1.3% and 0.2% of tarcocimab and aflibercept treated patients, respectively. No cases of intraocular inflammation with vasculitis or vascular occlusion were observed. In the DAYLIGHT study, intraocular inflammation occurred in 3.3% of patients treated with monthly tarcocimab and 0.4% of patients treated with aflibercept, again with no vasculitis or occlusion.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these data, and despite demonstrating what Kodiak believes is great potential, Kodiak announced a business decision to discontinue further development of tarcocimab. Kodiak continues to assess a variety of strategic and operational alternatives relating to the tarcocimab program, including the possibility that additional clinical trials may be conducted in the future.</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Antibody Biopolymer Conjugate Drug Substance Manufacturing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August 2020, we and our wholly-owned subsidiary Kodiak Sciences GmbH entered into a manufacturing agreement with Lonza Ltd (“Lonza”) for the clinical and commercial supply of drug substance for Kodiak. The manufacturing agreement has an initial term of eight years, and Kodiak has the right to extend the term up to a total of 16 years. Kodiak and Lonza each have the ability to terminate this agreement upon the occurrence of certain conditions. Under the agreement, Kodiak and Lonza planned a custom-built facility (“Ursus”) dedicated to the commercial-scale manufacturing of Kodiak’s drug substance. In March 2022, the Ursus facility achieved mechanical completion. In May 2022, we announced the grand opening of this facility together with Lonza. The facility was commissioned as a cGMP facility in January 2023, and was manufacturing commercial-scale cGMP batches of tarcocimab in the first quarter of 2023. In light of the recent update to the tarcocimab clinical program, Kodiak is exploring a variety of strategic and operational alternatives relating to this facility, including its best uses in the future.</w:t>
      </w:r>
    </w:p>
    <w:p>
      <w:pPr>
        <w:pStyle w:val="TextBody"/>
        <w:bidi w:val="0"/>
        <w:spacing w:before="240" w:after="0"/>
        <w:jc w:val="left"/>
        <w:rPr>
          <w:rFonts w:ascii="Times New Roman;serif" w:hAnsi="Times New Roman;serif"/>
          <w:b/>
          <w:i/>
          <w:sz w:val="20"/>
        </w:rPr>
      </w:pPr>
      <w:r>
        <w:rPr>
          <w:rFonts w:ascii="Times New Roman;serif" w:hAnsi="Times New Roman;serif"/>
          <w:b/>
          <w:i/>
          <w:sz w:val="20"/>
        </w:rPr>
        <w:t>KSI-501 Program Update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KSI-501 is our first-in-class bispecific investigational medicine designed to inhibit two mechanisms implicated in retinal diseases: vascular endothelial growth factor ("VEGF") and interleukin-6 (“IL-6”). IL-6 is a pro-inflammatory cytokine and growth factor implicated in the pathophysiology of multiple retinal diseases and, in conditions for which anti-VEGF treatment is used, elevated levels of ocular IL-6 have been associated with poor anti-VEGF treatment response. The bispecific mechanism of action of KSI-501 is designed to provide potent inhibition of (i) VEGF-mediated angiogenesis and vascular permeability through a soluble decoy receptor inhibiting the binding of VEGF-A and PLGF to their cognate receptors and (ii) IL-6 mediated inflammation through an antibody that binds soluble interleukin-6, inhibiting its binding to both soluble and membrane-bound IL-6 receptors. In cell-based assays, KSI-501 inhibits angiogenesis and also normalizes inner and outer blood retinal barriers; dual inhibition of VEGF and IL-6 by KSI-501 confers superior normalization of cell morphology and junctional biology compared to either anti-VEGF or anti-IL-6 monotherapy. We believe KSI-501 has the potential to become a new category of retinal medicines with greater therapeutic efficacy than existing therapies. KSI-501 is currently being studied in a Phase 1 trial in the United States to evaluate the safety, tolerability and bioactivity of KSI-501 initially in DME patients. The Phase 1 study has recently completed enrollment of patients across all dose levels. In light of the emergence of late onset cataracts observed with tarcocimab in GLEAM and GLIMMER, we intend to explore development of KSI-501 both as (i) its unconjugated protein which is itself a novel bispecific anti-IL-6 antibody / anti-VEGF trap fusion protein and (ii) its bioconjugate form.</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i/>
          <w:sz w:val="20"/>
        </w:rPr>
        <w:t>Technology Platform Development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continued progressing our technology development with our “triplet” platform and other protein therapeutic and small molecule programs. The triplet science is designed to enable multi-mechanism targeting of multifactorial diseases by embedding small molecules in the biopolymer backbone to provide a high drug-antibody ratio ("DAR"). The small molecules can be released over time to achieve sustained inhibition of targeted biological pathways. We believe this unique combination of high DAR and extended therapeutic benefit offers potential broad and important utility for multifactorial ophthalmic diseases and also may have significant relevance for systemic diseases. We continue to advance our triplet platform towards its initial therapeutic concepts.</w:t>
      </w:r>
    </w:p>
    <w:p>
      <w:pPr>
        <w:pStyle w:val="TextBody"/>
        <w:bidi w:val="0"/>
        <w:spacing w:before="240" w:after="0"/>
        <w:jc w:val="left"/>
        <w:rPr>
          <w:rFonts w:ascii="Times New Roman" w:hAnsi="Times New Roman"/>
          <w:sz w:val="20"/>
        </w:rPr>
      </w:pPr>
      <w:r>
        <w:rPr>
          <w:rFonts w:ascii="Times New Roman;serif" w:hAnsi="Times New Roman;serif"/>
          <w:b/>
          <w:i/>
          <w:sz w:val="20"/>
        </w:rPr>
        <w:t>Digital Health Platform Development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developing a visual engagement technology and imager (“VETi”) designed by Kodiak engineers initially to be used by eye care professionals for vision and ophthalmic anatomical examination, diagnosis and monitoring. Our longer-term goal with VETi, built with semiconductor technologies, is to deliver a wearable device for long-term health engagement and monitoring.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Importantly, we also believe the Kodiak VETi platform as a medical engagement and imaging platform has the potential to disrupt ophthalmology clinical trials by enabling new trial endpoints, thereby enabling faster and more cost-effective medicines development in ophthalmic disease, an area that historically requires lengthy and expensive trials. VETi may also aid in market build and shaping for undertreated or underdiagnosed diseases, where Kodiak’s product candidates are being studied and where early treatment and prevention may allow patients to achieve better outcomes.</w:t>
      </w:r>
    </w:p>
    <w:p>
      <w:pPr>
        <w:pStyle w:val="TextBody"/>
        <w:bidi w:val="0"/>
        <w:spacing w:before="120" w:after="0"/>
        <w:jc w:val="left"/>
        <w:rPr>
          <w:rFonts w:ascii="Times New Roman" w:hAnsi="Times New Roman"/>
          <w:sz w:val="20"/>
        </w:rPr>
      </w:pPr>
      <w:r>
        <w:rPr>
          <w:rFonts w:ascii="Times New Roman;serif" w:hAnsi="Times New Roman;serif"/>
          <w:b w:val="false"/>
          <w:sz w:val="20"/>
        </w:rPr>
        <w:t>The VETi platform is expected to begin pilot clinical testing in 2023 to gather initial user input for continued innovation in the design and build of this new hardware and software platform.</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sz w:val="20"/>
        </w:rPr>
        <w:t>Components of Operating Results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our operating expenses to decrease after the wind-down of ongoing tarcocimab activities. However, we may not realize, in full or in part, the anticipated benefits and savings in operating expenses from these decisions due to unforeseen difficulties, delays or unexpected costs. In addition, we continue to assess a variety of strategic and operational alternatives relating to the tarcocimab program, including the possibility that additional clinical trials may be conducted in the future. As a result, our future expenses may fluctuate significantly from quarter-to-quarter and year-to-year, depending on the outcome of our strategic and operational decisions, including whether we decide to pursue any additional product candidate development efforts beyond our existing pipeline.</w:t>
      </w:r>
    </w:p>
    <w:p>
      <w:pPr>
        <w:pStyle w:val="TextBody"/>
        <w:bidi w:val="0"/>
        <w:spacing w:before="120" w:after="0"/>
        <w:jc w:val="left"/>
        <w:rPr>
          <w:rFonts w:ascii="Times New Roman" w:hAnsi="Times New Roman"/>
          <w:sz w:val="20"/>
        </w:rPr>
      </w:pPr>
      <w:r>
        <w:rPr>
          <w:rFonts w:ascii="Times New Roman;serif" w:hAnsi="Times New Roman;serif"/>
          <w:b w:val="false"/>
          <w:i/>
          <w:sz w:val="20"/>
        </w:rPr>
        <w:t>Research and Development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Substantially all of our research and development expenses consist of expenses incurred in connection with the development of our product candidates and ABC Platform. These expenses include certain payroll and personnel expenses, including stock-based compensation, for our research and product development employees; laboratory supplies and facility costs; consulting costs; contract manufacturing and fees paid to CROs to conduct certain research and development activities on our behalf; and allocated overhead, including rent, equipment, depreciation and utilities. We expense both internal and external research and development expenses as they are incurred. Costs of certain activities, such as manufacturing and preclinical and clinical studies, are generally recognized based on an evaluation of the progress to completion of specific tasks. Nonrefundable payments made prior to the receipt of goods or services that will be used or rendered for future research and development activities are deferred and capitalized. The capitalized amounts are recognized as expense as the goods are delivered or the related services are performed.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focusing substantially all of our resources and development efforts on the development of our product candidates. Predicting the timing or the final cost to complete our clinical program or validation of our commercial manufacturing and supply processes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Furthermore, we are unable to predict when or if our drug candidates will receive regulatory approval with any certainty.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General and Administrative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consist principally of payroll and personnel expenses, including stock-based compensation; professional fees for legal, consulting, accounting and tax services; compliance costs associated with being a public company; allocated overhead, including rent, equipment, depreciation and utilities; and other general operating expenses not otherwise classified as research and development expenses.</w:t>
      </w:r>
    </w:p>
    <w:p>
      <w:pPr>
        <w:pStyle w:val="TextBody"/>
        <w:bidi w:val="0"/>
        <w:spacing w:before="240" w:after="0"/>
        <w:jc w:val="left"/>
        <w:rPr>
          <w:rFonts w:ascii="Times New Roman" w:hAnsi="Times New Roman"/>
          <w:sz w:val="20"/>
        </w:rPr>
      </w:pPr>
      <w:r>
        <w:rPr>
          <w:rFonts w:ascii="Times New Roman;serif" w:hAnsi="Times New Roman;serif"/>
          <w:b w:val="false"/>
          <w:i/>
          <w:sz w:val="20"/>
        </w:rPr>
        <w:t>Interest Income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Interest income consists primarily of interest income earned on our cash, cash equivalents and marketable securities.</w:t>
      </w:r>
    </w:p>
    <w:p>
      <w:pPr>
        <w:pStyle w:val="TextBody"/>
        <w:bidi w:val="0"/>
        <w:spacing w:before="240" w:after="0"/>
        <w:jc w:val="left"/>
        <w:rPr>
          <w:rFonts w:ascii="Times New Roman" w:hAnsi="Times New Roman"/>
          <w:sz w:val="20"/>
        </w:rPr>
      </w:pPr>
      <w:r>
        <w:rPr>
          <w:rFonts w:ascii="Times New Roman;serif" w:hAnsi="Times New Roman;serif"/>
          <w:b w:val="false"/>
          <w:i/>
          <w:sz w:val="20"/>
        </w:rPr>
        <w:t>Other Income (Expense), Net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Other income (expense), net consists primarily of the change in fair value and settlement of derivative contracts, tax expense and the amortized issuance costs from the liability related to the future sale of royalties to Baker Bros. Advisors, LP in 2019.</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the results of our operations for the periods indicated, in thousands: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356"/>
        <w:gridCol w:w="146"/>
        <w:gridCol w:w="211"/>
        <w:gridCol w:w="736"/>
        <w:gridCol w:w="166"/>
        <w:gridCol w:w="146"/>
        <w:gridCol w:w="211"/>
        <w:gridCol w:w="736"/>
        <w:gridCol w:w="166"/>
        <w:gridCol w:w="146"/>
        <w:gridCol w:w="211"/>
        <w:gridCol w:w="676"/>
        <w:gridCol w:w="166"/>
        <w:gridCol w:w="146"/>
        <w:gridCol w:w="211"/>
        <w:gridCol w:w="841"/>
        <w:gridCol w:w="166"/>
        <w:gridCol w:w="146"/>
        <w:gridCol w:w="211"/>
        <w:gridCol w:w="841"/>
        <w:gridCol w:w="166"/>
        <w:gridCol w:w="146"/>
        <w:gridCol w:w="211"/>
        <w:gridCol w:w="736"/>
        <w:gridCol w:w="31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3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xml:space="preserve">Three Months Ended </w:t>
              <w:br/>
              <w:t>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xml:space="preserve">Six Months Ended </w:t>
              <w:br/>
              <w:t>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 </w:t>
            </w:r>
          </w:p>
        </w:tc>
      </w:tr>
      <w:tr>
        <w:trPr/>
        <w:tc>
          <w:tcPr>
            <w:tcW w:w="23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311" w:type="dxa"/>
            <w:tcBorders/>
            <w:vAlign w:val="center"/>
          </w:tcPr>
          <w:p>
            <w:pPr>
              <w:pStyle w:val="TableContents"/>
              <w:bidi w:val="0"/>
              <w:spacing w:before="0" w:after="0"/>
              <w:ind w:left="0" w:right="0" w:firstLine="100"/>
              <w:jc w:val="right"/>
              <w:rPr/>
            </w:pPr>
            <w:r>
              <w:rPr/>
              <w:t> </w:t>
            </w:r>
          </w:p>
        </w:tc>
      </w:tr>
      <w:tr>
        <w:trPr/>
        <w:tc>
          <w:tcPr>
            <w:tcW w:w="23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66,961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73,744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(6,783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123,481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149,921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(26,440</w:t>
            </w:r>
          </w:p>
        </w:tc>
        <w:tc>
          <w:tcPr>
            <w:tcW w:w="31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23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35,966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37,914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(1,948</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(84,832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(92,068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(159,447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(187,835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28,388</w:t>
            </w:r>
          </w:p>
        </w:tc>
        <w:tc>
          <w:tcPr>
            <w:tcW w:w="311" w:type="dxa"/>
            <w:tcBorders/>
            <w:vAlign w:val="center"/>
          </w:tcPr>
          <w:p>
            <w:pPr>
              <w:pStyle w:val="TableContents"/>
              <w:bidi w:val="0"/>
              <w:spacing w:before="0" w:after="0"/>
              <w:ind w:left="0" w:right="0" w:firstLine="100"/>
              <w:jc w:val="left"/>
              <w:rPr/>
            </w:pPr>
            <w:r>
              <w:rPr/>
              <w:t> </w:t>
            </w:r>
          </w:p>
        </w:tc>
      </w:tr>
      <w:tr>
        <w:trPr/>
        <w:tc>
          <w:tcPr>
            <w:tcW w:w="23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6,730</w:t>
            </w:r>
          </w:p>
        </w:tc>
        <w:tc>
          <w:tcPr>
            <w:tcW w:w="311" w:type="dxa"/>
            <w:tcBorders/>
            <w:vAlign w:val="center"/>
          </w:tcPr>
          <w:p>
            <w:pPr>
              <w:pStyle w:val="TableContents"/>
              <w:bidi w:val="0"/>
              <w:spacing w:before="0" w:after="0"/>
              <w:ind w:left="0" w:right="0" w:firstLine="100"/>
              <w:jc w:val="left"/>
              <w:rPr/>
            </w:pPr>
            <w:r>
              <w:rPr/>
              <w:t> </w:t>
            </w:r>
          </w:p>
        </w:tc>
      </w:tr>
      <w:tr>
        <w:trPr/>
        <w:tc>
          <w:tcPr>
            <w:tcW w:w="23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11" w:type="dxa"/>
            <w:tcBorders/>
            <w:vAlign w:val="center"/>
          </w:tcPr>
          <w:p>
            <w:pPr>
              <w:pStyle w:val="TableContents"/>
              <w:bidi w:val="0"/>
              <w:spacing w:before="0" w:after="0"/>
              <w:ind w:left="0" w:right="0" w:firstLine="100"/>
              <w:jc w:val="left"/>
              <w:rPr/>
            </w:pPr>
            <w:r>
              <w:rPr/>
              <w:t> </w:t>
            </w:r>
          </w:p>
        </w:tc>
      </w:tr>
      <w:tr>
        <w:trPr/>
        <w:tc>
          <w:tcPr>
            <w:tcW w:w="23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(80,188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(90,628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10,440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(150,968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(186,337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35,369</w:t>
            </w:r>
          </w:p>
        </w:tc>
        <w:tc>
          <w:tcPr>
            <w:tcW w:w="3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i/>
          <w:sz w:val="20"/>
        </w:rPr>
        <w:t>Research and Development Expenses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table summarizes our research and development expenses for the periods indicated, in thousands: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821"/>
        <w:gridCol w:w="146"/>
        <w:gridCol w:w="211"/>
        <w:gridCol w:w="676"/>
        <w:gridCol w:w="146"/>
        <w:gridCol w:w="146"/>
        <w:gridCol w:w="211"/>
        <w:gridCol w:w="676"/>
        <w:gridCol w:w="146"/>
        <w:gridCol w:w="146"/>
        <w:gridCol w:w="211"/>
        <w:gridCol w:w="631"/>
        <w:gridCol w:w="166"/>
        <w:gridCol w:w="146"/>
        <w:gridCol w:w="211"/>
        <w:gridCol w:w="781"/>
        <w:gridCol w:w="146"/>
        <w:gridCol w:w="146"/>
        <w:gridCol w:w="211"/>
        <w:gridCol w:w="781"/>
        <w:gridCol w:w="146"/>
        <w:gridCol w:w="146"/>
        <w:gridCol w:w="211"/>
        <w:gridCol w:w="736"/>
        <w:gridCol w:w="21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xml:space="preserve">Three Months Ended </w:t>
              <w:br/>
              <w:t>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xml:space="preserve">Six Months Ended </w:t>
              <w:br/>
              <w:t>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28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Tarcocimab program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34,620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38,270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60,796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78,947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(18,151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KSI-501 program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ABC Platform and other </w:t>
              <w:br/>
              <w:t>   program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(6,632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Payroll and personnel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40,327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Facilities and other research and </w:t>
              <w:br/>
              <w:t>   development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5,177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2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 xml:space="preserve">Total research and development </w:t>
              <w:br/>
              <w:t>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66,961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73,744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(6,783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123,481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149,921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(26,440</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Tarcocimab program expenses decreased $3.7 million and $18.2 million during the three and six months ended June 30, 2023 as compared to the same periods in 2022, primarily driven by the maturation of the tarcocimab clinical program and timing of manufacturing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Phase 1 study of KSI-501 began enrolling patients with DME in the beginning of the second quarter of 2023. During the three and six months ended June 30, 2023 as compared to the same periods in 2022, KSI-501 program expenses decreased $2.8 million and $3.4 million due to timing of manufacturing runs in the comparable period.</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ABC Platform and other program expenses decreased $2.3 million and $6.6 million during the three and six months ended June 30, 2023 as compared to the same periods in 2022, primarily due to timing of manufacturing runs.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Payroll and personnel expenses increased $0.9 million during the three months ended June 30, 2023 and decreased $0.1 million during six months ended June 30, 2023 as compared to the same periods in 2022. The increase in payroll and personnel expenses from higher headcount was offset by changes in stock-based compensation expense due to forfeitures.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Facilities and other research and development expenses increased $1.0 million and $1.9 million during the three and six months ended June 30, 2023 as compared to the same periods in 2022, primarily due to expansion of digital transformation activities in support of our research and development and depreciation.</w:t>
      </w:r>
    </w:p>
    <w:p>
      <w:pPr>
        <w:pStyle w:val="TextBody"/>
        <w:bidi w:val="0"/>
        <w:spacing w:before="240" w:after="0"/>
        <w:jc w:val="left"/>
        <w:rPr>
          <w:rFonts w:ascii="Times New Roman" w:hAnsi="Times New Roman"/>
          <w:sz w:val="20"/>
        </w:rPr>
      </w:pPr>
      <w:r>
        <w:rPr>
          <w:rFonts w:ascii="Times New Roman;serif" w:hAnsi="Times New Roman;serif"/>
          <w:b w:val="false"/>
          <w:i/>
          <w:sz w:val="20"/>
        </w:rPr>
        <w:t>General and Administrative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General and administrative expenses decreased $0.5 million and $1.9 million during the three and six months ended June 30, 2023 as compared to the same periods in 2022, primarily driven by professional fees for consulting and accounting expenses.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sz w:val="20"/>
        </w:rPr>
        <w:t>Liquidity and Capital Resources; Plan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Sources of Liquidity</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funded our operations primarily through the sale and issuance of common stock, redeemable convertible preferred stock, convertible notes, warrants and the sale of royalties. As of June 30, 2023, we had cash and cash equivalents of $378.7 million.</w:t>
      </w:r>
    </w:p>
    <w:p>
      <w:pPr>
        <w:pStyle w:val="TextBody"/>
        <w:bidi w:val="0"/>
        <w:spacing w:before="240" w:after="0"/>
        <w:jc w:val="left"/>
        <w:rPr>
          <w:rFonts w:ascii="Times New Roman" w:hAnsi="Times New Roman"/>
          <w:sz w:val="20"/>
        </w:rPr>
      </w:pPr>
      <w:r>
        <w:rPr>
          <w:rFonts w:ascii="Times New Roman;serif" w:hAnsi="Times New Roman;serif"/>
          <w:b/>
          <w:i/>
          <w:sz w:val="20"/>
        </w:rPr>
        <w:t>Future Funding Requirements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incurred net losses since our inception. For the three and six months ended June 30, 2023, we had net loss of $80.2 million and $151.0 million, of which $25.8 million and $51.8 million related to non-cash stock-based compensation expense, respectively. We expect to continue to incur additional losses in future periods. As of June 30, 2023, we had an accumulated deficit of $1,043.0 million. We believe that the cash and cash equivalents will be sufficient to meet our anticipated operating and capital expenditure requirements at least 12 months following the date of this Quarterly Report on Form 10-Q.</w:t>
      </w:r>
    </w:p>
    <w:p>
      <w:pPr>
        <w:pStyle w:val="TextBody"/>
        <w:bidi w:val="0"/>
        <w:spacing w:before="120" w:after="0"/>
        <w:jc w:val="left"/>
        <w:rPr>
          <w:rFonts w:ascii="Times New Roman" w:hAnsi="Times New Roman"/>
          <w:sz w:val="20"/>
        </w:rPr>
      </w:pPr>
      <w:r>
        <w:rPr>
          <w:rFonts w:ascii="Times New Roman;serif" w:hAnsi="Times New Roman;serif"/>
          <w:b w:val="false"/>
          <w:sz w:val="20"/>
        </w:rPr>
        <w:t>We have based these estimates on assumptions that may prove to be wrong, and we could deplete our available capital resources sooner than we expect. Because of the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To date, we have not generated any product revenue. We do not expect to generate any product revenue unless and until we obtain regulatory approval of and commercialize any of our product candidates or enter into collaborative agreements with third parties, and we do not know when, or if, either will occur. We expect to continue to incur significant losses for the foreseeable future, and we expect our losses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based these estimates on assumptions that may prove to be wrong, and we could deplete our capital resources sooner than we expect. The timing and amount of our operating expenditures and capital requirements will depend on many factors, including: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scope, timing, rate of progress and costs of our drug discovery, preclinical development activities, laboratory testing and clinical trials for our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number and scope of clinical programs we decide to pursue;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scope and costs of manufacturing development and commercial manufacturing activities;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extent to which we acquire or in-license other product candidates and technologies;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 timing and outcome of regulatory review of our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costs of preparing, filing and prosecuting patent applications, maintaining and enforcing our intellectual property rights and defending intellectual property-related claims;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establish and maintain collaborations on favorable terms, if at all;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efforts to enhance operational systems and our ability to attract, hire and retain qualified personnel, including personnel to support the development of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costs associated with being a public company;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cost and timing associated with commercializing our product candidates, if they receive marketing approval.</w:t>
      </w:r>
    </w:p>
    <w:p>
      <w:pPr>
        <w:pStyle w:val="TextBody"/>
        <w:bidi w:val="0"/>
        <w:spacing w:before="120" w:after="0"/>
        <w:jc w:val="left"/>
        <w:rPr>
          <w:rFonts w:ascii="Times New Roman" w:hAnsi="Times New Roman"/>
          <w:sz w:val="20"/>
        </w:rPr>
      </w:pPr>
      <w:r>
        <w:rPr>
          <w:rFonts w:ascii="Times New Roman;serif" w:hAnsi="Times New Roman;serif"/>
          <w:b w:val="false"/>
          <w:sz w:val="20"/>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delay, reduce, or terminate some or all of our development programs and clinical trials. We may also be required to sell or license rights to our product candidates in certain territories or indications to others that we would prefer to develop and commercialize ourselves.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significant uncertainties caused by health epidemics, the ongoing conflict in Ukraine, inflation, rising interest rates, bank failures, lower consumer confidence, ongoing supply chain disruptions, and volatile equity capital markets may also negatively impact our operations and capital resources. We and our key clinical and manufacturing partners have been able to continue to advance our operations, and we continue to monitor the impact of the aforementioned events on our ability to continue the development of, and seek regulatory approvals for, our product candidates, and begin to commercialize any approved products. One or more of these events may ultimately have a material adverse effect on our liquidity and operating plans.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Adequate additional funding may not be available to us on acceptable terms or at all. Our failure to raise capital as and when needed could have a negative impact on our financial condition and our ability to pursue our business strategies. See the section of this report titled “Part II, Item 1A — Risk Factors” for additional risks associated with our substantial capital requirements.</w:t>
      </w:r>
    </w:p>
    <w:p>
      <w:pPr>
        <w:pStyle w:val="TextBody"/>
        <w:bidi w:val="0"/>
        <w:spacing w:before="240" w:after="0"/>
        <w:jc w:val="left"/>
        <w:rPr>
          <w:rFonts w:ascii="Times New Roman" w:hAnsi="Times New Roman"/>
          <w:sz w:val="20"/>
        </w:rPr>
      </w:pPr>
      <w:r>
        <w:rPr>
          <w:rFonts w:ascii="Times New Roman;serif" w:hAnsi="Times New Roman;serif"/>
          <w:b/>
          <w:i/>
          <w:sz w:val="20"/>
        </w:rPr>
        <w:t>Summary Statement of Cash Flows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 sets forth the primary sources and uses of cash for each of the periods presented below, in thousands:</w:t>
      </w:r>
      <w:r>
        <w:rPr>
          <w:rFonts w:ascii="Times New Roman" w:hAnsi="Times New Roman"/>
          <w:sz w:val="20"/>
        </w:rPr>
        <w:t xml:space="preserve"> </w:t>
      </w:r>
    </w:p>
    <w:p>
      <w:pPr>
        <w:pStyle w:val="TextBody"/>
        <w:bidi w:val="0"/>
        <w:spacing w:before="0" w:after="0"/>
        <w:jc w:val="left"/>
        <w:rPr/>
      </w:pPr>
      <w:r>
        <w:rPr/>
        <w:t> </w:t>
      </w:r>
    </w:p>
    <w:tbl>
      <w:tblPr>
        <w:tblW w:w="8279" w:type="dxa"/>
        <w:jc w:val="left"/>
        <w:tblInd w:w="0" w:type="dxa"/>
        <w:tblLayout w:type="fixed"/>
        <w:tblCellMar>
          <w:top w:w="28" w:type="dxa"/>
          <w:left w:w="28" w:type="dxa"/>
          <w:bottom w:w="28" w:type="dxa"/>
          <w:right w:w="28" w:type="dxa"/>
        </w:tblCellMar>
      </w:tblPr>
      <w:tblGrid>
        <w:gridCol w:w="5566"/>
        <w:gridCol w:w="146"/>
        <w:gridCol w:w="211"/>
        <w:gridCol w:w="781"/>
        <w:gridCol w:w="166"/>
        <w:gridCol w:w="146"/>
        <w:gridCol w:w="211"/>
        <w:gridCol w:w="841"/>
        <w:gridCol w:w="21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3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xml:space="preserve">Six Months Ended </w:t>
              <w:br/>
              <w:t>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5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(used in):</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5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(89,180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(98,297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277,250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(462,241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increase (decrease) in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188,237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(558,818</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Cash Flows from Operating Activities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Net cash used in operating activities was $89.2 million for the six months ended June 30, 2023, primarily attributable to a net loss during this period due to the maturation of the tarcocimab clinical program and timing of manufacturing activities. Cash used in operating activities was also driven by changes in operating assets and liabilities.</w:t>
      </w:r>
    </w:p>
    <w:p>
      <w:pPr>
        <w:pStyle w:val="TextBody"/>
        <w:bidi w:val="0"/>
        <w:spacing w:before="240" w:after="0"/>
        <w:jc w:val="left"/>
        <w:rPr>
          <w:rFonts w:ascii="Times New Roman" w:hAnsi="Times New Roman"/>
          <w:sz w:val="20"/>
        </w:rPr>
      </w:pPr>
      <w:r>
        <w:rPr>
          <w:rFonts w:ascii="Times New Roman;serif" w:hAnsi="Times New Roman;serif"/>
          <w:b/>
          <w:sz w:val="20"/>
        </w:rPr>
        <w:t>Cash Flows from Investing Activities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Net cash provided by investing activities was $277.3 million for the six months ended June 30, 2023, primarily related to maturities of marketable securities and capital expenditures during the period.</w:t>
      </w:r>
    </w:p>
    <w:p>
      <w:pPr>
        <w:pStyle w:val="TextBody"/>
        <w:bidi w:val="0"/>
        <w:spacing w:before="240" w:after="0"/>
        <w:jc w:val="left"/>
        <w:rPr>
          <w:rFonts w:ascii="Times New Roman" w:hAnsi="Times New Roman"/>
          <w:sz w:val="20"/>
        </w:rPr>
      </w:pPr>
      <w:r>
        <w:rPr>
          <w:rFonts w:ascii="Times New Roman;serif" w:hAnsi="Times New Roman;serif"/>
          <w:b/>
          <w:sz w:val="20"/>
        </w:rPr>
        <w:t>Contractual Obligations and Commitments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disclosure of our contractual obligations and commitments is set forth under the heading “Management’s Discussion and Analysis of Financial Condition and Results of Operations — Material Cash Requirements and Material Known Contractual Obligations and Commitments” in our Annual Report on Form 10-K for the year ended December 31, 2022, which was filed with the SEC on March 28, 2023. There have been no material changes in our contractual obligations and commitments since December 31, 2022, except as otherwise described in Note 7 to our unaudited condensed consolidated financial statements included in this report.</w:t>
      </w:r>
    </w:p>
    <w:p>
      <w:pPr>
        <w:pStyle w:val="TextBody"/>
        <w:bidi w:val="0"/>
        <w:spacing w:before="240" w:after="0"/>
        <w:jc w:val="left"/>
        <w:rPr>
          <w:rFonts w:ascii="Times New Roman" w:hAnsi="Times New Roman"/>
          <w:sz w:val="20"/>
        </w:rPr>
      </w:pPr>
      <w:r>
        <w:rPr>
          <w:rFonts w:ascii="Times New Roman;serif" w:hAnsi="Times New Roman;serif"/>
          <w:b/>
          <w:sz w:val="20"/>
        </w:rPr>
        <w:t>Critical Accounting Policies, Significant Judgments and Use of Estimates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consolidated financial statements have been prepared in accordance with U.S. generally accepted accounting principles, or GAAP. The preparation of these consolidated financial statements requires us to make estimates and assumptions that affect the reported amounts of assets and liabilities,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six months ended June 30, 2023, there were no material changes to our critical accounting policies as reported in our Annual Report on Form 10-K for the year ended December 31, 2022, which was filed with the SEC on March 28, 2023, except as otherwise described in Note 2 to our unaudited condensed consolidated financial statements included in this report.</w:t>
      </w:r>
    </w:p>
    <w:p>
      <w:pPr>
        <w:pStyle w:val="TextBody"/>
        <w:bidi w:val="0"/>
        <w:spacing w:before="240" w:after="0"/>
        <w:jc w:val="left"/>
        <w:rPr>
          <w:rFonts w:ascii="Times New Roman" w:hAnsi="Times New Roman"/>
          <w:sz w:val="20"/>
        </w:rPr>
      </w:pPr>
      <w:r>
        <w:rPr>
          <w:rFonts w:ascii="Times New Roman;serif" w:hAnsi="Times New Roman;serif"/>
          <w:b/>
          <w:sz w:val="20"/>
        </w:rPr>
        <w:t>Recent Accounting Pronouncements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description of recently issued accounting pronouncements that may potentially impact our financial position and results of operations is discussed under Note 2 to our unaudited condensed consolidated financial statements included in this report.</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1" w:name="i_item3"/>
      <w:bookmarkEnd w:id="11"/>
      <w:r>
        <w:rPr>
          <w:rFonts w:ascii="Times New Roman;serif" w:hAnsi="Times New Roman;serif"/>
          <w:b/>
          <w:sz w:val="20"/>
        </w:rPr>
        <w:t>Item 3. Quantitative and Qualitati</w:t>
      </w:r>
      <w:bookmarkStart w:id="12" w:name="item_3_quantitative_qualitative_disclosu"/>
      <w:bookmarkEnd w:id="12"/>
      <w:r>
        <w:rPr>
          <w:rFonts w:ascii="Times New Roman;serif" w:hAnsi="Times New Roman;serif"/>
          <w:b/>
          <w:sz w:val="20"/>
        </w:rPr>
        <w:t>ve Disclosures About Market Risk.</w:t>
      </w:r>
    </w:p>
    <w:p>
      <w:pPr>
        <w:pStyle w:val="TextBody"/>
        <w:bidi w:val="0"/>
        <w:spacing w:before="120" w:after="0"/>
        <w:jc w:val="left"/>
        <w:rPr>
          <w:rFonts w:ascii="Times New Roman;serif" w:hAnsi="Times New Roman;serif"/>
          <w:b w:val="false"/>
          <w:sz w:val="20"/>
        </w:rPr>
      </w:pPr>
      <w:bookmarkStart w:id="13" w:name="s161692780"/>
      <w:bookmarkEnd w:id="13"/>
      <w:r>
        <w:rPr>
          <w:rFonts w:ascii="Times New Roman;serif" w:hAnsi="Times New Roman;serif"/>
          <w:b w:val="false"/>
          <w:sz w:val="20"/>
        </w:rPr>
        <w:t>During the six months ended June 30, 2023, there were no material changes to our market risk disclosures as reported in our Annual Report on Form 10-K for the year ended December 31, 2022, which was filed with the SEC on March 28, 2023.</w:t>
      </w:r>
    </w:p>
    <w:p>
      <w:pPr>
        <w:pStyle w:val="TextBody"/>
        <w:bidi w:val="0"/>
        <w:spacing w:before="240" w:after="0"/>
        <w:jc w:val="left"/>
        <w:rPr>
          <w:rFonts w:ascii="Times New Roman" w:hAnsi="Times New Roman"/>
          <w:sz w:val="20"/>
        </w:rPr>
      </w:pPr>
      <w:bookmarkStart w:id="14" w:name="item_4_controls_procedures"/>
      <w:bookmarkEnd w:id="14"/>
      <w:r>
        <w:rPr>
          <w:rFonts w:ascii="Times New Roman;serif" w:hAnsi="Times New Roman;serif"/>
          <w:b/>
          <w:sz w:val="20"/>
        </w:rPr>
        <w:t>Item 4. Controls</w:t>
      </w:r>
      <w:r>
        <w:rPr>
          <w:rFonts w:ascii="Times New Roman" w:hAnsi="Times New Roman"/>
          <w:sz w:val="20"/>
        </w:rPr>
        <w:t xml:space="preserve"> </w:t>
      </w:r>
      <w:r>
        <w:rPr>
          <w:rFonts w:ascii="Times New Roman;serif" w:hAnsi="Times New Roman;serif"/>
          <w:b/>
          <w:sz w:val="20"/>
        </w:rPr>
        <w:t>and Procedures.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Management’s Evaluation of our Disclosure Controls and Procedures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or persons performing similar functions, as appropriate to allow timely decisions regarding required disclosure.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management, with the participation of our principal executive officer and principal financial officer, evaluated the effectiveness of the Company’s disclosure controls and procedures as of June 30, 2023. Based upon such evaluation, our principal executive officer and principal financial officer concluded that the design and operation of our disclosure controls and procedures were effective at a reasonable assurance level as of June 30, 2023.</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Changes in Internal Control over Financial Reporting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has been no change in our internal control over financial reporting during the quarter ended June 30, 2023, that has materially affected, or is reasonably likely to materially affect, our internal control over financial reporting.</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15" w:name="i_item4t"/>
      <w:bookmarkEnd w:id="15"/>
      <w:r>
        <w:rPr>
          <w:rFonts w:ascii="Times New Roman;serif" w:hAnsi="Times New Roman;serif"/>
          <w:b/>
          <w:sz w:val="20"/>
        </w:rPr>
        <w:t>PART II—OTHER</w:t>
      </w:r>
      <w:bookmarkStart w:id="16" w:name="part_iior_information"/>
      <w:bookmarkEnd w:id="16"/>
      <w:r>
        <w:rPr>
          <w:rFonts w:ascii="Times New Roman" w:hAnsi="Times New Roman"/>
          <w:sz w:val="20"/>
        </w:rPr>
        <w:t xml:space="preserve"> </w:t>
      </w:r>
      <w:r>
        <w:rPr>
          <w:rFonts w:ascii="Times New Roman;serif" w:hAnsi="Times New Roman;serif"/>
          <w:b/>
          <w:sz w:val="20"/>
        </w:rPr>
        <w:t>INFORMATION</w:t>
      </w:r>
    </w:p>
    <w:p>
      <w:pPr>
        <w:pStyle w:val="TextBody"/>
        <w:bidi w:val="0"/>
        <w:spacing w:before="240" w:after="0"/>
        <w:jc w:val="left"/>
        <w:rPr>
          <w:rFonts w:ascii="Times New Roman;serif" w:hAnsi="Times New Roman;serif"/>
          <w:b/>
          <w:sz w:val="20"/>
        </w:rPr>
      </w:pPr>
      <w:bookmarkStart w:id="17" w:name="item_1_legal_proceedings"/>
      <w:bookmarkEnd w:id="17"/>
      <w:r>
        <w:rPr>
          <w:rFonts w:ascii="Times New Roman;serif" w:hAnsi="Times New Roman;serif"/>
          <w:b/>
          <w:sz w:val="20"/>
        </w:rPr>
        <w:t>Item 1. Legal Proceedings.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From time to time, we may become involved in litigation relating to claims arising from the ordinary course of business. As of the date of this report, there are no claims or actions pending against us, the ultimate disposition of which could have a material adverse effect on our results of operations or financial condition.</w:t>
      </w:r>
    </w:p>
    <w:p>
      <w:pPr>
        <w:pStyle w:val="TextBody"/>
        <w:bidi w:val="0"/>
        <w:spacing w:before="240" w:after="0"/>
        <w:jc w:val="left"/>
        <w:rPr>
          <w:rFonts w:ascii="Times New Roman;serif" w:hAnsi="Times New Roman;serif"/>
          <w:b/>
          <w:sz w:val="20"/>
        </w:rPr>
      </w:pPr>
      <w:bookmarkStart w:id="18" w:name="item_1a_risk_factors"/>
      <w:bookmarkEnd w:id="18"/>
      <w:r>
        <w:rPr>
          <w:rFonts w:ascii="Times New Roman;serif" w:hAnsi="Times New Roman;serif"/>
          <w:b/>
          <w:sz w:val="20"/>
        </w:rPr>
        <w:t>Item 1A. Risk Factors.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You should consider carefully the following risk factors, together with all the other information in this report, including the section of this report titled “Part I, Item 2 — Management’s Discussion and Analysis of Financial Condition and Results of Operations” and our unaudited condensed financial statements and notes thereto. The occurrence of any events described in the following risk factors and the risks described elsewhere in this report could harm our business, operating results, financial condition, and/or growth prospects or cause our actual results to differ materially from those contained in forward-looking statements that we have made in this report and those may make from time to time. You should consider all of the risk factors described when evaluating our business. We have marked with an asterisk (*) those risk factors that were not included as separate risk factors in, or reflect changes to, the similarly titled risk factors included in Part I, Item 1A, Risk Factors, in our Annual Report on Form 10-K, filed with the SEC on March 28, 2023.</w:t>
      </w:r>
    </w:p>
    <w:p>
      <w:pPr>
        <w:pStyle w:val="TextBody"/>
        <w:bidi w:val="0"/>
        <w:spacing w:before="240" w:after="0"/>
        <w:jc w:val="left"/>
        <w:rPr>
          <w:rFonts w:ascii="Times New Roman" w:hAnsi="Times New Roman"/>
          <w:sz w:val="20"/>
        </w:rPr>
      </w:pPr>
      <w:r>
        <w:rPr>
          <w:rFonts w:ascii="Times New Roman;serif" w:hAnsi="Times New Roman;serif"/>
          <w:b/>
          <w:sz w:val="20"/>
        </w:rPr>
        <w:t>Risks Related to the Discovery, Development and Commercialization of Our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are in the clinical stage of drug development and have a very limited operating history and no products approved for commercial sale, which may make it difficult to evaluate our current business and predict our future success and viability.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a clinical stage biopharmaceutical company committed to researching, developing and commercializing transformative therapeutics to treat high prevalence retinal diseases. We commenced operations in June 2009, have no products approved for commercial sale and have not generated any revenue. Drug development is a highly uncertain undertaking and involves a substantial degree of risk. We have conducted clinical trials, including Phase 3 pivotal clinical trials, of tarcocimab in patients with wet AMD, DME/DR and RVO. Certain of our trials did not meet their primary efficacy endpoints, and in July 2023 we announced a business decision to discontinue further development of tarcocimab. We continue to assess a variety of strategic and operational alternatives relating to the tarcocimab program, including the possibility that additional clinical trials may be conducted in the future. KSI-501, our clinical stage product candidate, is a dual inhibitor antibody biopolymer conjugate targeting both IL-6 (anti-IL-6 antibody) and VEGF (VEGF-trap) and is being investigated in a Phase 1 clinical study.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To date, we have not obtained marketing approval for any product candidates, manufactured a commercial scale product, or conducted sales and marketing activities necessary for successful product commercialization. Our limited operating history as a company and early stage of drug development make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suffer.</w:t>
      </w:r>
      <w:r>
        <w:rPr>
          <w:rFonts w:ascii="Times New Roman" w:hAnsi="Times New Roman"/>
          <w:sz w:val="20"/>
        </w:rPr>
        <w:t xml:space="preserve"> </w:t>
      </w:r>
    </w:p>
    <w:p>
      <w:pPr>
        <w:pStyle w:val="TextBody"/>
        <w:bidi w:val="0"/>
        <w:spacing w:before="12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The recent failure of pivotal studies of tarcocimab to meet their primary efficacy endpoints may lead us to discontinue development of other product candidates based on our ABC Platform.</w:t>
      </w:r>
    </w:p>
    <w:p>
      <w:pPr>
        <w:pStyle w:val="TextBody"/>
        <w:bidi w:val="0"/>
        <w:spacing w:before="120" w:after="0"/>
        <w:jc w:val="left"/>
        <w:rPr>
          <w:rFonts w:ascii="Times New Roman" w:hAnsi="Times New Roman"/>
          <w:sz w:val="20"/>
        </w:rPr>
      </w:pPr>
      <w:r>
        <w:rPr>
          <w:rFonts w:ascii="Times New Roman;serif" w:hAnsi="Times New Roman;serif"/>
          <w:b w:val="false"/>
          <w:sz w:val="20"/>
        </w:rPr>
        <w:t>In July 2023, we announced that two of our pivotal Phase 3 clinical trials of tarcocimab did not meet their primary efficacy endpoints and, as a result, we announced a business decision to discontinue further development of tarcocimab. Although we continue to assess a variety of strategic and operational alternatives relating to the tarcocimab program, including the possibility that additional clinical trials may be conducted in the future, we may decide to discontinue development of some or all of our product candidates that are based on our ABC Platform. If we discontinue development of our ABC Platform or other product candidates based on our ABC platform, we could be prevented from or significantly delayed in achieving profitability.</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i/>
          <w:sz w:val="20"/>
        </w:rPr>
        <w:t>Research and development of biopharmaceutical products is inherently risky. We cannot give any assurance that any of our product candidates will receive regulatory, including marketing, approval, which is necessary before they can be commercialized.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at an early stage of development of our product candidates. Our future success is dependent on our ability to successfully develop, obtain regulatory approval for, and then successfully commercialize our product candidates, and we may fail to do so for many reasons, including the following: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product candidates have in the past and may in the future not successfully complete preclinical studies or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a product candidate obtains regulatory approval, approval may be for indications, dosage and administration or patient populations that are not as broad as intended or desired;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 product candidate may, on further study, be shown to have harmful side effects or other characteristics that indicate it is unlikely to be effective or otherwise does not meet applicable regulatory criteria, for example a positive benefit-risk profile;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competitors may develop therapeutics that render our product candidates obsolete or less attractive;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competitors may develop platform technologies that render our ABC Platform obsolete or less attractive;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product candidates and ABC Platform that we develop may not be sufficiently covered by intellectual property for which we hold exclusive rights or may be covered by third party patents or other intellectual property or exclusive rights;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market for a product candidate may change so that the continued development of that product candidate is no longer reasonable or commercially attractive;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 product candidate may not be capable of being produced in commercial quantities at an acceptable cost, or at all;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if a product candidate obtains regulatory approval, we may be unable to establish sales and marketing capabilities, or successfully market such approved product candidate, to gain market acceptance;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 product candidate may not be accepted as safe and effective by patients, the medical community or third-party payors, if applicable. </w:t>
      </w:r>
    </w:p>
    <w:p>
      <w:pPr>
        <w:pStyle w:val="TextBody"/>
        <w:bidi w:val="0"/>
        <w:spacing w:before="120" w:after="0"/>
        <w:jc w:val="left"/>
        <w:rPr>
          <w:rFonts w:ascii="Times New Roman" w:hAnsi="Times New Roman"/>
          <w:sz w:val="20"/>
        </w:rPr>
      </w:pPr>
      <w:r>
        <w:rPr>
          <w:rFonts w:ascii="Times New Roman;serif" w:hAnsi="Times New Roman;serif"/>
          <w:b w:val="false"/>
          <w:sz w:val="20"/>
        </w:rPr>
        <w:t>If any of these events occurs, we may be forced to abandon our development efforts for a product candidate or candidates, which would have a material adverse effect on our business and could potentially cause us to cease operations. Failure of a product candidate may occur at any stage of preclinical or clinical development, and, because our product candidates and our ABC Platform are in development, there is a relatively higher risk of failure and we may never succeed in developing marketable products or generating product revenue.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Further, we may not be successful in our efforts to further develop our product candidates in time to meet the current and identified market opportunity.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is in various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 Any clinical studies that we may conduct may not demonstrate the efficacy and safety necessary to obtain regulatory approval to market our product candidates. If the results of our ongoing or future clinical studies are inconclusive with respect to the efficacy of our product candidates or if we do not meet the clinical endpoints with statistical significance or if there are safety concerns or adverse events associated with our product candidates, we may be prevented or delayed in obtaining marketing approval for our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any of our product candidates successfully completes clinical trials, we generally plan to seek regulatory approval to market our product candidates in the United States, the EU, and in additional foreign countries where we believe there is a viable commercial opportunity. We have never commenced, compiled or submitted an application seeking regulatory approval to market any product candidate. We may never receive regulatory approval to market any product candidates even if such product candidates successfully complete clinical trials, which would adversely affect our viability. To obtain regulatory approval in countries outside the United States, we must comply with numerous and varying regulatory requirements of such other countries regarding safety, efficacy, chemistry, manufacturing and controls, clinical trials, commercial sales, pricing, and distribution of our product candidates. We may also rely on our collaborators or partners to conduct the required activities to support an application for regulatory approval, and to seek approval, for one or more of our product candidates. We cannot be sure that our collaborators or partners will conduct these activities successfully or do so within the timeframe we desire. Even if we (or our collaborators or partners) are successful in obtaining approval in one jurisdiction, we cannot ensure that we will obtain approval in any other jurisdictions. If we are unable to obtain approval for our product candidates in multiple jurisdictions, our revenue and results of operations could be negatively affected.</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Even if we receive regulatory approval to market any of our product candidates, we cannot assure you that any such product candidate will be successfully commercialized, widely accepted in the marketplace or more effective than other commercially available alternatives. That approval may be for indications, dosage and administration or patient populations that are not as broad as intended or desired or may require labeling that includes significant use or distribution restrictions or safety warnings. We may also be required to perform additional or unanticipated clinical studies to obtain approval or be subject to additional post-marketing testing requirements to maintain regulatory approval. In addition, regulatory authorities may withdraw their approval of a product or impose restrictions on its distribution, such as in the form of a modified Risk Evaluation and Mitigation Strategy, or REMS. The failure to obtain timely regulatory approval of product candidates, any product marketing limitations or a product withdrawal would negatively impact our business, results of operations and financial condition.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We may encounter substantial delays in our clinical trials, or may not be able to conduct or complete our clinical trials on the timelines we expect, if at all.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Clinical testing is expensive, time consuming, and subject to uncertainty. We cannot guarantee that any clinical trials will be conducted as planned or completed on schedule, if at all. We cannot be sure that submission of an IND application or a clinical trial application, or CTA, will result in the FDA, European Medicines Agency, or EMA or any other regulatory authority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 Events that may prevent successful or timely initiation or completion of clinical trials include: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sz w:val="20"/>
        </w:rPr>
        <w:t xml:space="preserve">inability to generate sufficient preclinical, toxicology, or other </w:t>
      </w:r>
      <w:r>
        <w:rPr>
          <w:rFonts w:ascii="Times New Roman;serif" w:hAnsi="Times New Roman;serif"/>
          <w:b w:val="false"/>
          <w:i/>
          <w:sz w:val="20"/>
        </w:rPr>
        <w:t>in vivo</w:t>
      </w:r>
      <w:r>
        <w:rPr/>
        <w:t xml:space="preserve"> </w:t>
      </w:r>
      <w:r>
        <w:rPr>
          <w:rFonts w:ascii="Times New Roman;serif" w:hAnsi="Times New Roman;serif"/>
          <w:b w:val="false"/>
          <w:sz w:val="20"/>
        </w:rPr>
        <w:t xml:space="preserve">or </w:t>
      </w:r>
      <w:r>
        <w:rPr>
          <w:rFonts w:ascii="Times New Roman;serif" w:hAnsi="Times New Roman;serif"/>
          <w:b w:val="false"/>
          <w:i/>
          <w:sz w:val="20"/>
        </w:rPr>
        <w:t>in vitro</w:t>
      </w:r>
      <w:r>
        <w:rPr/>
        <w:t xml:space="preserve"> </w:t>
      </w:r>
      <w:r>
        <w:rPr>
          <w:rFonts w:ascii="Times New Roman;serif" w:hAnsi="Times New Roman;serif"/>
          <w:b w:val="false"/>
          <w:sz w:val="20"/>
        </w:rPr>
        <w:t xml:space="preserve">data to support the initiation or continuation of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in reaching a consensus with regulatory agencies on study design;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determination by the reviewing regulatory authority to require more costly or lengthy clinical trials than we currently anticipate;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in reaching agreement on acceptable terms with prospective CROs, and clinical trial sites, the terms of which can be subject to extensive negotiation and may vary significantly among different CROs and clinical trial sites;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in identifying, recruiting and training suitable clinical investigators;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in obtaining required Institutional Review Board, or IRB, approval at each clinical trial site;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imposition of a temporary or permanent clinical hold by regulatory agencies for a number of reasons, including after review of an IND or amendment, CTA or amendment, or equivalent application or amendment; as a result of a new safety finding that presents unreasonable risk to clinical trial participants; a negative finding from an inspection of our clinical trial operations or study sites; developments on trials conducted by competitors for related technology that raises FDA, EMA or any other regulatory authority concerns about risk to patients of the technology broadly; or if the FDA, EMA or any other regulatory authority finds that the investigational protocol or plan is clearly deficient to meet its stated objectives;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in identifying, recruiting and enrolling suitable patients to participate in our clinical trials, and delays caused by patients withdrawing from clinical trials or failing to return for post-treatment follow-up;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difficulty collaborating with patient groups and investigators;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failure by our CROs, other third parties, or us to adhere to clinical trial requirements;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failure to perform in accordance with the FDA’s or any other regulatory authority’s good clinical practices, or GCPs, requirements, or applicable EMA or other regulatory guidelines in other countries;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occurrence of adverse events associated with the product candidate that are viewed to outweigh its potential benefits;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regulatory requirements and guidance that require amending or submitting new clinical protocols;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the standard of care on which a clinical development plan was based, which may require new or additional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 of clinical trials of our product candidates being greater than we anticipate;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clinical trials of our product candidates producing negative or inconclusive results, which may result in our deciding, or regulators requiring us, to conduct additional clinical trials or abandon development of such product candidates;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transfer of manufacturing processes to larger-scale facilities operated by CMOs or by us, and delays or failure by our CMOs or us to make any necessary changes to such manufacturing process; and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delays in manufacturing, testing, releasing, validating, or importing/exporting sufficient stable quantities of our product candidates for use in clinical trials and for use in regulatory filings or the inability to do any of the foregoing. </w:t>
      </w:r>
    </w:p>
    <w:p>
      <w:pPr>
        <w:pStyle w:val="TextBody"/>
        <w:bidi w:val="0"/>
        <w:spacing w:before="120" w:after="0"/>
        <w:jc w:val="left"/>
        <w:rPr>
          <w:rFonts w:ascii="Times New Roman" w:hAnsi="Times New Roman"/>
          <w:sz w:val="20"/>
        </w:rPr>
      </w:pPr>
      <w:r>
        <w:rPr>
          <w:rFonts w:ascii="Times New Roman;serif" w:hAnsi="Times New Roman;serif"/>
          <w:b w:val="false"/>
          <w:sz w:val="20"/>
        </w:rPr>
        <w:t>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could also encounter delays if a clinical trial is suspended or terminated by us, by the data safety monitoring board for such trial or by the FDA, EMA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We may also face delays if we are unable to reach agreement with the FDA, EMA or other regulatory authorities regarding CMC matters, including methodologies for, and assessment of, comparability of manufacturing procedures and lots.</w:t>
      </w:r>
    </w:p>
    <w:p>
      <w:pPr>
        <w:pStyle w:val="TextBody"/>
        <w:bidi w:val="0"/>
        <w:spacing w:before="120" w:after="0"/>
        <w:jc w:val="left"/>
        <w:rPr>
          <w:rFonts w:ascii="Times New Roman" w:hAnsi="Times New Roman"/>
          <w:sz w:val="20"/>
        </w:rPr>
      </w:pPr>
      <w:r>
        <w:rPr>
          <w:rFonts w:ascii="Times New Roman;serif" w:hAnsi="Times New Roman;serif"/>
          <w:b w:val="false"/>
          <w:sz w:val="20"/>
        </w:rPr>
        <w:t>Delays in the commencement or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Our product candidates may cause undesirable side effects or have other properties that could halt their clinical development, prevent their regulatory approval, limit their commercial potential or result in significant negative consequences.</w:t>
      </w:r>
    </w:p>
    <w:p>
      <w:pPr>
        <w:pStyle w:val="TextBody"/>
        <w:bidi w:val="0"/>
        <w:spacing w:before="120" w:after="0"/>
        <w:jc w:val="left"/>
        <w:rPr>
          <w:rFonts w:ascii="Times New Roman" w:hAnsi="Times New Roman"/>
          <w:sz w:val="20"/>
        </w:rPr>
      </w:pPr>
      <w:r>
        <w:rPr>
          <w:rFonts w:ascii="Times New Roman;serif" w:hAnsi="Times New Roman;serif"/>
          <w:b w:val="false"/>
          <w:sz w:val="20"/>
        </w:rPr>
        <w:t>Adverse events or other undesirable side effects caused by our product candidates could cause us or regulatory authorities to interrupt, delay or halt clinical trials and could result in a more restrictive label or the delay or denial of regulatory approval by the FDA, EMA or other comparable foreign regulatory authorities.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Phase 3 clinical trials or, in some cases, after they are made available to patients on a commercial scale after approval. If additional clinical experience indicates that any of our product candidates has side effects or causes serious or life-threatening side effects, the development of the product candidate may fail or be delayed, or, if the product candidate has received regulatory approval, such approval may be revoked, which would severely harm our business, prospects, operating results and financial condition. For example, in the tarcocimab arms of our recently completed GLEAM AND GLIMMER clinical trials, we observed an unexpected increase in cataracts, which we believe may have contributed meaningfully to the failure of each study to meet its primary efficacy endpoint.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Tarcocimab is an anti-VEGF biologic that we have studied in wet AMD, DME/DR and RVO. KSI-501 is our investigational medicine and is a first-in-class bispecific antibody conjugate designed to inhibit two mechanisms implicated in retinal diseases: interleukin-6 (IL-6) and vascular endothelial growth factor ("VEGF"). There are some potential side effects associated with intravitreal anti-VEGF therapies such as intraocular hemorrhage, intraocular pressure elevation, retinal detachment, inflammation, vasculitis, artery occlusion or infection inside the eye and over-inhibition of VEGF, as well as the potential for potential systemic side effects such as heart attack, stroke, wound healing problems, and high blood pressure. Recent trends in the development of anti-VEGF therapies have favored increased molar dosages, as compared to currently marketed treatments. To date these heightened dosages have not exhibited a safety profile significantly worse than that of current treatments, as attributable to molar dose. However, anti-VEGF product candidates featuring higher molar dosages, including tarcocimab and KSI-501 may heighten the risk of adverse effects associated with anti-VEGF treatments generally, both in the eye and in the rest of the body. There are risks inherent in the intravitreal injection procedure of drugs like tarcocimab and KSI-501 which can cause injury to the eye and other complications including conjunctival hemorrhage, punctate keratitis, eye pain, conjunctival hyperemia, intra-ocular inflammation, and endophthalmitis. Any additional toxicology signal observed, be it real or perceived, may negatively impact perceptions of utilization of tarcocimab and KSI-501 in broader populations and impact clinical trial enrollment, regulatory approval and commercial success.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Drug-related side effects could affect patient recruitment, the ability of enrolled patients to complete the study and/or result in potential product liability claims. We may not be able to maintain insurance coverage at a reasonable cost or in sufficient amounts to protect us against losses due to liability. A successful product liability claim or series of claims brought against us could cause our stock price to decline and, if judgments exceed our insurance coverage, could adversely affect our results of operations and business. In addition, regardless of merit or eventual outcome, product liability claims may result in impairment of our business reputation, withdrawal of clinical trial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regulatory authorities may withdraw approvals of such product;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regulatory authorities may require additional warnings on the label;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be required to change the way the product is administered or conduct additional clinical trials or post-approval studies;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be required to create a REMS plan, which could include a medication guide outlining the risks of such side effects for distribution to patients, a communication plan for healthcare providers and/or other elements to assure safe use;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could be sued and held liable for harm caused to patients;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our reputation may suffer. </w:t>
      </w:r>
    </w:p>
    <w:p>
      <w:pPr>
        <w:pStyle w:val="TextBody"/>
        <w:bidi w:val="0"/>
        <w:spacing w:before="120" w:after="0"/>
        <w:jc w:val="left"/>
        <w:rPr>
          <w:rFonts w:ascii="Times New Roman" w:hAnsi="Times New Roman"/>
          <w:sz w:val="20"/>
        </w:rPr>
      </w:pPr>
      <w:r>
        <w:rPr>
          <w:rFonts w:ascii="Times New Roman;serif" w:hAnsi="Times New Roman;serif"/>
          <w:b w:val="false"/>
          <w:sz w:val="20"/>
        </w:rPr>
        <w:t>Any of these events could prevent us from achieving or maintaining market acceptance of the particular product candidate, if approved, and could significantly harm our business, results of operations, and prospects.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We may encounter difficulties enrolling patients in our clinical trials, and our clinical development activities could thereby be delayed or otherwise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size and nature of the patient population;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patient eligibility criteria defined in the protocol, including certain highly-specific criteria related to stage of disease progression, which may limit the patient populations eligible for our clinical trials to a greater extent than competing clinical trials for the same indication that do not have such patient eligibility criteria;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size of the study population required for analysis of the trial’s primary endpoints;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proximity of patients to a trial site;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effects of health epidemics, including the resulting shelter-in-place, travel or similar restrictions;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design of the trial;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new safety events may cause physicians to decrease patient enrollment in our current or planned studies;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recruit clinical trial investigators with the appropriate competencies and experience;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competing clinical trials for similar therapies or targeting patient populations meeting our patient eligibility criteria;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clinicians’ and patients’ perceptions as to the potential advantages and side effects of the product candidate being studied in relation to other available therapies and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obtain and maintain patient consents;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risk that patients enrolled in clinical trials will not complete such trials, for any reason. </w:t>
      </w:r>
    </w:p>
    <w:p>
      <w:pPr>
        <w:pStyle w:val="TextBody"/>
        <w:bidi w:val="0"/>
        <w:spacing w:before="120" w:after="0"/>
        <w:jc w:val="left"/>
        <w:rPr>
          <w:rFonts w:ascii="Times New Roman" w:hAnsi="Times New Roman"/>
          <w:sz w:val="20"/>
        </w:rPr>
      </w:pPr>
      <w:r>
        <w:rPr>
          <w:rFonts w:ascii="Times New Roman;serif" w:hAnsi="Times New Roman;serif"/>
          <w:b w:val="false"/>
          <w:sz w:val="20"/>
        </w:rPr>
        <w:t>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commence sales of and generate revenues from our product candidates, which may harm our business and results of operation.</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Our clinical trials may fail to demonstrate substantial evidence of the durability, efficacy and safety of our product candidates, which would prevent, delay or limit the scope of regulatory approval and commercialization.</w:t>
      </w:r>
    </w:p>
    <w:p>
      <w:pPr>
        <w:pStyle w:val="TextBody"/>
        <w:bidi w:val="0"/>
        <w:spacing w:before="120" w:after="0"/>
        <w:jc w:val="left"/>
        <w:rPr>
          <w:rFonts w:ascii="Times New Roman" w:hAnsi="Times New Roman"/>
          <w:sz w:val="20"/>
        </w:rPr>
      </w:pPr>
      <w:r>
        <w:rPr>
          <w:rFonts w:ascii="Times New Roman;serif" w:hAnsi="Times New Roman;serif"/>
          <w:b w:val="false"/>
          <w:sz w:val="20"/>
        </w:rPr>
        <w:t>Before obtaining regulatory approvals for the commercial sale of any of our product candidates, we must demonstrate through lengthy, complex and expensive preclinical studies and clinical trials that our product candidates are both safe and effective for use in each target indication. For those product candidates that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This is especially true for anti-VEGF biologic agents, where Lucentis, Eylea and Avastin are established products with accepted safety profiles.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Clinical testing is expensive and can take many years to complete, and its outcome is inherently uncertain. Failure can occur at any time during the clinical trial process. The results of preclinical studies of our product candidates may not be 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efficacy or durability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Product candidates in later stages of clinical trials may fail to show the desired safety, efficacy and durability profile despite having progressed through preclinical studies and initial clinical trials. For example, in our Phase 2b/3 clinical trial evaluating the efficacy, durability and safety of tarcocimab in treatment-naïve subjects with neovascular wet AMD and in our recently completed and our Phase 3 GLEAM and GLIMMER studies, tarcocimab did not meet the primary efficacy endpoint of showing non-inferior visual acuity gains. A number of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may be unable to design and execute clinical trials that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even if such clinical trials are successfully completed, we cannot guarantee that the FDA or foreign regulatory authorities will interpret the results as we do, and more trials or trials of a different design could be required before we submit our product candidates for approval. To the extent that the results of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Even if trial results are successful at the primary endpoint, clinical trial results may be different or worse in the extended treatment periods following the primary endpoint, and such data may negatively impact perceptions by regulatory authorities, the clinical community or commercial payors of the benefits of our product candidates.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We may not be successful in our efforts to continue to create a pipeline of product candidates or to develop commercially successful products. If we fail to successfully identify and develop additional product candidates, our commercial opportunity may be limited.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research methodology may be unsuccessful in identifying potential product candidates, or our potential product candidates may be shown to have harmful side effects or may have other characteristics that may make them unmarketable or unlikely to receive marketing approval. Identifying, developing, obtaining regulatory approval and commercializing additional product candidates for the treatment of retinal diseases will require substantial additional funding and is prone to the risks of failure inherent in drug development. If we are unable to successfully identify, acquire, develop and commercialize additional product candidates, our commercial opportunity may be limited.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One of our strategies is to identify and pursue clinical development of product candidates based on our ABC Platform. Our ABC Platform may not produce a pipeline of viable product candidates, or our competitors may develop platform technologies that render our ABC Platform obsolete or less attractive</w:t>
      </w:r>
      <w:r>
        <w:rPr>
          <w:rFonts w:ascii="Times New Roman;serif" w:hAnsi="Times New Roman;serif"/>
          <w:b w:val="false"/>
          <w:sz w:val="24"/>
        </w:rPr>
        <w:t>.</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i/>
          <w:sz w:val="20"/>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development and commercialization of new drug products is highly competitive. We may face competition with respect to any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There are a number of large pharmaceutical and biotechnology companies that are currently pursuing the development of products for the treatment of the retinal diseases for which we have product candidates. Certain of our competitors have commercially approved products for the treatment of retinal diseases that we are pursuing or may pursue in the future, including Roche, Regeneron and Novartis for the treatment of wet AMD, DME/DR and RVO. These drugs are well established therapies and are widely accepted by physicians, patients and third-party payors, which may make it difficult to educate these parties on the benefits of switching to any product candidates developed by us. Companies that we are aware are developing and / or commercializing therapeutics in the retinal disease area include large companies with significant financial resources, such as Roche, Novartis, Bayer and Regeneron, AbbVie, Boehringer Ingelheim, AstraZeneca, Amgen, Johnson &amp; Johnson, and Samsung Bioepis. In addition to competition from other companies targeting retinal indications, any products we may develop may also face competition from other types of therapies, such as gene-editing therapies and drug delivery devices.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Two Lucentis biosimilars were approved in the United States in 2022, and their approval may impact market dynamics and payor policies negatively for our product candidates. Roche’s product, Vabysmo (faricimab) received FDA approval for the treatment of wet AMD and DME in January 2022 and is currently under FDA regulatory review for approval in RVO. Vabysmo has gained rapid adoption since launch and we believe it will become an important product in the marketplace. In September 2022, Regeneron reported positive topline results from its Phase 3 studies of a higher dose formulation of aflibercept that met its non-inferiority endpoint in pivotal studies in wet AMD and DME while dosing a majority of patients on an every 3 or 4 month interval. If approved, we believe high dose aflibercept may become an important therapy in the marketplace given Regeneron’s incumbent position in retinal diseases. Even if our product candidates present a compelling clinical profile, we may not be able to market our product candidates as effectively as our competitors. For example, entrenched franchises may seek to impede adoption of our product candidates through significant discounts or rebates.</w:t>
      </w:r>
    </w:p>
    <w:p>
      <w:pPr>
        <w:pStyle w:val="TextBody"/>
        <w:bidi w:val="0"/>
        <w:spacing w:before="120" w:after="0"/>
        <w:jc w:val="left"/>
        <w:rPr>
          <w:rFonts w:ascii="Times New Roman" w:hAnsi="Times New Roman"/>
          <w:sz w:val="20"/>
        </w:rPr>
      </w:pPr>
      <w:r>
        <w:rPr>
          <w:rFonts w:ascii="Times New Roman;serif" w:hAnsi="Times New Roman;serif"/>
          <w:b w:val="false"/>
          <w:sz w:val="20"/>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retinal disease indications, which could give such products significant regulatory and market timing advantages over any of our product candidates. Our competitors also may obtain FDA, EMA or other regulatory approval for their products more rapidly than we may obtain approval for ours. Additionally, products or technologies developed by our competitors may render our potential product candidates uneconomical or obsolete, and we may not be successful in marketing any product candidates we may develop against competitors.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For more information regarding potential disputes concerning intellectual property, see the subsection of this report titled “Risks Related to Our Intellectual Property.”</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The manufacture of our product candidates is highly complex and requires substantial lead time to produce.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Manufacturing our product candidates involves complex processes, including developing cells or cell systems to produce the biologic, growing large quantities of such cells, and harvesting and purifying the biologic produced by them. These processes require specialized facilities, highly specific raw materials and other production constraints. As a result, the cost to manufacture a biologic is generally far higher than traditional small molecule chemical compounds, and the biologics manufacturing process is less reliable and is difficult to reproduce. Because of the complex nature of our products, we need to oversee the manufacture of multiple components that require a diverse knowledge base and specialized personnel. Commercial manufacturing scale-up timelines may be negatively affected by material shortages, construction delays and supply chain challenges due to, among other factors, global supply chain shortages due to health epidemics, the ongoing military conflict between Russia and Ukraine and the related sanctions imposed against Russia, global macroeconomic conditions, bank failures or other reasons.</w:t>
      </w:r>
    </w:p>
    <w:p>
      <w:pPr>
        <w:pStyle w:val="TextBody"/>
        <w:bidi w:val="0"/>
        <w:spacing w:before="120" w:after="0"/>
        <w:jc w:val="left"/>
        <w:rPr>
          <w:rFonts w:ascii="Times New Roman" w:hAnsi="Times New Roman"/>
          <w:sz w:val="20"/>
        </w:rPr>
      </w:pPr>
      <w:r>
        <w:rPr>
          <w:rFonts w:ascii="Times New Roman;serif" w:hAnsi="Times New Roman;serif"/>
          <w:b w:val="false"/>
          <w:sz w:val="20"/>
        </w:rPr>
        <w:t>Moreover, unlike chemical pharmaceuticals, the physical and chemical properties of a biologic such as our product candidates generally cannot be adequately characterized prior to manufacturing the final product. As a result, an assay of the finished product is not sufficient to ensure that the product will perform in the intended manner. Accordingly, we expect to employ multiple steps to attempt to control our manufacturing process to assure that the process works, and the product or product candidate is made strictly and consistently in compliance with the process.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Manufacturing biologics is highly susceptible to product loss due to contamination, equipment failure, improper installation or operation of equipment, vendor or operator error, improper storage or transfer, inconsistency in yields and variability in product characteristics. Even minor deviations from normal manufacturing, distribution or storage processes could result in reduced production yields, product defects and other supply disruptions. Some of the raw materials required in our manufacturing process are derived from biological sources. Such raw materials are difficult to procure and may also be subject to contamination or recall. A material shortage, contamination, recall or restriction on the use of biologically derived substances in the manufacture of our product candidates could adversely impact or disrupt commercialization. Production of additional drug substance and drug product for any of our product candidates may require substantial lead time. In the event of significant product loss and materials shortages, we may be unable to produce adequate amounts of our product candidates or products for our operational needs.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rely on third parties for raw materials needed for manufacturing our product candidates. We may not be able to obtain adequate amounts in the future. These challenges are magnified by the international nature of our supply chain, which, for tarcocimab and KSI-501, requires drug substance and drug product sourced from single source suppliers from China, Japan, the United Kingdom, the United States and Switzerland.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We have limited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or our ability to supply our products for patients, if approved, could be delayed or stopped, or we may be unable to establish a commercially viable cost structure.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order to conduct clinical trials of our product candidates, or supply commercial products, if approved, we will need to manufacture them in small and large quantities. Our third-party manufacturer has made only a limited number of commercial scale lots of tarcocimab based on our ABC Platform. Our manufacturing partners may be unable to successfully increase the manufacturing capacity for any of our product candidates in a timely or cost-effective manner, or at all. In addition, quality issues may arise during scale-up activities.</w:t>
      </w:r>
      <w:r>
        <w:rPr>
          <w:rFonts w:ascii="Times New Roman" w:hAnsi="Times New Roman"/>
          <w:sz w:val="20"/>
        </w:rPr>
        <w:t xml:space="preserve"> </w:t>
      </w:r>
      <w:r>
        <w:rPr>
          <w:rFonts w:ascii="Times New Roman;serif" w:hAnsi="Times New Roman;serif"/>
          <w:b w:val="false"/>
          <w:sz w:val="20"/>
        </w:rPr>
        <w:t>If our manufacturing partners are unable to successfully scale up the manufacture of our product candidates in sufficient quality and quantity, the development, testing and clinical trials of our product candidates may be delayed or become infeasible, and regulatory approval or commercial launch of any resulting product may be delayed or not obtained, which could significantly harm our business. The same risks would apply to any internal manufacturing facilities, should we in the future decide to build internal manufacturing capacity.</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the manufacturing process for any products that we may develop is subject to FDA, EMA and foreign regulatory authority approval processes and continuous oversight. We will need to contract with manufacturers who can meet all applicable FDA, EMA and foreign regulatory authority requirements, including complying with current good manufacturing practices, or cGMPs, on an ongoing basis. If we or our third-party manufacturers are unable to reliably produce products to specifications acceptable to the FDA, EMA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or other regulatory authorities, to produce it in sufficient quantities to meet the requirements for the potential launch of the product, or to meet potential future demand. For example, our manufacturers are also engaged in the manufacturing of vaccines and other therapeutic treatments, and the success of and demand for these vaccines and other therapeutic treatments means we and our programs are competing for scarce manufacturing resources.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Factors that may inhibit our efforts to commercialize any approved product on our own include: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inability to recruit and retain adequate numbers of effective sales, marketing, reimbursement, customer service, medical affairs and other support personnel;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inability of sales personnel to obtain access to physicians or educate adequate numbers of physicians on the benefits of prescribing any future approved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inability of reimbursement professionals to negotiate arrangements for formulary access, reimbursement, and other acceptance by payors;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inability to price our products at a sufficient price point to ensure an adequate and attractive level of profitability;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restricted or closed distribution channels that make it difficult to distribute our products to segments of the patient population;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lack of complementary products to be offered by sales personnel, which may put us at a competitive disadvantage relative to companies with more extensive product lines;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unforeseen costs and expenses associated with creating an independent commercialization organization. </w:t>
      </w:r>
    </w:p>
    <w:p>
      <w:pPr>
        <w:pStyle w:val="TextBody"/>
        <w:bidi w:val="0"/>
        <w:spacing w:before="120" w:after="0"/>
        <w:jc w:val="left"/>
        <w:rPr>
          <w:rFonts w:ascii="Times New Roman" w:hAnsi="Times New Roman"/>
          <w:sz w:val="20"/>
        </w:rPr>
      </w:pPr>
      <w:r>
        <w:rPr>
          <w:rFonts w:ascii="Times New Roman;serif" w:hAnsi="Times New Roman;serif"/>
          <w:b w:val="false"/>
          <w:sz w:val="20"/>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i/>
          <w:sz w:val="20"/>
        </w:rPr>
        <w:t>Even if any product candidates we develop receive marketing approval, they may fail to achieve the degree of market acceptance by physicians, patients, healthcare payors and others in the medical community necessary for commercial success.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efficacy and safety of such product candidates as demonstrated in pivotal clinical trials and published in peer-reviewed journals;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potential and perceived advantages of our product label as compared to alternative treatments;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ability to offer our products for sale at competitive prices;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ability to offer appropriate patient access programs, such as co-pay assistance;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extent to which physicians recommend our products to their patients;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convenience and ease of dosing and administration compared to alternative treatments;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clinical indications for which the product candidate is approved by FDA, EMA or other regulatory agencies;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product labeling or product insert requirements of the FDA, EMA or other comparable foreign regulatory authorities, including any limitations, contraindications or warnings contained in a product’s approved labeling;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restrictions on how the product is distributed;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timing of market introduction of competitive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publicity concerning our products or competing products and treatments;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strength of marketing and distribution support;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sufficient third-party coverage or reimbursement;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prevalence and severity of any side effects. </w:t>
      </w:r>
    </w:p>
    <w:p>
      <w:pPr>
        <w:pStyle w:val="TextBody"/>
        <w:bidi w:val="0"/>
        <w:spacing w:before="120" w:after="0"/>
        <w:jc w:val="left"/>
        <w:rPr>
          <w:rFonts w:ascii="Times New Roman" w:hAnsi="Times New Roman"/>
          <w:sz w:val="20"/>
        </w:rPr>
      </w:pPr>
      <w:r>
        <w:rPr>
          <w:rFonts w:ascii="Times New Roman;serif" w:hAnsi="Times New Roman;serif"/>
          <w:b w:val="false"/>
          <w:sz w:val="20"/>
        </w:rPr>
        <w:t>If any product candidates we develop do not achieve an adequate level of acceptance, we may not generate significant product revenue, and we may not become profitable.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Even if we are able to commercialize any product candidates, such products may become subject to unfavorable pricing regulations, third-party reimbursement practices or healthcare reform initiatives, which would harm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Drug pricing and access policies in the United States and internationally may change and negatively impact the commercial viability of our product candidates. Proposed policy changes, including the potential for Medicare to negotiate with drug manufacturers under the recently enacted Inflation Reduction Act of 2022 (the “IRA”), may limit our ability to competitively price our product candidates, if approved. Further, commercial insurers may limit patient access to our product candidates, if approved and other branded therapies. 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that the level of reimbursement will be sufficient.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at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There may be significant delays in obtaining reimbursement for newly approved drugs, and coverage may be more limited than the purposes for which the medicine is approved by the FDA, EMA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Further, coverage policies and third-party payor reimbursement rates may change at any time. Therefore, even if favorable coverage and reimbursement status is attained, less favorable coverage policies and reimbursement rates may be implemented in the future. Our inability to promptly obtain and maintain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Our product candidates may face competition from biological products that are biosimilar to or interchangeable with our product candidates sooner than anticipated.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Our decision to cease development of tarcocimab may impact our ability to use the Ursus facility as intended, which could result in an excess of capital expenditures.*</w:t>
      </w:r>
    </w:p>
    <w:p>
      <w:pPr>
        <w:pStyle w:val="TextBody"/>
        <w:bidi w:val="0"/>
        <w:spacing w:before="120" w:after="0"/>
        <w:jc w:val="left"/>
        <w:rPr>
          <w:rFonts w:ascii="Times New Roman" w:hAnsi="Times New Roman"/>
          <w:sz w:val="20"/>
        </w:rPr>
      </w:pPr>
      <w:r>
        <w:rPr>
          <w:rFonts w:ascii="Times New Roman;serif" w:hAnsi="Times New Roman;serif"/>
          <w:b w:val="false"/>
          <w:sz w:val="20"/>
        </w:rPr>
        <w:t>In August 2020, we, together with our wholly-owned subsidiary Kodiak Sciences GmbH, entered into a manufacturing agreement with Lonza Ltd for the clinical and commercial supply of the Company’s antibody biopolymer conjugate drug substance,</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which included a custom-built manufacturing facility for the potential clinical and commercial supply of tarcocimab (the “Ursus facility”). Fixed assets of approximately 75.0 million Swiss Francs, equivalent to $81.7 million, consisting of leasehold improvements and machinery and equipment, were placed in service and capitalized as of January 31, 2023, $26.8 million of which was unpaid and recorded to accrued property and equipment under accrued and other current liabilities on the condensed consolidated balance sheet as of June 30, 2023. In July 2023, the Company announced its decision to cease the development of tarcocimab. Our decision to cease development of tarcocimab may impact our ability to fully utilize the Ursus facility. We may not realize any benefit from the capital expenditures to date or capital expenditures we are committed to make in the future, and we may incur substantial additional expenses and capital expenditures to repurpose the Ursus facility for our other product candidates or for use by third parties, any of which may negatively impact our operating results and financial condition.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fail to repurpose the Ursus facility in a cost-effective manner, the development and production of our product candidates could be curtailed or delayed. Even if we are successful in repurposing the Ursus facility, our manufacturing capabilities could be affected by cost-overruns, additional changes in our development plans, unexpected delays, equipment failures, labor shortages, natural disasters, power failures and numerous other factors that could prevent us from realizing the intended benefits of our manufacturing strategy and have a material adverse effect on our business. Any problems in our manufacturing process or facilities could make us a less attractive collaborator for potential partners, including larger pharmaceutical companies and academic research institutions, which could limit our access to additional attractive development programs.</w:t>
      </w:r>
    </w:p>
    <w:p>
      <w:pPr>
        <w:pStyle w:val="TextBody"/>
        <w:bidi w:val="0"/>
        <w:spacing w:before="240" w:after="0"/>
        <w:jc w:val="left"/>
        <w:rPr>
          <w:rFonts w:ascii="Times New Roman" w:hAnsi="Times New Roman"/>
          <w:sz w:val="20"/>
        </w:rPr>
      </w:pPr>
      <w:r>
        <w:rPr>
          <w:rFonts w:ascii="Times New Roman;serif" w:hAnsi="Times New Roman;serif"/>
          <w:b/>
          <w:i/>
          <w:sz w:val="20"/>
        </w:rPr>
        <w:t>If product liability lawsuits are brought against us, we may incur substantial liabilities and may be required to limit commercialization of our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testing and commercialization of our product candidates. Even successful defense would require significant financial and management resources. Regardless of the merits or eventual outcome, liability claims may result in:</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decreased or interrupted demand for our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injury to our reputation;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withdrawal of clinical trial participants and inability to continue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initiation of investigations by regulators;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costs to defend the related litigation;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 diversion of management’s time and our resources;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substantial monetary awards to trial participants or patients;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product recalls, withdrawals or labeling, marketing or promotional restrictions;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loss of revenue;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exhaustion of any available insurance and our capital resources;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inability to commercialize any product candidate;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 decline in our share price. </w:t>
      </w:r>
    </w:p>
    <w:p>
      <w:pPr>
        <w:pStyle w:val="TextBody"/>
        <w:bidi w:val="0"/>
        <w:spacing w:before="120" w:after="0"/>
        <w:jc w:val="left"/>
        <w:rPr>
          <w:rFonts w:ascii="Times New Roman" w:hAnsi="Times New Roman"/>
          <w:sz w:val="20"/>
        </w:rPr>
      </w:pPr>
      <w:r>
        <w:rPr>
          <w:rFonts w:ascii="Times New Roman;serif" w:hAnsi="Times New Roman;serif"/>
          <w:b w:val="false"/>
          <w:sz w:val="20"/>
        </w:rPr>
        <w:t>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sz w:val="20"/>
        </w:rPr>
        <w:t>Risks Related to Regulatory Approval and Other Legal Compliance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The regulatory approval processes of the FDA, EMA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time required to obtain approval by the FDA, EMA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 approval for any product candidate, and it is possible that none of our existing product candidates or any product candidates we may seek to develop in the future will ever obtain regulatory approval.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Applications for our product candidates could fail to receive regulatory approval for many reasons, including but not limited to the following: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FDA, EMA or comparable foreign regulatory authorities may disagree with the design, implementation or results of our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FDA, EMA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population studied in the clinical program may not be sufficiently broad or representative to assure efficacy and safety in the full population for which we seek approval;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be unable to demonstrate to the FDA, EMA or comparable foreign regulatory authorities that a product candidate’s risk-benefit ratio for its proposed indication(s), when compared to the standard of care, is acceptable;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FDA, EMA or comparable foreign regulatory authorities may disagree with our interpretation of data from preclinical studies or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data collected from clinical trials of our product candidates may not be sufficient to support the submission of a BLA or other submission or to obtain regulatory approval in the United States or elsewhere;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study data may not be positive in all clinical trials demonstrating a mix of positive and negative clinical trial results;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FDA, EMA or comparable foreign regulatory authorities may fail to approve the chemistry, manufacturing and controls processes, test procedures and specifications, or facilities or third-party manufacturers with which we contract for clinical and commercial supplies;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approval policies or regulations of the FDA, EMA or comparable foreign regulatory authorities may significantly change in a manner rendering our clinical data insufficient for approval. </w:t>
      </w:r>
    </w:p>
    <w:p>
      <w:pPr>
        <w:pStyle w:val="TextBody"/>
        <w:bidi w:val="0"/>
        <w:spacing w:before="120" w:after="0"/>
        <w:jc w:val="left"/>
        <w:rPr>
          <w:rFonts w:ascii="Times New Roman" w:hAnsi="Times New Roman"/>
          <w:sz w:val="20"/>
        </w:rPr>
      </w:pPr>
      <w:r>
        <w:rPr>
          <w:rFonts w:ascii="Times New Roman;serif" w:hAnsi="Times New Roman;serif"/>
          <w:b w:val="false"/>
          <w:sz w:val="20"/>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We have conducted clinical trials for our product candidates outside the United States (or the respective jurisdictions of other regulatory authorities), and the FDA, (or EMA and applicable foreign regulatory authorities) may not accept data from such trials.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conducted one or more of our clinical trials outside the United States, including Europe and other foreign countries. The acceptance of study data from global clinical trials by the FDA, EMA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 and (2) the trials were performed by clinical investigators of recognized competence and pursuant to GCP regulations.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EMA or any applicable foreign regulatory authority will accept data from trials conducted outside of their respective jurisdiction. If the FDA, EMA or any applicable foreign regulatory authority does not accept such data, it would result in the need for additional trials, which would be costly and time-consuming, would delay aspects of our business plan and which may result in our product candidates not receiving approval or clearance for commercialization in the applicable jurisdiction.</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i/>
          <w:sz w:val="20"/>
        </w:rPr>
        <w:t>Obtaining and maintaining regulatory approval of our product candidates in one jurisdiction does not mean that we will be successful in obtaining regulatory approval of our product candidates in other jurisdictions.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EMA or grants marketing approval of a product candidate, we would not be permitted to manufacture, market or promote the product candidate in other countries unless and until comparable regulatory authorities in foreign jurisdictions had approved the candidate for use in their countries. Approval procedures vary among jurisdictions and can involve requirements and administrative review periods different from those in the United States, including additional preclinical studies or clinical trials. There can be no assurance that any clinical trials conducted in one jurisdiction will be accepted by regulatory authorities in other jurisdictions.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Obtaining foreign regulatory approvals and compliance with foreign regulatory requirements could result in significant delays, difficulties and costs for us and could delay or prevent the introduction of our products in certain countries. If we or any collaborator we work with fail to comply with the regulatory requirements in international markets or fail to receive applicable marketing approvals, our target market will be reduced and our ability to realize the full market potential of our product candidates will be harmed.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Even if we obtain regulatory approval for a product candidate, our products will remain subject to extensive regulatory scrutiny.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Manufacturers and manufacturers’ facilities are required to comply with extensive requirements imposed by the FDA, EMA and comparable foreign regulatory authorities, including ensuring that quality control and manufacturing procedures conform to cGMP regulations. As such, we and our contract manufacturers will be subject to continual review and inspections to assess compliance with cGMP and adherence to commitments made in any BLA or marketing authorization application, or MAA. Accordingly, we and others with whom we work must continue to expend time, money and effort in all areas of regulatory compliance, including manufacturing, production and quality control.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Any regulatory approvals that we receive for our product candidates will be subject to limitations on the approved indicated uses for which the product may be marketed and promoted or to the conditions of approval (including the requirement to implement a REMS), or contain requirements for potentially costly post-marketing testing. We will be required to report certain adverse reactions and production problems, if any, to the FDA, EMA and comparable foreign regulatory authorities. Any new legislation addressing drug safety issues could result in delays in product development or commercialization, or increased costs to assure compliance.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 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issue warning letters that would result in adverse publicity;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impose civil or criminal penalties;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suspend or withdraw regulatory approvals;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suspend any of our ongoing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refuse to approve pending applications or supplements to approved applications submitted by us;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impose restrictions on our operations, including closing our contract manufacturers’ facilities;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seize or detain products; or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require a product recall. </w:t>
      </w:r>
    </w:p>
    <w:p>
      <w:pPr>
        <w:pStyle w:val="TextBody"/>
        <w:bidi w:val="0"/>
        <w:spacing w:before="120" w:after="0"/>
        <w:jc w:val="left"/>
        <w:rPr>
          <w:rFonts w:ascii="Times New Roman" w:hAnsi="Times New Roman"/>
          <w:sz w:val="20"/>
        </w:rPr>
      </w:pPr>
      <w:r>
        <w:rPr>
          <w:rFonts w:ascii="Times New Roman;serif" w:hAnsi="Times New Roman;serif"/>
          <w:b w:val="false"/>
          <w:sz w:val="20"/>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Healthcare legislative measures aimed at reducing healthcare costs may have a material adverse effect on our business and results of operations.</w:t>
      </w:r>
    </w:p>
    <w:p>
      <w:pPr>
        <w:pStyle w:val="TextBody"/>
        <w:bidi w:val="0"/>
        <w:spacing w:before="120" w:after="0"/>
        <w:jc w:val="left"/>
        <w:rPr>
          <w:rFonts w:ascii="Times New Roman" w:hAnsi="Times New Roman"/>
          <w:sz w:val="20"/>
        </w:rPr>
      </w:pPr>
      <w:r>
        <w:rPr>
          <w:rFonts w:ascii="Times New Roman;serif" w:hAnsi="Times New Roman;serif"/>
          <w:b w:val="false"/>
          <w:sz w:val="20"/>
        </w:rPr>
        <w:t>Third-party payors, whether domestic or foreign, or governmental or commercial, are developing increasingly sophisticated methods of controlling healthcare costs. In both the United States and certain international jurisdictions, there have been a number of legislative and regulatory changes to the health care system that could impact our ability to sell our products profitably. In particular, in 2010, the Patient Protection and Affordable Care Act, as amended by the Health Care and Education Reconciliation Act, or collectively the ACA, was enacted, which, among other things, subjected biologic products to potential competition by lower-cost biosimilars, addressed a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annual fees and taxes for certain branded prescription drugs, and provided incentives to programs that increase the federal government’s comparative effectiveness research.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Since the ACA’s enactment, there have been numerous challenges to the ACA. For example, President Trump signed several Executive Orders and other directives designed to delay the implementation of certain provisions of the ACA. Concurrently, Congress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delaying the implementation of certain ACA-mandated fees. On June 17, 2021, the U.S. Supreme Court dismissed a challenge on procedural grounds that argued that the ACA is unconstitutional in its entirety because the individual mandate was repealed by Congress. Further,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Further, on August 16, 2022, President Biden signed the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unclear how any such challenges and any additional healthcare reform measures of the Biden administration will impact the ACA and our business.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2013, and due to subsequent legislative amendments to the statute, including the Infrastructure Investment and Jobs Act, will remain in effect through 2032 unless additional Congressional action is taken. The American Taxpayer Relief Act of 2012 further reduced Medicare payments to several providers, including hospitals and cancer treatment centers, and increased the statute of limitations period for the government to recover overpayments to providers from three to five years. Further, on March 11, 2021, President Biden signed the American Rescue Plan Act of 2021 into law, which eliminates the statutory Medicaid drug rebate cap for single source and innovator multiple source drugs, beginning January 1, 2024.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demand for our product candidates, if we obtain regulatory approval;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receive or set a price that we believe is fair for our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generate revenue and achieve or maintain profitability;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level of taxes that we are required to pay;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availability of capital. </w:t>
      </w:r>
    </w:p>
    <w:p>
      <w:pPr>
        <w:pStyle w:val="TextBody"/>
        <w:bidi w:val="0"/>
        <w:spacing w:before="120" w:after="0"/>
        <w:jc w:val="left"/>
        <w:rPr>
          <w:rFonts w:ascii="Times New Roman" w:hAnsi="Times New Roman"/>
          <w:sz w:val="20"/>
        </w:rPr>
      </w:pPr>
      <w:r>
        <w:rPr>
          <w:rFonts w:ascii="Times New Roman;serif" w:hAnsi="Times New Roman;serif"/>
          <w:b w:val="false"/>
          <w:sz w:val="20"/>
        </w:rPr>
        <w:t>Moreover,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At the federal level, in July 2021, the Biden administration released an executive order, “Promoting Competition in the American Economy,” with multiple provisions aimed at prescription drugs. In response to Biden’s executive order, on September 9, 2021, the U.S. Department of Health and Human Services, or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HHS has and will continue to issue and update guidance as these programs are implemented. These provisions will take effect progressively starting in fiscal year 2023, although the Medicare drug price negotiation program is currently subject to legal challenges. It is currently unclear how the IRA will be implemented but is likely to have a significant impact on the pharmaceutical industry. Further, the Biden administration released an additional executive order on October 14, 2022, directing HHS to submit a report on how the Center for Medicare and Medicaid Innovation can be further leveraged to test new models for lowering drug costs for Medicare and Medicaid beneficiaries. It is unclear whether this executive order or similar policy initiatives will be implemented in the future. In response to the Biden administration’s October 2022 executive order, on February 14, 2023, HHS released a report outlining three new models for testing by the Center for Medicare and Medicaid Innovation which will be evaluated on their ability to lower the cost of drugs, promote accessibility, and improve quality of care. It is unclear whether the models will be utilized in any health reform measures in the future.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that the ACA, the IRA,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i/>
          <w:sz w:val="20"/>
        </w:rPr>
        <w:t>Our employees, independent contractors, consultants, commercial partners and vendors may engage in misconduct or other improper activities, including noncompliance with regulatory standards and requirements or insider trading violations, which could significantly harm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EMA and other comparable foreign regulatory authorities; provide true, complete and accurate information to the FDA, EMA and other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Employee misconduct could also involve the improper use of, including improper trading based upon, information obtained in the course of clinical studies, which could result in regulatory sanctions and serious harm to our reputation.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adopted a code of business conduct and ethics that applies to all our employees, including management, and our directors. However,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If we fail to comply with healthcare laws, we could face substantial penalties and our business, operations and financial conditions could be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laws that may impact our operations include: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federal civil and criminal false claims laws, including the False Claims Act, which can be enforced by private citizens on behalf of the government through civil whistleblower or qui tam actions, and civil monetary penalty laws, which impose criminal and civil penalties against individuals or entities from knowingly presenting, or causing to be presented, claims for payment or approval from Medicare, Medicaid or other third-party payors that are false or fraudulent or knowingly making a false statement to improperly avoid, decrease or conceal an obligation to pay money to the federal government;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these statutes or specific intent to violate them in order to have committed a violation;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HIPAA, as amended by the Health Information Technology for Economic and Clinical Health Act of 2009, or HITECH, and their respective implementing regulations, which impose requirements on certain covered healthcare providers, health plans and healthcare clearinghouses and their respective business associates and their subcontractors that perform services for them that involve the use, or disclosure of, individually identifiable health information as well as their covered subcontractors, relating to the privacy, security and transmission of individually identifiable health information;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federal Physician Payments Sunshine Act, created under the ACA, and its implementing regulations, which require manufacturers of drugs, devices, biologicals and medical supplies for which payment is available under Medicare, Medicaid or the Children’s Health Insurance Program to report annually to the CMS under the Open Payments Program, information related to payments or other transfers of value made to physicians (defined to include doctors, dentists, optometrists, podiatrists and chiropractors), other healthcare professionals (such as physician assistant and nurse practitioners), and teaching hospitals, as well as ownership and investment interests held by physicians and their immediate family members;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federal consumer protection and unfair competition laws, which broadly regulate marketplace activities and activities that potentially harm consumers;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that require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 </w:t>
      </w:r>
    </w:p>
    <w:p>
      <w:pPr>
        <w:pStyle w:val="TextBody"/>
        <w:bidi w:val="0"/>
        <w:spacing w:before="120" w:after="0"/>
        <w:jc w:val="left"/>
        <w:rPr>
          <w:rFonts w:ascii="Times New Roman" w:hAnsi="Times New Roman"/>
          <w:sz w:val="20"/>
        </w:rPr>
      </w:pPr>
      <w:r>
        <w:rPr>
          <w:rFonts w:ascii="Times New Roman;serif" w:hAnsi="Times New Roman;serif"/>
          <w:b w:val="false"/>
          <w:sz w:val="20"/>
        </w:rPr>
        <w:t>Because of the breadth of these laws and the narrowness of the statutory exceptions and safe harbors available, it is possible that some of our business activities could, despite our efforts to comply, be subject to challenge under one or more of such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We are subject to stringent and changing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loss of sales; and other adverse business consequences.</w:t>
      </w:r>
    </w:p>
    <w:p>
      <w:pPr>
        <w:pStyle w:val="TextBody"/>
        <w:bidi w:val="0"/>
        <w:spacing w:before="120" w:after="0"/>
        <w:jc w:val="left"/>
        <w:rPr>
          <w:rFonts w:ascii="Times New Roman" w:hAnsi="Times New Roman"/>
          <w:sz w:val="20"/>
        </w:rPr>
      </w:pPr>
      <w:r>
        <w:rPr>
          <w:rFonts w:ascii="Times New Roman;serif" w:hAnsi="Times New Roman;serif"/>
          <w:b w:val="false"/>
          <w:sz w:val="20"/>
        </w:rPr>
        <w:t>In the ordinary course of business, we may collect, receive, store, process, generate, use, transfer, disclose, make accessible, protect, secure, dispose of, transmit, and share (commonly known as processing) personal data and other sensitive information, including proprietary and confidential business data, trade secrets, intellectual property, data we collect about trial participants in connection with clinical trials, and sensitive third-party data. Our data processing activities subject us to a variety of provincial, state, national, and foreign laws and regulations, as well as policies, contracts and other obligations that apply to the processing of sensitive information. Data privacy and security laws and regulations are evolving and may result in ever-increasing regulatory and public scrutiny and escalating levels of enforcement and sanctions.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the United States, federal, state, and local governments have enacted numerous data privacy and security laws, including data breach notification laws, personal data privacy laws, and consumer protection laws. For example, the California legislature enacted the California Consumer Privacy Act, or CCPA, which took effect on January 1, 2020. The CCPA requires covered companies to provide new disclosures to California residents, and honor their requests to access, delete and opt-out of certain sharing of their personal data. The CCPA provides for civil penalties for violations (up to $7,500 per violation) and a private right of action for certain data breaches. In addition, it is anticipated that the California Privacy Rights Act of 2020, or CPRA, effective January 1, 2023, will expand the CCPA. Additionally, the CPRA establishes a new California Privacy Protection Agency to implement and enforce the CPRA, which could increase the risk of enforcement. While certain clinical trial activities are exempt from the CCPA’s and the CPRA’s requirements, other personal data that we handle may be subject to the CCPA and the CPRA, which may increase our compliance costs, exposure to regulatory enforcement action and other liabilities. Since the enactment of the CCPA, new privacy and data security laws have been proposed in more than half of the states and in the U.S. Congress, reflecting a trend toward more stringent privacy legislation in the U.S. For example, Virginia passed the Consumer Data Protection Act, Colorado passed the Colorado Privacy Act, and Utah passed the Utah Consumer Privacy Act, all of which become effective in 2023.</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Outside the United States, an increasing number of laws, regulations, and industry standards apply to data privacy and security. For example, the European Union’s General Data Protection Regulation, or EU GDPR, and the United Kingdom’s GDPR, or UK GDPR, impose strict requirements for processing personal data. Violators of these laws face significant penalties. For example, under the EU GDPR, government regulators may impose temporary or definitive bans on data processing, as well as fines of up to 20 million euros or 4% of annual global revenue, whichever is greater. Further, the EU GDPR also provides for private litigation related to the processing of personal data that can be brought by classes of data subjects or consumer protection organizations authorized at law to represent the data subjects’ interests.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cannot implement a valid compliance mechanism for cross-border data transfers, we may face increased exposure to regulatory actions, substantial fines, and injunctions against processing or transferring personal data from Europe or other foreign jurisdictions. The inability to import personal data to the United States could significantly and negatively impact our business operations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jurisdictions at significant expense.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GDPR, CCPA and many other laws and regulations relating to data privacy and security are still being tested in courts, and they are subject to new and differing interpretations by courts and regulatory officials. We are working to comply with the data privacy and security laws and regulations that apply to us, and we anticipate needing to devote significant additional resources to complying with these laws and regulations. It is possible that the GDPR, CCPA or other laws and regulations relating to data privacy and security may be interpreted and applied in a manner that is inconsistent from jurisdiction to jurisdiction or inconsistent with our current policies and practices.</w:t>
      </w:r>
    </w:p>
    <w:p>
      <w:pPr>
        <w:pStyle w:val="TextBody"/>
        <w:bidi w:val="0"/>
        <w:spacing w:before="120" w:after="0"/>
        <w:jc w:val="left"/>
        <w:rPr>
          <w:rFonts w:ascii="Times New Roman" w:hAnsi="Times New Roman"/>
          <w:sz w:val="20"/>
        </w:rPr>
      </w:pPr>
      <w:r>
        <w:rPr>
          <w:rFonts w:ascii="Times New Roman;serif" w:hAnsi="Times New Roman;serif"/>
          <w:b w:val="false"/>
          <w:sz w:val="20"/>
        </w:rPr>
        <w:t>Our actual or perceived failure to adequately comply with applicable laws, regulations, policies, contracts and other obligations relating to data privacy and security, or to protect personal data and other data we process or maintain, could result in regulatory fines and bans on processing personal data, investigations and enforcement actions, penalties and other liabilities, interruptions to our development process, claims for damages by affected individuals, and damage to our reputation, any of which could materially affect our business, financial condition, results of operations and growth prospects.</w:t>
        <w:br/>
      </w:r>
      <w:r>
        <w:rPr>
          <w:rFonts w:ascii="Times New Roman" w:hAnsi="Times New Roman"/>
          <w:sz w:val="20"/>
        </w:rPr>
        <w:t> </w:t>
      </w:r>
    </w:p>
    <w:p>
      <w:pPr>
        <w:pStyle w:val="TextBody"/>
        <w:bidi w:val="0"/>
        <w:spacing w:before="240" w:after="0"/>
        <w:jc w:val="left"/>
        <w:rPr>
          <w:rFonts w:ascii="Times New Roman" w:hAnsi="Times New Roman"/>
          <w:sz w:val="20"/>
        </w:rPr>
      </w:pPr>
      <w:r>
        <w:rPr>
          <w:rFonts w:ascii="Times New Roman;serif" w:hAnsi="Times New Roman;serif"/>
          <w:b/>
          <w:i/>
          <w:sz w:val="20"/>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i/>
          <w:sz w:val="20"/>
        </w:rPr>
        <w:t>Our business activities may be subject to the Foreign Corrupt Practices Act, or FCPA, and similar anti-bribery and anti-corruption 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business activities may be subject to the FCPA and similar anti-bribery or anti-corruption laws, regulations or rules of other countries in which we operate or may operate in the future,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biotechnology and pharmaceutical companies. There can be no assurance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attract and retain employees, and our business, prospects, operating results, and financial condition.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sz w:val="20"/>
        </w:rPr>
        <w:t>Risks Related to Our Reliance on Third Parties</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We expect to rely on third parties to conduct many aspects of our clinical trials and some aspects of our research and preclinical testing, and those third parties may not perform satisfactorily, including failing to meet deadlines for the completion of such trials, research or testing.</w:t>
      </w:r>
    </w:p>
    <w:p>
      <w:pPr>
        <w:pStyle w:val="TextBody"/>
        <w:bidi w:val="0"/>
        <w:spacing w:before="120" w:after="0"/>
        <w:jc w:val="left"/>
        <w:rPr>
          <w:rFonts w:ascii="Times New Roman" w:hAnsi="Times New Roman"/>
          <w:sz w:val="20"/>
        </w:rPr>
      </w:pPr>
      <w:r>
        <w:rPr>
          <w:rFonts w:ascii="Times New Roman;serif" w:hAnsi="Times New Roman;serif"/>
          <w:b w:val="false"/>
          <w:sz w:val="20"/>
        </w:rPr>
        <w:t>We currently rely and expect to continue to rely on third parties, such as CROs, clinical data management organizations, medical institutions and clinical investigators, to conduct some aspects of our research, preclinical testing and clinical trials. Any of these third parties may terminate their engagements with us or be unable to fulfill their contractual obligations. If we need to enter into alternative arrangements, it would delay our product development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reproducible and accurate and that the rights, integrity and confidentiality of trial participants are protected. We are also required to register ongoing clinical trials and to post the results of completed clinical trials on a government-sponsored database within certain timeframes. Failure to do so can result in fines, adverse publicity and civil and criminal sanctions.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i/>
          <w:sz w:val="20"/>
        </w:rPr>
        <w:t>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do not have any manufacturing facilities. We currently rely exclusively on a third-party manufacturer, Lonza AG, for the manufacture of our materials for preclinical studies and clinical trials and expect to continue to do so for preclinical studies, clinical trials and for commercial supply of any product candidates that we may develop.</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may be unable to establish any further agreements with third-party manufacturers or to do so on acceptable terms. Even if we are able to establish agreements with third-party manufacturers, reliance on third-party manufacturers entails additional risks,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possible breach of the manufacturing agreement by the third party or us;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possible termination or nonrenewal of the agreement by the third party at a time that is costly or inconvenient for us;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possible early termination of the agreement by us at a time that requires us to pay a cancellation fee;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reliance on the third party for regulatory compliance, quality assurance, safety and pharmacovigilance and related reporting;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inability to produce required volume in a timely manner and to quality standards. </w:t>
      </w:r>
    </w:p>
    <w:p>
      <w:pPr>
        <w:pStyle w:val="TextBody"/>
        <w:bidi w:val="0"/>
        <w:spacing w:before="120" w:after="0"/>
        <w:jc w:val="left"/>
        <w:rPr>
          <w:rFonts w:ascii="Times New Roman" w:hAnsi="Times New Roman"/>
          <w:sz w:val="20"/>
        </w:rPr>
      </w:pPr>
      <w:r>
        <w:rPr>
          <w:rFonts w:ascii="Times New Roman;serif" w:hAnsi="Times New Roman;serif"/>
          <w:b w:val="false"/>
          <w:sz w:val="20"/>
        </w:rPr>
        <w:t>Third-party manufacturers may not be able to comply with cGMP regulations or similar regulatory requirements outside the United States. Our failure, or the failure of our third-party manufacturers,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Any medicines that we may develop may compete with other product candidates and products for access to manufacturing facilities. There are a limited number of manufacturers that operate under cGMP regulations and that might be capable of manufacturing for 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Any performance failure on the part of our existing or future manufacturers could delay clinical development or marketing approval. We do not currently have arrangements in place for redundant supply for any of our product candidates.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current and anticipated future reliance upon others for the manufacture of any product candidates we may develop or medicines may adversely affect our future profit margins and our ability to commercialize any medicines that receive marketing approval on a timely and competitive basis.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Reliance on third parties requires us to share our trade secrets, which increases the possibility that a competitor will discover them or that our trade secrets will be misappropriated or disclosed.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Reliance on third parties to conduct clinical trials, assist in research and development and to manufacture our product candidates, will at times require us to share trade secrets with them. We seek to protect our proprietary technology by in part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have a material adverse effect on our business.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i/>
          <w:sz w:val="20"/>
        </w:rPr>
        <w:t>We rely on third-party suppliers for key raw materials used in our manufacturing processes, and the loss of these third-party suppliers or their inability to supply us with adequate raw materials could harm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rely on third-party suppliers for the raw materials required for the production of our product candidates. Our reliance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We may depend on collaborations with third parties for the research, development and commercialization of certain of the product candidates we may develop. If any such collaborations are not successful, we may not be able to realize the market potential of those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may seek third-party collaborators for the research, development and commercialization of certain of the product candidates we may develop. Our likely collaborators for any other collaboration arrangements include large and mid-size pharmaceutical companies, regional and 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Collaborations involving our product candidates we may develop, pose the following risks to us: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generally have significant discretion in determining the efforts and resources that they will apply to these collaborations;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may not properly obtain, maintain, enforce or defend intellectual property or proprietary rights relating to our product candidates or may use our proprietary information in such a way as to expose us to potential litigation or other intellectual property related proceedings, including proceedings challenging the scope, ownership, validity and enforceability of our intellectual property;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may own or co-own intellectual property covering our product candidates that result from our collaboration with them, and in such cases, we may not have the exclusive right to commercialize such intellectual property or such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disputes may arise with respect to the ownership of intellectual property developed pursuant to collaborations;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need the cooperation of our collaborators to enforce or defend any intellectual property we contribute to or that arises out of our collaborations, which may not be provided to us;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may infringe the intellectual property rights of third parties, which may expose us to litigation and potential liability;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disputes may arise between the collaborators and us that result in the delay or termination of the research, development, or commercialization of our product candidates or that result in costly litigation or arbitration that diverts management attention and resources;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may delay clinical trials, provide insufficient funding for a clinical trial, stop a clinical trial or abandon a product candidate, repeat or conduct new clinical trials, or require a new formulation of a product candidate for clinical testing;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with marketing and distribution rights to one or more product candidates may not commit sufficient resources to the marketing and distribution of such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lose certain valuable rights under circumstances identified in our collaborations, including if we undergo a change of control;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may undergo a change of control and the new owners may decide to take the collaboration in a direction which is not in our best interest;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may become party to a business combination transaction and the continued pursuit and emphasis on our development or commercialization program by the resulting entity under our existing collaboration could be delayed, diminished or terminated;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may become bankrupt, which may significantly delay our research or development programs, or may cause us to lose access to valuable technology, know-how or intellectual property of the collaborator relating to our products,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key personnel at our collaborators may leave, which could negatively impact our ability to productively work with our collaborators;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collaborations may require us to incur short and long-term expenditures, issue securities that dilute our stockholders, or disrupt our management and business;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collaborations may be terminated and, if terminated, may result in a need for additional capital to pursue further development or commercialization of the applicable product candidates or our ABC Platform;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collaboration agreements may not lead to development or commercialization of product candidates in the most efficient manner or at all. </w:t>
      </w:r>
    </w:p>
    <w:p>
      <w:pPr>
        <w:pStyle w:val="TextBody"/>
        <w:bidi w:val="0"/>
        <w:spacing w:before="120" w:after="0"/>
        <w:jc w:val="left"/>
        <w:rPr>
          <w:rFonts w:ascii="Times New Roman" w:hAnsi="Times New Roman"/>
          <w:sz w:val="20"/>
        </w:rPr>
      </w:pPr>
      <w:r>
        <w:rPr>
          <w:rFonts w:ascii="Times New Roman;serif" w:hAnsi="Times New Roman;serif"/>
          <w:b w:val="false"/>
          <w:sz w:val="20"/>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sz w:val="20"/>
        </w:rPr>
        <w:t>Risks Related to Our 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success depends in large part on our ability to obtain and maintain patent protection in the United States and other countries with respect to our ABC Platform and any proprietary product candidates and other technologies we may develop. We seek to protect our proprietary position by in-licensing intellectual property and filing patent applications in the United States and abroad relating to our ABC Platform, product candidates and other technologies that are important to our business. Given that the development of our technology and product candidates is at an early stage, our intellectual property portfolio directed to certain aspects of our technology and product candidates is also at an early stage. We have filed or intend to file patent applications on core aspects of our technology and product candidates; however, there can be no assurance that any such patent applications will issue as granted patents. Furthermore, in some cases, we only have filed provisional patent applications on certain aspects of our technology and product candidates, and none of these provisional patent applications is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 Furthermore, in some cases, we may not be able to obtain issued claims covering compositions relating to our ABC Platform and product candidates, as well as other technologies that are important to our business, and instead may need to rely on filing patent applications with claims covering a method of use and/or method of manufacture for protection of such ABC Platform, product candidates and other technologies.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ABC Platform and product candidates could have a material adverse effect on our business, financial condition, results of operations, and prospects.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If any of our patent applications does not issue as a patent in any jurisdiction, we may not be able to compete effectively.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Changes in either the patent laws or their interpretation in the United States and other countries may diminish our ability to protect our inventions, and obtain, maintain and enforce our intellectual property rights and, more generally, could affect the value of our intellectual property or narrow the scope of our owned and licensed patents. We cannot predict whether the patent applications we are currently pursuing will issue as patents in any particular jurisdiction or whether the claims of any issued patents will provide sufficient protection from competitors or other third parties.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In addition, our own fixed applications may become prior art against our current or future patent applications. Furthermore, publications of discoveries in the scientific literature often lag behind the actual discoveries, and patent applications in the United States and other jurisdictions are typically not published until 18 months after filing, and in some cases not at all. Therefore, we cannot be certain that we were the first to make the inventions claimed in any of our patents or pending patent applications, or that we were the first to file for patent protection of such inventions.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i/>
          <w:sz w:val="20"/>
        </w:rPr>
        <w:t>If the scope of any patent protection we obtain is not sufficiently broad, or if we lose any of our patent protection, our ability to prevent our competitors from commercializing similar or identical technology and product candidates would be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that protect our ABC Platform, product candidates or other technologies or that effectively prevent others from commercializing competitive technologies and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may be challenged, narrowed, circumvented, rendered unenforceable or invalidated by third parties. Consequently, we do not know whether our ABC Platform,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issuance of a patent is not conclusive as to its inventorship, scope, validity or enforceability, and our patents may be challenged in the courts or patent offices in the United States and abroad. We may be subject to a third party preissuance submission of prior art to the U.S. Patent and Trademark Office, or USPTO, or become involved in opposition, derivation, revocation, reexamination, post-grant and inter partes review, or interference proceedings or other similar proceedings challenging our patent rights. An adverse determination in any such submission, proceeding or litigation could reduce the scope of, or invalidate or render unenforceable, our patent rights, allow third parties to commercialize our ABC Platform,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and other challenges in a foreign patent office or administrative tribunal,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ABC Platform, product candidates and other technologies. Such proceedings also may result in substantial cost and require significant time from our scientists and management, even if the eventual outcome is favorable to 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i/>
          <w:sz w:val="20"/>
        </w:rPr>
        <w:t>We may not be able to protect our intellectual property and proprietary rights throughout the world.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Filing, prosecuting and defending patents relating to our ABC Platform, product candidates and other technologies in all countries throughout the world would be prohibitively expensive, and the laws of foreign countries may not protect our rights to the same extent as U.S. laws.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costly or impossible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Payment within these late fee windows may be employed in order to simplify the payment of these fees generally.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 In addition, while not relevant for tarcocimab and KSI-501, if we rely on a different product, its development could involve the use of government funds, which can require additional compliance aspects to make certain all rights are transferred to or remain with 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Issued patents may be challenged or invalidated, and recent changes in U.S. patent law have diminished and may further diminish the value of patents in general. We rely on patents to protect our products, and any diminishment in the scope or value of our patents would adversely affect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we initiated legal proceedings against a third party to enforce a patent directed to our ABC Platform, product candidates or other technologies, the defendant could allege that such patent is invalid or unenforceable. In patent litigation in the United States, defendant counterclaims alleging invalidity and unenforceability are commonplace. Grounds for a validity challenge include alleged failures to meet any of several statutory requirements, including obviousness, lack of novelty, lack of written description, or non-enablement. Grounds for an unenforceability challenge include an allegation that someone connected with prosecution of the patent withheld material information from the USPTO with an intent to deceive the USPTO, or made a misleading statement, during prosecution. The filing of a legal proceeding could also result in the third party challenging the patent at the USPTO, such as in post-grant and inter partes review.</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Changes in either the patent laws or interpretation of the patent laws in the United States could increase the uncertainties and costs surrounding the prosecution of patent applications and the enforcement or defense of issued patents. For patent filings beginning in March 2013, the United States employs a first inventor to file system in which, assuming that other requirements for patentability are met, the first inventor to file a patent application will be entitled to the patent on an invention regardless of whether a third party was the first to invent the claimed invention. Under the current patent laws, a third party that files a patent application in the USPTO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 (1) file any patent application related to our ABC Platform, product candidates or other technologies or (2) invent any of the inventions claimed in our or our licensor’s patents or patent applications.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Changes to U.S. patent laws since 2011 also include allowing third party submissions of prior art to the USPTO during patent prosecution and additional procedures for attacking the validity of a patent through USPTO administered post-grant proceedings, including re-examination, post-grant review, inter partes review, interference proceedings and derivation proceedings. Some of these changes apply to patents issued prior to 2011. These and equivalent proceedings in foreign jurisdictions (e.g., opposition proceedings) could result in the revocation of, cancellation of or amendment to our patents in such a way that they no longer cover our ABC Platform, product candidates or other technologies. Because of a lower evidentiary standard in USPTO proceedings compared to the evidentiary standards applied in United States federal courts that apply to actions seeking to invalidate a patent claim, a third party could potentially provide evidence in a USPTO proceeding sufficient for the USPTO to hold a claim invalid even though the same evidence would be insufficient to invalidate the claim if challenged in a district court action. Accordingly, a third party may attempt to use the USPTO procedures to invalidate our patent claims that would not otherwise have been invalidated if first challenged by the third party as a defendant in a district court action.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compared to intellectual property-reliant companies generally, the patent positions of companies in the development and commercialization of biologics and pharmaceuticals are particularly uncertain. U.S. Supreme Court rulings have narrowed the scope of patent protection available in certain circumstances and weakened the rights of patent owners in certain situations. These rulings have created uncertainty with respect to the validity and enforceability of patents, even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Any future changes to patent laws could increase the uncertainties and costs surrounding the prosecution of our owned or in-licensed patent applications and the enforcement or defense of our owned or in-licensed issued patents. If a third party were to prevail on a legal assertion of invalidity or unenforceability, we would lose at least part, and perhaps all, of the patent protection on our ABC Platform, product candidates or other technologies. Increased uncertainty with respect to, or loss of, patent protection would have a material adverse impact on our business, financial condition, results of operations and prospects.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If we do not obtain patent term extension and data exclusivity for any product candidates we may develop, our business may be materially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Depending upon the timing, duration and specifics of any FDA marketing approval of any product candidates we may develop, one or more of our owned or in-licensed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Patent term extension in the United States and/or foreign countries and territories may not be available if, among other things, we fail to exercise due diligence during the testing phase or regulatory review process, fail to apply within applicable deadlines, fail to apply prior to the expiration of relevant patents, or otherwise fail to satisfy applicable requirements. Moreover, the applicable time period or the scope of patent protection afforded could be less than we request. If we are unable to obtain patent term extension or the term of any such extension received is shorter than what we request, our competitors may obtain approval of competing products following our patent expiration, and our business, financial condition, results of operations and prospects could be materially harmed.</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i/>
          <w:sz w:val="20"/>
        </w:rPr>
        <w:t>We may be subject to claims challenging the inventorship of our patents and other 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may be subject to claims that former employees, collaborators or other third parties have an interest in our owned or in-licensed patents, trade secrets or other intellectual property as an inventor or co-inventor or owner or co-owner. For example, we may have inventorship disputes arise from conflicting obligations of employees, collaborators, consultants or others who are involved in developing our ABC Platform, product candidates or other technologies. Litigation may be necessary to defend against these and other claims challenging inventorship or our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ABC Platform,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If we are unable to protect the confidentiality of our trade secrets, our business and competitive position would be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to seeking patents for our ABC Platform, product candidates and other technologies, we also rely on trade secrets and confidentiality agreements to protect our unpatented know-how, technology and other proprietary information and to maintain our competitive position. Trade secrets and know-how can be difficult to protect. Over time, we expect our trade secrets and know-how to be disseminated within the industry through independent development, the publication of journal articles describing the methodology and the movement of personnel from academic to industry scientific positions.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train our employees not to bring or use proprietary information or technology from former employers to us or in their work and remind former employees when they leave their employment of their confidentiality obligations to us.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contain such breaches or disclosures or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without the protection of a confidentiality agreement found unenforceable by relevant courts or independently developed by a competitor or other third party, our competitive position would be materially and adversely harmed.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We may be subject to claims that our employees, consultants, or advisors have wrongfully used or disclosed alleged trade secrets of their current or former employers or claims asserting ownership of what we regard as our own 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Many of our employees, consultants and advisors are currently or were previously employed at universities or other biotechnology or pharmaceutical companies, including our competitors and potential competitors. Although we try to ensure that our employees, consultants and advisors do not use the proprietary information or know-how of others in their work for us, we may be subject to claims that we or these individuals have improperly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Where post-filing date patent assignments are not executed by an inventor, it is our practice to employ and record the assignment provision that can be found in the employee’s employment agreement. This is done when possible, and when the intellectual property is of interest to us.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i/>
          <w:sz w:val="20"/>
        </w:rPr>
        <w:t>Third-party claims of intellectual property infringement, misappropriation or other violation against us or our collaborators may prevent or delay the development and commercialization of our product candidates, the ABC Platform and other technologies.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field of discovering treatments for retinal diseases is highly competitive and dynamic. Due to the focused research and development that is taking place in this field by several companies, including us and our competitors, the intellectual property landscape is in flux, and it may remain uncertain in the future. As such, there may be significant intellectual property related litigation and proceedings relating to our owned, and other third party, intellectual property and proprietary rights in the future.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Our commercial success depends in part on our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challenging patents, including interference, derivation and reexamination proceedings before the USPTO or oppositions and other comparable proceedings in foreign jurisdictions. As discussed above, due to changes in U.S. law referred to as patent reform, new procedures including </w:t>
      </w:r>
      <w:r>
        <w:rPr>
          <w:rFonts w:ascii="Times New Roman;serif" w:hAnsi="Times New Roman;serif"/>
          <w:b w:val="false"/>
          <w:i/>
          <w:sz w:val="20"/>
        </w:rPr>
        <w:t>inter partes</w:t>
      </w:r>
      <w:r>
        <w:rPr>
          <w:rFonts w:ascii="Times New Roman" w:hAnsi="Times New Roman"/>
          <w:sz w:val="20"/>
        </w:rPr>
        <w:t xml:space="preserve"> </w:t>
      </w:r>
      <w:r>
        <w:rPr>
          <w:rFonts w:ascii="Times New Roman;serif" w:hAnsi="Times New Roman;serif"/>
          <w:b w:val="false"/>
          <w:sz w:val="20"/>
        </w:rPr>
        <w:t>review and post-grant review have been implemented. As stated above, this reform adds uncertainty to the possibility of challenge to our patents in the future.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Numerous U.S. and foreign issued patents and pending patent applications owned by third parties exist relating to ABC technology and in the fields in which we are developing our product candidates. As the biotechnology and pharmaceutical industries expand and more patents are issued, the risk increases that our ABC Platform, product candidates and other technologies may give rise to claims of infringement of the patent rights of others. We cannot assure you that our ABC Platform, product candidates and other technologies that we have developed, are developing or may develop in the future will not infringe existing or future patents owned by third parties. We may not be aware of patents that have already been issued or that a third party, including a competitor in the fields in which we are developing our ABC Platform, product candidates and other technologies, might assert are infringed by our current or future ABC Platform, product candidates or other technologies. Such a dispute may concern claims to compositions, formulations, methods of manufacture or methods of use or treatment that cover our ABC Platform, product candidates or other technologies. It is also possible that patents owned by third parties of which we are aware, but which we do not believe are relevant to our ABC Platform, product candidates or other technologies, could be found to be infringed by our ABC Platform, product candidates or other technologies. In addition, because patent applications can take many years to issue, there may be currently pending patent applications that later result in issued patents that our ABC Platform, product candidates or other technologies may infringe.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Third parties may have patents or obtain patents in the future and claim that the manufacture, use or sale of our ABC Platform, product candidates or other technologies infringes these patents. If a third party alleges that we infringe their patents or that we are otherwise employing their proprietary technology without authorization and initiates litigation against us, a court of competent jurisdiction could hold that such patents are valid, enforceable and infringed by our ABC Platform, product candidates or other technologies, even if we believe such claims are without merit. In that event, the successful plaintiff may be able to impede our ability to commercialize the applicable product candidate or technology unless we obtain a license under the applicable patents, or such patents expire or are finally determined to be invalid or unenforceable. Such a license may not be available on commercially reasonable terms or at all. Even if we are able to obtain a license, the license would likely obligate us to pay license fees, royalties or both. Any license granted to us might be nonexclusive, which could result in our competitors gaining access to the same intellectual property. If we are unable to obtain a necessary license to a third-party patent on commercially reasonable terms, we may be unable to commercialize our ABC Platform, product candidates or other technologies, or our commercialization efforts may be significantly delayed, which could in turn significantly harm our business.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aware of a number of patents and patent applications that are directed to one or more aspects of tarcocimab and KSI-501. Our intent is to maintain our development efforts under 35 U.S.C. Section 271(e)(1) (which provides a safe harbor from patent infringement claims related to certain drug development activities) through to at least the launch of any tarcocimab and KSI-501 product. We are aware of at least one pending patent application with claims that are directed to some aspect of tarcocimab and KSI-501, and that could, if issued, result in a patent term beyond a potential launch date for tarcocimab or KSI-501. If this were to occur, we may be required to challenge the validity of the claims, obtain a license, modify tarcocimab or KSI-501, or delay launch. We are also aware of at least one issued patent family with claims that may be related to some potential future aspect(s) of KSI-501 and that has a patent term beyond a potential launch date for KSI-501. If this or any other patent family were perceived relevant, we may be required to challenge the validity of the claims, obtain a license, modify KSI-501, or delay launch.</w:t>
      </w:r>
    </w:p>
    <w:p>
      <w:pPr>
        <w:pStyle w:val="TextBody"/>
        <w:bidi w:val="0"/>
        <w:spacing w:before="120" w:after="0"/>
        <w:jc w:val="left"/>
        <w:rPr>
          <w:rFonts w:ascii="Times New Roman" w:hAnsi="Times New Roman"/>
          <w:sz w:val="20"/>
        </w:rPr>
      </w:pPr>
      <w:r>
        <w:rPr>
          <w:rFonts w:ascii="Times New Roman;serif" w:hAnsi="Times New Roman;serif"/>
          <w:b w:val="false"/>
          <w:sz w:val="20"/>
        </w:rPr>
        <w:t>If we choose to further the pipeline and develop a different product, such a product would be delayed until the expiration of any valid patent that is still in force on such product. Alternatively, our options for addressing any such patents relating to these non- tarcocimab and KSI-501 products would include the following: challenge the validity of the claims, obtain a license, or modify the non- tarcocimab and non-KSI-501 products.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Defending against infringement claims, regardless of their merit, would involve substantial litigation expense, would be a substantial diversion of management and other employee resources from our business and may adversely impact our reputation. We may be subject to an injunction that prevents or delays us from commercializing our ABC Platform technology, product candidates or other technologies during ongoing litigation even if we ultimately prevail in the litigation proceedings or the litigation is settled in our favor. We may be subject to an injunction that prevents or delays us from commercializing our ABC Platform, product candidates or other technologies during ongoing litigation even if we ultimately prevail in the litigation proceedings or the litigation is settled in our favor. In the event of a successful claim of infringement against us, we may be enjoined from further developing or commercializing our infringing ABC Platform, product candidates or other technologies. In addition, we may have to pay substantial damages (including treble damages and attorneys’ fees for willful infringement) obtain one or more licenses from third parties, pay royalties and/or redesign our infringing product candidates or technologies, which may be impossible or require substantial time and monetary expenditure. If we were unable to further develop and commercialize our ABC Platform, product candidates or other technologies, it would harm our business significantly.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or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We may become involved in lawsuits to protect or enforce our patents and other intellectual property rights, which could be expensive, time consuming and unsuccessful.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Competitors may infringe our patents or the patents of our licensing partners, or we may be required to defend against claims of infringement. If we assert our intellectual property against others, it could increase the likelihood that our patents or the patents of our licensing partners become involved in inventorship, priority or validity disputes. As discussed above, countering or defending against such claims can be expensive and time consuming. In an infringement proceeding, a court may decide that a patent owned or in-licensed by us is invalid or unenforceable, the other party’s use of our patented technology falls under the safe harbor to patent infringement under 35 U.S.C. §271(e)(1),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rendered unenforceable or interpreted narrowly. Furthermore, because of the substantial amount of discovery required in connection with intellectual property litigation, there is a risk that some of our confidential information could be compromised by disclosure during this type of litigation.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Even if we prevail in asserting our intellectual property,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or to assert all claims we believe to be viable.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i/>
          <w:sz w:val="20"/>
        </w:rPr>
        <w:t>If our trademarks and trade names are not adequately protected, then we may not be able to build name recognition in our markets of interest and our business may be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rely on trademarks, service marks, tradenames and brand names. We cannot assure you that our trademark applications will be approved. During trademark registration proceedings, we may receive rejections. Although we are given an opportunity to respond to those rejections, we may be unable to overcome such rejections. In addition, any registered or unregistered trademarks or trade names that we currently have or may in the future acquire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We own a registered trademark for the mark “KODIAK” and “KODIAK SCIENCES” in the United States. Over the long term, if we are unable to establish name recognition based on our trademarks and trade names, then we may not be able to compete effectively and our business may be adversely affected. We were successful in both oppositions. If we deem it appropriate, we may decide to take further action with respect to those companies.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prospects.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Intellectual property rights do not necessarily address all potential threats.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degree of future protection afforded by our intellectual property rights is uncertain because intellectual property rights have limitations and may not adequately protect our business or permit us to maintain our competitive advantage. For example: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others may be able to make products that are similar to our product candidates or utilize similar technology but that are not covered by the claims of the patents that we may license or own;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or our current or future licensors or collaborators, might not have been the first to make the inventions covered by the issued patent or pending patent application that we license or own now or in the future;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or our current or future licensors or collaborators, might not have been the first to file patent applications covering certain of our or their inventions;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others may independently develop similar or alternative technologies or duplicate any of our technologies without infringing our owned or licensed intellectual property rights;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it is possible that our current or future pending owned or licensed patent applications will not lead to issued patents;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issued patents that we hold rights to may be held invalid or unenforceable, including as a result of legal challenges by our competitors or other third parties;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competitors or other third parties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not develop additional proprietary technologies that are patentable;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patents of others may harm our business;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we may choose not to file a patent in order to maintain certain trade secrets or know-how, and a third party may subsequently file a patent covering such intellectual property. </w:t>
      </w:r>
    </w:p>
    <w:p>
      <w:pPr>
        <w:pStyle w:val="TextBody"/>
        <w:bidi w:val="0"/>
        <w:spacing w:before="120" w:after="0"/>
        <w:jc w:val="left"/>
        <w:rPr>
          <w:rFonts w:ascii="Times New Roman" w:hAnsi="Times New Roman"/>
          <w:sz w:val="20"/>
        </w:rPr>
      </w:pPr>
      <w:r>
        <w:rPr>
          <w:rFonts w:ascii="Times New Roman;serif" w:hAnsi="Times New Roman;serif"/>
          <w:b w:val="false"/>
          <w:sz w:val="20"/>
        </w:rPr>
        <w:t>Should any of these events occur, they could have a material adverse effect on our business, financial condition, results of operations and prospects.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sz w:val="20"/>
        </w:rPr>
        <w:t>Risks Related to Our Operations</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are highly dependent on our key personnel, and if we are not successful in attracting, motivating and retaining highly qualified personnel, we may not be able to successfully implement our business strategy.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Developing and commercializing new medicines is a challenging exercise and requires diverse expertise in a variety of scientific, clinical, manufacturing, commercial, financial, people and legal functions. Failure to adequately develop these functions will hurt our ability to compete effectively.</w:t>
      </w:r>
    </w:p>
    <w:p>
      <w:pPr>
        <w:pStyle w:val="TextBody"/>
        <w:bidi w:val="0"/>
        <w:spacing w:before="120" w:after="0"/>
        <w:jc w:val="left"/>
        <w:rPr>
          <w:rFonts w:ascii="Times New Roman" w:hAnsi="Times New Roman"/>
          <w:sz w:val="20"/>
        </w:rPr>
      </w:pPr>
      <w:r>
        <w:rPr>
          <w:rFonts w:ascii="Times New Roman;serif" w:hAnsi="Times New Roman;serif"/>
          <w:b w:val="false"/>
          <w:sz w:val="20"/>
        </w:rPr>
        <w:t>Our ability to compete in the highly competitive biotechnology and pharmaceutical industries depends upon our ability to attract, motivate and retain highly qualified managerial, scientific and medical personnel. We are highly dependent on our management, particularly our Chief Executive Officer, Dr. Victor Perlroth, and our scientific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conduct our U.S. operations at our facilities in Palo Alto,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To induce valuable employees to remain at our company, in addition to salary and cash incentives, we have provided restricted stock and stock option grants, including early exercise stock options exercisable for restricted stock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We do not maintain “key man” insurance policies on the lives of all of these individuals or the lives of any of our other employees. If we are unable to attract, incentivize and retain quality personnel on acceptable terms, or at all, it may cause our business and operating results to suffer.</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We will need to grow the size and capabilities of our organization, and we may experience difficulties in managing this growth.</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we had 118 employees, all of whom were full-time. As our development plans and strategies develop, and as we continue operating as a public company, we must add a significant number of additional managerial, operational, financial and other personnel. Future growth will impose significant added responsibilities on members of management,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identifying, recruiting, integrating, retaining and motivating additional employees;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managing our internal development efforts effectively, including the clinical and FDA review process for our current and future product candidates, while complying with our contractual obligations to contractors and other third parties;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expanding our operational, financial and management controls, reporting systems and procedures;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managing increasing operational and managerial complexity. </w:t>
      </w:r>
    </w:p>
    <w:p>
      <w:pPr>
        <w:pStyle w:val="TextBody"/>
        <w:bidi w:val="0"/>
        <w:spacing w:before="120" w:after="0"/>
        <w:jc w:val="left"/>
        <w:rPr>
          <w:rFonts w:ascii="Times New Roman" w:hAnsi="Times New Roman"/>
          <w:sz w:val="20"/>
        </w:rPr>
      </w:pPr>
      <w:r>
        <w:rPr>
          <w:rFonts w:ascii="Times New Roman;serif" w:hAnsi="Times New Roman;serif"/>
          <w:b w:val="false"/>
          <w:sz w:val="20"/>
        </w:rPr>
        <w:t>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If we engage in acquisitions, in-licensing or strategic partnerships, this may increase our capital requirements, dilute our stockholders, cause us to incur debt or assume contingent liabilities and subject us to other risks.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increased operating expenses and cash requirements;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assumption of indebtedness or contingent liabilities;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issuance of our equity securities which would result in dilution to our stockholders;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assimilation of operations, intellectual property, products and product candidates of an acquired company, including difficulties associated with integrating new personnel;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diversion of our management’s attention from our existing product candidates and initiatives in pursuing such an acquisition or strategic partnership;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retention of key employees, the loss of key personnel, and uncertainties in our ability to maintain key business relationships;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risks and uncertainties associated with the other party to such a transaction, including the prospects of that party and their existing products or product candidates and regulatory approvals;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our inability to generate revenue from acquired intellectual property, technology and/or products sufficient to meet our objectives or even to offset the associated transaction and maintenance costs.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if we undertake such a transaction, we may incur large one-time expenses and acquire intangible assets that could result in significant future amortization expense.</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If our security measures, or those maintained on our behalf by CROs, service providers or other third parties, are compromised now, or in the future, or the security, confidentiality, integrity or availability of our information technology, software, services, networks, communications or data is compromised, limited or fails, this could result in significant fines or other liability, interrupt our development programs, harm our reputation, or otherwise adversely affect our business.</w:t>
      </w:r>
    </w:p>
    <w:p>
      <w:pPr>
        <w:pStyle w:val="TextBody"/>
        <w:bidi w:val="0"/>
        <w:spacing w:before="120" w:after="0"/>
        <w:jc w:val="left"/>
        <w:rPr>
          <w:rFonts w:ascii="Times New Roman" w:hAnsi="Times New Roman"/>
          <w:sz w:val="20"/>
        </w:rPr>
      </w:pPr>
      <w:r>
        <w:rPr>
          <w:rFonts w:ascii="Times New Roman;serif" w:hAnsi="Times New Roman;serif"/>
          <w:b w:val="false"/>
          <w:sz w:val="20"/>
        </w:rPr>
        <w:t>In the ordinary course of our business, we process personal data and other sensitive information, including proprietary and confidential business data, trade secrets, intellectual property, data collected about trial participants in connection with clinical trials, and sensitive third-party data. We may rely upon third-party service providers and technologies to operate critical business systems to process sensitive information in a variety of contexts, including, without limitation, third-party providers of cloud-based infrastructure, encryption and authentication technology, employee email, and other functions. Our ability to monitor these third parties’ information security practices is limited, and these third parties may not have adequate information security measures in place.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Cyberattacks, malicious internet-based activity, and online and offline fraud are prevalent and continue to increase. These threats are becoming increasingly difficult to detect. The information and data processed and stored in our technology systems, and those of our research collaborators, CROs, contractors, consultants, and other third parties on which we depend to operate our business, may be vulnerable to these threats. These threats come from a variety of sources, including traditional computer “hackers,” threat actors, personnel (such as through theft or misuse), sophisticated nation-states, and nation-state-supported actors. During times of war and other major conflicts, including as a result of the ongoing military conflict between Russia and Ukraine and the related sanctions imposed against Russia, we and the third parties upon which we rely may be vulnerable to a heightened risk of these attacks, including cyber-attacks that could materially disrupt our systems and operations and supply chain.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and other similar threats.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Additionally, as a result of health epidemics, certain employees may remain in a remote work environment and outside of our corporate network security protection boundaries, which imposes additional risks to our business, including increased risk of industrial espionage, phishing and other cybersecurity attacks, and unauthorized dissemination of proprietary or confidential information, any of which could have a material adverse effect on our business.</w:t>
      </w:r>
    </w:p>
    <w:p>
      <w:pPr>
        <w:pStyle w:val="TextBody"/>
        <w:bidi w:val="0"/>
        <w:spacing w:before="120" w:after="0"/>
        <w:jc w:val="left"/>
        <w:rPr>
          <w:rFonts w:ascii="Times New Roman" w:hAnsi="Times New Roman"/>
          <w:sz w:val="20"/>
        </w:rPr>
      </w:pPr>
      <w:r>
        <w:rPr>
          <w:rFonts w:ascii="Times New Roman;serif" w:hAnsi="Times New Roman;serif"/>
          <w:b w:val="false"/>
          <w:sz w:val="20"/>
        </w:rPr>
        <w:t>Any of the previously identified or similar threats could cause a security incident or other interruption. A security incident or other interruption could result in unauthorized, unlawful, or accidental acquisition, modification, destruction, loss, alteration, encryption, disclosure of, access to our sensitive information, or interruptions or stoppages in our business operations (including our clinical trials). Although to our knowledge, we have not experienced a material system failure or security incident to date, if such an event were to occur, it could result in a material disruption of our development programs and our business operations, whether due to a loss of trade secrets or other proprietary information or other similar disruptions. For example, the loss of clinical trial data from completed, ongoing or future clinical trials could result in delays in our regulatory approval efforts and significantly increase our costs to recover or reproduce the data. Likewise, we rely on third-party research institution collaborators, CROs, other contractors and consultants for many aspects of our business, including research and development activities and manufacturing of our product candidates, and similar events relating to their computer systems could also have a material adverse effect on our business.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While we have developed systems and processes designed to protect the integrity, confidentiality and security of the sensitive information under our control, we cannot assure you that our security measures or those of the third parties we depend on will be effective in preventing security incidents. There are many different and rapidly evolving cybercrime and hacking techniques, and we may be unable to anticipate attempted security incidents, identify them before our information is exploited, or react in a timely manner. We may be unable to detect vulnerabilities in our information technology systems and software because such threats and techniques change frequently, are often sophisticated in nature, and may not be detected until after a security incident has occurred. Further, we may experience delays in developing and deploying remedial measures designed to address any such identified vulnerabilities. 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Additionally, applicable data protection requirements, including, without limitation, laws, regulations, guidance as well as our internal and external policies and our contractual obligations, may require us to notify relevant stakeholders of security incident, including affected individuals, partners, collaborators, regulators, law enforcement agencies, and others. Such disclosures are costly, and the disclosure or the failure to comply with such requirements could lead to litigation or other liability, fines, harm to our reputation, significant costs, or other materially adverse effects. Any limitations or exclusions of liability in our contracts may not be enforceable or adequate or protect us from liability or damages.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insurance coverage may not be adequate for cybersecurity liabilities, may not continue to be available to us on economically reasonable terms, or at all, and insurers could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Business disruptions could seriously harm our future revenue and financial condition and increase our costs and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operations, and those of our CROs, CMOs,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For example, in connection to health epidemics, the various quarantines, shelter-in-place and similar government orders, or the perception that such orders, shutdowns or other restrictions on the conduct of business operations could occur, related to infectious diseases, could adversely affect our business, financial condition or results of operations by limiting our ability to manufacture product, forcing temporary closure of facilities that we rely upon or increasing the costs associated with obtaining clinical supplies of our product candidates. The extent to which health epidemics could impact our results will depend on future developments, which are highly uncertain and cannot be accurately predicted, including the severity and the actions to contain or treat such outbreaks, epidemics, or pandemics, among others.</w:t>
      </w:r>
    </w:p>
    <w:p>
      <w:pPr>
        <w:pStyle w:val="TextBody"/>
        <w:bidi w:val="0"/>
        <w:spacing w:before="120" w:after="0"/>
        <w:jc w:val="left"/>
        <w:rPr>
          <w:rFonts w:ascii="Times New Roman" w:hAnsi="Times New Roman"/>
          <w:sz w:val="20"/>
        </w:rPr>
      </w:pPr>
      <w:r>
        <w:rPr>
          <w:rFonts w:ascii="Times New Roman;serif" w:hAnsi="Times New Roman;serif"/>
          <w:b w:val="false"/>
          <w:sz w:val="20"/>
        </w:rPr>
        <w:t>Our operations are located at facilities in Palo Alto, California and Switzerland.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implemented a new enterprise resource planning, or ERP, system as well as other systems as part of our ongoing technology and process improvements. Our ERP system is critical to our ability to accurately maintain books and records and prepare our financial statements. If we encounter unforeseen problems with our ERP system or other systems and infrastructure, our business, operations, and financial results could be adversely affected.</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Our business is subject to economic, political, regulatory and other risks associated with international operations.</w:t>
      </w:r>
    </w:p>
    <w:p>
      <w:pPr>
        <w:pStyle w:val="TextBody"/>
        <w:bidi w:val="0"/>
        <w:spacing w:before="120" w:after="0"/>
        <w:jc w:val="left"/>
        <w:rPr>
          <w:rFonts w:ascii="Times New Roman" w:hAnsi="Times New Roman"/>
          <w:sz w:val="20"/>
        </w:rPr>
      </w:pPr>
      <w:r>
        <w:rPr>
          <w:rFonts w:ascii="Times New Roman;serif" w:hAnsi="Times New Roman;serif"/>
          <w:b w:val="false"/>
          <w:sz w:val="20"/>
        </w:rPr>
        <w:t>Our business is subject to risks associated with conducting business internationally. Some of our suppliers and collaborative relationships are located outside the United States. Accordingly, our future results could be harmed by a variety of factors,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economic weakness, including inflation or political instability in particular non-U.S. economies and markets;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differing and changing regulatory requirements, pricing and reimbursement regimes in non-U.S. countries;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challenges enforcing our contractual and intellectual property rights, especially in those foreign countries that do not respect and protect intellectual property rights to the same extent as the United States;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difficulties in compliance with non-U.S. laws and regulations;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non-U.S. regulations and customs, tariffs and trade barriers;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non-U.S. currency exchange rates and currency controls;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a specific country’s or region’s political or economic environment;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trade protection measures, import or export licensing requirements or other restrictive actions by U.S. or non-U.S. governments;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negative consequences from changes in tax laws;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compliance with tax, employment, immigration and labor laws for employees living or traveling abroad;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workforce uncertainty in countries where labor unrest is more common than in the United States;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difficulties associated with staffing and managing international operations, including differing labor relations;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potential liability under the FCPA or comparable foreign laws;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business interruptions resulting from geo-political actions, including war (including the current Russia-Ukraine conflict) and terrorism or natural disasters. </w:t>
      </w:r>
    </w:p>
    <w:p>
      <w:pPr>
        <w:pStyle w:val="TextBody"/>
        <w:bidi w:val="0"/>
        <w:spacing w:before="120" w:after="0"/>
        <w:jc w:val="left"/>
        <w:rPr>
          <w:rFonts w:ascii="Times New Roman" w:hAnsi="Times New Roman"/>
          <w:sz w:val="20"/>
        </w:rPr>
      </w:pPr>
      <w:r>
        <w:rPr>
          <w:rFonts w:ascii="Times New Roman;serif" w:hAnsi="Times New Roman;serif"/>
          <w:b w:val="false"/>
          <w:sz w:val="20"/>
        </w:rPr>
        <w:t>Following the result of a referendum in 2016, the United Kingdom, or UK, left the European Union, or EU, on January 31, 2020, commonly referred to as Brexit. Pursuant to the formal withdrawal arrangements agreed between the UK and the EU, the UK was subject to a transition period until December 31, 2020, or the Transition Period, during which EU rules continued to apply. A trade and cooperation agreement, or the Trade and Cooperation Agreement, that outlines the future trading relationship between the United Kingdom and the European Union applied provisionally from January 1, 2021, and formally entered into force on May 1, 2021.</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Since a significant proportion of the regulatory framework in the UK, is derived from EU directives and regulations, Brexit may have a material impact upon the regulatory regime applicable to our operations, including with respect to our ability to obtain regulatory approvals of our product candidates in the EU. For example, Great Britain is no longer covered by the centralized procedures for obtaining EU-wide marketing authorization from the European Medicines Agency, or EMA, and a separate marketing authorization will be required to market our product candidates in Great Britain. Any delay in obtaining, or an inability to obtain, any marketing approvals, would restrict our ability to generate revenue and achieve and sustain profitability.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While the Trade and Cooperation Agreement provides for the tariff-free trade of medicinal products between the UK and the EU there are additional non-tariff costs to such trade which did not exist prior to the end of the Transition Period. Further, should the UK diverge from the EU from a regulatory perspective in relation to medicinal products, tariffs could be put into place in the future. We could therefore, both now and in the future, face significant additional expenses (when compared to the position prior to the end of the Transition Period)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 It is also possible that Brexit may negatively affect our ability to attract and retain employees, particularly those from the EU.</w:t>
      </w:r>
    </w:p>
    <w:p>
      <w:pPr>
        <w:pStyle w:val="TextBody"/>
        <w:bidi w:val="0"/>
        <w:spacing w:before="120" w:after="0"/>
        <w:jc w:val="left"/>
        <w:rPr>
          <w:rFonts w:ascii="Times New Roman" w:hAnsi="Times New Roman"/>
          <w:sz w:val="20"/>
        </w:rPr>
      </w:pPr>
      <w:r>
        <w:rPr>
          <w:rFonts w:ascii="Times New Roman;serif" w:hAnsi="Times New Roman;serif"/>
          <w:b w:val="false"/>
          <w:sz w:val="20"/>
        </w:rPr>
        <w:t>Other international, geo-political, and macroeconomic events could also have an adverse impact on our business. For instance, in February 2022, Russia initiated military action against Ukraine. In response, the United States and certain other countries imposed significant sanctions and trade actions against Russia and could impose further sanctions, trade restrictions, and other retaliatory actions. While we cannot predict the broader consequences, the conflict and retaliatory and counter-retaliatory actions could materially adversely affect global trade, currency exchange rates, inflation, regional economies, and the global economy, which in turn may increase our costs, disrupt our supply chain, or otherwise adversely affect our business, financial condition, and results of operations. In addition, increasing inflation rates and the responses by central banking authorities to control such inflation have contributed to uncertainty and volatility in U.S. and global markets. Rising inflation rates in the United States have begun to affect businesses across many industries, including ours, by increasing costs of operations such as labor.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These and other risks associated with our planned international operations may materially adversely affect our business, financial condition, and ability to attain profitable operations.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Our business could be materially and adversely affected in the future by the effects of disease outbreaks, epidemics and pandemics, as well as the business or operations of our manufacturers, CROs or other third parties with whom we conduct business.</w:t>
      </w:r>
    </w:p>
    <w:p>
      <w:pPr>
        <w:pStyle w:val="TextBody"/>
        <w:bidi w:val="0"/>
        <w:spacing w:before="120" w:after="0"/>
        <w:jc w:val="left"/>
        <w:rPr>
          <w:rFonts w:ascii="Times New Roman" w:hAnsi="Times New Roman"/>
          <w:sz w:val="20"/>
        </w:rPr>
      </w:pPr>
      <w:r>
        <w:rPr>
          <w:rFonts w:ascii="Times New Roman;serif" w:hAnsi="Times New Roman;serif"/>
          <w:b w:val="false"/>
          <w:sz w:val="20"/>
        </w:rPr>
        <w:t>Our business could be materially and adversely affected by health epidemics in regions where we have concentrations of clinical trial sites or other business operations and could cause significant disruption in the operations of third-party manufacturers and CROs upon whom we rely.</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our current and future clinical trials may be materially and adversely affected by health epidemics in the future. Site initiation and patient enrollment may be further delayed due to prioritization of hospital resources toward health epidemics. Some patients may not be able to comply with clinical trial protocols if quarantines impede patient movement or interrupt healthcare services. Our ability to recruit and retain patients and principal investigators and site staff who, as healthcare providers, may have heightened exposure during health epidemics, and may adversely impact our clinical trial operations. Kodiak staff and/or our CRO partners may not be able to travel to study sites, impacting further site initiations and in-person monitoring of study data quality. Other Kodiak vendors on whom we depend, such as supply chain and logistics partners and our image reading centers may be disrupted, and our operations could be affected. Our clinical studies enroll patients who have underlying risk factors such as advanced age, hypertension and/or diabetes which could lead to higher than expected study discontinuation rates and/or missed visit rates if these patients are adversely affected by health epidemics. To date, we continue to see low levels of patient missed visits. Additionally, the pandemic could result in delayed recruitment in some or all of our clinical studies that are currently recruiting patients, for example if as a consequence of the pandemic patients are not willing to be seen by their physician as frequently as our study protocols require.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extent to which the risks and evolving effects of health epidemics impact our business and our clinical development and regulatory efforts will depend on future developments that are highly uncertain and cannot be predicted with confidence, such as the ultimate duration and severity of the pandemic, government actions, such as travel restrictions, quarantines and social distancing requirements, business closures or business disruptions and the effectiveness of actions taken in the United States and in other countries to contain and treat the disease, including the effectiveness and timing of vaccine programs in the United States and worldwide. Health epidemics may also have the effect of heightening many of the other risks described in this “Risk Factors” section.</w:t>
      </w:r>
    </w:p>
    <w:p>
      <w:pPr>
        <w:pStyle w:val="TextBody"/>
        <w:bidi w:val="0"/>
        <w:spacing w:before="240" w:after="0"/>
        <w:jc w:val="left"/>
        <w:rPr>
          <w:rFonts w:ascii="Times New Roman;serif" w:hAnsi="Times New Roman;serif"/>
          <w:b/>
          <w:i/>
          <w:sz w:val="20"/>
        </w:rPr>
      </w:pPr>
      <w:r>
        <w:rPr>
          <w:rFonts w:ascii="Times New Roman;serif" w:hAnsi="Times New Roman;serif"/>
          <w:b/>
          <w:i/>
          <w:sz w:val="20"/>
        </w:rPr>
        <w:t>Our ability to use our net operating loss carryforwards and certain other tax attributes may be limited.</w:t>
      </w:r>
    </w:p>
    <w:p>
      <w:pPr>
        <w:pStyle w:val="TextBody"/>
        <w:bidi w:val="0"/>
        <w:spacing w:before="120" w:after="0"/>
        <w:jc w:val="left"/>
        <w:rPr>
          <w:rFonts w:ascii="Times New Roman" w:hAnsi="Times New Roman"/>
          <w:sz w:val="20"/>
        </w:rPr>
      </w:pPr>
      <w:r>
        <w:rPr>
          <w:rFonts w:ascii="Times New Roman;serif" w:hAnsi="Times New Roman;serif"/>
          <w:b w:val="false"/>
          <w:sz w:val="20"/>
        </w:rPr>
        <w:t>As of December 31, 2022, the Company had $68.7 million of federal and $614.9 million of state net operating loss, or NOLs, that may be available to offset future taxable income. A portion of the federal NOL carryforwards begin to expire in 2035 and the state NOL carryforwards begin to expire in 2035, if not utilized. Under Sections 382 and 383 of the United States Internal Revenue Code of 1986, as amended, or the Code, if a corporation undergoes an “ownership change” (generally defined as a greater than 50-percentage-point cumulative change (by value) in the equity ownership of certain stockholders over a rolling three-year period), the corporation’s ability to use its pre-change NOL carryforwards and other pre-change tax attributes to offset its post-change taxable income or taxes may be limited. We may also experience ownership changes in the future as a result of subsequent shifts in our stock ownership, some of which are outside our control. As a result, our ability to use our pre-change net operating loss carryforwards and other pre-change tax attributes to offset post-change taxable income or taxes may be subject to limitation.</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U.S. federal tax legislation enacted in 2017, informally titled The Tax Cuts and Jobs Act (the “Tax Act”), as modified by the Coronavirus Aid, Relief, and Economic Security Act (the “CARES Act”) enacted in March 2020, among other things, includes changes to U.S. federal tax rates and the rules governing NOL carryforwards. Federal NOLs arising in tax years beginning after December 31, 2017 are permitted to be carried forward indefinitely, but carryback of such NOLs is generally permitted to the prior five taxable years only for NOLs arising in taxable years beginning before 2021. In addition, under the Tax Act, as modified by the CARES Act, the deductibility of federal NOLs incurred in taxable years beginning after December 31, 2017 is limited in taxable years beginning after December 31, 2020. For state income tax purposes, there may be periods during which the use of net operating loss carryforwards is suspended or otherwise limited, which could accelerate or permanently increase state taxes owed. The new limitations on use of NOLs may significantly impact our ability to utilize our NOLs to offset taxable income in the future. </w:t>
        <w:br/>
        <w:br/>
      </w:r>
      <w:r>
        <w:rPr>
          <w:rFonts w:ascii="Times New Roman;serif" w:hAnsi="Times New Roman;serif"/>
          <w:b/>
          <w:i/>
          <w:sz w:val="20"/>
        </w:rPr>
        <w:t>Changes in tax laws or regulations that are applied adversely to us or our customers may have a material adverse effect on our business, cash flow, financial condition or results of operations.</w:t>
      </w:r>
      <w:r>
        <w:rPr>
          <w:rFonts w:ascii="Times New Roman;serif" w:hAnsi="Times New Roman;serif"/>
          <w:b w:val="false"/>
          <w:sz w:val="20"/>
        </w:rPr>
        <w:br/>
      </w:r>
      <w:r>
        <w:rPr>
          <w:rFonts w:ascii="Times New Roman" w:hAnsi="Times New Roman"/>
          <w:sz w:val="20"/>
        </w:rPr>
        <w:t> </w:t>
      </w:r>
    </w:p>
    <w:p>
      <w:pPr>
        <w:pStyle w:val="TextBody"/>
        <w:bidi w:val="0"/>
        <w:spacing w:before="120" w:after="0"/>
        <w:jc w:val="left"/>
        <w:rPr>
          <w:rFonts w:ascii="Times New Roman" w:hAnsi="Times New Roman"/>
          <w:sz w:val="20"/>
        </w:rPr>
      </w:pPr>
      <w:r>
        <w:rPr>
          <w:rFonts w:ascii="Times New Roman;serif" w:hAnsi="Times New Roman;serif"/>
          <w:b w:val="false"/>
          <w:sz w:val="20"/>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More recently, the Inflation Reduction Act of 2022 (the “IRA”) was enacted which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In addition, it is uncertain if and to what extent various states will conform to the Tax Act, the CARES Act, the IRA,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net deferred tax assets, could result in significant one-time charges, and could increase our future U.S. tax expense.</w:t>
        <w:br/>
      </w:r>
      <w:r>
        <w:rPr>
          <w:rFonts w:ascii="Times New Roman" w:hAnsi="Times New Roman"/>
          <w:sz w:val="20"/>
        </w:rPr>
        <w:t> </w:t>
      </w:r>
    </w:p>
    <w:p>
      <w:pPr>
        <w:pStyle w:val="TextBody"/>
        <w:bidi w:val="0"/>
        <w:spacing w:before="240" w:after="0"/>
        <w:jc w:val="left"/>
        <w:rPr>
          <w:rFonts w:ascii="Times New Roman" w:hAnsi="Times New Roman"/>
          <w:sz w:val="20"/>
        </w:rPr>
      </w:pPr>
      <w:r>
        <w:rPr>
          <w:rFonts w:ascii="Times New Roman;serif" w:hAnsi="Times New Roman;serif"/>
          <w:b/>
          <w:sz w:val="20"/>
        </w:rPr>
        <w:t>Risks Related to Our Business, Financial Condition and Capital Requirements</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Unfavorable U.S. and global economic conditions could adversely affect our business, financial condition or results of operations.</w:t>
      </w:r>
    </w:p>
    <w:p>
      <w:pPr>
        <w:pStyle w:val="TextBody"/>
        <w:bidi w:val="0"/>
        <w:spacing w:before="120" w:after="0"/>
        <w:jc w:val="left"/>
        <w:rPr>
          <w:rFonts w:ascii="Times New Roman" w:hAnsi="Times New Roman"/>
          <w:sz w:val="20"/>
        </w:rPr>
      </w:pPr>
      <w:r>
        <w:rPr>
          <w:rFonts w:ascii="Times New Roman;serif" w:hAnsi="Times New Roman;serif"/>
          <w:b w:val="false"/>
          <w:sz w:val="20"/>
        </w:rPr>
        <w:t>Our results of operations could be adversely affected by general conditions in the U.S. and global economies, the U.S. and global financial markets and adverse geopolitical and macroeconomic developments. U.S. and global market and economic conditions have been, and continue to be, disrupted and volatile due to many factors, including health epidemics, component shortages and related supply chain challenges, geopolitical developments such as the conflict between Ukraine and Russia and related sanctions, bank failures and increasing inflation rates and the responses by central banking authorities to control such inflation, among others. General business and economic conditions that could affect our business, financial condition or results of operations include fluctuations in economic growth, debt and equity capital markets, liquidity of the global financial markets, access to our liquidity within the U.S. banking system, the availability and cost of credit, investor and consumer confidence, and the strength of the economies in which we, our manufacturers and our suppliers operate.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severe or prolonged global economic downturn could result in a variety of risks to our business. For example, inflation rates, particularly in the United States, have increased recently to levels not seen in years,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further increasing economic uncertainty and heightening these risks. Risks of a prolonged global economic downturn are particularly true in Europe, which is undergoing a continued severe economic crisis. A weak or declining economy could also strain our suppliers and manufacturers,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Federal Deposit Insurance Corporation only insures amounts up to $250,000 per depositor. Recently, we have seen the abrupt failure of more than one regional bank. We may from time to time have balances in bank accounts that are in excess of insured deposit limits, and could be subject to risks of bank failures. Similar bank failures could significantly impair our access to funding sources in amounts adequate to finance or capitalize our current and projected future business operations and could negatively impact the financial institutions with which we have direct arrangements, or the financial services industry or economy in general.</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Additionally, financial markets around the world experienced volatility following the recent invasion of Ukraine by Russia. In response to the invasion, the United States, United Kingdom and EU, along with others, imposed significant new sanctions and export controls against Russia, Russian banks and certain Russian individuals and may implement additional sanctions or take further punitive actions in the future. The full economic and social impact of the sanctions imposed on Russia (as well as possible future punitive measures that may be implemented), as well as the counter measures imposed by Russia, in addition to the ongoing military conflict between Ukraine and Russia and related sanctions, which could conceivably expand into the surrounding region, remains uncertain; however, both the conflict and related sanctions have resulted and could continue to result in disruptions to trade, commerce, pricing stability, credit availability, supply chain continuity and reduced access to liquidity in both Europe and globally, and has introduced significant uncertainty into global markets. In particular, the Russia-Ukraine conflict and related sanctions has contributed to rapidly rising costs of living (driven largely by higher energy prices) in Europe and other advanced economies. Further, a weak or declining economy could strain our suppliers and manufacturers. As a result, our business and results of operations may be adversely affected by the ongoing conflict between Ukraine and Russia and related sanctions, particularly to the extent it escalates to involve additional countries, further economic sanctions or wider military conflict.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operations, as well as current and potential new suppliers and manufacturers, throughout Europe. If economic conditions in Europe and other key markets for our business remain uncertain or deteriorate further, we could experience adverse effects on our business, financial condition or results of operations.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We have incurred significant net losses in each period since our inception and anticipate that we will continue to incur significant and increasing net losses for the foreseeable future.</w:t>
      </w:r>
    </w:p>
    <w:p>
      <w:pPr>
        <w:pStyle w:val="TextBody"/>
        <w:bidi w:val="0"/>
        <w:spacing w:before="120" w:after="0"/>
        <w:jc w:val="left"/>
        <w:rPr>
          <w:rFonts w:ascii="Times New Roman" w:hAnsi="Times New Roman"/>
          <w:sz w:val="20"/>
        </w:rPr>
      </w:pPr>
      <w:r>
        <w:rPr>
          <w:rFonts w:ascii="Times New Roman;serif" w:hAnsi="Times New Roman;serif"/>
          <w:b w:val="false"/>
          <w:sz w:val="20"/>
        </w:rPr>
        <w:t>We have incurred net losses in each reporting period since our inception, including net losses of $151.0 million for the six months ended June 30, 2023. As of June 30, 2023, we had an accumulated deficit of $1,043.0 million.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invested significant financial resources in research and development activities, including for our product candidates and our ABC Platform. We do not expect to generate revenue from product sales for several years, if at all. The amount of our future net losses will depend, in part, on the level of our future expenditures and our ability to generate revenue. Moreover, our net losses may fluctuate significantly from quarter-to-quarter and year-to-year, such that a period-to-period comparison of our results of operations may not be a good indication of our future performance.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expect to continue to incur significant and increasingly higher expenses and operating losses for the foreseeable future. We anticipate that our expenses will increase substantially if and as we: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progress our current and any future product candidates through preclinical and clinical development;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work with our contract manufacturers to scale up the manufacturing processes for our product candidates or, in the future, establish and operate a manufacturing facility;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continue our research and discovery activities;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initiate and conduct additional preclinical, clinical or other studies for our current and any future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 or add additional contract manufacturers or suppliers;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seek regulatory approvals and marketing authorizations for our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establish sales, marketing and distribution infrastructure to commercialize any products for which we obtain approval;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continue the development of our ABC Platform;</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acquire or in-license product candidates, intellectual property and technologies;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make milestone, royalty or other payments due under any current or future collaboration or license agreements;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obtain, maintain, expand, protect and enforce our intellectual property portfolio;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attract, hire and retain qualified personnel;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experience any delays or encounter other issues related to our operations;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meet the requirements and demands of being a public company;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defend against any product liability claims or other lawsuits related to our products. </w:t>
      </w:r>
    </w:p>
    <w:p>
      <w:pPr>
        <w:pStyle w:val="TextBody"/>
        <w:bidi w:val="0"/>
        <w:spacing w:before="120" w:after="0"/>
        <w:jc w:val="left"/>
        <w:rPr>
          <w:rFonts w:ascii="Times New Roman" w:hAnsi="Times New Roman"/>
          <w:sz w:val="20"/>
        </w:rPr>
      </w:pPr>
      <w:r>
        <w:rPr>
          <w:rFonts w:ascii="Times New Roman;serif" w:hAnsi="Times New Roman;serif"/>
          <w:b w:val="false"/>
          <w:sz w:val="20"/>
        </w:rPr>
        <w:t>Our prior losses and expected future losses have had and will continue to have an adverse effect on our stockholders’ equity and working capital. In any particular quarter or quarters, our operating results could be below the expectations of securities analysts or investors, which could cause our stock price to decline.</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i/>
          <w:sz w:val="20"/>
        </w:rPr>
        <w:t>Drug development is a highly uncertain undertaking and involves a substantial degree of risk. We have never generated any revenue from product sales, and we may never generate revenue or be profitable.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if ever.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ability to generate revenue and achieve profitability depends significantly on many factors,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successfully completing research and preclinical and clinical development of our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obtaining regulatory approvals and marketing authorizations for product candidates for which we successfully complete clinical development and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identifying, assessing, acquiring and/or developing new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negotiating favorable terms in any collaboration, licensing or other arrangements into which we may enter;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launching and successfully commercializing product candidates for which we obtain regulatory and marketing approval, either by collaborating with a partner or, if launched independently, by establishing a sales, marketing and distribution infrastructure;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obtaining and maintaining an adequate price for our product candidates, both in the United States and in foreign countries where our products are commercialized;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obtaining adequate reimbursement for our product candidates from payors;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obtaining market acceptance of our product candidates as viable treatment options;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addressing any competing technological and market developments;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maintaining, protecting, expanding and enforcing our portfolio of intellectual property rights, including patents, trade secrets and know-how;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attracting, hiring and retaining qualified personnel. </w:t>
      </w:r>
    </w:p>
    <w:p>
      <w:pPr>
        <w:pStyle w:val="TextBody"/>
        <w:bidi w:val="0"/>
        <w:spacing w:before="120" w:after="0"/>
        <w:jc w:val="left"/>
        <w:rPr>
          <w:rFonts w:ascii="Times New Roman" w:hAnsi="Times New Roman"/>
          <w:sz w:val="20"/>
        </w:rPr>
      </w:pPr>
      <w:r>
        <w:rPr>
          <w:rFonts w:ascii="Times New Roman;serif" w:hAnsi="Times New Roman;serif"/>
          <w:b w:val="false"/>
          <w:sz w:val="20"/>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Even if we are able to generate revenue from the sale of any approved products, we may not become profitable, and we will need to obtain additional funding through one or more debt or equity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Even if we do achieve profitability, we may not be able to sustain or increase profitability on a quarterly or annual basis.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failure to become and remain profitable could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adversely affect our viability.</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If we fail to obtain additional financing, we may be unable to complete the development and, if approved, commercialization of our product candidates.</w:t>
      </w:r>
    </w:p>
    <w:p>
      <w:pPr>
        <w:pStyle w:val="TextBody"/>
        <w:bidi w:val="0"/>
        <w:spacing w:before="120" w:after="0"/>
        <w:jc w:val="left"/>
        <w:rPr>
          <w:rFonts w:ascii="Times New Roman" w:hAnsi="Times New Roman"/>
          <w:sz w:val="20"/>
        </w:rPr>
      </w:pPr>
      <w:r>
        <w:rPr>
          <w:rFonts w:ascii="Times New Roman;serif" w:hAnsi="Times New Roman;serif"/>
          <w:b w:val="false"/>
          <w:sz w:val="20"/>
        </w:rPr>
        <w:t>Our operations have required substantial amounts of cash since inception. To date, we have funded our operations primarily through the sale of equity securities. Developing our product candidates is expensive, and we expect to continue our spending as we advance our product candidate development efforts. Even if we are successful in developing our product candidates, obtaining regulatory approvals and launching and commercializing any product candidate will require substantial additional funding.</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estimate as to how long we expect our existing cash, cash equivalents and marketable securities to be available to fund our operations is based on assumptions that may prove inaccurate, and we could deplete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pStyle w:val="TextBody"/>
        <w:bidi w:val="0"/>
        <w:spacing w:before="120" w:after="0"/>
        <w:jc w:val="left"/>
        <w:rPr>
          <w:rFonts w:ascii="Times New Roman" w:hAnsi="Times New Roman"/>
          <w:sz w:val="20"/>
        </w:rPr>
      </w:pPr>
      <w:r>
        <w:rPr>
          <w:rFonts w:ascii="Times New Roman;serif" w:hAnsi="Times New Roman;serif"/>
          <w:b w:val="false"/>
          <w:sz w:val="20"/>
        </w:rPr>
        <w:t>We will require additional capital for the further development and, if approved, commercialization of our product candidates. Additional capital may not be available when we need it, on terms acceptable to us or at all. For example, the current Russia-Ukraine conflict has created extreme volatility in the global capital markets and is expected to have further global economic consequences, including disruptions of the global supply chain. Further, inflation rates, particularly in the United States, have increased recently to levels not seen in decades, and the Federal Reserve has raised, and may again raise, interest rates. These conditions of economic uncertainty and market volatility could limit additional capital available to us, if and when needed. In addition, it is possible that we may not be able to access a portion of our existing cash, cash equivalents and investments due to unforeseen market conditions. For example, on March 10, 2023, the Federal Deposit Insurance Corporation (FDIC), took control and was appointed receiver of Silicon Valley Bank.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We currently have no committed source of additional capital.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and results of operations and cause the price of our common stock to decline.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For example, to date, we have spent significant resources in researching and developing our tarcocimab product candidate. In light of recent results in our GLEAM and GLIMMER pivotal Phase 3 clinical trials, we announced a business decision to discontinue further development of tarcocimab. If any of our future investments or allocations of research and development financial resources result in failed product candidates, our financial condition and business prospects may be significantly adversely impacted and we may never become profitable. Similarly, our potential decisions to delay, terminate or collaborate with third parties in respect of certain product candidates may subsequently also prove to be suboptimal and could cause us to miss valuable opportunities. If we make incorrect determinations regarding the viability or market potential of any of our product candidates or misread trends in the biopharmaceutical industry, in particular for retinal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Our business decision to discontinue ongoing development of tarcocimab may not result in any cost savings, and could result in total costs and expenses that are greater than expected in the short term and could disrupt our business.*</w:t>
      </w:r>
    </w:p>
    <w:p>
      <w:pPr>
        <w:pStyle w:val="TextBody"/>
        <w:bidi w:val="0"/>
        <w:spacing w:before="120" w:after="0"/>
        <w:jc w:val="left"/>
        <w:rPr>
          <w:rFonts w:ascii="Times New Roman" w:hAnsi="Times New Roman"/>
          <w:sz w:val="20"/>
        </w:rPr>
      </w:pPr>
      <w:r>
        <w:rPr>
          <w:rFonts w:ascii="Times New Roman;serif" w:hAnsi="Times New Roman;serif"/>
          <w:b w:val="false"/>
          <w:sz w:val="20"/>
        </w:rPr>
        <w:t>In July 2023, we announced our business decision to discontinue further development of tarcocimab. Although we continue to assess a variety of strategic and operational alternatives relating to the tarcocimab program, including the possibility that additional clinical trials may be conducted in the future, the decision to discontinue further development of tarcocimab may require that we record impairment charges related to property, plant and equipment or right of use assets, and recognize other restructuring costs. As a result, we may not realize any financial benefit and/or savings from this discontinuation. If we are unable to realize expected cost savings, our operating results and financial condition would be adversely affected.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Foreign currency exchange rate risk may impact our financial position and results.</w:t>
      </w:r>
    </w:p>
    <w:p>
      <w:pPr>
        <w:pStyle w:val="TextBody"/>
        <w:bidi w:val="0"/>
        <w:spacing w:before="120" w:after="0"/>
        <w:jc w:val="left"/>
        <w:rPr>
          <w:rFonts w:ascii="Times New Roman" w:hAnsi="Times New Roman"/>
          <w:sz w:val="20"/>
        </w:rPr>
      </w:pPr>
      <w:r>
        <w:rPr>
          <w:rFonts w:ascii="Times New Roman;serif" w:hAnsi="Times New Roman;serif"/>
          <w:b w:val="false"/>
          <w:sz w:val="20"/>
        </w:rPr>
        <w:t>We use foreign currency forward contracts to protect against changes in anticipated foreign currency cash flows resulting from changes in foreign currency exchange rates, primarily associated with non-functional currency denominated expenses. We regularly monitor our foreign currency exchange rate exposures to ensure the overall effectiveness of its foreign currency exposures. While we engage in foreign currency hedging activity to reduce our risk, for accounting purposes, none of its foreign currency forward contracts are designated as hedges.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Risks Related to Ownership of Our Common Stock</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The market price of our common stock may be volatile, which could result in substantial losses for investors purchasing shares.</w:t>
      </w:r>
    </w:p>
    <w:p>
      <w:pPr>
        <w:pStyle w:val="TextBody"/>
        <w:bidi w:val="0"/>
        <w:spacing w:before="120" w:after="0"/>
        <w:jc w:val="left"/>
        <w:rPr>
          <w:rFonts w:ascii="Times New Roman" w:hAnsi="Times New Roman"/>
          <w:sz w:val="20"/>
        </w:rPr>
      </w:pPr>
      <w:r>
        <w:rPr>
          <w:rFonts w:ascii="Times New Roman;serif" w:hAnsi="Times New Roman;serif"/>
          <w:b w:val="false"/>
          <w:sz w:val="20"/>
        </w:rPr>
        <w:t>The market price of our common stock may be volatile. For example, the closing price of our common stock from December 31, 2021 to December 31, 2022 ranged from a low of $5.04 to a high of $89.45 and from January 1, 2023 to July 31, 2023 ranged from a low of $2.87 to a high of $9.48. As a result, you may not be able to sell your common stock at or above the price that you paid for such shares. Some of the factors that may cause the market price of our common stock to fluctuate include: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success of existing or new competitive products or technologies;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timing and results of clinical trials for our current product candidates and any future product candidates that we may develop;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commencement or termination of collaborations for our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failure or discontinuation of any of our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failure to develop our ABC Platform;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results of preclinical studies, clinical trials or regulatory approvals of product candidates of our competitors, or announcements about new research programs or product candidates of our competitors;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regulatory or legal developments in the United States and other countries;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developments or disputes concerning patent applications, issued patents or other proprietary rights;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recruitment or departure of key personnel;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commencement of litigation;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level of expenses related to any of our research programs, product candidates that we may develop;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results of our efforts to develop additional product candidates or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actual or anticipated changes in estimates as to financial results, development timelines or recommendations by securities analysts;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announcement or expectation of additional financing efforts;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sales of our common stock by us, our insiders, or other stockholders;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variations in our financial results or those of companies that are perceived to be similar to us;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estimates or recommendations by securities analysts, if any, that cover our stock;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the structure of healthcare payment systems;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market conditions in the pharmaceutical and biotechnology sectors;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60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general economic, industry, and market conditions, including the current inflationary environment, lowered consumer confidence, bank failures, the Russian invasion of Ukraine, as well as continued and any new sanctions against Russia by, among others, the United States and the European Union, which restrict a wide range of trade and financial dealings with Russia and Russia parties, and other unforeseeable circumstances;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other factors described in this “Risk Factors” section.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including recently in connection with health epidemics, bank failures, broader macroeconomic conditional and/or geopolitical instability such as that resulting from the conflict between Russia and Ukraine, which has resulted in decreased market prices, notwithstanding the lack of a fundamental change in the underlying business models or prospects of those companies. Broad market and industry factors may seriously affect the market price of our common stock, regardless of our actual operating performance. In this regard, worsening economic conditions, interest rate increases and/or other tapering policies from the government, and other adverse effects or developments relating to health epidemics or general economic environment may negatively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pStyle w:val="TextBody"/>
        <w:bidi w:val="0"/>
        <w:spacing w:before="240" w:after="0"/>
        <w:jc w:val="left"/>
        <w:rPr>
          <w:rFonts w:ascii="Times New Roman" w:hAnsi="Times New Roman"/>
          <w:sz w:val="20"/>
        </w:rPr>
      </w:pPr>
      <w:r>
        <w:rPr>
          <w:rFonts w:ascii="Times New Roman;serif" w:hAnsi="Times New Roman;serif"/>
          <w:b/>
          <w:i/>
          <w:sz w:val="20"/>
        </w:rPr>
        <w:t>Raising additional capital may cause dilution to our existing stockholders, restrict our operations or require us to relinquish rights to our technologies or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will seek additional capital through one or a combination of public and private equity offerings, debt financings, strategic partnerships and alliances or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Our principal stockholders own a significant percentage of our common stock, which could limit your ability to affect the outcome of key transactions, including a change of control.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directors, executive officers, significant holders of outstanding common stock and their respective affiliates beneficially own a significant amount of our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Delaware law and provisions in our certificate of incorporation and bylaws might discourage, delay, or prevent a change in control of our company or changes in our management and, therefore, depress the trading price of our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Provisions in our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provide that vacancies on our board of directors may be filled only by a majority of directors then in office, even though less than a quorum;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eliminate cumulative voting in the election of directors;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authorize our board of directors to issue shares of preferred stock and determine the price and other terms of those shares, including preferences and voting rights, without stockholder approval;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provide our board of directors with the exclusive right to elect a director to fill a vacancy or newly created directorship;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permit stockholders to only take actions at a duly called annual or special meeting and not by written consent;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61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prohibit stockholders from calling a special meeting of stockholders;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require that stockholders give advance notice to nominate directors or submit proposals for consideration at stockholder meetings;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authorize our board of directors, by a majority vote, to amend the bylaws;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require the affirmative vote of at least 66 2/3% or more of the outstanding shares of common stock to amend many of the provisions described above.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Our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bylaws provide that the Court of Chancery of the State of Delaware will be the exclusive forum for:</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any derivative action or proceeding brought on our behalf;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any action asserting a claim of breach of fiduciary duty;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any action asserting a claim against us arising under the DGCL, our certificate of incorporation, or our bylaws;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any action asserting a claim against us that is governed by the internal-affairs doctrine. </w:t>
      </w:r>
    </w:p>
    <w:p>
      <w:pPr>
        <w:pStyle w:val="TextBody"/>
        <w:bidi w:val="0"/>
        <w:spacing w:before="120" w:after="0"/>
        <w:jc w:val="left"/>
        <w:rPr>
          <w:rFonts w:ascii="Times New Roman" w:hAnsi="Times New Roman"/>
          <w:sz w:val="20"/>
        </w:rPr>
      </w:pPr>
      <w:r>
        <w:rPr>
          <w:rFonts w:ascii="Times New Roman;serif" w:hAnsi="Times New Roman;serif"/>
          <w:b w:val="false"/>
          <w:sz w:val="20"/>
        </w:rPr>
        <w:t>Our bylaws further provide that the U.S. federal district courts will be the exclusive forum for resolving any complaint asserting a cause of action arising under the Securities Act of 1933, as amended.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bylaws to be inapplicable or unenforceable in an action, we may incur additional costs associated with resolving the dispute in other jurisdictions, which could seriously harm our business. Our bylaws further provide that unless we otherwise consent in writing,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r>
        <w:rPr>
          <w:rFonts w:ascii="Times New Roman" w:hAnsi="Times New Roman"/>
          <w:sz w:val="20"/>
        </w:rPr>
        <w:t xml:space="preserve"> </w:t>
      </w:r>
    </w:p>
    <w:p>
      <w:pPr>
        <w:pStyle w:val="TextBody"/>
        <w:bidi w:val="0"/>
        <w:spacing w:before="240" w:after="0"/>
        <w:jc w:val="left"/>
        <w:rPr>
          <w:rFonts w:ascii="Times New Roman;serif" w:hAnsi="Times New Roman;serif"/>
          <w:b/>
          <w:sz w:val="20"/>
        </w:rPr>
      </w:pPr>
      <w:r>
        <w:rPr>
          <w:rFonts w:ascii="Times New Roman;serif" w:hAnsi="Times New Roman;serif"/>
          <w:b/>
          <w:sz w:val="20"/>
        </w:rPr>
        <w:t>General Risk Factors</w:t>
      </w:r>
    </w:p>
    <w:p>
      <w:pPr>
        <w:pStyle w:val="TextBody"/>
        <w:bidi w:val="0"/>
        <w:spacing w:before="120" w:after="0"/>
        <w:jc w:val="left"/>
        <w:rPr>
          <w:rFonts w:ascii="Times New Roman" w:hAnsi="Times New Roman"/>
          <w:sz w:val="20"/>
        </w:rPr>
      </w:pPr>
      <w:r>
        <w:rPr>
          <w:rFonts w:ascii="Times New Roman;serif" w:hAnsi="Times New Roman;serif"/>
          <w:b/>
          <w:i/>
          <w:sz w:val="20"/>
        </w:rPr>
        <w:t>If securities analysts do not publish research or reports about our business or if they publish negative evaluations of our stock, the price of our stock could decline.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trading market for our common stock will rely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62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Future sales of our common stock in the public market could cause our share price to decline, even if our business is doing well.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particularly sales by our directors, executive officers and significant stockholders, may have on the prevailing market price of our common stock. All of our outstanding shares of common stock are available for sale in the public market, subject only to the restrictions of Rule 144 under the Securities Act in the case of our affiliates. In addition, the shares of common stock subject to outstanding options under our equity incentive plans and the shares reserved for future issuance under our equity incentive plans, as well as shares issuable upon vesting of restricted stock unit awards, will become eligible for sale in the public market in the future, subject to certain legal and contractual limitations. In addition, certain holders of our common stock have the right, subject to various conditions and limitations, to request we include their shares of our common stock in registration statements we may file relating to our securities. If any of these additional shares are sold, or if it is perceived that they will be sold, in the public market, the market price of our common stock could decline.</w:t>
      </w:r>
    </w:p>
    <w:p>
      <w:pPr>
        <w:pStyle w:val="TextBody"/>
        <w:bidi w:val="0"/>
        <w:spacing w:before="240" w:after="0"/>
        <w:jc w:val="left"/>
        <w:rPr>
          <w:rFonts w:ascii="Times New Roman;serif" w:hAnsi="Times New Roman;serif"/>
          <w:b/>
          <w:i/>
          <w:sz w:val="20"/>
        </w:rPr>
      </w:pPr>
      <w:r>
        <w:rPr>
          <w:rFonts w:ascii="Times New Roman;serif" w:hAnsi="Times New Roman;serif"/>
          <w:b/>
          <w:i/>
          <w:sz w:val="20"/>
        </w:rPr>
        <w:t>A failure to maintain an effective system of internal control over financial reporting could result in material misstatements of our financial statements in future periods and may impair our ability to comply with the accounting and reporting requirements applicable to public companies. Furthermore, our business, financial position, and results of operations could be adversely affected.</w:t>
      </w:r>
    </w:p>
    <w:p>
      <w:pPr>
        <w:pStyle w:val="TextBody"/>
        <w:bidi w:val="0"/>
        <w:spacing w:before="120" w:after="0"/>
        <w:jc w:val="left"/>
        <w:rPr>
          <w:rFonts w:ascii="Times New Roman" w:hAnsi="Times New Roman"/>
          <w:sz w:val="20"/>
        </w:rPr>
      </w:pPr>
      <w:r>
        <w:rPr>
          <w:rFonts w:ascii="Times New Roman;serif" w:hAnsi="Times New Roman;serif"/>
          <w:b w:val="false"/>
          <w:sz w:val="20"/>
        </w:rPr>
        <w:t>As a public company, we are subject to reporting and other obligations under the Exchange Act, including the requirements of the Sarbanes-Oxley Act of 2002 ("SOX") Section 404, which require annual management assessments of the effectiveness of our internal control over financial reporting.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SOX. These reporting and other obligations place significant demands on our management and administrative and operational resources, including accounting resources.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 material weakness is a deficiency, or a combination of deficiencies, in internal control over financial reporting such that there is a reasonable possibility that a material misstatement of annual or interim consolidated financial statements will not be prevented or detected on a timely basis. Any failure to maintain effective internal controls could also have an adverse effect on our business, financial position and results of operations.</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63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9" w:name="ii_item2"/>
      <w:bookmarkEnd w:id="19"/>
      <w:r>
        <w:rPr>
          <w:rFonts w:ascii="Times New Roman;serif" w:hAnsi="Times New Roman;serif"/>
          <w:b/>
          <w:sz w:val="20"/>
        </w:rPr>
        <w:t>Item 2. Unregistered Sales of Equi</w:t>
      </w:r>
      <w:bookmarkStart w:id="20" w:name="item_2_unregistered_sales_equity_securit"/>
      <w:bookmarkEnd w:id="20"/>
      <w:r>
        <w:rPr>
          <w:rFonts w:ascii="Times New Roman;serif" w:hAnsi="Times New Roman;serif"/>
          <w:b/>
          <w:sz w:val="20"/>
        </w:rPr>
        <w:t>ty Securities and Use of Proceeds.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240" w:after="0"/>
        <w:jc w:val="left"/>
        <w:rPr>
          <w:rFonts w:ascii="Times New Roman;serif" w:hAnsi="Times New Roman;serif"/>
          <w:b/>
          <w:sz w:val="20"/>
        </w:rPr>
      </w:pPr>
      <w:bookmarkStart w:id="21" w:name="item_3_defaults_upon_senior_securities"/>
      <w:bookmarkEnd w:id="21"/>
      <w:r>
        <w:rPr>
          <w:rFonts w:ascii="Times New Roman;serif" w:hAnsi="Times New Roman;serif"/>
          <w:b/>
          <w:sz w:val="20"/>
        </w:rPr>
        <w:t>Item 3. Defaults Upon Senior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240" w:after="0"/>
        <w:jc w:val="left"/>
        <w:rPr>
          <w:rFonts w:ascii="Times New Roman;serif" w:hAnsi="Times New Roman;serif"/>
          <w:b/>
          <w:sz w:val="20"/>
        </w:rPr>
      </w:pPr>
      <w:bookmarkStart w:id="22" w:name="item_4_mine_safety_disclosures"/>
      <w:bookmarkEnd w:id="22"/>
      <w:r>
        <w:rPr>
          <w:rFonts w:ascii="Times New Roman;serif" w:hAnsi="Times New Roman;serif"/>
          <w:b/>
          <w:sz w:val="20"/>
        </w:rPr>
        <w:t>Item 4. Mine Safety Disclosures.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240" w:after="0"/>
        <w:jc w:val="left"/>
        <w:rPr>
          <w:rFonts w:ascii="Times New Roman;serif" w:hAnsi="Times New Roman;serif"/>
          <w:b/>
          <w:sz w:val="20"/>
        </w:rPr>
      </w:pPr>
      <w:bookmarkStart w:id="23" w:name="item_5_or_information"/>
      <w:bookmarkEnd w:id="23"/>
      <w:r>
        <w:rPr>
          <w:rFonts w:ascii="Times New Roman;serif" w:hAnsi="Times New Roman;serif"/>
          <w:b/>
          <w:sz w:val="20"/>
        </w:rPr>
        <w:t>Item 5. Other Information.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64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24" w:name="ii_item6"/>
      <w:bookmarkEnd w:id="24"/>
      <w:r>
        <w:rPr>
          <w:rFonts w:ascii="Times New Roman;serif" w:hAnsi="Times New Roman;serif"/>
          <w:b/>
          <w:sz w:val="20"/>
        </w:rPr>
        <w:t>Item 6. E</w:t>
      </w:r>
      <w:bookmarkStart w:id="25" w:name="item_6_exhibits"/>
      <w:bookmarkEnd w:id="25"/>
      <w:r>
        <w:rPr>
          <w:rFonts w:ascii="Times New Roman;serif" w:hAnsi="Times New Roman;serif"/>
          <w:b/>
          <w:sz w:val="20"/>
        </w:rPr>
        <w:t>xhibits.</w:t>
      </w:r>
    </w:p>
    <w:p>
      <w:pPr>
        <w:pStyle w:val="TextBody"/>
        <w:bidi w:val="0"/>
        <w:spacing w:before="120" w:after="0"/>
        <w:jc w:val="left"/>
        <w:rPr>
          <w:rFonts w:ascii="Times New Roman" w:hAnsi="Times New Roman"/>
          <w:b w:val="false"/>
          <w:i/>
          <w:sz w:val="20"/>
        </w:rPr>
      </w:pPr>
      <w:r>
        <w:rPr>
          <w:rFonts w:ascii="Times New Roman" w:hAnsi="Times New Roman"/>
          <w:b w:val="false"/>
          <w:i/>
          <w:sz w:val="20"/>
        </w:rPr>
        <w:t>(a)</w:t>
      </w:r>
    </w:p>
    <w:p>
      <w:pPr>
        <w:pStyle w:val="TextBody"/>
        <w:bidi w:val="0"/>
        <w:spacing w:before="120" w:after="283"/>
        <w:jc w:val="left"/>
        <w:rPr>
          <w:rFonts w:ascii="Times New Roman;serif" w:hAnsi="Times New Roman;serif"/>
          <w:b w:val="false"/>
          <w:i/>
          <w:sz w:val="20"/>
        </w:rPr>
      </w:pPr>
      <w:r>
        <w:rPr>
          <w:rFonts w:ascii="Times New Roman;serif" w:hAnsi="Times New Roman;serif"/>
          <w:b w:val="false"/>
          <w:i/>
          <w:sz w:val="20"/>
        </w:rPr>
        <w:t>Exhibits.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52"/>
        <w:gridCol w:w="146"/>
        <w:gridCol w:w="5997"/>
        <w:gridCol w:w="146"/>
        <w:gridCol w:w="527"/>
        <w:gridCol w:w="146"/>
        <w:gridCol w:w="842"/>
        <w:gridCol w:w="146"/>
        <w:gridCol w:w="631"/>
        <w:gridCol w:w="146"/>
        <w:gridCol w:w="726"/>
      </w:tblGrid>
      <w:tr>
        <w:trPr/>
        <w:tc>
          <w:tcPr>
            <w:tcW w:w="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752"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997"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164"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Incorporated by Reference</w:t>
            </w:r>
          </w:p>
        </w:tc>
      </w:tr>
      <w:tr>
        <w:trPr/>
        <w:tc>
          <w:tcPr>
            <w:tcW w:w="752"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97"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Description</w:t>
            </w:r>
          </w:p>
        </w:tc>
        <w:tc>
          <w:tcPr>
            <w:tcW w:w="1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27"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Form</w:t>
            </w:r>
          </w:p>
        </w:tc>
        <w:tc>
          <w:tcPr>
            <w:tcW w:w="1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42"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File No.</w:t>
            </w:r>
          </w:p>
        </w:tc>
        <w:tc>
          <w:tcPr>
            <w:tcW w:w="1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3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w:t>
            </w:r>
          </w:p>
        </w:tc>
        <w:tc>
          <w:tcPr>
            <w:tcW w:w="1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2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Filing Date</w:t>
            </w:r>
          </w:p>
        </w:tc>
      </w:tr>
      <w:tr>
        <w:trPr/>
        <w:tc>
          <w:tcPr>
            <w:tcW w:w="75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99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3.1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997"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
              <w:r>
                <w:rPr>
                  <w:rStyle w:val="InternetLink"/>
                  <w:rFonts w:ascii="Times New Roman;serif" w:hAnsi="Times New Roman;serif"/>
                  <w:b w:val="false"/>
                  <w:sz w:val="20"/>
                  <w:u w:val="single"/>
                </w:rPr>
                <w:t>Amended and Restated Certificate of Incorporation of Kodiak Sciences Inc.</w:t>
              </w:r>
            </w:hyperlink>
          </w:p>
        </w:tc>
        <w:tc>
          <w:tcPr>
            <w:tcW w:w="14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10-Q</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001-38682</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c>
          <w:tcPr>
            <w:tcW w:w="146"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11/16/2018</w:t>
            </w:r>
          </w:p>
        </w:tc>
      </w:tr>
      <w:tr>
        <w:trPr/>
        <w:tc>
          <w:tcPr>
            <w:tcW w:w="75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99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3.2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997"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
              <w:r>
                <w:rPr>
                  <w:rStyle w:val="InternetLink"/>
                  <w:rFonts w:ascii="Times New Roman;serif" w:hAnsi="Times New Roman;serif"/>
                  <w:b w:val="false"/>
                  <w:sz w:val="20"/>
                  <w:u w:val="single"/>
                </w:rPr>
                <w:t>Amended and Restated Bylaws of Kodiak Sciences Inc.</w:t>
              </w:r>
            </w:hyperlink>
          </w:p>
        </w:tc>
        <w:tc>
          <w:tcPr>
            <w:tcW w:w="14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10-Q</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001-38682</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w:t>
            </w:r>
          </w:p>
        </w:tc>
        <w:tc>
          <w:tcPr>
            <w:tcW w:w="146"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11/16/2018</w:t>
            </w:r>
          </w:p>
        </w:tc>
      </w:tr>
      <w:tr>
        <w:trPr/>
        <w:tc>
          <w:tcPr>
            <w:tcW w:w="75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99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4.1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997"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4">
              <w:r>
                <w:rPr>
                  <w:rStyle w:val="InternetLink"/>
                  <w:rFonts w:ascii="Times New Roman;serif" w:hAnsi="Times New Roman;serif"/>
                  <w:b w:val="false"/>
                  <w:sz w:val="20"/>
                  <w:u w:val="single"/>
                </w:rPr>
                <w:t>Form of Common Stock Certificate</w:t>
              </w:r>
            </w:hyperlink>
          </w:p>
        </w:tc>
        <w:tc>
          <w:tcPr>
            <w:tcW w:w="14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S-1/A</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333-227237</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4.1</w:t>
            </w:r>
          </w:p>
        </w:tc>
        <w:tc>
          <w:tcPr>
            <w:tcW w:w="146"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9/24/2018</w:t>
            </w:r>
          </w:p>
        </w:tc>
      </w:tr>
      <w:tr>
        <w:trPr/>
        <w:tc>
          <w:tcPr>
            <w:tcW w:w="75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99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4.2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997"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5">
              <w:r>
                <w:rPr>
                  <w:rStyle w:val="InternetLink"/>
                  <w:rFonts w:ascii="Times New Roman;serif" w:hAnsi="Times New Roman;serif"/>
                  <w:b w:val="false"/>
                  <w:sz w:val="20"/>
                  <w:u w:val="single"/>
                </w:rPr>
                <w:t>Form of Class B Share Warrant</w:t>
              </w:r>
            </w:hyperlink>
          </w:p>
        </w:tc>
        <w:tc>
          <w:tcPr>
            <w:tcW w:w="14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S-1</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333-227237</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4.5</w:t>
            </w:r>
          </w:p>
        </w:tc>
        <w:tc>
          <w:tcPr>
            <w:tcW w:w="146"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9/7/2018</w:t>
            </w:r>
          </w:p>
        </w:tc>
      </w:tr>
      <w:tr>
        <w:trPr/>
        <w:tc>
          <w:tcPr>
            <w:tcW w:w="75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99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4.3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997"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6">
              <w:r>
                <w:rPr>
                  <w:rStyle w:val="InternetLink"/>
                  <w:rFonts w:ascii="Times New Roman;serif" w:hAnsi="Times New Roman;serif"/>
                  <w:b w:val="false"/>
                  <w:sz w:val="20"/>
                  <w:u w:val="single"/>
                </w:rPr>
                <w:t>Registration Rights Agreement, dated March 1, 2021, by and among the registrant and the investors named therein</w:t>
              </w:r>
            </w:hyperlink>
          </w:p>
        </w:tc>
        <w:tc>
          <w:tcPr>
            <w:tcW w:w="14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10-K</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001-38682</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4.7</w:t>
            </w:r>
          </w:p>
        </w:tc>
        <w:tc>
          <w:tcPr>
            <w:tcW w:w="146"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3/1/2021</w:t>
            </w:r>
          </w:p>
        </w:tc>
      </w:tr>
      <w:tr>
        <w:trPr/>
        <w:tc>
          <w:tcPr>
            <w:tcW w:w="75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99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31.1</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997"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kod-ex31_1.htm">
              <w:r>
                <w:rPr>
                  <w:rStyle w:val="InternetLink"/>
                  <w:rFonts w:ascii="Times New Roman;serif" w:hAnsi="Times New Roman;serif"/>
                  <w:b w:val="false"/>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99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31.2</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997"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kod-ex31_2.htm">
              <w:r>
                <w:rPr>
                  <w:rStyle w:val="InternetLink"/>
                  <w:rFonts w:ascii="Times New Roman;serif" w:hAnsi="Times New Roman;serif"/>
                  <w:b w:val="false"/>
                  <w:sz w:val="20"/>
                  <w:u w:val="single"/>
                </w:rPr>
                <w:t>Certification of Principal Accounting and Financial Officer Pursuant to Rules 13a-14(a) and 15d-14(a) under the Securities Exchange Act of 1934, as Adopted Pursuant to Section 302 of the Sarbanes-Oxley Act of 2002</w:t>
              </w:r>
            </w:hyperlink>
          </w:p>
        </w:tc>
        <w:tc>
          <w:tcPr>
            <w:tcW w:w="14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99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32.1*</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997"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kod-ex32_1.htm">
              <w:r>
                <w:rPr>
                  <w:rStyle w:val="InternetLink"/>
                  <w:rFonts w:ascii="Times New Roman;serif" w:hAnsi="Times New Roman;serif"/>
                  <w:b w:val="false"/>
                  <w:sz w:val="20"/>
                  <w:u w:val="single"/>
                </w:rPr>
                <w:t>Certification of Principal Executive Officer Pursuant to 18 U.S.C. Section 1350, as Adopted Pursuant to Section 906 of the Sarbanes-Oxley Act of 2002</w:t>
              </w:r>
            </w:hyperlink>
          </w:p>
        </w:tc>
        <w:tc>
          <w:tcPr>
            <w:tcW w:w="14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99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32.2*</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997"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kod-ex32_2.htm">
              <w:r>
                <w:rPr>
                  <w:rStyle w:val="InternetLink"/>
                  <w:rFonts w:ascii="Times New Roman;serif" w:hAnsi="Times New Roman;serif"/>
                  <w:b w:val="false"/>
                  <w:sz w:val="20"/>
                  <w:u w:val="single"/>
                </w:rPr>
                <w:t>Certification of Principal Accounting and Financial Officer Pursuant to 18 U.S.C. Section 1350, as Adopted Pursuant to Section 906 of the Sarbanes-Oxley Act of 2002</w:t>
              </w:r>
            </w:hyperlink>
          </w:p>
        </w:tc>
        <w:tc>
          <w:tcPr>
            <w:tcW w:w="14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99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99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(the instance document does not appear in the Interactive Data File because its XBRL tags are embedded within the Inline XBRL document)</w:t>
            </w:r>
          </w:p>
        </w:tc>
        <w:tc>
          <w:tcPr>
            <w:tcW w:w="14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99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99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c>
          <w:tcPr>
            <w:tcW w:w="14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99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99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c>
          <w:tcPr>
            <w:tcW w:w="14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99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99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c>
          <w:tcPr>
            <w:tcW w:w="14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99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99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c>
          <w:tcPr>
            <w:tcW w:w="14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99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99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c>
          <w:tcPr>
            <w:tcW w:w="14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99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99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(formatted as Inline XBRL with applicable taxonomy extension information contained in Exhibits 101)</w:t>
            </w:r>
          </w:p>
        </w:tc>
        <w:tc>
          <w:tcPr>
            <w:tcW w:w="14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99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left"/>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 The certifications attached as Exhibits 32.1 and 32.2 are deemed “furnished” and not deemed “filed” for purposes of Section 18 of the Securities Exchange Act of 1934, as amended, and are not to be incorporated by reference into any filing of Kodiak Sciences Inc. under the Securities Act of 1933, as amended, or the Securities Exchange Act of 1934, as amended, whether made before or after the date hereof irrespective of any general incorporation by reference language contained in any such filing, except to the extent that the registrant specifically incorporates it by reference.</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65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26" w:name="signatures"/>
      <w:bookmarkEnd w:id="26"/>
      <w:r>
        <w:rPr>
          <w:rFonts w:ascii="Times New Roman;serif" w:hAnsi="Times New Roman;serif"/>
          <w:b/>
          <w:sz w:val="20"/>
        </w:rPr>
        <w:t>SIGNAT</w:t>
      </w:r>
      <w:bookmarkStart w:id="27" w:name="signature"/>
      <w:bookmarkEnd w:id="27"/>
      <w:r>
        <w:rPr>
          <w:rFonts w:ascii="Times New Roman;serif" w:hAnsi="Times New Roman;serif"/>
          <w:b/>
          <w:sz w:val="20"/>
        </w:rPr>
        <w:t>URES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t> </w:t>
      </w:r>
    </w:p>
    <w:tbl>
      <w:tblPr>
        <w:tblW w:w="6397" w:type="dxa"/>
        <w:jc w:val="left"/>
        <w:tblInd w:w="0" w:type="dxa"/>
        <w:tblLayout w:type="fixed"/>
        <w:tblCellMar>
          <w:top w:w="28" w:type="dxa"/>
          <w:left w:w="28" w:type="dxa"/>
          <w:bottom w:w="28" w:type="dxa"/>
          <w:right w:w="28" w:type="dxa"/>
        </w:tblCellMar>
      </w:tblPr>
      <w:tblGrid>
        <w:gridCol w:w="1951"/>
        <w:gridCol w:w="109"/>
        <w:gridCol w:w="406"/>
        <w:gridCol w:w="39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337"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KODIAK SCIENCES INC.</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9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14,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93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Victor Perlroth</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9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Victor Perlroth, M.D.</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9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Chairman and Chief Executive Officer</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Executive Officer)</w:t>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9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14,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93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John Borgeson</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9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John Borgeson</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9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Chief Financial Officer</w:t>
            </w:r>
            <w:r>
              <w:rPr>
                <w:rFonts w:ascii="Times New Roman" w:hAnsi="Times New Roman"/>
                <w:sz w:val="20"/>
              </w:rPr>
              <w:t xml:space="preserve"> </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Accounting and Financial Officer)</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66</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8" w:name="kod-ex31_1.htm"/>
      <w:bookmarkStart w:id="29" w:name="kskodex31_1"/>
      <w:bookmarkEnd w:id="28"/>
      <w:bookmarkEnd w:id="29"/>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31.1</w:t>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Victor Perlroth, M.D., certify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Kodiak Sciences Inc.;</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jc w:val="left"/>
        <w:rPr>
          <w:rFonts w:ascii="Times New Roman" w:hAnsi="Times New Roman"/>
          <w:b w:val="false"/>
          <w:sz w:val="20"/>
        </w:rPr>
      </w:pPr>
      <w:r>
        <w:rPr>
          <w:rFonts w:ascii="Times New Roman" w:hAnsi="Times New Roman"/>
          <w:b w:val="false"/>
          <w:sz w:val="20"/>
        </w:rPr>
        <w:t>(c)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5872" w:type="dxa"/>
        <w:jc w:val="left"/>
        <w:tblInd w:w="0" w:type="dxa"/>
        <w:tblLayout w:type="fixed"/>
        <w:tblCellMar>
          <w:top w:w="28" w:type="dxa"/>
          <w:left w:w="28" w:type="dxa"/>
          <w:bottom w:w="28" w:type="dxa"/>
          <w:right w:w="28" w:type="dxa"/>
        </w:tblCellMar>
      </w:tblPr>
      <w:tblGrid>
        <w:gridCol w:w="1951"/>
        <w:gridCol w:w="109"/>
        <w:gridCol w:w="406"/>
        <w:gridCol w:w="340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14,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40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Victor Perlroth</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4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Victor Perlroth, M.D.</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4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Chairman and Chief Executive Officer</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30" w:name="kod-ex31_2.htm"/>
      <w:bookmarkStart w:id="31" w:name="kskodex31_2"/>
      <w:bookmarkEnd w:id="30"/>
      <w:bookmarkEnd w:id="31"/>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31.2</w:t>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John Borgeson, certify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Kodiak Sciences Inc.;</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jc w:val="left"/>
        <w:rPr>
          <w:rFonts w:ascii="Times New Roman" w:hAnsi="Times New Roman"/>
          <w:b w:val="false"/>
          <w:sz w:val="20"/>
        </w:rPr>
      </w:pPr>
      <w:r>
        <w:rPr>
          <w:rFonts w:ascii="Times New Roman" w:hAnsi="Times New Roman"/>
          <w:b w:val="false"/>
          <w:sz w:val="20"/>
        </w:rPr>
        <w:t>(c)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6397" w:type="dxa"/>
        <w:jc w:val="left"/>
        <w:tblInd w:w="0" w:type="dxa"/>
        <w:tblLayout w:type="fixed"/>
        <w:tblCellMar>
          <w:top w:w="28" w:type="dxa"/>
          <w:left w:w="28" w:type="dxa"/>
          <w:bottom w:w="28" w:type="dxa"/>
          <w:right w:w="28" w:type="dxa"/>
        </w:tblCellMar>
      </w:tblPr>
      <w:tblGrid>
        <w:gridCol w:w="1951"/>
        <w:gridCol w:w="109"/>
        <w:gridCol w:w="406"/>
        <w:gridCol w:w="39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14,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93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John Borgeson</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9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John Borgeson</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9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Accounting and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32" w:name="kod-ex32_1.htm"/>
      <w:bookmarkStart w:id="33" w:name="kskodex32_1"/>
      <w:bookmarkEnd w:id="32"/>
      <w:bookmarkEnd w:id="33"/>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32.1</w:t>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of Kodiak Sciences Inc. (the “Company”) on Form 10-Q for the period ended June 30, 2023 as filed with the Securities and Exchange Commission on the date hereof (the “Report”), I certify, pursuant to 18 U.S.C. § 1350, as adopted pursuant to § 906 of the Sarbanes-Oxley Act of 2002, to the best of my knowledge,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5872" w:type="dxa"/>
        <w:jc w:val="left"/>
        <w:tblInd w:w="0" w:type="dxa"/>
        <w:tblLayout w:type="fixed"/>
        <w:tblCellMar>
          <w:top w:w="28" w:type="dxa"/>
          <w:left w:w="28" w:type="dxa"/>
          <w:bottom w:w="28" w:type="dxa"/>
          <w:right w:w="28" w:type="dxa"/>
        </w:tblCellMar>
      </w:tblPr>
      <w:tblGrid>
        <w:gridCol w:w="1951"/>
        <w:gridCol w:w="109"/>
        <w:gridCol w:w="406"/>
        <w:gridCol w:w="340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14,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40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Victor Perlroth</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4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Victor Perlroth, M.D.</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4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Chairman and Chief Executive Officer</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Executive Officer)</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34" w:name="kod-ex32_2.htm"/>
      <w:bookmarkStart w:id="35" w:name="kskodex32_2"/>
      <w:bookmarkEnd w:id="34"/>
      <w:bookmarkEnd w:id="35"/>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32.2</w:t>
      </w:r>
    </w:p>
    <w:p>
      <w:pPr>
        <w:pStyle w:val="TextBody"/>
        <w:bidi w:val="0"/>
        <w:spacing w:before="24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of Kodiak Sciences Inc. (the “Company”) on Form 10-Q for the period ended June 30, 2023 as filed with the Securities and Exchange Commission on the date hereof (the “Report”), I certify, pursuant to 18 U.S.C. § 1350, as adopted pursuant to § 906 of the Sarbanes-Oxley Act of 2002, to the best of my knowledge,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6397" w:type="dxa"/>
        <w:jc w:val="left"/>
        <w:tblInd w:w="0" w:type="dxa"/>
        <w:tblLayout w:type="fixed"/>
        <w:tblCellMar>
          <w:top w:w="28" w:type="dxa"/>
          <w:left w:w="28" w:type="dxa"/>
          <w:bottom w:w="28" w:type="dxa"/>
          <w:right w:w="28" w:type="dxa"/>
        </w:tblCellMar>
      </w:tblPr>
      <w:tblGrid>
        <w:gridCol w:w="1951"/>
        <w:gridCol w:w="109"/>
        <w:gridCol w:w="406"/>
        <w:gridCol w:w="39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14,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93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John Borgeson</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9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John Borgeson</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9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Accounting and Financial Officer)</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68748/000156459018029743/kod-ex31_303.htm" TargetMode="External"/><Relationship Id="rId3" Type="http://schemas.openxmlformats.org/officeDocument/2006/relationships/hyperlink" Target="https://www.sec.gov/Archives/edgar/data/1468748/000156459018029743/kod-ex32_302.htm" TargetMode="External"/><Relationship Id="rId4" Type="http://schemas.openxmlformats.org/officeDocument/2006/relationships/hyperlink" Target="https://www.sec.gov/Archives/edgar/data/1468748/000119312518280419/d516071dex41.htm" TargetMode="External"/><Relationship Id="rId5" Type="http://schemas.openxmlformats.org/officeDocument/2006/relationships/hyperlink" Target="https://www.sec.gov/Archives/edgar/data/1468748/000119312518269221/d516071dex45.htm" TargetMode="External"/><Relationship Id="rId6" Type="http://schemas.openxmlformats.org/officeDocument/2006/relationships/hyperlink" Target="https://www.sec.gov/Archives/edgar/data/1468748/000156459021009946/kod-ex47_8.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48576</Words>
  <Characters>274907</Characters>
  <CharactersWithSpaces>324018</CharactersWithSpaces>
  <Paragraphs>4511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