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60" w:right="1720" w:hanging="3652"/>
        <w:spacing w:after="0" w:line="360" w:lineRule="auto"/>
        <w:tabs>
          <w:tab w:leader="none" w:pos="3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3460" w:right="1720" w:hanging="3452"/>
        <w:spacing w:after="0" w:line="367" w:lineRule="auto"/>
        <w:tabs>
          <w:tab w:leader="none" w:pos="36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001-38682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27-0476525</w:t>
      </w:r>
    </w:p>
    <w:p>
      <w:pPr>
        <w:spacing w:after="0" w:line="32"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41" w:lineRule="exact"/>
        <w:rPr>
          <w:sz w:val="24"/>
          <w:szCs w:val="24"/>
          <w:color w:val="auto"/>
        </w:rPr>
      </w:pPr>
    </w:p>
    <w:p>
      <w:pPr>
        <w:sectPr>
          <w:pgSz w:w="11900" w:h="16838" w:orient="portrait"/>
          <w:cols w:equalWidth="0" w:num="2">
            <w:col w:w="7140" w:space="720"/>
            <w:col w:w="3380"/>
          </w:cols>
          <w:pgMar w:left="320" w:top="719" w:right="339" w:bottom="1440" w:gutter="0" w:footer="0" w:header="0"/>
          <w:type w:val="continuous"/>
        </w:sectPr>
      </w:pPr>
    </w:p>
    <w:p>
      <w:pPr>
        <w:ind w:left="2020"/>
        <w:spacing w:after="0"/>
        <w:rPr>
          <w:sz w:val="20"/>
          <w:szCs w:val="20"/>
          <w:color w:val="auto"/>
        </w:rPr>
      </w:pPr>
      <w:r>
        <w:rPr>
          <w:rFonts w:ascii="Arial" w:cs="Arial" w:eastAsia="Arial" w:hAnsi="Arial"/>
          <w:sz w:val="18"/>
          <w:szCs w:val="18"/>
          <w:b w:val="1"/>
          <w:bCs w:val="1"/>
          <w:color w:val="auto"/>
        </w:rPr>
        <w:t>1200 Page Mill Road</w:t>
      </w:r>
    </w:p>
    <w:p>
      <w:pPr>
        <w:spacing w:after="0" w:line="2"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8"/>
          <w:szCs w:val="18"/>
          <w:b w:val="1"/>
          <w:bCs w:val="1"/>
          <w:color w:val="auto"/>
        </w:rPr>
        <w:t>Palo Alto, CA</w:t>
      </w:r>
      <w:r>
        <w:rPr>
          <w:sz w:val="20"/>
          <w:szCs w:val="20"/>
          <w:color w:val="auto"/>
        </w:rPr>
        <w:tab/>
      </w:r>
      <w:r>
        <w:rPr>
          <w:rFonts w:ascii="Arial" w:cs="Arial" w:eastAsia="Arial" w:hAnsi="Arial"/>
          <w:sz w:val="16"/>
          <w:szCs w:val="16"/>
          <w:b w:val="1"/>
          <w:bCs w:val="1"/>
          <w:color w:val="auto"/>
        </w:rPr>
        <w:t>94304</w:t>
      </w:r>
    </w:p>
    <w:p>
      <w:pPr>
        <w:spacing w:after="0" w:line="7"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32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79" w:lineRule="exact"/>
        <w:rPr>
          <w:sz w:val="24"/>
          <w:szCs w:val="24"/>
          <w:color w:val="auto"/>
        </w:rPr>
      </w:pPr>
    </w:p>
    <w:p>
      <w:pPr>
        <w:jc w:val="both"/>
        <w:ind w:firstLine="509"/>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ind w:right="180" w:firstLine="509"/>
        <w:spacing w:after="0" w:line="22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right="240" w:firstLine="50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8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19"/>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1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7" w:lineRule="exact"/>
        <w:rPr>
          <w:sz w:val="24"/>
          <w:szCs w:val="24"/>
          <w:color w:val="auto"/>
        </w:rPr>
      </w:pPr>
    </w:p>
    <w:p>
      <w:pPr>
        <w:ind w:right="80" w:firstLine="50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520" w:right="246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31, 2022, the registrant had 52,309,154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79"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79"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0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7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03" w:lineRule="exact"/>
        <w:rPr>
          <w:rFonts w:ascii="Arial" w:cs="Arial" w:eastAsia="Arial" w:hAnsi="Arial"/>
          <w:sz w:val="18"/>
          <w:szCs w:val="18"/>
          <w:color w:val="auto"/>
        </w:rPr>
      </w:pPr>
    </w:p>
    <w:p>
      <w:pPr>
        <w:ind w:left="760" w:right="10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portfolio of clinical trials planned for submission in our Biologics License Application, or BLA, of tarcocimab tedromer (formerly KSI-301, also known as tarcocimab);</w:t>
      </w:r>
    </w:p>
    <w:p>
      <w:pPr>
        <w:spacing w:after="0" w:line="7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present clinical data across our pivotal trials for 2023;</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Lonza’s ability to successfully execute on our manufacturing development plan;</w:t>
      </w:r>
    </w:p>
    <w:p>
      <w:pPr>
        <w:spacing w:after="0" w:line="103" w:lineRule="exact"/>
        <w:rPr>
          <w:rFonts w:ascii="Arial" w:cs="Arial" w:eastAsia="Arial" w:hAnsi="Arial"/>
          <w:sz w:val="18"/>
          <w:szCs w:val="18"/>
          <w:color w:val="auto"/>
        </w:rPr>
      </w:pPr>
    </w:p>
    <w:p>
      <w:pPr>
        <w:ind w:left="760" w:hanging="378"/>
        <w:spacing w:after="0" w:line="256"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66"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chemistry manufacturing and controls, or CMC, requirements of the United States Food and Drug Administration, or FDA, and other regulatory bodies to support our BLA submission and potential commercial launch;</w:t>
      </w:r>
    </w:p>
    <w:p>
      <w:pPr>
        <w:spacing w:after="0" w:line="76"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FDA approval of tarcocimab in wet AMD, DME, RVO and DR;</w:t>
      </w:r>
    </w:p>
    <w:p>
      <w:pPr>
        <w:spacing w:after="0" w:line="6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03" w:lineRule="exact"/>
        <w:rPr>
          <w:rFonts w:ascii="Arial" w:cs="Arial" w:eastAsia="Arial" w:hAnsi="Arial"/>
          <w:sz w:val="18"/>
          <w:szCs w:val="18"/>
          <w:color w:val="auto"/>
        </w:rPr>
      </w:pPr>
    </w:p>
    <w:p>
      <w:pPr>
        <w:ind w:left="760" w:right="24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76"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 w:name="page3"/>
    <w:bookmarkEnd w:id="2"/>
    <w:p>
      <w:pPr>
        <w:ind w:left="760" w:right="34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impact of the unfavorable U.S. and global economic conditions and the novel coronavirus, or COVID-19, pandemic on our business and operations, the business and operations of our collaborators, and on the global economy;</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aspirational goals and objectives related to our human capital resources and workforce objectives;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03" w:lineRule="exact"/>
        <w:rPr>
          <w:rFonts w:ascii="Arial" w:cs="Arial" w:eastAsia="Arial" w:hAnsi="Arial"/>
          <w:sz w:val="18"/>
          <w:szCs w:val="18"/>
          <w:color w:val="auto"/>
        </w:rPr>
      </w:pPr>
    </w:p>
    <w:p>
      <w:pPr>
        <w:ind w:left="760" w:right="52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 and</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4"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7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6" w:lineRule="exact"/>
        <w:rPr>
          <w:sz w:val="20"/>
          <w:szCs w:val="20"/>
          <w:color w:val="auto"/>
        </w:rPr>
      </w:pPr>
    </w:p>
    <w:p>
      <w:pPr>
        <w:ind w:right="720" w:firstLine="509"/>
        <w:spacing w:after="0" w:line="308" w:lineRule="auto"/>
        <w:rPr>
          <w:sz w:val="20"/>
          <w:szCs w:val="20"/>
          <w:color w:val="auto"/>
        </w:rPr>
      </w:pPr>
      <w:r>
        <w:rPr>
          <w:rFonts w:ascii="Arial" w:cs="Arial" w:eastAsia="Arial" w:hAnsi="Arial"/>
          <w:sz w:val="17"/>
          <w:szCs w:val="17"/>
          <w:i w:val="1"/>
          <w:iCs w:val="1"/>
          <w:color w:val="auto"/>
        </w:rPr>
        <w:t>All brand names or trademarks appearing in this report are the property of their respective holders. Unless the context requires otherwise, references in this report to “Kodiak” the “Company,” “we,” “us,” and “our” refer to Kodiak Sciences Inc. and its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Investing in our common stock involves numerous risks, including the risks described in “Part II—Other Information, Item 1A. Risk Factors” of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any one of which could materially adversely affect our business, financial condition, results of operations, and prospects.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among others, the following:</w:t>
      </w:r>
    </w:p>
    <w:p>
      <w:pPr>
        <w:spacing w:after="0" w:line="101" w:lineRule="exact"/>
        <w:rPr>
          <w:sz w:val="20"/>
          <w:szCs w:val="20"/>
          <w:color w:val="auto"/>
        </w:rPr>
      </w:pPr>
    </w:p>
    <w:p>
      <w:pPr>
        <w:ind w:left="760" w:right="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48" w:lineRule="exact"/>
        <w:rPr>
          <w:rFonts w:ascii="Arial" w:cs="Arial" w:eastAsia="Arial" w:hAnsi="Arial"/>
          <w:sz w:val="18"/>
          <w:szCs w:val="18"/>
          <w:color w:val="auto"/>
        </w:rPr>
      </w:pPr>
    </w:p>
    <w:p>
      <w:pPr>
        <w:ind w:left="760" w:right="5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prospects are heavily dependent on our tarcocimab product candidate, which is currently in clinical development for multiple indications.</w:t>
      </w:r>
    </w:p>
    <w:p>
      <w:pPr>
        <w:spacing w:after="0" w:line="140" w:lineRule="exact"/>
        <w:rPr>
          <w:rFonts w:ascii="Arial" w:cs="Arial" w:eastAsia="Arial" w:hAnsi="Arial"/>
          <w:sz w:val="16"/>
          <w:szCs w:val="16"/>
          <w:color w:val="auto"/>
        </w:rPr>
      </w:pPr>
    </w:p>
    <w:p>
      <w:pPr>
        <w:ind w:left="760" w:right="5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of tarcocimab in clinical development may require us to discontinue development of other product candidates based on our ABC Platform.</w:t>
      </w:r>
    </w:p>
    <w:p>
      <w:pPr>
        <w:spacing w:after="0" w:line="62"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48" w:lineRule="exact"/>
        <w:rPr>
          <w:rFonts w:ascii="Arial" w:cs="Arial" w:eastAsia="Arial" w:hAnsi="Arial"/>
          <w:sz w:val="18"/>
          <w:szCs w:val="18"/>
          <w:color w:val="auto"/>
        </w:rPr>
      </w:pPr>
    </w:p>
    <w:p>
      <w:pPr>
        <w:ind w:left="760" w:right="2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not be able to conduct or complete our clinical trials on the timelines we expect, if at all.</w:t>
      </w:r>
    </w:p>
    <w:p>
      <w:pPr>
        <w:spacing w:after="0" w:line="76" w:lineRule="exact"/>
        <w:rPr>
          <w:rFonts w:ascii="Arial" w:cs="Arial" w:eastAsia="Arial" w:hAnsi="Arial"/>
          <w:sz w:val="18"/>
          <w:szCs w:val="18"/>
          <w:color w:val="auto"/>
        </w:rPr>
      </w:pPr>
    </w:p>
    <w:p>
      <w:pPr>
        <w:ind w:left="760" w:right="6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difficulties enrolling patients in our clinical trials, and our clinical development activities could thereby be delayed or otherwise adversely affected.</w:t>
      </w:r>
    </w:p>
    <w:p>
      <w:pPr>
        <w:spacing w:after="0" w:line="62"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48" w:lineRule="exact"/>
        <w:rPr>
          <w:rFonts w:ascii="Arial" w:cs="Arial" w:eastAsia="Arial" w:hAnsi="Arial"/>
          <w:sz w:val="18"/>
          <w:szCs w:val="18"/>
          <w:color w:val="auto"/>
        </w:rPr>
      </w:pPr>
    </w:p>
    <w:p>
      <w:pPr>
        <w:jc w:val="both"/>
        <w:ind w:left="760" w:hanging="378"/>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topline results from our Phase 2b/3 pivotal study of tarcocimab in wet AMD and from our Phase 3 pivotal study BEACON in RVO may lead to further study design modifications in our other ongoing pivotal studies and may impact the timeline of completion and likelihood of success of these pivotal studies.</w:t>
      </w:r>
    </w:p>
    <w:p>
      <w:pPr>
        <w:spacing w:after="0" w:line="66" w:lineRule="exact"/>
        <w:rPr>
          <w:rFonts w:ascii="Arial" w:cs="Arial" w:eastAsia="Arial" w:hAnsi="Arial"/>
          <w:sz w:val="18"/>
          <w:szCs w:val="18"/>
          <w:color w:val="auto"/>
        </w:rPr>
      </w:pPr>
    </w:p>
    <w:p>
      <w:pPr>
        <w:ind w:left="760" w:right="120" w:hanging="378"/>
        <w:spacing w:after="0" w:line="24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103" w:lineRule="exact"/>
        <w:rPr>
          <w:rFonts w:ascii="Arial" w:cs="Arial" w:eastAsia="Arial" w:hAnsi="Arial"/>
          <w:sz w:val="18"/>
          <w:szCs w:val="18"/>
          <w:color w:val="auto"/>
        </w:rPr>
      </w:pPr>
    </w:p>
    <w:p>
      <w:pPr>
        <w:ind w:left="760" w:right="120" w:hanging="378"/>
        <w:spacing w:after="0" w:line="24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planned BLA filing, or our ability to supply our products for patients, if approved, could be delayed or stopped, or we may be unable to establish a commercially viable cost structure.</w:t>
      </w:r>
    </w:p>
    <w:p>
      <w:pPr>
        <w:spacing w:after="0" w:line="73" w:lineRule="exact"/>
        <w:rPr>
          <w:rFonts w:ascii="Arial" w:cs="Arial" w:eastAsia="Arial" w:hAnsi="Arial"/>
          <w:sz w:val="18"/>
          <w:szCs w:val="18"/>
          <w:color w:val="auto"/>
        </w:rPr>
      </w:pPr>
    </w:p>
    <w:p>
      <w:pPr>
        <w:ind w:left="760" w:right="260" w:hanging="378"/>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66" w:lineRule="exact"/>
        <w:rPr>
          <w:rFonts w:ascii="Arial" w:cs="Arial" w:eastAsia="Arial" w:hAnsi="Arial"/>
          <w:sz w:val="18"/>
          <w:szCs w:val="18"/>
          <w:color w:val="auto"/>
        </w:rPr>
      </w:pPr>
    </w:p>
    <w:p>
      <w:pPr>
        <w:ind w:left="760" w:right="5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conduct clinical trials for our product candidates outside the United States, and the FDA, EMA, NMPA and applicable foreign regulatory authorities may not accept data from such trials.</w:t>
      </w:r>
    </w:p>
    <w:p>
      <w:pPr>
        <w:spacing w:after="0" w:line="76" w:lineRule="exact"/>
        <w:rPr>
          <w:rFonts w:ascii="Arial" w:cs="Arial" w:eastAsia="Arial" w:hAnsi="Arial"/>
          <w:sz w:val="18"/>
          <w:szCs w:val="18"/>
          <w:color w:val="auto"/>
        </w:rPr>
      </w:pPr>
    </w:p>
    <w:p>
      <w:pPr>
        <w:ind w:left="760" w:right="24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3" w:lineRule="exact"/>
        <w:rPr>
          <w:rFonts w:ascii="Arial" w:cs="Arial" w:eastAsia="Arial" w:hAnsi="Arial"/>
          <w:sz w:val="18"/>
          <w:szCs w:val="18"/>
          <w:color w:val="auto"/>
        </w:rPr>
      </w:pPr>
    </w:p>
    <w:p>
      <w:pPr>
        <w:ind w:left="760" w:right="400" w:hanging="378"/>
        <w:spacing w:after="0" w:line="342"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 w:name="page5"/>
    <w:bookmarkEnd w:id="4"/>
    <w:p>
      <w:pPr>
        <w:ind w:left="380" w:right="360" w:hanging="378"/>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2" w:lineRule="exact"/>
        <w:rPr>
          <w:rFonts w:ascii="Arial" w:cs="Arial" w:eastAsia="Arial" w:hAnsi="Arial"/>
          <w:sz w:val="16"/>
          <w:szCs w:val="16"/>
          <w:color w:val="auto"/>
        </w:rPr>
      </w:pPr>
    </w:p>
    <w:p>
      <w:pPr>
        <w:ind w:left="380" w:right="20" w:hanging="378"/>
        <w:spacing w:after="0" w:line="25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6" w:lineRule="exact"/>
        <w:rPr>
          <w:rFonts w:ascii="Arial" w:cs="Arial" w:eastAsia="Arial" w:hAnsi="Arial"/>
          <w:sz w:val="18"/>
          <w:szCs w:val="18"/>
          <w:color w:val="auto"/>
        </w:rPr>
      </w:pPr>
    </w:p>
    <w:p>
      <w:pPr>
        <w:ind w:left="380" w:right="400" w:hanging="378"/>
        <w:spacing w:after="0" w:line="291"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52" w:lineRule="exact"/>
        <w:rPr>
          <w:rFonts w:ascii="Arial" w:cs="Arial" w:eastAsia="Arial" w:hAnsi="Arial"/>
          <w:sz w:val="17"/>
          <w:szCs w:val="17"/>
          <w:color w:val="auto"/>
        </w:rPr>
      </w:pPr>
    </w:p>
    <w:p>
      <w:pPr>
        <w:ind w:left="38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rFonts w:ascii="Arial" w:cs="Arial" w:eastAsia="Arial" w:hAnsi="Arial"/>
          <w:sz w:val="18"/>
          <w:szCs w:val="18"/>
          <w:color w:val="auto"/>
        </w:rPr>
      </w:pPr>
    </w:p>
    <w:p>
      <w:pPr>
        <w:ind w:left="380" w:right="34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and other intellectual property rights, which could be expensive, time consuming and unsuccessful.</w:t>
      </w:r>
    </w:p>
    <w:p>
      <w:pPr>
        <w:spacing w:after="0" w:line="76" w:lineRule="exact"/>
        <w:rPr>
          <w:rFonts w:ascii="Arial" w:cs="Arial" w:eastAsia="Arial" w:hAnsi="Arial"/>
          <w:sz w:val="18"/>
          <w:szCs w:val="18"/>
          <w:color w:val="auto"/>
        </w:rPr>
      </w:pPr>
    </w:p>
    <w:p>
      <w:pPr>
        <w:ind w:left="38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U.S. and global economic conditions could adversely affect our business, financial condition or results of operations.</w:t>
      </w:r>
    </w:p>
    <w:p>
      <w:pPr>
        <w:spacing w:after="0" w:line="117" w:lineRule="exact"/>
        <w:rPr>
          <w:rFonts w:ascii="Arial" w:cs="Arial" w:eastAsia="Arial" w:hAnsi="Arial"/>
          <w:sz w:val="18"/>
          <w:szCs w:val="18"/>
          <w:color w:val="auto"/>
        </w:rPr>
      </w:pPr>
    </w:p>
    <w:p>
      <w:pPr>
        <w:ind w:left="380" w:right="40" w:hanging="378"/>
        <w:spacing w:after="0" w:line="260"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contract research organizations (“CROs”) or other third parties with whom we conduct business. Our manufacturers are also engaged in the manufacturing of COVID-19 vaccines and therapeutic treatments, and the success of and demand for these vaccines and therapeutic treatments means we and our programs are competing for scarce manufacturing resources.</w:t>
      </w: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436" w:right="3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60" w:type="dxa"/>
            <w:vAlign w:val="bottom"/>
            <w:gridSpan w:val="26"/>
            <w:vMerge w:val="restart"/>
          </w:tcPr>
          <w:p>
            <w:pPr>
              <w:spacing w:after="0"/>
              <w:rPr>
                <w:sz w:val="20"/>
                <w:szCs w:val="20"/>
                <w:color w:val="auto"/>
              </w:rPr>
            </w:pPr>
            <w:r>
              <w:rPr>
                <w:rFonts w:ascii="Arial" w:cs="Arial" w:eastAsia="Arial" w:hAnsi="Arial"/>
                <w:sz w:val="18"/>
                <w:szCs w:val="18"/>
                <w:color w:val="0000FF"/>
              </w:rPr>
              <w:t>FINANCIAL INFORMATION</w:t>
            </w: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9160" w:type="dxa"/>
            <w:vAlign w:val="bottom"/>
            <w:gridSpan w:val="26"/>
            <w:vMerge w:val="continue"/>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83"/>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440" w:type="dxa"/>
            <w:vAlign w:val="bottom"/>
            <w:gridSpan w:val="15"/>
          </w:tcPr>
          <w:p>
            <w:pPr>
              <w:spacing w:after="0" w:line="182" w:lineRule="exact"/>
              <w:rPr>
                <w:sz w:val="20"/>
                <w:szCs w:val="20"/>
                <w:color w:val="auto"/>
              </w:rPr>
            </w:pPr>
            <w:r>
              <w:rPr>
                <w:rFonts w:ascii="Arial" w:cs="Arial" w:eastAsia="Arial" w:hAnsi="Arial"/>
                <w:sz w:val="18"/>
                <w:szCs w:val="18"/>
                <w:color w:val="0000FF"/>
                <w:w w:val="88"/>
              </w:rPr>
              <w:t>Condensed Consolidated Balance</w:t>
            </w:r>
          </w:p>
        </w:tc>
        <w:tc>
          <w:tcPr>
            <w:tcW w:w="6720" w:type="dxa"/>
            <w:vAlign w:val="bottom"/>
            <w:gridSpan w:val="11"/>
          </w:tcPr>
          <w:p>
            <w:pPr>
              <w:ind w:left="20"/>
              <w:spacing w:after="0" w:line="182" w:lineRule="exact"/>
              <w:rPr>
                <w:sz w:val="20"/>
                <w:szCs w:val="20"/>
                <w:color w:val="auto"/>
              </w:rPr>
            </w:pPr>
            <w:r>
              <w:rPr>
                <w:rFonts w:ascii="Arial" w:cs="Arial" w:eastAsia="Arial" w:hAnsi="Arial"/>
                <w:sz w:val="18"/>
                <w:szCs w:val="18"/>
                <w:color w:val="0000FF"/>
              </w:rPr>
              <w:t>Sheets</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94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1"/>
              </w:rPr>
              <w:t>Condensed Consolidated Statements of</w:t>
            </w:r>
          </w:p>
        </w:tc>
        <w:tc>
          <w:tcPr>
            <w:tcW w:w="622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52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9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88"/>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60" w:type="dxa"/>
            <w:vAlign w:val="bottom"/>
            <w:tcBorders>
              <w:top w:val="single" w:sz="8" w:color="0000FF"/>
            </w:tcBorders>
            <w:gridSpan w:val="3"/>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spacing w:after="0"/>
              <w:rPr>
                <w:sz w:val="15"/>
                <w:szCs w:val="15"/>
                <w:color w:val="auto"/>
              </w:rPr>
            </w:pP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4800" w:type="dxa"/>
            <w:vAlign w:val="bottom"/>
            <w:tcBorders>
              <w:bottom w:val="single" w:sz="8" w:color="0000FF"/>
            </w:tcBorders>
            <w:gridSpan w:val="22"/>
          </w:tcPr>
          <w:p>
            <w:pPr>
              <w:spacing w:after="0" w:line="182" w:lineRule="exact"/>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340" w:type="dxa"/>
            <w:vAlign w:val="bottom"/>
            <w:gridSpan w:val="3"/>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9160" w:type="dxa"/>
            <w:vAlign w:val="bottom"/>
            <w:gridSpan w:val="2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70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780" w:type="dxa"/>
            <w:vAlign w:val="bottom"/>
            <w:gridSpan w:val="6"/>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1"/>
              </w:rPr>
              <w:t>OTHER INFORMATION</w:t>
            </w:r>
          </w:p>
        </w:tc>
        <w:tc>
          <w:tcPr>
            <w:tcW w:w="100" w:type="dxa"/>
            <w:vAlign w:val="bottom"/>
            <w:tcBorders>
              <w:bottom w:val="single" w:sz="8" w:color="0000FF"/>
            </w:tcBorders>
          </w:tcPr>
          <w:p>
            <w:pPr>
              <w:spacing w:after="0"/>
              <w:rPr>
                <w:sz w:val="15"/>
                <w:szCs w:val="15"/>
                <w:color w:val="auto"/>
              </w:rPr>
            </w:pPr>
          </w:p>
        </w:tc>
        <w:tc>
          <w:tcPr>
            <w:tcW w:w="420" w:type="dxa"/>
            <w:vAlign w:val="bottom"/>
            <w:gridSpan w:val="2"/>
          </w:tcPr>
          <w:p>
            <w:pPr>
              <w:spacing w:after="0"/>
              <w:rPr>
                <w:sz w:val="15"/>
                <w:szCs w:val="15"/>
                <w:color w:val="auto"/>
              </w:rPr>
            </w:pPr>
          </w:p>
        </w:tc>
        <w:tc>
          <w:tcPr>
            <w:tcW w:w="2040" w:type="dxa"/>
            <w:vAlign w:val="bottom"/>
            <w:gridSpan w:val="6"/>
          </w:tcPr>
          <w:p>
            <w:pPr>
              <w:spacing w:after="0"/>
              <w:rPr>
                <w:sz w:val="15"/>
                <w:szCs w:val="15"/>
                <w:color w:val="auto"/>
              </w:rPr>
            </w:pP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1900" w:type="dxa"/>
            <w:vAlign w:val="bottom"/>
            <w:gridSpan w:val="11"/>
          </w:tcPr>
          <w:p>
            <w:pPr>
              <w:spacing w:after="0" w:line="182" w:lineRule="exact"/>
              <w:rPr>
                <w:sz w:val="20"/>
                <w:szCs w:val="20"/>
                <w:color w:val="auto"/>
              </w:rPr>
            </w:pPr>
            <w:r>
              <w:rPr>
                <w:rFonts w:ascii="Arial" w:cs="Arial" w:eastAsia="Arial" w:hAnsi="Arial"/>
                <w:sz w:val="18"/>
                <w:szCs w:val="18"/>
                <w:color w:val="0000FF"/>
              </w:rPr>
              <w:t>Legal Proceedings</w:t>
            </w:r>
          </w:p>
        </w:tc>
        <w:tc>
          <w:tcPr>
            <w:tcW w:w="420" w:type="dxa"/>
            <w:vAlign w:val="bottom"/>
            <w:gridSpan w:val="2"/>
          </w:tcPr>
          <w:p>
            <w:pPr>
              <w:spacing w:after="0"/>
              <w:rPr>
                <w:sz w:val="15"/>
                <w:szCs w:val="15"/>
                <w:color w:val="auto"/>
              </w:rPr>
            </w:pPr>
          </w:p>
        </w:tc>
        <w:tc>
          <w:tcPr>
            <w:tcW w:w="2040" w:type="dxa"/>
            <w:vAlign w:val="bottom"/>
            <w:gridSpan w:val="6"/>
          </w:tcPr>
          <w:p>
            <w:pPr>
              <w:spacing w:after="0"/>
              <w:rPr>
                <w:sz w:val="15"/>
                <w:szCs w:val="15"/>
                <w:color w:val="auto"/>
              </w:rPr>
            </w:pP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5"/>
          </w:tcPr>
          <w:p>
            <w:pPr>
              <w:spacing w:after="0"/>
              <w:rPr>
                <w:sz w:val="15"/>
                <w:szCs w:val="15"/>
                <w:color w:val="auto"/>
              </w:rPr>
            </w:pPr>
          </w:p>
        </w:tc>
        <w:tc>
          <w:tcPr>
            <w:tcW w:w="2040" w:type="dxa"/>
            <w:vAlign w:val="bottom"/>
            <w:gridSpan w:val="6"/>
          </w:tcPr>
          <w:p>
            <w:pPr>
              <w:spacing w:after="0"/>
              <w:rPr>
                <w:sz w:val="15"/>
                <w:szCs w:val="15"/>
                <w:color w:val="auto"/>
              </w:rPr>
            </w:pP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6"/>
          </w:tcPr>
          <w:p>
            <w:pPr>
              <w:spacing w:after="0" w:line="182" w:lineRule="exact"/>
              <w:rPr>
                <w:sz w:val="20"/>
                <w:szCs w:val="20"/>
                <w:color w:val="auto"/>
              </w:rPr>
            </w:pPr>
            <w:r>
              <w:rPr>
                <w:rFonts w:ascii="Arial" w:cs="Arial" w:eastAsia="Arial" w:hAnsi="Arial"/>
                <w:sz w:val="18"/>
                <w:szCs w:val="18"/>
                <w:color w:val="0000FF"/>
                <w:w w:val="89"/>
              </w:rPr>
              <w:t>Unregistered</w:t>
            </w:r>
          </w:p>
        </w:tc>
        <w:tc>
          <w:tcPr>
            <w:tcW w:w="8220" w:type="dxa"/>
            <w:vAlign w:val="bottom"/>
            <w:gridSpan w:val="20"/>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800" w:type="dxa"/>
            <w:vAlign w:val="bottom"/>
            <w:gridSpan w:val="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Mine Safety Disclosures</w:t>
            </w:r>
          </w:p>
        </w:tc>
        <w:tc>
          <w:tcPr>
            <w:tcW w:w="6840" w:type="dxa"/>
            <w:vAlign w:val="bottom"/>
            <w:gridSpan w:val="13"/>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7"/>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90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Exhibits</w:t>
            </w:r>
          </w:p>
        </w:tc>
        <w:tc>
          <w:tcPr>
            <w:tcW w:w="7840" w:type="dxa"/>
            <w:vAlign w:val="bottom"/>
            <w:gridSpan w:val="19"/>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3" w:lineRule="exact"/>
              <w:rPr>
                <w:sz w:val="20"/>
                <w:szCs w:val="20"/>
                <w:color w:val="auto"/>
              </w:rPr>
            </w:pPr>
            <w:r>
              <w:rPr>
                <w:rFonts w:ascii="Arial" w:cs="Arial" w:eastAsia="Arial" w:hAnsi="Arial"/>
                <w:sz w:val="17"/>
                <w:szCs w:val="17"/>
                <w:color w:val="0000FF"/>
                <w:w w:val="71"/>
              </w:rPr>
              <w:t>Signatures</w:t>
            </w:r>
          </w:p>
        </w:tc>
        <w:tc>
          <w:tcPr>
            <w:tcW w:w="20" w:type="dxa"/>
            <w:vAlign w:val="bottom"/>
            <w:tcBorders>
              <w:top w:val="single" w:sz="8" w:color="0000EE"/>
              <w:bottom w:val="single" w:sz="8" w:color="0000FF"/>
            </w:tcBorders>
          </w:tcPr>
          <w:p>
            <w:pPr>
              <w:spacing w:after="0"/>
              <w:rPr>
                <w:sz w:val="15"/>
                <w:szCs w:val="15"/>
                <w:color w:val="auto"/>
              </w:rPr>
            </w:pPr>
          </w:p>
        </w:tc>
        <w:tc>
          <w:tcPr>
            <w:tcW w:w="14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380" w:type="dxa"/>
            <w:vAlign w:val="bottom"/>
            <w:gridSpan w:val="22"/>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0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89"/>
              </w:rPr>
              <w:t>Kodiak Sciences Inc.</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00" w:type="dxa"/>
            <w:vAlign w:val="bottom"/>
          </w:tcPr>
          <w:p>
            <w:pPr>
              <w:jc w:val="center"/>
              <w:ind w:left="34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700" w:type="dxa"/>
            <w:vAlign w:val="bottom"/>
          </w:tcPr>
          <w:p>
            <w:pPr>
              <w:jc w:val="center"/>
              <w:ind w:left="3470"/>
              <w:spacing w:after="0" w:line="202" w:lineRule="exact"/>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4"/>
        </w:trPr>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r>
      <w:tr>
        <w:trPr>
          <w:trHeight w:val="236"/>
        </w:trPr>
        <w:tc>
          <w:tcPr>
            <w:tcW w:w="7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178,413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731,510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358,982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544,662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734,811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56,245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41,330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55,011</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723,988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904,220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15,607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12,431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48,319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78,702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76,063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99,982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99,943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244,459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70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$0.0001 par value, 10,000,000 shares authorized;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7700" w:type="dxa"/>
            <w:vAlign w:val="bottom"/>
          </w:tcPr>
          <w:p>
            <w:pPr>
              <w:ind w:left="340"/>
              <w:spacing w:after="0" w:line="189" w:lineRule="exact"/>
              <w:rPr>
                <w:sz w:val="20"/>
                <w:szCs w:val="20"/>
                <w:color w:val="auto"/>
              </w:rPr>
            </w:pPr>
            <w:r>
              <w:rPr>
                <w:rFonts w:ascii="Arial" w:cs="Arial" w:eastAsia="Arial" w:hAnsi="Arial"/>
                <w:sz w:val="18"/>
                <w:szCs w:val="18"/>
                <w:color w:val="auto"/>
              </w:rPr>
              <w:t>0 shares issued and outstanding at September 30, 2022 and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7700" w:type="dxa"/>
            <w:vAlign w:val="bottom"/>
          </w:tcPr>
          <w:p>
            <w:pPr>
              <w:ind w:left="340"/>
              <w:spacing w:after="0"/>
              <w:rPr>
                <w:sz w:val="20"/>
                <w:szCs w:val="20"/>
                <w:color w:val="auto"/>
              </w:rPr>
            </w:pPr>
            <w:r>
              <w:rPr>
                <w:rFonts w:ascii="Arial" w:cs="Arial" w:eastAsia="Arial" w:hAnsi="Arial"/>
                <w:sz w:val="18"/>
                <w:szCs w:val="18"/>
                <w:color w:val="auto"/>
              </w:rPr>
              <w:t>December 31, 2021, respectively</w:t>
            </w:r>
          </w:p>
        </w:tc>
        <w:tc>
          <w:tcPr>
            <w:tcW w:w="180" w:type="dxa"/>
            <w:vAlign w:val="bottom"/>
          </w:tcPr>
          <w:p>
            <w:pPr>
              <w:spacing w:after="0"/>
              <w:rPr>
                <w:sz w:val="21"/>
                <w:szCs w:val="21"/>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62"/>
        </w:trPr>
        <w:tc>
          <w:tcPr>
            <w:tcW w:w="7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$0.0001 par value, 490,000,000 shares authorized</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8"/>
        </w:trPr>
        <w:tc>
          <w:tcPr>
            <w:tcW w:w="770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at September 30, 2022 and December 31, 2021; 52,304,154 and</w:t>
            </w: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0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51,826,257 shares issued and outstanding at September 30, 2022 and</w:t>
            </w: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4"/>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2021, respectively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1,303,621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1,221,532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(2,505 )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(821,592 )</w:t>
            </w: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(558,217 )</w:t>
            </w:r>
          </w:p>
        </w:tc>
      </w:tr>
      <w:tr>
        <w:trPr>
          <w:trHeight w:val="210"/>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479,529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723,988</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904,220</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-4139565</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-3299460</wp:posOffset>
            </wp:positionV>
            <wp:extent cx="123444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-1885315</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4820"/>
        <w:spacing w:after="0"/>
        <w:rPr>
          <w:sz w:val="20"/>
          <w:szCs w:val="20"/>
          <w:color w:val="auto"/>
        </w:rPr>
      </w:pPr>
      <w:r>
        <w:rPr>
          <w:rFonts w:ascii="Arial" w:cs="Arial" w:eastAsia="Arial" w:hAnsi="Arial"/>
          <w:sz w:val="18"/>
          <w:szCs w:val="18"/>
          <w:b w:val="1"/>
          <w:bCs w:val="1"/>
          <w:color w:val="auto"/>
        </w:rPr>
        <w:t>Kodiak Sciences Inc.</w:t>
      </w:r>
    </w:p>
    <w:p>
      <w:pPr>
        <w:spacing w:after="0" w:line="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242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61,676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56,002</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211,597</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79,478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267,313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(79,478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(267,313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(174,002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(4 )</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(25 )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(77,038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(263,375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(1.47 )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(1.30 )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(5.04 )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2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Weighted-average shares of common stock outstanding used</w:t>
            </w:r>
          </w:p>
        </w:tc>
        <w:tc>
          <w:tcPr>
            <w:tcW w:w="22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52,288,257</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51,875,315</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52,227,072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51,722,611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shd w:val="clear" w:color="auto" w:fill="CFF0FC"/>
          </w:tcPr>
          <w:p>
            <w:pPr>
              <w:ind w:left="160"/>
              <w:spacing w:after="0" w:line="190" w:lineRule="exact"/>
              <w:rPr>
                <w:sz w:val="20"/>
                <w:szCs w:val="20"/>
                <w:color w:val="auto"/>
              </w:rPr>
            </w:pPr>
            <w:r>
              <w:rPr>
                <w:rFonts w:ascii="Arial" w:cs="Arial" w:eastAsia="Arial" w:hAnsi="Arial"/>
                <w:sz w:val="18"/>
                <w:szCs w:val="18"/>
                <w:color w:val="auto"/>
              </w:rPr>
              <w:t>in computing net loss per common share, basic and diluted</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Change in unrealized losses related to available-for-sale</w:t>
            </w:r>
          </w:p>
        </w:tc>
        <w:tc>
          <w:tcPr>
            <w:tcW w:w="220" w:type="dxa"/>
            <w:vAlign w:val="bottom"/>
            <w:shd w:val="clear" w:color="auto" w:fill="CFF0FC"/>
          </w:tcPr>
          <w:p>
            <w:pPr>
              <w:spacing w:after="0"/>
              <w:rPr>
                <w:sz w:val="15"/>
                <w:szCs w:val="15"/>
                <w:color w:val="auto"/>
              </w:rPr>
            </w:pPr>
          </w:p>
        </w:tc>
        <w:tc>
          <w:tcPr>
            <w:tcW w:w="120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(636 )</w:t>
            </w:r>
          </w:p>
        </w:tc>
        <w:tc>
          <w:tcPr>
            <w:tcW w:w="200" w:type="dxa"/>
            <w:vAlign w:val="bottom"/>
            <w:shd w:val="clear" w:color="auto" w:fill="CFF0FC"/>
          </w:tcPr>
          <w:p>
            <w:pPr>
              <w:spacing w:after="0"/>
              <w:rPr>
                <w:sz w:val="15"/>
                <w:szCs w:val="15"/>
                <w:color w:val="auto"/>
              </w:rPr>
            </w:pPr>
          </w:p>
        </w:tc>
        <w:tc>
          <w:tcPr>
            <w:tcW w:w="118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(2,505 )</w:t>
            </w:r>
          </w:p>
        </w:tc>
        <w:tc>
          <w:tcPr>
            <w:tcW w:w="22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debt securities, net of tax</w:t>
            </w:r>
          </w:p>
        </w:tc>
        <w:tc>
          <w:tcPr>
            <w:tcW w:w="22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ind w:left="3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(636 )</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(2,505 )</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(77,674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(265,880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-2574925</wp:posOffset>
            </wp:positionV>
            <wp:extent cx="97663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6630" cy="1797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-1996440</wp:posOffset>
            </wp:positionV>
            <wp:extent cx="774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-1996440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-1996440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-1148080</wp:posOffset>
            </wp:positionV>
            <wp:extent cx="270891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8910" cy="1885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-727710</wp:posOffset>
            </wp:positionV>
            <wp:extent cx="270891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8910" cy="1625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-316230</wp:posOffset>
            </wp:positionV>
            <wp:extent cx="7747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-316230</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-316230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4820"/>
        <w:spacing w:after="0"/>
        <w:rPr>
          <w:sz w:val="20"/>
          <w:szCs w:val="20"/>
          <w:color w:val="auto"/>
        </w:rPr>
      </w:pPr>
      <w:r>
        <w:rPr>
          <w:rFonts w:ascii="Arial" w:cs="Arial" w:eastAsia="Arial" w:hAnsi="Arial"/>
          <w:sz w:val="18"/>
          <w:szCs w:val="18"/>
          <w:b w:val="1"/>
          <w:bCs w:val="1"/>
          <w:color w:val="auto"/>
        </w:rPr>
        <w:t>Kodiak Sciences Inc.</w:t>
      </w:r>
    </w:p>
    <w:p>
      <w:pPr>
        <w:spacing w:after="0" w:line="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2400" w:type="dxa"/>
            <w:vAlign w:val="bottom"/>
            <w:gridSpan w:val="3"/>
            <w:vMerge w:val="restart"/>
          </w:tcPr>
          <w:p>
            <w:pPr>
              <w:jc w:val="right"/>
              <w:ind w:right="584"/>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337"/>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97"/>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680" w:type="dxa"/>
            <w:vAlign w:val="bottom"/>
          </w:tcPr>
          <w:p>
            <w:pPr>
              <w:spacing w:after="0"/>
              <w:rPr>
                <w:sz w:val="14"/>
                <w:szCs w:val="14"/>
                <w:color w:val="auto"/>
              </w:rPr>
            </w:pPr>
          </w:p>
        </w:tc>
        <w:tc>
          <w:tcPr>
            <w:tcW w:w="240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7"/>
        </w:trPr>
        <w:tc>
          <w:tcPr>
            <w:tcW w:w="2680" w:type="dxa"/>
            <w:vAlign w:val="bottom"/>
          </w:tcPr>
          <w:p>
            <w:pPr>
              <w:spacing w:after="0"/>
              <w:rPr>
                <w:sz w:val="13"/>
                <w:szCs w:val="13"/>
                <w:color w:val="auto"/>
              </w:rPr>
            </w:pPr>
          </w:p>
        </w:tc>
        <w:tc>
          <w:tcPr>
            <w:tcW w:w="1140" w:type="dxa"/>
            <w:vAlign w:val="bottom"/>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0" w:type="dxa"/>
            <w:vAlign w:val="bottom"/>
          </w:tcPr>
          <w:p>
            <w:pPr>
              <w:jc w:val="right"/>
              <w:ind w:right="84"/>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7"/>
              <w:spacing w:after="0" w:line="144"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37"/>
              <w:spacing w:after="0" w:line="144"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1260" w:type="dxa"/>
            <w:vAlign w:val="bottom"/>
            <w:gridSpan w:val="2"/>
          </w:tcPr>
          <w:p>
            <w:pPr>
              <w:jc w:val="center"/>
              <w:ind w:right="317"/>
              <w:spacing w:after="0" w:line="144" w:lineRule="exact"/>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51,826,257</w:t>
            </w:r>
          </w:p>
        </w:tc>
        <w:tc>
          <w:tcPr>
            <w:tcW w:w="26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ind w:right="88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1,221,532</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(558,217</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663,320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3"/>
                <w:szCs w:val="13"/>
                <w:color w:val="auto"/>
              </w:rPr>
              <w:t>110,043</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1,678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 upon</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3,581</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Stock-based compensation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expense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28,095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28,095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(95,709 )</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(95,709 )</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3"/>
                <w:szCs w:val="13"/>
                <w:color w:val="auto"/>
              </w:rPr>
              <w:t>Balances at March 31, 2022</w:t>
            </w:r>
          </w:p>
        </w:tc>
        <w:tc>
          <w:tcPr>
            <w:tcW w:w="1140" w:type="dxa"/>
            <w:vAlign w:val="bottom"/>
          </w:tcPr>
          <w:p>
            <w:pPr>
              <w:jc w:val="right"/>
              <w:spacing w:after="0"/>
              <w:rPr>
                <w:sz w:val="20"/>
                <w:szCs w:val="20"/>
                <w:color w:val="auto"/>
              </w:rPr>
            </w:pPr>
            <w:r>
              <w:rPr>
                <w:rFonts w:ascii="Arial" w:cs="Arial" w:eastAsia="Arial" w:hAnsi="Arial"/>
                <w:sz w:val="13"/>
                <w:szCs w:val="13"/>
                <w:color w:val="auto"/>
              </w:rPr>
              <w:t>51,939,881</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1,251,305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(653,926 )</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597,384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8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Issuance of common stock upon</w:t>
            </w:r>
          </w:p>
        </w:tc>
        <w:tc>
          <w:tcPr>
            <w:tcW w:w="1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tcPr>
          <w:p>
            <w:pPr>
              <w:jc w:val="right"/>
              <w:spacing w:after="0"/>
              <w:rPr>
                <w:sz w:val="20"/>
                <w:szCs w:val="20"/>
                <w:color w:val="auto"/>
              </w:rPr>
            </w:pPr>
            <w:r>
              <w:rPr>
                <w:rFonts w:ascii="Arial" w:cs="Arial" w:eastAsia="Arial" w:hAnsi="Arial"/>
                <w:sz w:val="13"/>
                <w:szCs w:val="13"/>
                <w:color w:val="auto"/>
              </w:rPr>
              <w:t>74,148</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80" w:type="dxa"/>
            <w:vAlign w:val="bottom"/>
            <w:shd w:val="clear" w:color="auto" w:fill="CFF0FC"/>
          </w:tcPr>
          <w:p>
            <w:pPr>
              <w:ind w:left="300"/>
              <w:spacing w:after="0" w:line="123" w:lineRule="exact"/>
              <w:rPr>
                <w:sz w:val="20"/>
                <w:szCs w:val="20"/>
                <w:color w:val="auto"/>
              </w:rPr>
            </w:pPr>
            <w:r>
              <w:rPr>
                <w:rFonts w:ascii="Arial" w:cs="Arial" w:eastAsia="Arial" w:hAnsi="Arial"/>
                <w:sz w:val="13"/>
                <w:szCs w:val="13"/>
                <w:color w:val="auto"/>
              </w:rPr>
              <w:t>pursuant to employee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10,272</w:t>
            </w: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6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purchase plans</w:t>
            </w:r>
          </w:p>
        </w:tc>
        <w:tc>
          <w:tcPr>
            <w:tcW w:w="11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Stock-based compensation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expense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25,978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25,978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(1,869 )</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(1,869 )</w:t>
            </w:r>
          </w:p>
        </w:tc>
        <w:tc>
          <w:tcPr>
            <w:tcW w:w="0" w:type="dxa"/>
            <w:vAlign w:val="bottom"/>
          </w:tcPr>
          <w:p>
            <w:pPr>
              <w:spacing w:after="0"/>
              <w:rPr>
                <w:sz w:val="1"/>
                <w:szCs w:val="1"/>
                <w:color w:val="auto"/>
              </w:rPr>
            </w:pPr>
          </w:p>
        </w:tc>
      </w:tr>
      <w:tr>
        <w:trPr>
          <w:trHeight w:val="160"/>
        </w:trPr>
        <w:tc>
          <w:tcPr>
            <w:tcW w:w="268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(90,628 )</w:t>
            </w:r>
          </w:p>
        </w:tc>
        <w:tc>
          <w:tcPr>
            <w:tcW w:w="16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(90,628 )</w:t>
            </w:r>
          </w:p>
        </w:tc>
        <w:tc>
          <w:tcPr>
            <w:tcW w:w="0" w:type="dxa"/>
            <w:vAlign w:val="bottom"/>
          </w:tcPr>
          <w:p>
            <w:pPr>
              <w:spacing w:after="0"/>
              <w:rPr>
                <w:sz w:val="1"/>
                <w:szCs w:val="1"/>
                <w:color w:val="auto"/>
              </w:rPr>
            </w:pPr>
          </w:p>
        </w:tc>
      </w:tr>
      <w:tr>
        <w:trPr>
          <w:trHeight w:val="157"/>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June 30,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52,024,621</w:t>
            </w:r>
          </w:p>
        </w:tc>
        <w:tc>
          <w:tcPr>
            <w:tcW w:w="26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1,277,349</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(1,869</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(744,554</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530,931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3"/>
                <w:szCs w:val="13"/>
                <w:color w:val="auto"/>
              </w:rPr>
              <w:t>16,636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 upon</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13,198</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exercise of common stock warrants</w:t>
            </w:r>
          </w:p>
        </w:tc>
        <w:tc>
          <w:tcPr>
            <w:tcW w:w="1140" w:type="dxa"/>
            <w:vAlign w:val="bottom"/>
          </w:tcPr>
          <w:p>
            <w:pPr>
              <w:jc w:val="right"/>
              <w:spacing w:after="0"/>
              <w:rPr>
                <w:sz w:val="20"/>
                <w:szCs w:val="20"/>
                <w:color w:val="auto"/>
              </w:rPr>
            </w:pPr>
            <w:r>
              <w:rPr>
                <w:rFonts w:ascii="Arial" w:cs="Arial" w:eastAsia="Arial" w:hAnsi="Arial"/>
                <w:sz w:val="13"/>
                <w:szCs w:val="13"/>
                <w:color w:val="auto"/>
              </w:rPr>
              <w:t>249,699</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Stock-based compensation</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26,182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68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97"/>
              <w:spacing w:after="0"/>
              <w:rPr>
                <w:sz w:val="20"/>
                <w:szCs w:val="20"/>
                <w:color w:val="auto"/>
              </w:rPr>
            </w:pPr>
            <w:r>
              <w:rPr>
                <w:rFonts w:ascii="Arial" w:cs="Arial" w:eastAsia="Arial" w:hAnsi="Arial"/>
                <w:sz w:val="13"/>
                <w:szCs w:val="13"/>
                <w:color w:val="auto"/>
              </w:rPr>
              <w:t>(636 )</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(636 )</w:t>
            </w: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(77,038 )</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(77,038 )</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3"/>
                <w:szCs w:val="13"/>
                <w:color w:val="auto"/>
              </w:rPr>
              <w:t>Balances at September 30, 2022</w:t>
            </w:r>
          </w:p>
        </w:tc>
        <w:tc>
          <w:tcPr>
            <w:tcW w:w="1140" w:type="dxa"/>
            <w:vAlign w:val="bottom"/>
          </w:tcPr>
          <w:p>
            <w:pPr>
              <w:jc w:val="right"/>
              <w:spacing w:after="0"/>
              <w:rPr>
                <w:sz w:val="20"/>
                <w:szCs w:val="20"/>
                <w:color w:val="auto"/>
              </w:rPr>
            </w:pPr>
            <w:r>
              <w:rPr>
                <w:rFonts w:ascii="Arial" w:cs="Arial" w:eastAsia="Arial" w:hAnsi="Arial"/>
                <w:sz w:val="13"/>
                <w:szCs w:val="13"/>
                <w:color w:val="auto"/>
              </w:rPr>
              <w:t>52,304,154</w:t>
            </w:r>
          </w:p>
        </w:tc>
        <w:tc>
          <w:tcPr>
            <w:tcW w:w="260" w:type="dxa"/>
            <w:vAlign w:val="bottom"/>
          </w:tcPr>
          <w:p>
            <w:pPr>
              <w:spacing w:after="0"/>
              <w:rPr>
                <w:sz w:val="13"/>
                <w:szCs w:val="13"/>
                <w:color w:val="auto"/>
              </w:rPr>
            </w:pPr>
          </w:p>
        </w:tc>
        <w:tc>
          <w:tcPr>
            <w:tcW w:w="1000" w:type="dxa"/>
            <w:vAlign w:val="bottom"/>
          </w:tcPr>
          <w:p>
            <w:pPr>
              <w:jc w:val="right"/>
              <w:ind w:right="884"/>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1,303,621</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97"/>
              <w:spacing w:after="0"/>
              <w:rPr>
                <w:sz w:val="20"/>
                <w:szCs w:val="20"/>
                <w:color w:val="auto"/>
              </w:rPr>
            </w:pPr>
            <w:r>
              <w:rPr>
                <w:rFonts w:ascii="Arial" w:cs="Arial" w:eastAsia="Arial" w:hAnsi="Arial"/>
                <w:sz w:val="13"/>
                <w:szCs w:val="13"/>
                <w:color w:val="auto"/>
              </w:rPr>
              <w:t>(2,505 )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(821,592 )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479,529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2400" w:type="dxa"/>
            <w:vAlign w:val="bottom"/>
            <w:gridSpan w:val="3"/>
            <w:vMerge w:val="restart"/>
          </w:tcPr>
          <w:p>
            <w:pPr>
              <w:jc w:val="right"/>
              <w:ind w:right="584"/>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337"/>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97"/>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680" w:type="dxa"/>
            <w:vAlign w:val="bottom"/>
          </w:tcPr>
          <w:p>
            <w:pPr>
              <w:spacing w:after="0"/>
              <w:rPr>
                <w:sz w:val="14"/>
                <w:szCs w:val="14"/>
                <w:color w:val="auto"/>
              </w:rPr>
            </w:pPr>
          </w:p>
        </w:tc>
        <w:tc>
          <w:tcPr>
            <w:tcW w:w="240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1140" w:type="dxa"/>
            <w:vAlign w:val="bottom"/>
          </w:tcPr>
          <w:p>
            <w:pPr>
              <w:jc w:val="right"/>
              <w:ind w:right="31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0" w:type="dxa"/>
            <w:vAlign w:val="bottom"/>
          </w:tcPr>
          <w:p>
            <w:pPr>
              <w:jc w:val="right"/>
              <w:ind w:right="84"/>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7"/>
              <w:spacing w:after="0" w:line="144"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37"/>
              <w:spacing w:after="0" w:line="144"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3"/>
                <w:szCs w:val="13"/>
                <w:color w:val="auto"/>
              </w:rPr>
            </w:pPr>
          </w:p>
        </w:tc>
        <w:tc>
          <w:tcPr>
            <w:tcW w:w="1260" w:type="dxa"/>
            <w:vAlign w:val="bottom"/>
            <w:gridSpan w:val="2"/>
          </w:tcPr>
          <w:p>
            <w:pPr>
              <w:jc w:val="center"/>
              <w:ind w:right="317"/>
              <w:spacing w:after="0" w:line="144" w:lineRule="exact"/>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51,112,302</w:t>
            </w:r>
          </w:p>
        </w:tc>
        <w:tc>
          <w:tcPr>
            <w:tcW w:w="26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ind w:right="88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1,151,920</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(291,227</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860,751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3"/>
                <w:szCs w:val="13"/>
                <w:color w:val="auto"/>
              </w:rPr>
              <w:t>113,559</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1,483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Stock-based compensation</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68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97"/>
              <w:spacing w:after="0"/>
              <w:rPr>
                <w:sz w:val="20"/>
                <w:szCs w:val="20"/>
                <w:color w:val="auto"/>
              </w:rPr>
            </w:pPr>
            <w:r>
              <w:rPr>
                <w:rFonts w:ascii="Arial" w:cs="Arial" w:eastAsia="Arial" w:hAnsi="Arial"/>
                <w:sz w:val="13"/>
                <w:szCs w:val="13"/>
                <w:color w:val="auto"/>
              </w:rPr>
              <w:t>(35 )</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(50,447 )</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(50,447 )</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80" w:type="dxa"/>
            <w:vAlign w:val="bottom"/>
          </w:tcPr>
          <w:p>
            <w:pPr>
              <w:ind w:left="20"/>
              <w:spacing w:after="0"/>
              <w:rPr>
                <w:sz w:val="20"/>
                <w:szCs w:val="20"/>
                <w:color w:val="auto"/>
              </w:rPr>
            </w:pPr>
            <w:r>
              <w:rPr>
                <w:rFonts w:ascii="Arial" w:cs="Arial" w:eastAsia="Arial" w:hAnsi="Arial"/>
                <w:sz w:val="13"/>
                <w:szCs w:val="13"/>
                <w:color w:val="auto"/>
              </w:rPr>
              <w:t>Balances at March 31, 2021</w:t>
            </w:r>
          </w:p>
        </w:tc>
        <w:tc>
          <w:tcPr>
            <w:tcW w:w="1140" w:type="dxa"/>
            <w:vAlign w:val="bottom"/>
          </w:tcPr>
          <w:p>
            <w:pPr>
              <w:jc w:val="right"/>
              <w:spacing w:after="0"/>
              <w:rPr>
                <w:sz w:val="20"/>
                <w:szCs w:val="20"/>
                <w:color w:val="auto"/>
              </w:rPr>
            </w:pPr>
            <w:r>
              <w:rPr>
                <w:rFonts w:ascii="Arial" w:cs="Arial" w:eastAsia="Arial" w:hAnsi="Arial"/>
                <w:sz w:val="13"/>
                <w:szCs w:val="13"/>
                <w:color w:val="auto"/>
              </w:rPr>
              <w:t>51,225,861</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1,163,328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(341,674 )</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821,677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8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Issuance of common stock upon</w:t>
            </w:r>
          </w:p>
        </w:tc>
        <w:tc>
          <w:tcPr>
            <w:tcW w:w="1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131,276</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tcPr>
          <w:p>
            <w:pPr>
              <w:jc w:val="right"/>
              <w:spacing w:after="0"/>
              <w:rPr>
                <w:sz w:val="20"/>
                <w:szCs w:val="20"/>
                <w:color w:val="auto"/>
              </w:rPr>
            </w:pPr>
            <w:r>
              <w:rPr>
                <w:rFonts w:ascii="Arial" w:cs="Arial" w:eastAsia="Arial" w:hAnsi="Arial"/>
                <w:sz w:val="13"/>
                <w:szCs w:val="13"/>
                <w:color w:val="auto"/>
              </w:rPr>
              <w:t>72,976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80" w:type="dxa"/>
            <w:vAlign w:val="bottom"/>
            <w:shd w:val="clear" w:color="auto" w:fill="CFF0FC"/>
          </w:tcPr>
          <w:p>
            <w:pPr>
              <w:ind w:left="300"/>
              <w:spacing w:after="0" w:line="123" w:lineRule="exact"/>
              <w:rPr>
                <w:sz w:val="20"/>
                <w:szCs w:val="20"/>
                <w:color w:val="auto"/>
              </w:rPr>
            </w:pPr>
            <w:r>
              <w:rPr>
                <w:rFonts w:ascii="Arial" w:cs="Arial" w:eastAsia="Arial" w:hAnsi="Arial"/>
                <w:sz w:val="13"/>
                <w:szCs w:val="13"/>
                <w:color w:val="auto"/>
              </w:rPr>
              <w:t>pursuant to employee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4,295</w:t>
            </w:r>
          </w:p>
        </w:tc>
        <w:tc>
          <w:tcPr>
            <w:tcW w:w="2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6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26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purchase plans</w:t>
            </w:r>
          </w:p>
        </w:tc>
        <w:tc>
          <w:tcPr>
            <w:tcW w:w="11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Stock-based compensation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expense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11,087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loss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(18 )</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60"/>
        </w:trPr>
        <w:tc>
          <w:tcPr>
            <w:tcW w:w="268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(55,852 )</w:t>
            </w:r>
          </w:p>
        </w:tc>
        <w:tc>
          <w:tcPr>
            <w:tcW w:w="16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(55,852 )</w:t>
            </w:r>
          </w:p>
        </w:tc>
        <w:tc>
          <w:tcPr>
            <w:tcW w:w="0" w:type="dxa"/>
            <w:vAlign w:val="bottom"/>
          </w:tcPr>
          <w:p>
            <w:pPr>
              <w:spacing w:after="0"/>
              <w:rPr>
                <w:sz w:val="1"/>
                <w:szCs w:val="1"/>
                <w:color w:val="auto"/>
              </w:rPr>
            </w:pPr>
          </w:p>
        </w:tc>
      </w:tr>
      <w:tr>
        <w:trPr>
          <w:trHeight w:val="157"/>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June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51,434,408</w:t>
            </w:r>
          </w:p>
        </w:tc>
        <w:tc>
          <w:tcPr>
            <w:tcW w:w="26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1,176,948</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(397,526</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779,427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3"/>
                <w:szCs w:val="13"/>
                <w:color w:val="auto"/>
              </w:rPr>
              <w:t>103,585</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2,042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 upon</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10,799</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68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w:t>
            </w: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tcPr>
          <w:p>
            <w:pPr>
              <w:ind w:left="300"/>
              <w:spacing w:after="0"/>
              <w:rPr>
                <w:sz w:val="20"/>
                <w:szCs w:val="20"/>
                <w:color w:val="auto"/>
              </w:rPr>
            </w:pPr>
            <w:r>
              <w:rPr>
                <w:rFonts w:ascii="Arial" w:cs="Arial" w:eastAsia="Arial" w:hAnsi="Arial"/>
                <w:sz w:val="13"/>
                <w:szCs w:val="13"/>
                <w:color w:val="auto"/>
              </w:rPr>
              <w:t>exercise of common stock warrants</w:t>
            </w:r>
          </w:p>
        </w:tc>
        <w:tc>
          <w:tcPr>
            <w:tcW w:w="1140" w:type="dxa"/>
            <w:vAlign w:val="bottom"/>
          </w:tcPr>
          <w:p>
            <w:pPr>
              <w:jc w:val="right"/>
              <w:spacing w:after="0"/>
              <w:rPr>
                <w:sz w:val="20"/>
                <w:szCs w:val="20"/>
                <w:color w:val="auto"/>
              </w:rPr>
            </w:pPr>
            <w:r>
              <w:rPr>
                <w:rFonts w:ascii="Arial" w:cs="Arial" w:eastAsia="Arial" w:hAnsi="Arial"/>
                <w:sz w:val="13"/>
                <w:szCs w:val="13"/>
                <w:color w:val="auto"/>
              </w:rPr>
              <w:t>149,983</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6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Stock-based compensation</w:t>
            </w:r>
          </w:p>
        </w:tc>
        <w:tc>
          <w:tcPr>
            <w:tcW w:w="1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8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(67,526 )</w:t>
            </w:r>
          </w:p>
        </w:tc>
        <w:tc>
          <w:tcPr>
            <w:tcW w:w="16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(67,526 )</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Balances at September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51,698,775</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ind w:right="88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1,191,367</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(465,052</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726,320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-5777230</wp:posOffset>
            </wp:positionV>
            <wp:extent cx="76835" cy="111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-5777230</wp:posOffset>
            </wp:positionV>
            <wp:extent cx="76835" cy="111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-5777230</wp:posOffset>
            </wp:positionV>
            <wp:extent cx="68580" cy="11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-5777230</wp:posOffset>
            </wp:positionV>
            <wp:extent cx="68580" cy="11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-5777230</wp:posOffset>
            </wp:positionV>
            <wp:extent cx="68580" cy="111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-3556635</wp:posOffset>
            </wp:positionV>
            <wp:extent cx="7683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-3556635</wp:posOffset>
            </wp:positionV>
            <wp:extent cx="76835" cy="617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61722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-3556635</wp:posOffset>
            </wp:positionV>
            <wp:extent cx="68580" cy="617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1722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-3556635</wp:posOffset>
            </wp:positionV>
            <wp:extent cx="68580" cy="617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1722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-3556635</wp:posOffset>
            </wp:positionV>
            <wp:extent cx="68580" cy="617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172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617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1722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-2253615</wp:posOffset>
            </wp:positionV>
            <wp:extent cx="76835"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-2253615</wp:posOffset>
            </wp:positionV>
            <wp:extent cx="76835"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-2253615</wp:posOffset>
            </wp:positionV>
            <wp:extent cx="6858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-2253615</wp:posOffset>
            </wp:positionV>
            <wp:extent cx="6858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-2253615</wp:posOffset>
            </wp:positionV>
            <wp:extent cx="68580"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-25400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left="4820"/>
        <w:spacing w:after="0"/>
        <w:rPr>
          <w:sz w:val="20"/>
          <w:szCs w:val="20"/>
          <w:color w:val="auto"/>
        </w:rPr>
      </w:pPr>
      <w:r>
        <w:rPr>
          <w:rFonts w:ascii="Arial" w:cs="Arial" w:eastAsia="Arial" w:hAnsi="Arial"/>
          <w:sz w:val="18"/>
          <w:szCs w:val="18"/>
          <w:b w:val="1"/>
          <w:bCs w:val="1"/>
          <w:color w:val="auto"/>
        </w:rPr>
        <w:t>Kodiak Sciences Inc.</w:t>
      </w:r>
    </w:p>
    <w:p>
      <w:pPr>
        <w:spacing w:after="0" w:line="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80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(263,375 )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(173,825 )</w:t>
            </w: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80,255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33,389</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Amortization (accretion) of premium (discount) on marketable securities</w:t>
            </w:r>
          </w:p>
        </w:tc>
        <w:tc>
          <w:tcPr>
            <w:tcW w:w="16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(748 )</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operating lease right-of-use asset</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0"/>
              <w:spacing w:after="0"/>
              <w:rPr>
                <w:sz w:val="20"/>
                <w:szCs w:val="20"/>
                <w:color w:val="auto"/>
              </w:rPr>
            </w:pPr>
            <w:r>
              <w:rPr>
                <w:rFonts w:ascii="Arial" w:cs="Arial" w:eastAsia="Arial" w:hAnsi="Arial"/>
                <w:sz w:val="18"/>
                <w:szCs w:val="18"/>
                <w:color w:val="auto"/>
              </w:rPr>
              <w:t>Amortization of issuance costs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(2,939 )</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(3,228 )</w:t>
            </w:r>
          </w:p>
        </w:tc>
      </w:tr>
      <w:tr>
        <w:trPr>
          <w:trHeight w:val="216"/>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(936 )</w:t>
            </w:r>
          </w:p>
        </w:tc>
      </w:tr>
      <w:tr>
        <w:trPr>
          <w:trHeight w:val="216"/>
        </w:trPr>
        <w:tc>
          <w:tcPr>
            <w:tcW w:w="80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7,089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10,547</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380"/>
              <w:spacing w:after="0"/>
              <w:rPr>
                <w:sz w:val="20"/>
                <w:szCs w:val="20"/>
                <w:color w:val="auto"/>
              </w:rPr>
            </w:pPr>
            <w:r>
              <w:rPr>
                <w:rFonts w:ascii="Arial" w:cs="Arial" w:eastAsia="Arial" w:hAnsi="Arial"/>
                <w:sz w:val="18"/>
                <w:szCs w:val="18"/>
                <w:color w:val="auto"/>
              </w:rPr>
              <w:t>Operating lease liability</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r>
      <w:tr>
        <w:trPr>
          <w:trHeight w:val="210"/>
        </w:trPr>
        <w:tc>
          <w:tcPr>
            <w:tcW w:w="80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(151,384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(33,958 )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(8,598 )</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Deposits on property and equipment</w:t>
            </w:r>
          </w:p>
        </w:tc>
        <w:tc>
          <w:tcPr>
            <w:tcW w:w="16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(7,787 )</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(43,841 )</w:t>
            </w: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marketable securities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(427,766 )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18"/>
                <w:szCs w:val="18"/>
                <w:color w:val="auto"/>
              </w:rPr>
            </w:pPr>
          </w:p>
        </w:tc>
      </w:tr>
      <w:tr>
        <w:trPr>
          <w:trHeight w:val="209"/>
        </w:trPr>
        <w:tc>
          <w:tcPr>
            <w:tcW w:w="80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(403,511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upon options exercise</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Proceeds from issuance of common stock pursuant to employee stock purchase plans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payments of tenant improvement allowance payable</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(36 )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r>
      <w:tr>
        <w:trPr>
          <w:trHeight w:val="210"/>
        </w:trPr>
        <w:tc>
          <w:tcPr>
            <w:tcW w:w="80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6,025</w:t>
            </w:r>
          </w:p>
        </w:tc>
        <w:tc>
          <w:tcPr>
            <w:tcW w:w="100" w:type="dxa"/>
            <w:vAlign w:val="bottom"/>
            <w:tcBorders>
              <w:top w:val="single" w:sz="8" w:color="CFF0FC"/>
            </w:tcBorders>
          </w:tcPr>
          <w:p>
            <w:pPr>
              <w:spacing w:after="0"/>
              <w:rPr>
                <w:sz w:val="18"/>
                <w:szCs w:val="18"/>
                <w:color w:val="auto"/>
              </w:rPr>
            </w:pPr>
          </w:p>
        </w:tc>
      </w:tr>
      <w:tr>
        <w:trPr>
          <w:trHeight w:val="209"/>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(553,097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(145,149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737,834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950,720</w:t>
            </w:r>
          </w:p>
        </w:tc>
        <w:tc>
          <w:tcPr>
            <w:tcW w:w="100" w:type="dxa"/>
            <w:vAlign w:val="bottom"/>
          </w:tcPr>
          <w:p>
            <w:pPr>
              <w:spacing w:after="0"/>
              <w:rPr>
                <w:sz w:val="18"/>
                <w:szCs w:val="18"/>
                <w:color w:val="auto"/>
              </w:rPr>
            </w:pPr>
          </w:p>
        </w:tc>
      </w:tr>
      <w:tr>
        <w:trPr>
          <w:trHeight w:val="249"/>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184,737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805,571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040" w:type="dxa"/>
            <w:vAlign w:val="bottom"/>
          </w:tcPr>
          <w:p>
            <w:pPr>
              <w:ind w:left="20"/>
              <w:spacing w:after="0" w:line="196" w:lineRule="exact"/>
              <w:rPr>
                <w:sz w:val="20"/>
                <w:szCs w:val="20"/>
                <w:color w:val="auto"/>
              </w:rPr>
            </w:pPr>
            <w:r>
              <w:rPr>
                <w:rFonts w:ascii="Arial" w:cs="Arial" w:eastAsia="Arial" w:hAnsi="Arial"/>
                <w:sz w:val="18"/>
                <w:szCs w:val="18"/>
                <w:color w:val="auto"/>
              </w:rPr>
              <w:t>Reconciliation of cash, cash equivalents and restricted cash to consolidated balance sheets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178,413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799,247</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18"/>
                <w:szCs w:val="18"/>
                <w:color w:val="auto"/>
              </w:rPr>
            </w:pPr>
          </w:p>
        </w:tc>
      </w:tr>
      <w:tr>
        <w:trPr>
          <w:trHeight w:val="250"/>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in consolidated balance sheets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184,737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805,571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(170 )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Purchase of property and equipment under accounts payable and accruals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4,320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-5370195</wp:posOffset>
            </wp:positionV>
            <wp:extent cx="116522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65225" cy="1797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-3137535</wp:posOffset>
            </wp:positionV>
            <wp:extent cx="685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-3137535</wp:posOffset>
            </wp:positionV>
            <wp:extent cx="6858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-2297430</wp:posOffset>
            </wp:positionV>
            <wp:extent cx="6858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-2297430</wp:posOffset>
            </wp:positionV>
            <wp:extent cx="6858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-1739900</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-1165860</wp:posOffset>
            </wp:positionV>
            <wp:extent cx="113982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98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-582930</wp:posOffset>
            </wp:positionV>
            <wp:extent cx="1139825" cy="299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9825" cy="29972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08" w:lineRule="exact"/>
        <w:rPr>
          <w:sz w:val="20"/>
          <w:szCs w:val="20"/>
          <w:color w:val="auto"/>
        </w:rPr>
      </w:pPr>
    </w:p>
    <w:p>
      <w:pPr>
        <w:ind w:right="220" w:firstLine="509"/>
        <w:spacing w:after="0" w:line="290" w:lineRule="auto"/>
        <w:rPr>
          <w:sz w:val="20"/>
          <w:szCs w:val="20"/>
          <w:color w:val="auto"/>
        </w:rPr>
      </w:pPr>
      <w:r>
        <w:rPr>
          <w:rFonts w:ascii="Arial" w:cs="Arial" w:eastAsia="Arial" w:hAnsi="Arial"/>
          <w:sz w:val="16"/>
          <w:szCs w:val="16"/>
          <w:color w:val="auto"/>
        </w:rPr>
        <w:t>Kodiak Sciences Inc. (the “Company”) is a clinical stage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As of September 30, 2022, the Company had cash, cash equivalents and marketable securities of $537.4 million. Although the Company has incurred significant operating losses since inception and expects to continue to incur operating losses and negative operating cash flows for the foreseeable future, the Company believes that the cash, cash equivalents and marketable securities will be sufficient to meet the anticipated operating and capital expenditure requirements for the 12 months following the date of this Quarterly Report on Form 10-Q.</w:t>
      </w:r>
    </w:p>
    <w:p>
      <w:pPr>
        <w:spacing w:after="0" w:line="162" w:lineRule="exact"/>
        <w:rPr>
          <w:sz w:val="20"/>
          <w:szCs w:val="20"/>
          <w:color w:val="auto"/>
        </w:rPr>
      </w:pPr>
    </w:p>
    <w:p>
      <w:pPr>
        <w:ind w:right="7240" w:firstLine="8"/>
        <w:spacing w:after="0" w:line="444" w:lineRule="auto"/>
        <w:tabs>
          <w:tab w:leader="none" w:pos="18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Principles of Consolidation</w:t>
      </w:r>
    </w:p>
    <w:p>
      <w:pPr>
        <w:ind w:right="340" w:firstLine="509"/>
        <w:spacing w:after="0" w:line="249"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spacing w:after="0" w:line="73"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These condensed consolidated financial statements have been prepared on a basis substantially consistent with, and should be read in conjunction with the audited financial statements for the year ended December 31, 2021 and notes thereto, the Company’s Annual Report on Form 10-K filed with the Securities and Exchange Commission (“SEC”) on March 1, 2022.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2022, or for any future period.</w:t>
      </w:r>
    </w:p>
    <w:p>
      <w:pPr>
        <w:spacing w:after="0" w:line="76"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The impact of global macroeconomic conditions, in addition to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As events continue to unfold and additional information becomes available, these estimates may change materially in future periods.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Global economic and business activities continue to face widespread macroeconomic uncertainties, in addition to the ongoing COVID-19 pandemic, including labor shortages, inflation and monetary supply shifts, recession risks and potential disruptions from the Russia-Ukraine conflict.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04"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As global economic conditions recover from the COVID-19 pandemic, business activity may not recover as quickly as anticipated, and it is not possible at this time to estimate the long-term impact that COVID-19 could have on the Company's business, as the impact will depend on future developments, which are highly uncertain and cannot be predicted. The Company will continue to monitor the COVID-19 situation and its impact on the ability to continue the development of, and seek regulatory approvals for, the Company’s product candidates, and begin to commercialize any approved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2022, respectively, are consistent with those discussed in Note 2 to the consolidated financial statements in the Company’s Annual Report on Form 10-K for the year ended December 31, 2021, except as noted below with respect to the Company's property and equipment and as noted within the “Recent Accounting Pronouncements”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Property and equipment are stated at cost, net of accumulated depreciation. Construction in progress reflects amounts incurred for construction or improvements of property or equipment that have not been placed in service. Construction in progress is transferred to specific property and equipment and depreciated when these assets are ready for their intended use. Depreciation is computed using the straight-line method over the estimated useful lives of assets. Machinery and equipment, computer software and hardware, furniture and fixtures are depreciated over three to ten years. Leasehold improvements are stated at cost and amortized over the shorter of the useful life of the assets or the length of the lease. 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under its Accounting Standards Codification ("ASC") or other standard setting bodies, and adopted by the Company as of the specified effective date. There have been no new accounting pronouncements issued nor adopted during the three and nine months ended September 30, 2022 that are of significance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and Other 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clinical trial and related costs</w:t>
            </w:r>
          </w:p>
        </w:tc>
        <w:tc>
          <w:tcPr>
            <w:tcW w:w="27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Accrued manufacturing and research &amp; development costs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salaries and benefits</w:t>
            </w:r>
          </w:p>
        </w:tc>
        <w:tc>
          <w:tcPr>
            <w:tcW w:w="2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Accrued leasehold improvements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legal fees</w:t>
            </w:r>
          </w:p>
        </w:tc>
        <w:tc>
          <w:tcPr>
            <w:tcW w:w="2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other liabilities</w:t>
            </w:r>
          </w:p>
        </w:tc>
        <w:tc>
          <w:tcPr>
            <w:tcW w:w="2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40,865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740" w:type="dxa"/>
            <w:vAlign w:val="bottom"/>
            <w:vMerge w:val="restart"/>
          </w:tcPr>
          <w:p>
            <w:pPr>
              <w:jc w:val="right"/>
              <w:ind w:right="189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9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-719455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September 30, 2022</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Level 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163,379</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163,379</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358,982</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358,982</w:t>
            </w:r>
          </w:p>
        </w:tc>
        <w:tc>
          <w:tcPr>
            <w:tcW w:w="100" w:type="dxa"/>
            <w:vAlign w:val="bottom"/>
            <w:tcBorders>
              <w:bottom w:val="single" w:sz="8" w:color="CFF0FC"/>
            </w:tcBorders>
          </w:tcPr>
          <w:p>
            <w:pPr>
              <w:spacing w:after="0"/>
              <w:rPr>
                <w:sz w:val="18"/>
                <w:szCs w:val="18"/>
                <w:color w:val="auto"/>
              </w:rPr>
            </w:pPr>
          </w:p>
        </w:tc>
      </w:tr>
      <w:tr>
        <w:trPr>
          <w:trHeight w:val="249"/>
        </w:trPr>
        <w:tc>
          <w:tcPr>
            <w:tcW w:w="5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163,379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358,982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522,361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2700020" cy="737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00020" cy="73723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2021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706,703</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706,703</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80" w:firstLine="509"/>
        <w:spacing w:after="0" w:line="308" w:lineRule="auto"/>
        <w:rPr>
          <w:sz w:val="20"/>
          <w:szCs w:val="20"/>
          <w:color w:val="auto"/>
        </w:rPr>
      </w:pPr>
      <w:r>
        <w:rPr>
          <w:rFonts w:ascii="Arial" w:cs="Arial" w:eastAsia="Arial" w:hAnsi="Arial"/>
          <w:sz w:val="17"/>
          <w:szCs w:val="17"/>
          <w:color w:val="auto"/>
        </w:rPr>
        <w:t>As of September 30, 2022 and December 31, 2021, the fair value of the liability related to sale of future royalties is based on the Company's current estimates of future royalties expected to be paid to Baker Bros. Advisors, LP (“BBA”), which are considered Level 3 inputs.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08"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The marketable securities are classified as available-for-sale.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Company's marketable securities by major security type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r>
      <w:tr>
        <w:trPr>
          <w:trHeight w:val="234"/>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As of September 30, 2022</w:t>
            </w: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361,487</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358,982</w:t>
            </w:r>
          </w:p>
        </w:tc>
        <w:tc>
          <w:tcPr>
            <w:tcW w:w="100" w:type="dxa"/>
            <w:vAlign w:val="bottom"/>
            <w:shd w:val="clear" w:color="auto" w:fill="CFF0FC"/>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361,487</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358,982</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no marketable securities at December 31, 2021.</w:t>
      </w:r>
    </w:p>
    <w:p>
      <w:pPr>
        <w:spacing w:after="0" w:line="104"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 marketable securities held at September 30, 2022 had effective maturities of less than one year. There were no realized gains or losses recognized on the sale or maturity of available-for-sale debt securities during the nine months ended September 30, 2022, and as a result, the Company did not reclassify any amounts out of accumulated other comprehensive income (loss). There were no impairment charges or recoveries recorded during the nine months ended September 30, 2022. As of September 30, 2022, the Company had no allowance for credit losses for available-for-sale debt securities.</w:t>
      </w:r>
    </w:p>
    <w:p>
      <w:pPr>
        <w:spacing w:after="0" w:line="160" w:lineRule="exact"/>
        <w:rPr>
          <w:sz w:val="20"/>
          <w:szCs w:val="20"/>
          <w:color w:val="auto"/>
        </w:rPr>
      </w:pPr>
    </w:p>
    <w:p>
      <w:pPr>
        <w:ind w:right="8500" w:firstLine="8"/>
        <w:spacing w:after="0" w:line="375" w:lineRule="auto"/>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Embedded Lease</w:t>
      </w:r>
    </w:p>
    <w:p>
      <w:pPr>
        <w:spacing w:after="0" w:line="1"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In August 2020, the Company and its wholly-owned subsidiary Kodiak Sciences GmbH entered into a manufacturing agreement with Lonza Ltd (“Lonza”) for the clinical and commercial supply of drug substance for tarcocimab. A custom-built manufacturing facility is planned to be completed and dedicated to the manufacture of the Company’s drug substance. The manufacturing agreement has an initial term of eight years, and the Company has the right to extend the term up to a total of 16 years. The Company and Lonza each have the ability to terminate this agreement upon the occurrence of certain conditions.</w:t>
      </w:r>
    </w:p>
    <w:p>
      <w:pPr>
        <w:spacing w:after="0" w:line="91"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In April 2021, the agreement was amended to provide for higher annual manufacturing capacity. The Company expanded and finalized the design and scope of the bioconjugate manufacturing facility with a revised estimated capital contribution of approximately 75.0 million Swiss Francs of which the Company has paid 40.0 million Swiss Francs of the capital contribution, equivalent to $44.1 million U.S. Dollars, which is recorded in other assets on the consolidated balance sheet as of September 30, 2022. Over the period from 2022 through 2029, manufacturing payments totaling approximately 150.0 million Swiss Francs may be incurred for potential commercial supply of tarcocimab drug substance based on the amended agreement.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04"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September 30, 2022, the Company did not have control of this manufacturing space and therefore, did not record a right-of-use asset and corresponding lease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73"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08"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In January 2022 and 2021, the number of shares of common stock available for issuance under the 2018 Equity Incentive Plan (the "2018 Plan") was increased by approximately 2.1 million and 2.0 million shares, respectively, as a result of the automatic increase provision in the 2018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option activity, including stock options and performance-based stock options under the 2021 Long-Term Performance Incentive Plan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LTPIP”), 2018 Plan and 2015 Plan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4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70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6"/>
                <w:szCs w:val="16"/>
                <w:color w:val="auto"/>
              </w:rPr>
            </w:pPr>
          </w:p>
        </w:tc>
        <w:tc>
          <w:tcPr>
            <w:tcW w:w="124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Contractual</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7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82"/>
              </w:rPr>
              <w:t>of</w:t>
            </w:r>
          </w:p>
        </w:tc>
        <w:tc>
          <w:tcPr>
            <w:tcW w:w="240" w:type="dxa"/>
            <w:vAlign w:val="bottom"/>
          </w:tcPr>
          <w:p>
            <w:pPr>
              <w:spacing w:after="0"/>
              <w:rPr>
                <w:sz w:val="16"/>
                <w:szCs w:val="16"/>
                <w:color w:val="auto"/>
              </w:rPr>
            </w:pPr>
          </w:p>
        </w:tc>
        <w:tc>
          <w:tcPr>
            <w:tcW w:w="124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Term</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6"/>
                <w:szCs w:val="16"/>
                <w:color w:val="auto"/>
              </w:rPr>
            </w:pPr>
          </w:p>
        </w:tc>
      </w:tr>
      <w:tr>
        <w:trPr>
          <w:trHeight w:val="234"/>
        </w:trPr>
        <w:tc>
          <w:tcPr>
            <w:tcW w:w="448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14,523,917</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2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335,440</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3,029,620</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(126,999 )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Forfeited or canceled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(805,195 )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76.60</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16,621,343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1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04" w:lineRule="exact"/>
        <w:rPr>
          <w:sz w:val="20"/>
          <w:szCs w:val="20"/>
          <w:color w:val="auto"/>
        </w:rPr>
      </w:pPr>
    </w:p>
    <w:p>
      <w:pPr>
        <w:jc w:val="both"/>
        <w:ind w:right="120" w:firstLine="509"/>
        <w:spacing w:after="0" w:line="261"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520" w:type="dxa"/>
            <w:vAlign w:val="bottom"/>
          </w:tcPr>
          <w:p>
            <w:pPr>
              <w:jc w:val="center"/>
              <w:ind w:left="530"/>
              <w:spacing w:after="0" w:line="189"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center"/>
              <w:ind w:right="290"/>
              <w:spacing w:after="0" w:line="189"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520" w:type="dxa"/>
            <w:vAlign w:val="bottom"/>
          </w:tcPr>
          <w:p>
            <w:pPr>
              <w:jc w:val="center"/>
              <w:ind w:left="530"/>
              <w:spacing w:after="0" w:line="189" w:lineRule="exact"/>
              <w:rPr>
                <w:sz w:val="20"/>
                <w:szCs w:val="20"/>
                <w:color w:val="auto"/>
              </w:rPr>
            </w:pPr>
            <w:r>
              <w:rPr>
                <w:rFonts w:ascii="Arial" w:cs="Arial" w:eastAsia="Arial" w:hAnsi="Arial"/>
                <w:sz w:val="18"/>
                <w:szCs w:val="18"/>
                <w:b w:val="1"/>
                <w:bCs w:val="1"/>
                <w:color w:val="auto"/>
                <w:w w:val="88"/>
              </w:rPr>
              <w:t>Restricted</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center"/>
              <w:ind w:right="290"/>
              <w:spacing w:after="0" w:line="189" w:lineRule="exact"/>
              <w:rPr>
                <w:sz w:val="20"/>
                <w:szCs w:val="20"/>
                <w:color w:val="auto"/>
              </w:rPr>
            </w:pPr>
            <w:r>
              <w:rPr>
                <w:rFonts w:ascii="Arial" w:cs="Arial" w:eastAsia="Arial" w:hAnsi="Arial"/>
                <w:sz w:val="18"/>
                <w:szCs w:val="18"/>
                <w:b w:val="1"/>
                <w:bCs w:val="1"/>
                <w:color w:val="auto"/>
                <w:w w:val="93"/>
              </w:rPr>
              <w:t>Grant Date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vMerge w:val="restart"/>
          </w:tcPr>
          <w:p>
            <w:pPr>
              <w:ind w:left="20"/>
              <w:spacing w:after="0"/>
              <w:rPr>
                <w:sz w:val="20"/>
                <w:szCs w:val="20"/>
                <w:color w:val="auto"/>
              </w:rPr>
            </w:pPr>
            <w:r>
              <w:rPr>
                <w:rFonts w:ascii="Arial" w:cs="Arial" w:eastAsia="Arial" w:hAnsi="Arial"/>
                <w:sz w:val="18"/>
                <w:szCs w:val="18"/>
                <w:color w:val="auto"/>
              </w:rPr>
              <w:t>Unvested at December 31, 2021</w:t>
            </w:r>
          </w:p>
        </w:tc>
        <w:tc>
          <w:tcPr>
            <w:tcW w:w="15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6"/>
              </w:rPr>
              <w:t>Shares</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363,930</w:t>
            </w:r>
          </w:p>
        </w:tc>
        <w:tc>
          <w:tcPr>
            <w:tcW w:w="3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56,750</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(90,927 )</w:t>
            </w: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Canceled</w:t>
            </w:r>
          </w:p>
        </w:tc>
        <w:tc>
          <w:tcPr>
            <w:tcW w:w="1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1"/>
              </w:rPr>
              <w:t>(45,876 )</w:t>
            </w:r>
          </w:p>
        </w:tc>
        <w:tc>
          <w:tcPr>
            <w:tcW w:w="3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at September 30, 2022</w:t>
            </w:r>
          </w:p>
        </w:tc>
        <w:tc>
          <w:tcPr>
            <w:tcW w:w="15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283,877</w:t>
            </w:r>
          </w:p>
        </w:tc>
        <w:tc>
          <w:tcPr>
            <w:tcW w:w="3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performance-based equity awards during the three and nine months ended September 30, 2022.</w:t>
      </w:r>
    </w:p>
    <w:p>
      <w:pPr>
        <w:spacing w:after="0" w:line="117"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February 2021, the Company granted 190,831 performance-based stock options ("2021 Feb PSO"). Upon the achievement of the specific clinical development milestone for the 2021 Feb PSO, 25% of the options vested in the first quarter of 2022. The remaining awards will continue to vest in 36 successive equal monthly installments after the performance criteria was achieved.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Stock-based compensation for options, restricted shares, and ESPP is classified in the condensed consolidated statements of operations and comprehensive loss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27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14,947</w:t>
            </w:r>
          </w:p>
        </w:tc>
        <w:tc>
          <w:tcPr>
            <w:tcW w:w="30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6,429</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45,031</w:t>
            </w:r>
          </w:p>
        </w:tc>
        <w:tc>
          <w:tcPr>
            <w:tcW w:w="26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17,598</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11,235</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35,224</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100" w:type="dxa"/>
            <w:vAlign w:val="bottom"/>
          </w:tcPr>
          <w:p>
            <w:pPr>
              <w:spacing w:after="0"/>
              <w:rPr>
                <w:sz w:val="18"/>
                <w:szCs w:val="18"/>
                <w:color w:val="auto"/>
              </w:rPr>
            </w:pPr>
          </w:p>
        </w:tc>
      </w:tr>
      <w:tr>
        <w:trPr>
          <w:trHeight w:val="250"/>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w:t>
            </w:r>
          </w:p>
        </w:tc>
        <w:tc>
          <w:tcPr>
            <w:tcW w:w="96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26,182</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12,377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80,255</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07"/>
        </w:trPr>
        <w:tc>
          <w:tcPr>
            <w:tcW w:w="4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-427990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-410845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-427990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-410845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-427990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-410845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121"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167"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As of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12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16,621,343</w:t>
            </w:r>
          </w:p>
        </w:tc>
        <w:tc>
          <w:tcPr>
            <w:tcW w:w="300" w:type="dxa"/>
            <w:vAlign w:val="bottom"/>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7,799,732</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Unvested restricted shares</w:t>
            </w:r>
          </w:p>
        </w:tc>
        <w:tc>
          <w:tcPr>
            <w:tcW w:w="840" w:type="dxa"/>
            <w:vAlign w:val="bottom"/>
          </w:tcPr>
          <w:p>
            <w:pPr>
              <w:jc w:val="right"/>
              <w:spacing w:after="0"/>
              <w:rPr>
                <w:sz w:val="20"/>
                <w:szCs w:val="20"/>
                <w:color w:val="auto"/>
              </w:rPr>
            </w:pPr>
            <w:r>
              <w:rPr>
                <w:rFonts w:ascii="Arial" w:cs="Arial" w:eastAsia="Arial" w:hAnsi="Arial"/>
                <w:sz w:val="18"/>
                <w:szCs w:val="18"/>
                <w:color w:val="auto"/>
              </w:rPr>
              <w:t>283,877</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412,287</w:t>
            </w:r>
          </w:p>
        </w:tc>
        <w:tc>
          <w:tcPr>
            <w:tcW w:w="100" w:type="dxa"/>
            <w:vAlign w:val="bottom"/>
          </w:tcPr>
          <w:p>
            <w:pPr>
              <w:spacing w:after="0"/>
              <w:rPr>
                <w:sz w:val="18"/>
                <w:szCs w:val="18"/>
                <w:color w:val="auto"/>
              </w:rPr>
            </w:pPr>
          </w:p>
        </w:tc>
      </w:tr>
      <w:tr>
        <w:trPr>
          <w:trHeight w:val="249"/>
        </w:trPr>
        <w:tc>
          <w:tcPr>
            <w:tcW w:w="6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16,905,220</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8,212,019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507"/>
        </w:trPr>
        <w:tc>
          <w:tcPr>
            <w:tcW w:w="6560" w:type="dxa"/>
            <w:vAlign w:val="bottom"/>
          </w:tcPr>
          <w:p>
            <w:pPr>
              <w:jc w:val="right"/>
              <w:ind w:right="750"/>
              <w:spacing w:after="0"/>
              <w:rPr>
                <w:sz w:val="20"/>
                <w:szCs w:val="20"/>
                <w:color w:val="auto"/>
              </w:rPr>
            </w:pPr>
            <w:r>
              <w:rPr>
                <w:rFonts w:ascii="Arial" w:cs="Arial" w:eastAsia="Arial" w:hAnsi="Arial"/>
                <w:sz w:val="18"/>
                <w:szCs w:val="18"/>
                <w:color w:val="auto"/>
              </w:rPr>
              <w:t>10</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65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-436245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-419100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-582295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2021, included in our Annual Report on Form 10-K filed with the Securities and Exchange Commission, or the SEC, on March 1, 2022.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Since its founding in 2009, Kodiak Sciences Inc. (“Kodiak,” the “Company,” “we” or “our”) has developed a new technology platform for retinal medicines. Our goal is to prevent and treat the major causes of blindness by developing and commercializing next-generation therapeutics for chronic, high-prevalence retinal diseases.</w:t>
      </w:r>
    </w:p>
    <w:p>
      <w:pPr>
        <w:spacing w:after="0" w:line="67"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Kodiak’s lead product candidate, tarcocimab tedromer (formerly KSI-301, also known as tarcocimab), is being investigated in five registrational clinical trials. The comprehensive clinical program targets high prevalence anti-vascular endothelial growth factor (“anti-VEGF”) dependent retinal diseases with clinical trials designed as a package to support a broad product label, which we hope will include the key diseases and the longest dosing intervals. Tarcocimab is being developed to become a differentiated, long-interval therapy for use in many patients who may benefit from anti-VEGF therapy. At the same time, Kodiak is investing in commercial scale manufacturing. We aim to provide a pre-filled syringe early in commercialization and are working actively towards this goal. We believe combining these ambitious clinical and manufacturing efforts sets the stage for potential market share capture when and if tarcocimab is approved.</w:t>
      </w:r>
    </w:p>
    <w:p>
      <w:pPr>
        <w:spacing w:after="0" w:line="9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7"/>
          <w:szCs w:val="17"/>
          <w:color w:val="auto"/>
        </w:rPr>
        <w:t>In addition, Kodiak is investing in its pipeline. The Company is progressing its Antibody Biopolymer Conjugate (“ABC”) Platform</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towards suboptimal anti-VEGF responder patients, a group estimated to be as large as 30% of treated patients, with its bispecific conjugate KSI-501. Beyond today’s anti-VEGF market, Kodiak’s new triplet medicines are being designed on its ABC Platform in an effort to bring new capabilities to treat the even higher prevalence retinal diseases of dry age-related macular degeneration (“AMD”) and glaucoma.</w:t>
      </w:r>
    </w:p>
    <w:p>
      <w:pPr>
        <w:spacing w:after="0" w:line="79"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Notably, up to this point, Kodiak has retained all global rights to make, use and sell its product candidates, which we believe preserves future value and allows for agile decision-making.</w:t>
      </w:r>
    </w:p>
    <w:p>
      <w:pPr>
        <w:spacing w:after="0" w:line="63"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While engaged in these research and development efforts, we believe we have demonstrated a disciplined and creative approach to building and financing the company. As of September 30, 2022, we had $537.4 million in cash, cash equivalents and marketable securities.</w:t>
      </w:r>
    </w:p>
    <w:p>
      <w:pPr>
        <w:spacing w:after="0" w:line="2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objective is to develop our retina-focused product candidates, seek FDA and worldwide health authority marketing authorization approvals, and ultimately commercialize our product candidates.</w:t>
      </w:r>
    </w:p>
    <w:p>
      <w:pPr>
        <w:spacing w:after="0" w:line="7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Following from these efforts, we believe Kodiak has the potential to achieve our ambition of becoming a significant incumbent retinal development and commercialization franchise on a global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Tarcocimab Clinical Program Update</w:t>
      </w:r>
    </w:p>
    <w:p>
      <w:pPr>
        <w:spacing w:after="0" w:line="104"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continued advancing our ongoing pivotal studies of tarcocimab, namely our paired Phase 3 studies GLEAM and GLIMMER in diabetic macular edema (“DME”), short-interval Phase 3 study DAYLIGHT in wet AMD, Phase 3 study BEACON in Retinal Vein Occlusion (“RVO”), and Phase 3 study GLOW in non-proliferative diabetic retinopathy without DME (“NPDR” without DME).</w:t>
      </w:r>
    </w:p>
    <w:p>
      <w:pPr>
        <w:spacing w:after="0" w:line="67"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Looking across our development program for tarcocimab, our paired Phase 3 GLEAM and GLIMMER studies in DME, if successful, are designed to serve as the primary basis for a Biologics License Application (“BLA”), and potential regulatory approval of tarcocimab. BEACON serves as the single pivotal study to support approval in macular edema following RVO. Our Phase 3 DAYLIGHT study and our Phase 3 GLOW study, if successful, would contribute data to support approvals in wet AMD and NPDR, respectively. All the studies are fully enrolled and expected to read out topline data within the next twelve months and, if successful, we plan to file a single BLA with the data across the program.</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GLEAM / GLIMMER – Paired Phase 3 Studies in Patients with Treatment-Naïve Diabetic Macular Edema</w:t>
      </w:r>
    </w:p>
    <w:p>
      <w:pPr>
        <w:spacing w:after="0" w:line="117"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The Phase 3 GLEAM and GLIMMER studies are global, multi-center, randomized pivotal studies designed to evaluate the durability, efficacy and safety of tarcocimab in patients with treatment-naïve diabetic macular edema. In each study, patients are randomized 1:1 to receive either tarcocimab or aflibercept. The tarcocimab arm is treated with a proactive, individualized dosing regimen of every 8-, 12-, 16-, 20- or 24 weeks (utilizing tight dynamic retreatment criteria) after three loading doses. The aflibercept arm is treated with a fixed dosing regimen of every 8-weeks after five monthly loading doses, per its label. Both studies completed enrollment of approximately 450 patients each worldwide in the first quarter of 2022. The primary endpoint for both studies is at year one, and patients will be treated and followed for a total of two years. We expect to announce topline data in mid-2023. If successful, we expect that data from our GLEAM and GLIMMER studies will serve as the primary basis for approval of tarcocimab in our anticipated BLA submission.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DAYLIGHT – Phase 3 Study in Patients with Treatment-Naïve Wet AMD</w:t>
      </w:r>
    </w:p>
    <w:p>
      <w:pPr>
        <w:spacing w:after="0" w:line="104"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Phase 3 DAYLIGHT study is a global, multi-center, randomized pivotal study designed to evaluate the efficacy and safety of high-frequency tarcocimab in patients with treatment-naïve wet AMD. Patients are randomized to receive either tarcocimab on a monthly dosing regimen or to receive standard-of-care aflibercept on a fixed dosing regimen of every 8-weeks after three monthly loading doses per its label. The primary endpoint is at year one. The DAYLIGHT study is intended to clarify the efficacy of tarcocimab to treat high need patients with wet AMD and, if successful, is intended to serve as the basis for approval in wet AMD with monthly dosing. DAYLIGHT has completed enrollment of approximately 550 patients worldwide and we expect to announce topline data in mid-2023.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BEACON – Phase 3 Study in Patients with Treatment- Naïve Retinal Vein Occlusion</w:t>
      </w:r>
    </w:p>
    <w:p>
      <w:pPr>
        <w:spacing w:after="0" w:line="104" w:lineRule="exact"/>
        <w:rPr>
          <w:sz w:val="20"/>
          <w:szCs w:val="20"/>
          <w:color w:val="auto"/>
        </w:rPr>
      </w:pPr>
    </w:p>
    <w:p>
      <w:pPr>
        <w:ind w:right="220" w:firstLine="509"/>
        <w:spacing w:after="0" w:line="278" w:lineRule="auto"/>
        <w:rPr>
          <w:sz w:val="20"/>
          <w:szCs w:val="20"/>
          <w:color w:val="auto"/>
        </w:rPr>
      </w:pPr>
      <w:r>
        <w:rPr>
          <w:rFonts w:ascii="Arial" w:cs="Arial" w:eastAsia="Arial" w:hAnsi="Arial"/>
          <w:sz w:val="17"/>
          <w:szCs w:val="17"/>
          <w:color w:val="auto"/>
        </w:rPr>
        <w:t>Following our announcement in August 2022 of the topline results at week 24, the study has advanced into the second six months with patients in both tarcocimab and aflibercept groups receiving treatment on an individualized basis per protocol-specified criteria. We intend to include the primary results at week 24 in our anticipated BLA filing to serve as the basis for potential approval of tarcocimab in RVO.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GLOW – Phase 3 Study in Patients with Non-Proliferative Diabetic Retinopathy without DME</w:t>
      </w:r>
    </w:p>
    <w:p>
      <w:pPr>
        <w:spacing w:after="0" w:line="10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The Phase 3 GLOW study is a global, multi-center, randomized pivotal superiority study designed to evaluate the efficacy and safety of tarcocimab tedromer in approximately 240 patients with treatment-naïve, moderately severe to severe non-proliferative diabetic retinopathy. Patients are randomized to receive either tarcocimab every six months after initiating doses given at baseline, 8 weeks and 20 weeks into the study, or to receive sham injections. The primary endpoint is at one year and patients will be treated and followed for two years. Outcomes include changes in diabetic retinopathy severity, measured on a standardized photographic grading scale, and the rate of development of sight-threatening complications due to diabetic retinopathy. We believe tarcocimab tedromer has the potential to be the longest-interval intravitreal therapeutic option for patients with diabetic retinopathy. GLOW has completed enrollment of approximately 240 patients in August 2022, and we expect to announce topline data in the second half of 2023.</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Tarcocimab Manufacturing</w:t>
      </w:r>
    </w:p>
    <w:p>
      <w:pPr>
        <w:spacing w:after="0" w:line="11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August 2020, we and our wholly-owned subsidiary Kodiak Sciences GmbH entered into a manufacturing agreement with Lonza Ltd (“Lonza”) for the clinical and commercial supply of drug substance for tarcocimab. The manufacturing agreement has an initial term of eight years, and the Company has the right to extend the term up to a total of 16 years. The Company and Lonza each has the ability to terminate this agreement upon the occurrence of certain conditions. We planned a custom-built bioconjugation facility with Lonza dedicated to the manufacture of Kodiak’s drug substance. In March 2022, we achieved mechanical completion of this facility in partnership with Lonza. In May 2022, we announced the grand opening of this facility together with Lonza.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Progression</w:t>
      </w:r>
    </w:p>
    <w:p>
      <w:pPr>
        <w:spacing w:after="0" w:line="104"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We continued progressing pipeline product candidates developed from our ABC Platform, including KSI-501. KSI-501 is a recombinant, mammalian cell expressed dual inhibitor antibody biopolymer conjugate, targeting both VEGF (VEGF-trap) and IL-6 (anti-IL-6-antibody) for the treatment of retinal diseases with an inflammatory component, including DME and uveitic macular edema. We believe we are on track to file the IND for KSI-501 in the fourth quarter of 2022 and to begin the Phase 1 clinical study in early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Global Economic Impacts</w:t>
      </w:r>
    </w:p>
    <w:p>
      <w:pPr>
        <w:spacing w:after="0" w:line="104" w:lineRule="exact"/>
        <w:rPr>
          <w:sz w:val="20"/>
          <w:szCs w:val="20"/>
          <w:color w:val="auto"/>
        </w:rPr>
      </w:pPr>
    </w:p>
    <w:p>
      <w:pPr>
        <w:ind w:right="240" w:firstLine="509"/>
        <w:spacing w:after="0" w:line="249" w:lineRule="auto"/>
        <w:rPr>
          <w:sz w:val="20"/>
          <w:szCs w:val="20"/>
          <w:color w:val="auto"/>
        </w:rPr>
      </w:pPr>
      <w:r>
        <w:rPr>
          <w:rFonts w:ascii="Arial" w:cs="Arial" w:eastAsia="Arial" w:hAnsi="Arial"/>
          <w:sz w:val="18"/>
          <w:szCs w:val="18"/>
          <w:color w:val="auto"/>
        </w:rPr>
        <w:t>We are continuing to monitor the global ongoing COVID-19 pandemic. We and our key clinical and manufacturing partners have been able to continue to advance our operations. Through this pandemic, we continue to work closely with our clinical sites to ensure patient safety and minimize the number of missed visits and study discontinuations. The overall rate of missed study visits remains less than 5% across all of our ongoing studies combined.</w:t>
      </w:r>
    </w:p>
    <w:p>
      <w:pPr>
        <w:spacing w:after="0" w:line="86"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response to the COVID-19 pandemic with regards to business operations, clinical trials, and manufacturing activities, we have taken steps in line with guidance from the U.S. Centers for Disease Control and Prevention (“CDC”) and the State of California to protect the health and safety of our employees and our community.</w:t>
      </w:r>
    </w:p>
    <w:p>
      <w:pPr>
        <w:spacing w:after="0" w:line="8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will continue to monitor the COVID-19 situation closely. As global economic conditions recover from the COVID-19 pandemic, business activity may not recover as quickly as anticipated, and it is not possible at this time to estimate the long-term impact that COVID-19 could have on our business, as the impact will depend on future developments, which are highly uncertain and cannot be predicted. The ultimate impact of the ongoing COVID-19 pandemic on our business operations remains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7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Moreover, 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component shortages and related supply chain challenges, geopolitical developments (including the ongoing COVID-19 pandemic) and the conflict between Ukraine and Russia and related sanctions, and increasing inflation rates and the responses by central banking authorities to control such inflation, among others. See also the section titled “Risk Factors” for additional information on risks and uncertainties related to the evolving global macroeconomic impacts.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8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tarcocimab.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87"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 investor relations costs and director and officer insurance premiums associated with being a public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0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Other income (expense), net consists primarily of accretion income and amortization expense on marketable securities, tax provisions and amortized issuance costs from the liability related to the future sale of royalties to BBA in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periods indicated,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09"/>
        </w:trPr>
        <w:tc>
          <w:tcPr>
            <w:tcW w:w="3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61,676</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56,002</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5,674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211,597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141,743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(79,478 )</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(67,535 )</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(11,943 )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(267,313 )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(174,002 )</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(93,311 )</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(25 )</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(77,038 )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(67,526 )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(9,512 )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(263,375 )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(173,825 )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(89,550 )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-1148080</wp:posOffset>
            </wp:positionV>
            <wp:extent cx="7747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-1148080</wp:posOffset>
            </wp:positionV>
            <wp:extent cx="7747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-1148080</wp:posOffset>
            </wp:positionV>
            <wp:extent cx="7683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-1148080</wp:posOffset>
            </wp:positionV>
            <wp:extent cx="6858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-1148080</wp:posOffset>
            </wp:positionV>
            <wp:extent cx="6858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-590550</wp:posOffset>
            </wp:positionV>
            <wp:extent cx="7747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-590550</wp:posOffset>
            </wp:positionV>
            <wp:extent cx="7747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-590550</wp:posOffset>
            </wp:positionV>
            <wp:extent cx="768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-590550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-590550</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60" w:type="dxa"/>
            <w:vAlign w:val="bottom"/>
            <w:gridSpan w:val="14"/>
          </w:tcPr>
          <w:p>
            <w:pPr>
              <w:ind w:left="520"/>
              <w:spacing w:after="0"/>
              <w:rPr>
                <w:sz w:val="20"/>
                <w:szCs w:val="20"/>
                <w:color w:val="auto"/>
              </w:rPr>
            </w:pPr>
            <w:r>
              <w:rPr>
                <w:rFonts w:ascii="Arial" w:cs="Arial" w:eastAsia="Arial" w:hAnsi="Arial"/>
                <w:sz w:val="18"/>
                <w:szCs w:val="18"/>
                <w:color w:val="auto"/>
                <w:w w:val="91"/>
              </w:rPr>
              <w:t>The following table summarizes our research and development expenses for the periods indicated, in thousands: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9"/>
              </w:rPr>
              <w:t>Nine Months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w w:val="96"/>
              </w:rPr>
              <w:t>Change</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Tarcocimab program expenses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28,878</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38,371</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107,825</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89,557</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KSI-501 program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ABC Platform and other program</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Payroll and personnel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Facilities and other research and</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development</w:t>
            </w: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5,590</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4,256</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15,255</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12,173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00"/>
              <w:spacing w:after="0" w:line="168" w:lineRule="exact"/>
              <w:rPr>
                <w:sz w:val="20"/>
                <w:szCs w:val="20"/>
                <w:color w:val="auto"/>
              </w:rPr>
            </w:pPr>
            <w:r>
              <w:rPr>
                <w:rFonts w:ascii="Arial" w:cs="Arial" w:eastAsia="Arial" w:hAnsi="Arial"/>
                <w:sz w:val="18"/>
                <w:szCs w:val="18"/>
                <w:color w:val="auto"/>
              </w:rPr>
              <w:t>Total research and development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61,676</w:t>
            </w:r>
          </w:p>
        </w:tc>
        <w:tc>
          <w:tcPr>
            <w:tcW w:w="5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56,002</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5,674</w:t>
            </w:r>
          </w:p>
        </w:tc>
        <w:tc>
          <w:tcPr>
            <w:tcW w:w="24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211,597</w:t>
            </w:r>
          </w:p>
        </w:tc>
        <w:tc>
          <w:tcPr>
            <w:tcW w:w="4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141,743</w:t>
            </w:r>
          </w:p>
        </w:tc>
        <w:tc>
          <w:tcPr>
            <w:tcW w:w="4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69,854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40" w:type="dxa"/>
            <w:vAlign w:val="bottom"/>
          </w:tcPr>
          <w:p>
            <w:pPr>
              <w:ind w:left="200"/>
              <w:spacing w:after="0" w:line="190" w:lineRule="exact"/>
              <w:rPr>
                <w:sz w:val="20"/>
                <w:szCs w:val="20"/>
                <w:color w:val="auto"/>
              </w:rPr>
            </w:pPr>
            <w:r>
              <w:rPr>
                <w:rFonts w:ascii="Arial" w:cs="Arial" w:eastAsia="Arial" w:hAnsi="Arial"/>
                <w:sz w:val="18"/>
                <w:szCs w:val="18"/>
                <w:color w:val="auto"/>
              </w:rPr>
              <w:t>expenses</w:t>
            </w: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-264795</wp:posOffset>
            </wp:positionV>
            <wp:extent cx="76835" cy="265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-264795</wp:posOffset>
            </wp:positionV>
            <wp:extent cx="76835" cy="265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-264795</wp:posOffset>
            </wp:positionV>
            <wp:extent cx="68580" cy="265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-264795</wp:posOffset>
            </wp:positionV>
            <wp:extent cx="68580"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-264795</wp:posOffset>
            </wp:positionV>
            <wp:extent cx="68580"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276"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Tarcocimab program expenses decreased $9.5 million and increased $18.3 million during the three and nine months ended September 30, 2022 as compared to the same periods in 2021. The decrease during the three months ended September 30, 2022 stemmed from the discontinuation of our Phase 2b/3 study in wet AMD and timing of manufacturing activities. The increase during the nine months ended September 30, 2022 was attributable to the clinical trial costs to support our tarcocimab program, which consists of five fully-enrolled Phase 3 pivotal trials, as well as ongoing manufacturing progress.</w:t>
      </w:r>
    </w:p>
    <w:p>
      <w:pPr>
        <w:spacing w:after="0" w:line="78"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KSI-501 program expenses increased $0.3 million and $2.0 million during three and nine months ended September 30, 2022 as compared to the same periods in 2021. The increase was primarily driven by manufacturing activities during 2022.</w:t>
      </w:r>
    </w:p>
    <w:p>
      <w:pPr>
        <w:spacing w:after="0" w:line="49"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ABC Platform and other program expenses increased $4.3 million and $16.7 million during the three and nine months ended September 30, 2022, as compared to the same periods in 2021, primarily due to manufacturing runs to support future research and development effort for our pipeline.</w:t>
      </w:r>
    </w:p>
    <w:p>
      <w:pPr>
        <w:spacing w:after="0" w:line="30"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Payroll and personnel expenses increased $9.3 million and $29.8 million during the three and nine months ended September 30, 2022 as compared to the same periods in 2021, primarily driven by increased stock-based compensation expense. We recorded stock-based compensation expense of $28.0 million in the nine months ended September 30, 2022 relating to the Kodiak 2021 Long-Term Performance Incentive Plan (“LTPIP”).</w:t>
      </w:r>
    </w:p>
    <w:p>
      <w:pPr>
        <w:spacing w:after="0" w:line="53" w:lineRule="exact"/>
        <w:rPr>
          <w:sz w:val="20"/>
          <w:szCs w:val="20"/>
          <w:color w:val="auto"/>
        </w:rPr>
      </w:pPr>
    </w:p>
    <w:p>
      <w:pPr>
        <w:jc w:val="both"/>
        <w:ind w:right="140" w:firstLine="509"/>
        <w:spacing w:after="0" w:line="324" w:lineRule="auto"/>
        <w:rPr>
          <w:sz w:val="20"/>
          <w:szCs w:val="20"/>
          <w:color w:val="auto"/>
        </w:rPr>
      </w:pPr>
      <w:r>
        <w:rPr>
          <w:rFonts w:ascii="Arial" w:cs="Arial" w:eastAsia="Arial" w:hAnsi="Arial"/>
          <w:sz w:val="16"/>
          <w:szCs w:val="16"/>
          <w:color w:val="auto"/>
        </w:rPr>
        <w:t>Facilities and other research and development expenses increased $1.3 million and $3.1 million during the three and nine months ended September 30, 2022, as compared to the same periods in 2021, primarily due to expansion of our Palo Alto facilities and incremental research efforts on our pipeline.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General and administrative expenses increased $6.3 million and $23.5 million during the three and nine months ended September 30, 2022, as compared to the same periods in 2021, primarily driven by increased stock-based compensation expense. We recorded stock-based compensation expense of $21.2 million in the nine months ended September 30, 2022 relating to the LTPIP.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We have funded our operations primarily through the sale and issuance of common stock, redeemable convertible preferred stock, convertible notes, warrants and the sale of royalties. As of September 30, 2022, we had cash, cash equivalents and marketable securities of $537.4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have incurred net losses since our inception. For the three months ended September 30, 2022, we had net loss of $77.0 million, of which $26.2 million related to non-cash stock-based compensation expense, and for the nine months ended September 30, 2022, we had net loss of $263.4 million, of which $80.3 million related to non-cash stock-based compensation expense. We expect to continue to incur additional losses in future periods. As of September 30, 2022, we had an accumulated deficit of $821.6 million. We believe that the cash, cash equivalents and marketable securities will be sufficient to meet our anticipated operating and capital expenditure requirements at least 12 months following the date of this Quarterly Report on 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right="40" w:firstLine="509"/>
        <w:spacing w:after="0" w:line="24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8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timing and amount of our operating expenditures and capital requirements will depend on many factors, including:</w:t>
      </w:r>
    </w:p>
    <w:p>
      <w:pPr>
        <w:spacing w:after="0" w:line="117" w:lineRule="exact"/>
        <w:rPr>
          <w:sz w:val="20"/>
          <w:szCs w:val="20"/>
          <w:color w:val="auto"/>
        </w:rPr>
      </w:pPr>
    </w:p>
    <w:p>
      <w:pPr>
        <w:ind w:left="76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760" w:right="52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760" w:right="52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67"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significant uncertainties caused by the evolving effects of the ongoing COVID-19 pandemic, the ongoing conflict in Ukraine, inflation, rising interest rates, lower consumer confidence,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64"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Summary Statement of Cash Flows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560" w:type="dxa"/>
            <w:vAlign w:val="bottom"/>
            <w:gridSpan w:val="4"/>
          </w:tcPr>
          <w:p>
            <w:pPr>
              <w:ind w:left="520"/>
              <w:spacing w:after="0"/>
              <w:rPr>
                <w:sz w:val="20"/>
                <w:szCs w:val="20"/>
                <w:color w:val="auto"/>
              </w:rPr>
            </w:pPr>
            <w:r>
              <w:rPr>
                <w:rFonts w:ascii="Arial" w:cs="Arial" w:eastAsia="Arial" w:hAnsi="Arial"/>
                <w:sz w:val="18"/>
                <w:szCs w:val="18"/>
                <w:color w:val="auto"/>
                <w:w w:val="92"/>
              </w:rPr>
              <w:t>The following table sets forth the primary sources and uses of cash for each of the periods presented below, in thousands: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jc w:val="right"/>
              <w:ind w:right="981"/>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(151,384 )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(123,235 )</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(403,511 )</w:t>
            </w: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(27,939 )</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(553,097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(145,149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08"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Net cash used in operating activities was $151.4 million for the nine months ended September 30, 2022, primarily attributable to a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Net cash used in investing activities was $403.5 million for the nine months ended September 30, 2022, primarily related to purchases of marketable securities and capital expenditures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Net cash provided by financing activities was $1.8 million for the nine months ended September 30, 2022, primarily due to the proceeds from stock option exercises.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 — Contractual Obligations and Commitments” in our Annual Report on Form 10-K for the year ended December 31, 2021, which was filed with the SEC on March 1, 2022. There have been no material changes in our contractual obligations and commitments since December 31, 2021, except as otherwise described in Note 6 to our unaudited condensed consolidated financial statements included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78"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During the nine months ended September 30, 2022, there were no material changes to our critical accounting policies as reported in our Annual Report on Form 10-K for the year ended December 31, 2021, which was filed with the SEC on March 1, 2022, except as otherwise described in Note 2 to our unaudited condensed consolidated financial statements included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During the nine months ended September 30, 2022, there were no material changes to our market risk disclosures as reported in our Annual Report on Form 10-K for the year ended December 31, 2021, which was filed with the SEC on March 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0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2"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September 30, 2022. Based upon such evaluation, our principal executive officer and principal financial officer concluded that the design and operation of our disclosure controls and procedures were effective at a reasonable assurance level as of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2022, that has materially affected, or is reasonably likely to materially affect, our internal control over financial reporting.</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1,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prospects are heavily dependent on our tarcocimab product candidate, which is currently in clinical development for multiple indications.*</w:t>
      </w:r>
    </w:p>
    <w:p>
      <w:pPr>
        <w:spacing w:after="0" w:line="12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Tarcocimab is our only product candidate currently in clinical trials. It may be years before a registrational-type trial is completed, if at all. Further, we cannot be certain that either tarcocimab or any of our product candidates will be successful in clinical trials.</w:t>
      </w:r>
    </w:p>
    <w:p>
      <w:pPr>
        <w:spacing w:after="0" w:line="49" w:lineRule="exact"/>
        <w:rPr>
          <w:sz w:val="20"/>
          <w:szCs w:val="20"/>
          <w:color w:val="auto"/>
        </w:rPr>
      </w:pPr>
    </w:p>
    <w:p>
      <w:pPr>
        <w:ind w:right="200" w:firstLine="509"/>
        <w:spacing w:after="0" w:line="280" w:lineRule="auto"/>
        <w:rPr>
          <w:sz w:val="20"/>
          <w:szCs w:val="20"/>
          <w:color w:val="auto"/>
        </w:rPr>
      </w:pPr>
      <w:r>
        <w:rPr>
          <w:rFonts w:ascii="Arial" w:cs="Arial" w:eastAsia="Arial" w:hAnsi="Arial"/>
          <w:sz w:val="16"/>
          <w:szCs w:val="16"/>
          <w:color w:val="auto"/>
        </w:rPr>
        <w:t>Our early preclinical and Phase 1/1b clinical trial results for tarcocimab in the respective indications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tarcocimab and followed for longer periods of time.</w:t>
      </w:r>
    </w:p>
    <w:p>
      <w:pPr>
        <w:spacing w:after="0" w:line="50" w:lineRule="exact"/>
        <w:rPr>
          <w:sz w:val="20"/>
          <w:szCs w:val="20"/>
          <w:color w:val="auto"/>
        </w:rPr>
      </w:pPr>
    </w:p>
    <w:p>
      <w:pPr>
        <w:ind w:right="260" w:firstLine="509"/>
        <w:spacing w:after="0" w:line="249" w:lineRule="auto"/>
        <w:rPr>
          <w:sz w:val="20"/>
          <w:szCs w:val="20"/>
          <w:color w:val="auto"/>
        </w:rPr>
      </w:pPr>
      <w:r>
        <w:rPr>
          <w:rFonts w:ascii="Arial" w:cs="Arial" w:eastAsia="Arial" w:hAnsi="Arial"/>
          <w:sz w:val="18"/>
          <w:szCs w:val="18"/>
          <w:color w:val="auto"/>
        </w:rPr>
        <w:t>For example, in February 2022, we announced topline results from our randomized, double-masked, active comparator-controlled Phase 2b/3 clinical trial evaluating the efficacy, durability and safety of tarcocimab in treatment-naïve subjects with neovascular wet AMD. The results show that tarcocimab did not meet the primary efficacy endpoint of showing non-inferior visual acuity gains for subjects dosed on extended regimens compared to aflibercept given every eight weeks.</w:t>
      </w:r>
    </w:p>
    <w:p>
      <w:pPr>
        <w:spacing w:after="0" w:line="59"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tarcocimab clinical study designs and data are not necessarily predictive of tarcocimab’s final marketed product label. FDA may not approve a label for a particular dosing frequency, even if we believe the data demonstrate support for that dosing.</w:t>
      </w:r>
    </w:p>
    <w:p>
      <w:pPr>
        <w:spacing w:after="0" w:line="45"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such as KSI-501 and KSI-601 in development and intend to develop other product candidates, it will take additional investment and time for such programs to reach the same stage of development as tarcocimab.</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failure of tarcocimab in clinical development may require us to discontinue development of other product candidates based on our ABC Platform.*</w:t>
      </w:r>
    </w:p>
    <w:p>
      <w:pPr>
        <w:spacing w:after="0" w:line="138" w:lineRule="exact"/>
        <w:rPr>
          <w:sz w:val="20"/>
          <w:szCs w:val="20"/>
          <w:color w:val="auto"/>
        </w:rPr>
      </w:pPr>
    </w:p>
    <w:p>
      <w:pPr>
        <w:ind w:right="100" w:firstLine="509"/>
        <w:spacing w:after="0" w:line="251" w:lineRule="auto"/>
        <w:rPr>
          <w:sz w:val="20"/>
          <w:szCs w:val="20"/>
          <w:color w:val="auto"/>
        </w:rPr>
      </w:pPr>
      <w:r>
        <w:rPr>
          <w:rFonts w:ascii="Arial" w:cs="Arial" w:eastAsia="Arial" w:hAnsi="Arial"/>
          <w:sz w:val="17"/>
          <w:szCs w:val="17"/>
          <w:color w:val="auto"/>
        </w:rPr>
        <w:t>If tarcocimab fails in development as a result of any underlying problem with our platform, then we may discontinue development of some or all of our product candidates that are based on our ABC Platform. If we discontinue development of tarcocimab, or if tarcocimab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right="300"/>
        <w:spacing w:after="0" w:line="291"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25"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3"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90"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approval may be for indications, dosage and administration or patient populations that are not as broad as intended or desired;</w:t>
      </w:r>
    </w:p>
    <w:p>
      <w:pPr>
        <w:spacing w:after="0" w:line="49" w:lineRule="exact"/>
        <w:rPr>
          <w:rFonts w:ascii="Arial" w:cs="Arial" w:eastAsia="Arial" w:hAnsi="Arial"/>
          <w:sz w:val="18"/>
          <w:szCs w:val="18"/>
          <w:color w:val="auto"/>
        </w:rPr>
      </w:pPr>
    </w:p>
    <w:p>
      <w:pPr>
        <w:ind w:left="760" w:right="4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90"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75" w:lineRule="exact"/>
        <w:rPr>
          <w:rFonts w:ascii="Arial" w:cs="Arial" w:eastAsia="Arial" w:hAnsi="Arial"/>
          <w:sz w:val="18"/>
          <w:szCs w:val="18"/>
          <w:color w:val="auto"/>
        </w:rPr>
      </w:pPr>
    </w:p>
    <w:p>
      <w:pPr>
        <w:ind w:left="760" w:right="820" w:hanging="378"/>
        <w:spacing w:after="0" w:line="24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90" w:lineRule="exact"/>
        <w:rPr>
          <w:rFonts w:ascii="Arial" w:cs="Arial" w:eastAsia="Arial" w:hAnsi="Arial"/>
          <w:sz w:val="18"/>
          <w:szCs w:val="18"/>
          <w:color w:val="auto"/>
        </w:rPr>
      </w:pPr>
    </w:p>
    <w:p>
      <w:pPr>
        <w:ind w:left="760" w:right="200" w:hanging="378"/>
        <w:spacing w:after="0" w:line="24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02" w:lineRule="exact"/>
        <w:rPr>
          <w:sz w:val="20"/>
          <w:szCs w:val="20"/>
          <w:color w:val="auto"/>
        </w:rPr>
      </w:pPr>
    </w:p>
    <w:p>
      <w:pPr>
        <w:ind w:right="420" w:firstLine="509"/>
        <w:spacing w:after="0" w:line="257" w:lineRule="auto"/>
        <w:rPr>
          <w:sz w:val="20"/>
          <w:szCs w:val="20"/>
          <w:color w:val="auto"/>
        </w:rPr>
      </w:pPr>
      <w:r>
        <w:rPr>
          <w:rFonts w:ascii="Arial" w:cs="Arial" w:eastAsia="Arial" w:hAnsi="Arial"/>
          <w:sz w:val="17"/>
          <w:szCs w:val="17"/>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54" w:lineRule="exact"/>
        <w:rPr>
          <w:sz w:val="20"/>
          <w:szCs w:val="20"/>
          <w:color w:val="auto"/>
        </w:rPr>
      </w:pPr>
    </w:p>
    <w:p>
      <w:pPr>
        <w:ind w:firstLine="509"/>
        <w:spacing w:after="0" w:line="260" w:lineRule="auto"/>
        <w:rPr>
          <w:sz w:val="20"/>
          <w:szCs w:val="20"/>
          <w:color w:val="auto"/>
        </w:rPr>
      </w:pPr>
      <w:r>
        <w:rPr>
          <w:rFonts w:ascii="Arial" w:cs="Arial" w:eastAsia="Arial" w:hAnsi="Arial"/>
          <w:sz w:val="16"/>
          <w:szCs w:val="16"/>
          <w:color w:val="auto"/>
        </w:rPr>
        <w:t>We may not be successful in our efforts to further develop our ABC Platform and current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8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6" w:name="page27"/>
    <w:bookmarkEnd w:id="26"/>
    <w:p>
      <w:pPr>
        <w:ind w:right="80" w:firstLine="509"/>
        <w:spacing w:after="0" w:line="261" w:lineRule="auto"/>
        <w:rPr>
          <w:sz w:val="20"/>
          <w:szCs w:val="20"/>
          <w:color w:val="auto"/>
        </w:rPr>
      </w:pPr>
      <w:r>
        <w:rPr>
          <w:rFonts w:ascii="Arial" w:cs="Arial" w:eastAsia="Arial" w:hAnsi="Arial"/>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68"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3" w:lineRule="exact"/>
        <w:rPr>
          <w:sz w:val="20"/>
          <w:szCs w:val="20"/>
          <w:color w:val="auto"/>
        </w:rPr>
      </w:pPr>
    </w:p>
    <w:p>
      <w:pPr>
        <w:ind w:firstLine="509"/>
        <w:spacing w:after="0" w:line="232"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2"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15" w:lineRule="exact"/>
        <w:rPr>
          <w:rFonts w:ascii="Arial" w:cs="Arial" w:eastAsia="Arial" w:hAnsi="Arial"/>
          <w:sz w:val="17"/>
          <w:szCs w:val="17"/>
          <w:color w:val="auto"/>
        </w:rPr>
      </w:pPr>
    </w:p>
    <w:p>
      <w:pPr>
        <w:ind w:left="760" w:right="12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90" w:lineRule="exact"/>
        <w:rPr>
          <w:rFonts w:ascii="Arial" w:cs="Arial" w:eastAsia="Arial" w:hAnsi="Arial"/>
          <w:sz w:val="18"/>
          <w:szCs w:val="18"/>
          <w:color w:val="auto"/>
        </w:rPr>
      </w:pPr>
    </w:p>
    <w:p>
      <w:pPr>
        <w:ind w:left="760" w:right="160" w:hanging="378"/>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90" w:lineRule="exact"/>
        <w:rPr>
          <w:rFonts w:ascii="Arial" w:cs="Arial" w:eastAsia="Arial" w:hAnsi="Arial"/>
          <w:sz w:val="18"/>
          <w:szCs w:val="18"/>
          <w:color w:val="auto"/>
        </w:rPr>
      </w:pPr>
    </w:p>
    <w:p>
      <w:pPr>
        <w:ind w:left="760" w:right="40" w:hanging="378"/>
        <w:spacing w:after="0" w:line="23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85" w:lineRule="exact"/>
        <w:rPr>
          <w:rFonts w:ascii="Arial" w:cs="Arial" w:eastAsia="Arial" w:hAnsi="Arial"/>
          <w:sz w:val="18"/>
          <w:szCs w:val="18"/>
          <w:color w:val="auto"/>
        </w:rPr>
      </w:pPr>
    </w:p>
    <w:p>
      <w:pPr>
        <w:ind w:left="76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03" w:lineRule="exact"/>
        <w:rPr>
          <w:rFonts w:ascii="Arial" w:cs="Arial" w:eastAsia="Arial" w:hAnsi="Arial"/>
          <w:sz w:val="18"/>
          <w:szCs w:val="18"/>
          <w:color w:val="auto"/>
        </w:rPr>
      </w:pPr>
    </w:p>
    <w:p>
      <w:pPr>
        <w:ind w:left="760" w:right="10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practices, or GCPs, requirements, or applicable EMA, NMPA or other regulatory guidelines in other countries;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760" w:right="140" w:hanging="378"/>
        <w:spacing w:after="0" w:line="26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49" w:lineRule="exact"/>
        <w:rPr>
          <w:rFonts w:ascii="Arial" w:cs="Arial" w:eastAsia="Arial" w:hAnsi="Arial"/>
          <w:sz w:val="18"/>
          <w:szCs w:val="18"/>
          <w:color w:val="auto"/>
        </w:rPr>
      </w:pPr>
    </w:p>
    <w:p>
      <w:pPr>
        <w:ind w:left="760" w:right="200" w:hanging="378"/>
        <w:spacing w:after="0" w:line="24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1" w:lineRule="exact"/>
        <w:rPr>
          <w:rFonts w:ascii="Arial" w:cs="Arial" w:eastAsia="Arial" w:hAnsi="Arial"/>
          <w:sz w:val="18"/>
          <w:szCs w:val="18"/>
          <w:color w:val="auto"/>
        </w:rPr>
      </w:pPr>
    </w:p>
    <w:p>
      <w:pPr>
        <w:ind w:left="760" w:right="340" w:hanging="378"/>
        <w:spacing w:after="0" w:line="24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75"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4" w:lineRule="exact"/>
        <w:rPr>
          <w:sz w:val="20"/>
          <w:szCs w:val="20"/>
          <w:color w:val="auto"/>
        </w:rPr>
      </w:pPr>
    </w:p>
    <w:p>
      <w:pPr>
        <w:ind w:right="80" w:firstLine="509"/>
        <w:spacing w:after="0" w:line="267"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NMPA or other regulatory authorities regarding CMC matters, including methodologies for, and assessment of, comparability of manufacturing procedures and lots.</w:t>
      </w:r>
    </w:p>
    <w:p>
      <w:pPr>
        <w:spacing w:after="0" w:line="6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3"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81" w:lineRule="exact"/>
        <w:rPr>
          <w:sz w:val="20"/>
          <w:szCs w:val="20"/>
          <w:color w:val="auto"/>
        </w:rPr>
      </w:pPr>
    </w:p>
    <w:p>
      <w:pPr>
        <w:ind w:firstLine="509"/>
        <w:spacing w:after="0" w:line="246"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the safety profile we have observed in the Phase 1a/1b study of tarcocimab, the Phase 2b/3 clinical trial evaluating tarcocimab in treatment-naïve subjects with neovascular wet AMD, and the Phase 3 clinical trial evaluating tarcocimab in treatment-naïve subjects with retinal vein occlusion may not be representative of the safety profile in additional studies. We may still observe significant safety events that may negatively impact the tarcocimab program and the ABC platform. A safety profile for tarcocimab in line with today’s standard of care agents based on a safety database through pivotal studies of approximately 1,500 patients may not be sustained when administered to 100,000s of patients at varying dose intervals if approved.</w:t>
      </w:r>
    </w:p>
    <w:p>
      <w:pPr>
        <w:spacing w:after="0" w:line="7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most advanced product candidate, tarcocimab,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28" w:name="page29"/>
    <w:bookmarkEnd w:id="28"/>
    <w:p>
      <w:pPr>
        <w:ind w:right="20" w:firstLine="509"/>
        <w:spacing w:after="0" w:line="267" w:lineRule="auto"/>
        <w:rPr>
          <w:sz w:val="20"/>
          <w:szCs w:val="20"/>
          <w:color w:val="auto"/>
        </w:rPr>
      </w:pPr>
      <w:r>
        <w:rPr>
          <w:rFonts w:ascii="Arial" w:cs="Arial" w:eastAsia="Arial" w:hAnsi="Arial"/>
          <w:sz w:val="16"/>
          <w:szCs w:val="16"/>
          <w:color w:val="auto"/>
        </w:rPr>
        <w:t>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may heighten the risk of adverse effects associated with anti-VEGF treatments generally, both in the eye and in the rest of the body. There are risks inherent in the intravitreal injection procedure of drugs like tarcocimab which can cause injury to the eye and other complications including conjunctival hemorrhage, punctate keratitis, eye pain, conjunctival hyperemia, intra-ocular inflammation, and endophthalmitis. Tarcocimab is also being explored clinically with higher frequency dosing, which may increase the risk of potential adverse events. Any additional toxicology signal observed, be it real or perceived, may negatively impact perceptions of utilization of tarcocimab in broader populations and impact clinical trial enrollment, regulatory approval and commercial success.</w:t>
      </w:r>
    </w:p>
    <w:p>
      <w:pPr>
        <w:spacing w:after="0" w:line="64"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7"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03"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76"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87"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760" w:right="100" w:hanging="378"/>
        <w:spacing w:after="0" w:line="256"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66"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effects of health epidemics, including the ongoing COVID-19 pandemic and the resulting shelter-in-place, travel or similar restrictions;</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safety events may cause physicians to decrease patient enrollment in our current or planned studies;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9" w:name="page30"/>
    <w:bookmarkEnd w:id="29"/>
    <w:p>
      <w:pPr>
        <w:ind w:left="760" w:right="38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p>
    <w:p>
      <w:pPr>
        <w:spacing w:after="0" w:line="59" w:lineRule="exact"/>
        <w:rPr>
          <w:sz w:val="20"/>
          <w:szCs w:val="20"/>
          <w:color w:val="auto"/>
        </w:rPr>
      </w:pPr>
    </w:p>
    <w:p>
      <w:pPr>
        <w:ind w:right="60" w:firstLine="509"/>
        <w:spacing w:after="0" w:line="246"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For example, in our Phase 2b/3 clinical trial evaluating the efficacy, durability and safety of tarcocimab in treatment-naïve subjects with neovascular wet AMD, tarcocimab did not meet the primary efficacy endpoint of showing non-inferior visual acuity gains for subjects dosed on extended regimens compared to aflibercept given every eight weeks.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82"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83"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Our tarcocimab pivotal study program relies on a single active arm in each study at a single dose (5mg), such that if a safety observation is observed there is no fallback position at a lower dose to rely 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pacing w:after="0" w:line="170" w:lineRule="exact"/>
        <w:rPr>
          <w:sz w:val="20"/>
          <w:szCs w:val="20"/>
          <w:color w:val="auto"/>
        </w:rPr>
      </w:pPr>
    </w:p>
    <w:p>
      <w:pPr>
        <w:jc w:val="both"/>
        <w:ind w:right="280"/>
        <w:spacing w:after="0"/>
        <w:rPr>
          <w:sz w:val="20"/>
          <w:szCs w:val="20"/>
          <w:color w:val="auto"/>
        </w:rPr>
      </w:pPr>
      <w:r>
        <w:rPr>
          <w:rFonts w:ascii="Arial" w:cs="Arial" w:eastAsia="Arial" w:hAnsi="Arial"/>
          <w:sz w:val="18"/>
          <w:szCs w:val="18"/>
          <w:b w:val="1"/>
          <w:bCs w:val="1"/>
          <w:i w:val="1"/>
          <w:iCs w:val="1"/>
          <w:color w:val="auto"/>
        </w:rPr>
        <w:t>The topline results from our Phase 2b/3 pivotal study of tarcocimab in wet AMD and from our Phase 3 pivotal study BEACON in RVO may lead to further study design modifications in our other ongoing pivotal studies and may impact the timeline of completion and likelihood of success of these pivotal studies.*</w:t>
      </w:r>
    </w:p>
    <w:p>
      <w:pPr>
        <w:spacing w:after="0" w:line="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announced in February 2022 that our Phase 2b/3 pivotal study of tarcocimab in wet AMD did not meet the primary efficacy endpoint of non-inferiority in visual acuity gains for tarcocimab treated patients on extended regimens of every 12-, 16-, or 20- weeks compared to patients treated with aflibercept every eight weeks. In light of these results, we have implemented changes to our ongoing Phase 3 studies GLEAM and GLIMMER in DME and Phase 3 study DAYLIGHT in wet AMD.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right="220" w:firstLine="509"/>
        <w:spacing w:after="0" w:line="248" w:lineRule="auto"/>
        <w:rPr>
          <w:sz w:val="20"/>
          <w:szCs w:val="20"/>
          <w:color w:val="auto"/>
        </w:rPr>
      </w:pPr>
      <w:r>
        <w:rPr>
          <w:rFonts w:ascii="Arial" w:cs="Arial" w:eastAsia="Arial" w:hAnsi="Arial"/>
          <w:sz w:val="18"/>
          <w:szCs w:val="18"/>
          <w:color w:val="auto"/>
        </w:rPr>
        <w:t>In August 2022, we announced that our BEACON Phase 3 pivotal study of tarcocimab in RVO met the primary efficacy endpoint of non-inferior visual acuity gains for patients treated with tarcocimab every eight weeks following two monthly loading doses compared to patients given aflibercept every four weeks per its label.</w:t>
      </w:r>
    </w:p>
    <w:p>
      <w:pPr>
        <w:spacing w:after="0" w:line="60"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Considering the totality of clinical study results of tarcocimab reported to date, we may decide to further modify the design of our other ongoing pivotal studies in order to reduce risks and increase probability of success, which may lead to potential delays in trial readouts and may impact the likelihood of trial success, which may in turn harm our business and operations and adversely affect our stock price.</w:t>
      </w:r>
    </w:p>
    <w:p>
      <w:pPr>
        <w:spacing w:after="0" w:line="150"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9"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81"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4"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tarcocimab.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56"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The first Lucentis biosimilar was approved this year in the United States, and its approval may impact market dynamics and payor policies negatively for tarcocimab. Roche’s product candidate, Vabysmo (faricimab) received FDA approval for the treatment of wet AMD and DME in January 2022 and met its non-inferiority endpoint in pivotal studies in RVO. We believe faricimab’s clinical profile together with physician enthusiasm for a new branded anti-VEGF will make it an important product in the marketplace. Regeneron recently reported positive topline results from its Phase 3 studies of a higher dose formulation of aflibercept that met its non-inferiority endpoint in pivotal studies in wet AMD and DME while dosing a majority of patients on an every 3 or 4 month interval. If approved, we believe high dose aflibercept may become an important therapy in the marketplace given Regeneron’s incumbent position in retinal diseases and the established safety of Eylea (2 mg aflibercept). Even if tarcocimab presents a compelling clinical profile, we may not be able to market our product candidates as effectively as our competitors. For example, entrenched franchises may seek to impede adoption of tarcocimab through significant discounts or rebates.</w:t>
      </w:r>
    </w:p>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22" w:right="399" w:bottom="1440" w:gutter="0" w:footer="0" w:header="0"/>
        </w:sectPr>
      </w:pPr>
    </w:p>
    <w:bookmarkStart w:id="31" w:name="page32"/>
    <w:bookmarkEnd w:id="31"/>
    <w:p>
      <w:pPr>
        <w:ind w:firstLine="509"/>
        <w:spacing w:after="0" w:line="257"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3"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COVID-19, the ongoing military conflict between Russia and Ukraine and the related sanctions imposed against Russia, global macroeconomic conditions, or other reasons.</w:t>
      </w:r>
    </w:p>
    <w:p>
      <w:pPr>
        <w:spacing w:after="0" w:line="67"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7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tarcocimab would require at least 12 months to manufacture. In the event of significant product loss and materials shortages, we may be unable to produce adequate amounts of our product candidates or products for our operational needs.</w:t>
      </w:r>
    </w:p>
    <w:p>
      <w:pPr>
        <w:spacing w:after="0" w:line="80"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78"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We rely on third parties for raw materials needed for manufacturing tarcocimab. We may not be able to obtain adequate amounts in the future. These challenges are magnified by the international nature of our supply chain, which, for tarcocimab, requires drug substance and drug product sourced from single source suppliers from China, Japan, the United Kingdom, the United States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right="160"/>
        <w:spacing w:after="0" w:line="249" w:lineRule="auto"/>
        <w:rPr>
          <w:sz w:val="20"/>
          <w:szCs w:val="20"/>
          <w:color w:val="auto"/>
        </w:rPr>
      </w:pPr>
      <w:r>
        <w:rPr>
          <w:rFonts w:ascii="Arial" w:cs="Arial" w:eastAsia="Arial" w:hAnsi="Arial"/>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and regulatory applications or our products for patients, if approved, could be delayed or stopped, or we may be unable to establish a commercially viable cost structure.</w:t>
      </w:r>
    </w:p>
    <w:p>
      <w:pPr>
        <w:spacing w:after="0" w:line="8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tarcocimab to date and has not made any commercial lots. The manufacturing processes for tarcocimab have never been tested at commercial scale and the process validation requirement (the requirement to consistently produce the active pharmaceutical ingredient used in tarcocimab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80"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Our manufacturers are also engaged in the manufacturing of COVID-19 vaccines and therapeutic treatments, and the success of and demand for these vaccines and therapeutic treatments means we and our programs are competing for scarce manufacturing resources. We aim to distribute tarcocimab in a prefilled syringe early in our commercial rollout. We may not be able to complete our prefilled syringe activities in a timely manner, or we may fail technically to design and develop a prefilled syringe for tarcocimab. If we require large volumes of glass vials, we may not be able to secure a sufficient supply due to COVID-19 related shortages of glass and vials.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64"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30" w:lineRule="exact"/>
        <w:rPr>
          <w:sz w:val="20"/>
          <w:szCs w:val="20"/>
          <w:color w:val="auto"/>
        </w:rPr>
      </w:pPr>
    </w:p>
    <w:p>
      <w:pPr>
        <w:ind w:right="360" w:firstLine="509"/>
        <w:spacing w:after="0" w:line="290"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2"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90" w:lineRule="exact"/>
        <w:rPr>
          <w:sz w:val="20"/>
          <w:szCs w:val="20"/>
          <w:color w:val="auto"/>
        </w:rPr>
      </w:pPr>
    </w:p>
    <w:p>
      <w:pPr>
        <w:ind w:left="760" w:right="34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760" w:right="20" w:hanging="378"/>
        <w:spacing w:after="0" w:line="246"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03"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04"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82"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2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7"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label as compared to alternative treatments;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NMPA or other regulatory agencies;</w:t>
      </w:r>
    </w:p>
    <w:p>
      <w:pPr>
        <w:spacing w:after="0" w:line="103" w:lineRule="exact"/>
        <w:rPr>
          <w:rFonts w:ascii="Arial" w:cs="Arial" w:eastAsia="Arial" w:hAnsi="Arial"/>
          <w:sz w:val="18"/>
          <w:szCs w:val="18"/>
          <w:color w:val="auto"/>
        </w:rPr>
      </w:pPr>
    </w:p>
    <w:p>
      <w:pPr>
        <w:ind w:left="760" w:right="400" w:hanging="378"/>
        <w:spacing w:after="0" w:line="26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NMPA or other comparable foreign regulatory authorities, including any limitations, contraindications or warnings contained in a product’s approved labeling;</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0"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4" w:name="page35"/>
    <w:bookmarkEnd w:id="34"/>
    <w:p>
      <w:pPr>
        <w:ind w:right="60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3" w:lineRule="exact"/>
        <w:rPr>
          <w:sz w:val="20"/>
          <w:szCs w:val="20"/>
          <w:color w:val="auto"/>
        </w:rPr>
      </w:pPr>
    </w:p>
    <w:p>
      <w:pPr>
        <w:ind w:right="20" w:firstLine="509"/>
        <w:spacing w:after="0" w:line="264" w:lineRule="auto"/>
        <w:rPr>
          <w:sz w:val="20"/>
          <w:szCs w:val="20"/>
          <w:color w:val="auto"/>
        </w:rPr>
      </w:pPr>
      <w:r>
        <w:rPr>
          <w:rFonts w:ascii="Arial" w:cs="Arial" w:eastAsia="Arial" w:hAnsi="Arial"/>
          <w:sz w:val="16"/>
          <w:szCs w:val="16"/>
          <w:color w:val="auto"/>
        </w:rPr>
        <w:t>Drug pricing and access policies in the United States and internationally may change and negatively impact tarcocimab’s commercial viability. Proposed policy changes, including the potential for Medicare to negotiate with drug manufacturers under the newly enacted Inflation Reduction Act of 2022 (the “IRA”), may limit our ability to competitively price tarcocimab, if approved. Further, commercial insurers may limit patient access to tarcocimab,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55" w:lineRule="exact"/>
        <w:rPr>
          <w:sz w:val="20"/>
          <w:szCs w:val="20"/>
          <w:color w:val="auto"/>
        </w:rPr>
      </w:pPr>
    </w:p>
    <w:p>
      <w:pPr>
        <w:ind w:right="20" w:firstLine="509"/>
        <w:spacing w:after="0" w:line="247"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81"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7" w:lineRule="exact"/>
        <w:rPr>
          <w:sz w:val="20"/>
          <w:szCs w:val="20"/>
          <w:color w:val="auto"/>
        </w:rPr>
      </w:pPr>
    </w:p>
    <w:p>
      <w:pPr>
        <w:ind w:firstLine="509"/>
        <w:spacing w:after="0" w:line="246"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5" w:name="page36"/>
    <w:bookmarkEnd w:id="35"/>
    <w:p>
      <w:pPr>
        <w:ind w:right="240"/>
        <w:spacing w:after="0" w:line="261" w:lineRule="auto"/>
        <w:rPr>
          <w:sz w:val="20"/>
          <w:szCs w:val="20"/>
          <w:color w:val="auto"/>
        </w:rPr>
      </w:pPr>
      <w:r>
        <w:rPr>
          <w:rFonts w:ascii="Arial" w:cs="Arial" w:eastAsia="Arial" w:hAnsi="Arial"/>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63"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73"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3"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73"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04"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9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53" w:lineRule="exact"/>
        <w:rPr>
          <w:sz w:val="20"/>
          <w:szCs w:val="20"/>
          <w:color w:val="auto"/>
        </w:rPr>
      </w:pPr>
    </w:p>
    <w:p>
      <w:pPr>
        <w:ind w:right="160" w:firstLine="509"/>
        <w:spacing w:after="0" w:line="251" w:lineRule="auto"/>
        <w:rPr>
          <w:sz w:val="20"/>
          <w:szCs w:val="20"/>
          <w:color w:val="auto"/>
        </w:rPr>
      </w:pPr>
      <w:r>
        <w:rPr>
          <w:rFonts w:ascii="Arial" w:cs="Arial" w:eastAsia="Arial" w:hAnsi="Arial"/>
          <w:sz w:val="16"/>
          <w:szCs w:val="16"/>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auto"/>
        </w:rPr>
        <w:t>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approval for any product candidate, and it is possible that none of our existing product candidates or any product candidates we may seek to develop in the future will ever obtain regulatory approval.</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77" w:lineRule="exact"/>
        <w:rPr>
          <w:sz w:val="20"/>
          <w:szCs w:val="20"/>
          <w:color w:val="auto"/>
        </w:rPr>
      </w:pPr>
    </w:p>
    <w:p>
      <w:pPr>
        <w:ind w:left="760" w:hanging="378"/>
        <w:spacing w:after="0" w:line="246"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the design, implementation or results of our clinical trials or the portfolio of clinical trials planned for submission in our BLA;</w:t>
      </w:r>
    </w:p>
    <w:p>
      <w:pPr>
        <w:spacing w:after="0" w:line="61" w:lineRule="exact"/>
        <w:rPr>
          <w:rFonts w:ascii="Arial" w:cs="Arial" w:eastAsia="Arial" w:hAnsi="Arial"/>
          <w:sz w:val="18"/>
          <w:szCs w:val="18"/>
          <w:color w:val="auto"/>
        </w:rPr>
      </w:pPr>
    </w:p>
    <w:p>
      <w:pPr>
        <w:ind w:left="760" w:right="140" w:hanging="378"/>
        <w:spacing w:after="0" w:line="235"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53"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1" w:lineRule="exact"/>
        <w:rPr>
          <w:rFonts w:ascii="Arial" w:cs="Arial" w:eastAsia="Arial" w:hAnsi="Arial"/>
          <w:sz w:val="18"/>
          <w:szCs w:val="18"/>
          <w:color w:val="auto"/>
        </w:rPr>
      </w:pPr>
    </w:p>
    <w:p>
      <w:pPr>
        <w:ind w:left="760" w:right="120" w:hanging="378"/>
        <w:spacing w:after="0" w:line="246"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demonstrate to the FDA, EMA, NMPA or comparable foreign regulatory authorities that a product candidate’s risk-benefit ratio for its proposed indication(s), when compared to the standard of care, is acceptable;</w:t>
      </w:r>
    </w:p>
    <w:p>
      <w:pPr>
        <w:spacing w:after="0" w:line="61" w:lineRule="exact"/>
        <w:rPr>
          <w:rFonts w:ascii="Arial" w:cs="Arial" w:eastAsia="Arial" w:hAnsi="Arial"/>
          <w:sz w:val="18"/>
          <w:szCs w:val="18"/>
          <w:color w:val="auto"/>
        </w:rPr>
      </w:pPr>
    </w:p>
    <w:p>
      <w:pPr>
        <w:ind w:left="760" w:right="380" w:hanging="378"/>
        <w:spacing w:after="0" w:line="235"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our interpretation of data from preclinical studies or clinical trials;</w:t>
      </w:r>
    </w:p>
    <w:p>
      <w:pPr>
        <w:spacing w:after="0" w:line="67" w:lineRule="exact"/>
        <w:rPr>
          <w:rFonts w:ascii="Arial" w:cs="Arial" w:eastAsia="Arial" w:hAnsi="Arial"/>
          <w:sz w:val="18"/>
          <w:szCs w:val="18"/>
          <w:color w:val="auto"/>
        </w:rPr>
      </w:pPr>
    </w:p>
    <w:p>
      <w:pPr>
        <w:ind w:left="760" w:right="120" w:hanging="378"/>
        <w:spacing w:after="0" w:line="246"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study data may not be positive in all clinical trials demonstrating a mix of positive and negative clinical trial results;</w:t>
      </w:r>
    </w:p>
    <w:p>
      <w:pPr>
        <w:spacing w:after="0" w:line="76" w:lineRule="exact"/>
        <w:rPr>
          <w:rFonts w:ascii="Arial" w:cs="Arial" w:eastAsia="Arial" w:hAnsi="Arial"/>
          <w:sz w:val="18"/>
          <w:szCs w:val="18"/>
          <w:color w:val="auto"/>
        </w:rPr>
      </w:pPr>
    </w:p>
    <w:p>
      <w:pPr>
        <w:ind w:left="760" w:right="220" w:hanging="378"/>
        <w:spacing w:after="0" w:line="307"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EMA, NMPA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15" w:lineRule="exact"/>
        <w:rPr>
          <w:rFonts w:ascii="Arial" w:cs="Arial" w:eastAsia="Arial" w:hAnsi="Arial"/>
          <w:sz w:val="16"/>
          <w:szCs w:val="16"/>
          <w:color w:val="auto"/>
        </w:rPr>
      </w:pPr>
    </w:p>
    <w:p>
      <w:pPr>
        <w:ind w:left="760" w:hanging="378"/>
        <w:spacing w:after="0" w:line="246"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NMPA or comparable foreign regulatory authorities may significantly change in a manner rendering our clinical data insufficient for approval.</w:t>
      </w:r>
    </w:p>
    <w:p>
      <w:pPr>
        <w:spacing w:after="0" w:line="6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5"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b w:val="1"/>
          <w:bCs w:val="1"/>
          <w:i w:val="1"/>
          <w:iCs w:val="1"/>
          <w:color w:val="auto"/>
        </w:rPr>
        <w:t>We plan to conduct clinical trials for our product candidates outside the United States (or the respective jurisdictions of other regulatory authorities), and the FDA, (or EMA, NMPA and applicable foreign regulatory authorities) may not accept data from such trials.</w:t>
      </w:r>
    </w:p>
    <w:p>
      <w:pPr>
        <w:spacing w:after="0" w:line="40" w:lineRule="exact"/>
        <w:rPr>
          <w:sz w:val="20"/>
          <w:szCs w:val="20"/>
          <w:color w:val="auto"/>
        </w:rPr>
      </w:pPr>
    </w:p>
    <w:p>
      <w:pPr>
        <w:ind w:right="60" w:firstLine="509"/>
        <w:spacing w:after="0" w:line="248" w:lineRule="auto"/>
        <w:rPr>
          <w:sz w:val="20"/>
          <w:szCs w:val="20"/>
          <w:color w:val="auto"/>
        </w:rPr>
      </w:pPr>
      <w:r>
        <w:rPr>
          <w:rFonts w:ascii="Arial" w:cs="Arial" w:eastAsia="Arial" w:hAnsi="Arial"/>
          <w:sz w:val="16"/>
          <w:szCs w:val="16"/>
          <w:color w:val="auto"/>
        </w:rPr>
        <w:t>We plan to conduct one or more of our clinical trials outside the United States, including Europe, China and other foreign countries. The acceptance of study data from global clinical trials by the FDA, EMA, NMPA or applicable foreign regulatory authority may be subject to certain conditions. In cases</w:t>
      </w:r>
    </w:p>
    <w:p>
      <w:pPr>
        <w:spacing w:after="0" w:line="246" w:lineRule="auto"/>
        <w:rPr>
          <w:sz w:val="20"/>
          <w:szCs w:val="20"/>
          <w:color w:val="auto"/>
        </w:rPr>
      </w:pPr>
      <w:r>
        <w:rPr>
          <w:rFonts w:ascii="Arial" w:cs="Arial" w:eastAsia="Arial" w:hAnsi="Arial"/>
          <w:sz w:val="16"/>
          <w:szCs w:val="16"/>
          <w:color w:val="auto"/>
        </w:rPr>
        <w:t>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w:t>
      </w:r>
    </w:p>
    <w:p>
      <w:pPr>
        <w:spacing w:after="0" w:line="1"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assurance that the FDA, EMA, NMPA or any applicable foreign regulatory authority will accept data from trials conducted outside of their respective jurisdiction. If the FDA, EMA, NMPA or any applicable foreign regulatory authority does not accept such data, it would result in the need for additional</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trials, which would be costly and time-consuming, would delay aspects of our business plan and which may result in our product candidates not receiving approval or clearance for commercialization in the applicable jurisdiction.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7" w:name="page38"/>
    <w:bookmarkEnd w:id="37"/>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50"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400" w:firstLine="509"/>
        <w:spacing w:after="0" w:line="294"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53"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70"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3"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8" w:name="page39"/>
    <w:bookmarkEnd w:id="38"/>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04"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27" w:lineRule="exact"/>
        <w:rPr>
          <w:sz w:val="20"/>
          <w:szCs w:val="20"/>
          <w:color w:val="auto"/>
        </w:rPr>
      </w:pPr>
    </w:p>
    <w:p>
      <w:pPr>
        <w:ind w:right="100" w:firstLine="509"/>
        <w:spacing w:after="0" w:line="278"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p>
    <w:p>
      <w:pPr>
        <w:spacing w:after="0" w:line="5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will remain in effect through 2031 unless additional Congressional action is taken. However, COVID-19 relief support legislation suspended the 2% Medicare sequester from May 1, 2020 through March 31, 2022. Under current legislation the actual reduction in Medicare payments will vary from 1% in 2022 to up to 4% in the final fiscal year of this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 In addition, Congress is considering additional health reform measures, such as capping the costs for prescription drugs covered by Medicare Part D and by setting the annual out-of-pocket limit at $2,000 beginning in 2024, as part of other health reform initiatives.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9" w:name="page40"/>
    <w:bookmarkEnd w:id="39"/>
    <w:p>
      <w:pPr>
        <w:ind w:right="140" w:firstLine="509"/>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83"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04" w:lineRule="exact"/>
        <w:rPr>
          <w:sz w:val="20"/>
          <w:szCs w:val="20"/>
          <w:color w:val="auto"/>
        </w:rPr>
      </w:pPr>
    </w:p>
    <w:p>
      <w:pPr>
        <w:ind w:right="60" w:firstLine="509"/>
        <w:spacing w:after="0" w:line="245" w:lineRule="auto"/>
        <w:rPr>
          <w:sz w:val="20"/>
          <w:szCs w:val="20"/>
          <w:color w:val="auto"/>
        </w:rPr>
      </w:pPr>
      <w:r>
        <w:rPr>
          <w:rFonts w:ascii="Arial" w:cs="Arial" w:eastAsia="Arial" w:hAnsi="Arial"/>
          <w:sz w:val="17"/>
          <w:szCs w:val="17"/>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 It is unclear whether these or similar policy initiatives will be implemented in the future.</w:t>
      </w:r>
    </w:p>
    <w:p>
      <w:pPr>
        <w:spacing w:after="0" w:line="82" w:lineRule="exact"/>
        <w:rPr>
          <w:sz w:val="20"/>
          <w:szCs w:val="20"/>
          <w:color w:val="auto"/>
        </w:rPr>
      </w:pPr>
    </w:p>
    <w:p>
      <w:pPr>
        <w:jc w:val="both"/>
        <w:ind w:right="180" w:firstLine="509"/>
        <w:spacing w:after="0" w:line="270"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4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9" w:lineRule="exact"/>
        <w:rPr>
          <w:sz w:val="20"/>
          <w:szCs w:val="20"/>
          <w:color w:val="auto"/>
        </w:rPr>
      </w:pPr>
    </w:p>
    <w:p>
      <w:pPr>
        <w:ind w:right="480"/>
        <w:spacing w:after="0" w:line="343"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We are exposed to the risk of fraud, misconduct or other illegal activity by our employees, independent contractors, consultants, commercial</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0" w:name="page41"/>
    <w:bookmarkEnd w:id="40"/>
    <w:p>
      <w:pPr>
        <w:ind w:right="40" w:firstLine="509"/>
        <w:spacing w:after="0" w:line="274" w:lineRule="auto"/>
        <w:rPr>
          <w:sz w:val="20"/>
          <w:szCs w:val="20"/>
          <w:color w:val="auto"/>
        </w:rPr>
      </w:pPr>
      <w:r>
        <w:rPr>
          <w:rFonts w:ascii="Arial" w:cs="Arial" w:eastAsia="Arial" w:hAnsi="Arial"/>
          <w:sz w:val="16"/>
          <w:szCs w:val="16"/>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75"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26" w:lineRule="exact"/>
        <w:rPr>
          <w:sz w:val="20"/>
          <w:szCs w:val="20"/>
          <w:color w:val="auto"/>
        </w:rPr>
      </w:pPr>
    </w:p>
    <w:p>
      <w:pPr>
        <w:ind w:left="760" w:right="120" w:hanging="378"/>
        <w:spacing w:after="0" w:line="250"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73" w:lineRule="exact"/>
        <w:rPr>
          <w:rFonts w:ascii="Arial" w:cs="Arial" w:eastAsia="Arial" w:hAnsi="Arial"/>
          <w:sz w:val="17"/>
          <w:szCs w:val="17"/>
          <w:color w:val="auto"/>
        </w:rPr>
      </w:pPr>
    </w:p>
    <w:p>
      <w:pPr>
        <w:ind w:left="760" w:right="100" w:hanging="378"/>
        <w:spacing w:after="0" w:line="23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67" w:lineRule="exact"/>
        <w:rPr>
          <w:rFonts w:ascii="Arial" w:cs="Arial" w:eastAsia="Arial" w:hAnsi="Arial"/>
          <w:sz w:val="18"/>
          <w:szCs w:val="18"/>
          <w:color w:val="auto"/>
        </w:rPr>
      </w:pPr>
    </w:p>
    <w:p>
      <w:pPr>
        <w:ind w:left="760" w:hanging="378"/>
        <w:spacing w:after="0" w:line="252"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61" w:lineRule="exact"/>
        <w:rPr>
          <w:rFonts w:ascii="Arial" w:cs="Arial" w:eastAsia="Arial" w:hAnsi="Arial"/>
          <w:sz w:val="17"/>
          <w:szCs w:val="17"/>
          <w:color w:val="auto"/>
        </w:rPr>
      </w:pPr>
    </w:p>
    <w:p>
      <w:pPr>
        <w:ind w:left="760" w:right="220" w:hanging="378"/>
        <w:spacing w:after="0" w:line="23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94" w:lineRule="exact"/>
        <w:rPr>
          <w:rFonts w:ascii="Arial" w:cs="Arial" w:eastAsia="Arial" w:hAnsi="Arial"/>
          <w:sz w:val="18"/>
          <w:szCs w:val="18"/>
          <w:color w:val="auto"/>
        </w:rPr>
      </w:pPr>
    </w:p>
    <w:p>
      <w:pPr>
        <w:ind w:left="760" w:right="40" w:hanging="378"/>
        <w:spacing w:after="0" w:line="24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1" w:name="page42"/>
    <w:bookmarkEnd w:id="41"/>
    <w:p>
      <w:pPr>
        <w:ind w:left="760" w:right="48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48" w:lineRule="exact"/>
        <w:rPr>
          <w:rFonts w:ascii="Arial" w:cs="Arial" w:eastAsia="Arial" w:hAnsi="Arial"/>
          <w:sz w:val="18"/>
          <w:szCs w:val="18"/>
          <w:color w:val="auto"/>
        </w:rPr>
      </w:pPr>
    </w:p>
    <w:p>
      <w:pPr>
        <w:ind w:left="760" w:hanging="378"/>
        <w:spacing w:after="0" w:line="258"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sales; and other adverse business consequences.*</w:t>
      </w:r>
    </w:p>
    <w:p>
      <w:pPr>
        <w:spacing w:after="0" w:line="67"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In the ordinary course of business, we may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a variety of provincial, state, national, and foreign laws and regulations, as well as policies, contracts and other obligations that apply to the processing of sensitive information. Data privacy and security laws and regulations are evolving and may result in ever-increasing regulatory and public scrutiny and escalating levels of enforcement and sanctions.</w:t>
      </w:r>
    </w:p>
    <w:p>
      <w:pPr>
        <w:spacing w:after="0" w:line="6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data. The CCPA provides for civil penalties for violations (up to $7,500 per violation) and a private right of action for certain data breaches. In addition, it is anticipated that the California Privacy Rights Act of 2020, or CPRA, effective January 1, 2023, will expand the CCPA. Additionally, the CPRA establishes a new California Privacy Protection Agency to implement and enforce the CPRA, which could increase the risk of enforcement. While certain clinical trial activities are exempt from the CCPA’s and the CPRA’s requirements, other personal data that we handle may be subject to the CCPA and the CPRA, which may increase our compliance costs, exposure to regulatory enforcement action and other liabilities. Since the enactment of the CCPA, new privacy and data security laws have been proposed in more than half of the states and in the U.S. Congress, reflecting a trend toward more stringent privacy legislation in the U.S. For example, Virginia passed the Consumer Data Protection Act, Colorado passed the Colorado Privacy Act, and Utah passed the Utah Consumer Privacy Act, all of which become effective in 2023.</w:t>
      </w:r>
    </w:p>
    <w:p>
      <w:pPr>
        <w:spacing w:after="0" w:line="80" w:lineRule="exact"/>
        <w:rPr>
          <w:sz w:val="20"/>
          <w:szCs w:val="20"/>
          <w:color w:val="auto"/>
        </w:rPr>
      </w:pPr>
    </w:p>
    <w:p>
      <w:pPr>
        <w:ind w:right="220" w:firstLine="509"/>
        <w:spacing w:after="0" w:line="260"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under the EU GDPR, government regulators may impose temporary or definitive bans on data processing, as well as fines of up to 20 million euros or 4% of annual global revenue, whichever is greater. Further, the EU GDPR also provides for private litigation related to the processing of personal data that can be brought by classes of data subjects or consumer protection organizations authorized at law to represent the data subjects’ interests.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2" w:name="page43"/>
    <w:bookmarkEnd w:id="42"/>
    <w:p>
      <w:pPr>
        <w:ind w:right="20" w:firstLine="509"/>
        <w:spacing w:after="0" w:line="258" w:lineRule="auto"/>
        <w:rPr>
          <w:sz w:val="20"/>
          <w:szCs w:val="20"/>
          <w:color w:val="auto"/>
        </w:rPr>
      </w:pPr>
      <w:r>
        <w:rPr>
          <w:rFonts w:ascii="Arial" w:cs="Arial" w:eastAsia="Arial" w:hAnsi="Arial"/>
          <w:sz w:val="17"/>
          <w:szCs w:val="17"/>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European Economic Area, or EEA, that the European Commission does not consider to provide an adequate level of data privacy and security, such as the United States. The European Commission released a set of “Standard Contractual Clauses,” or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In addition, Switzerland and the UK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w:t>
      </w:r>
    </w:p>
    <w:p>
      <w:pPr>
        <w:spacing w:after="0" w:line="70" w:lineRule="exact"/>
        <w:rPr>
          <w:sz w:val="20"/>
          <w:szCs w:val="20"/>
          <w:color w:val="auto"/>
        </w:rPr>
      </w:pPr>
    </w:p>
    <w:p>
      <w:pPr>
        <w:ind w:right="280" w:firstLine="509"/>
        <w:spacing w:after="0" w:line="283" w:lineRule="auto"/>
        <w:rPr>
          <w:sz w:val="20"/>
          <w:szCs w:val="20"/>
          <w:color w:val="auto"/>
        </w:rPr>
      </w:pPr>
      <w:r>
        <w:rPr>
          <w:rFonts w:ascii="Arial" w:cs="Arial" w:eastAsia="Arial" w:hAnsi="Arial"/>
          <w:sz w:val="16"/>
          <w:szCs w:val="16"/>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6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The GDPR, CCPA and many other laws and regulations relating to data privacy and security are still being tested in courts, and they are subject to new and differing interpretations by courts and regulatory officials. We are working to comply with the data privacy and security laws and regulations that apply to us, and we anticipate needing to devote significant additional resources to complying with these laws and regulations. It is possible that the GDPR, CCPA or other laws and regulations relating to data privacy and security may be interpreted and applied in a manner that is inconsistent from jurisdiction to jurisdiction or inconsistent with our current policies and practices.</w:t>
      </w:r>
    </w:p>
    <w:p>
      <w:pPr>
        <w:spacing w:after="0" w:line="78" w:lineRule="exact"/>
        <w:rPr>
          <w:sz w:val="20"/>
          <w:szCs w:val="20"/>
          <w:color w:val="auto"/>
        </w:rPr>
      </w:pPr>
    </w:p>
    <w:p>
      <w:pPr>
        <w:ind w:right="380" w:firstLine="509"/>
        <w:spacing w:after="0" w:line="245" w:lineRule="auto"/>
        <w:rPr>
          <w:sz w:val="20"/>
          <w:szCs w:val="20"/>
          <w:color w:val="auto"/>
        </w:rPr>
      </w:pPr>
      <w:r>
        <w:rPr>
          <w:rFonts w:ascii="Arial" w:cs="Arial" w:eastAsia="Arial" w:hAnsi="Arial"/>
          <w:sz w:val="18"/>
          <w:szCs w:val="18"/>
          <w:color w:val="auto"/>
        </w:rPr>
        <w:t>Our actual or perceived failure to adequately comply with applicable laws, regulations, policies, contracts and other obligations relating to data privacy and security, or to protect personal data and other data we process or maintain, could result in regulatory fines and bans on processing personal data,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388"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3"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7"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9" w:lineRule="exact"/>
        <w:rPr>
          <w:sz w:val="20"/>
          <w:szCs w:val="20"/>
          <w:color w:val="auto"/>
        </w:rPr>
      </w:pPr>
    </w:p>
    <w:p>
      <w:pPr>
        <w:ind w:right="280" w:firstLine="509"/>
        <w:spacing w:after="0" w:line="24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86"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53" w:lineRule="exact"/>
        <w:rPr>
          <w:sz w:val="20"/>
          <w:szCs w:val="20"/>
          <w:color w:val="auto"/>
        </w:rPr>
      </w:pPr>
    </w:p>
    <w:p>
      <w:pPr>
        <w:ind w:right="120" w:firstLine="509"/>
        <w:spacing w:after="0" w:line="278"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0" w:lineRule="exact"/>
        <w:rPr>
          <w:sz w:val="20"/>
          <w:szCs w:val="20"/>
          <w:color w:val="auto"/>
        </w:rPr>
      </w:pPr>
    </w:p>
    <w:p>
      <w:pPr>
        <w:jc w:val="both"/>
        <w:ind w:right="260" w:firstLine="509"/>
        <w:spacing w:after="0" w:line="256"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56"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4" w:name="page45"/>
    <w:bookmarkEnd w:id="44"/>
    <w:p>
      <w:pPr>
        <w:ind w:right="600" w:firstLine="509"/>
        <w:spacing w:after="0" w:line="291"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9"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04" w:lineRule="exact"/>
        <w:rPr>
          <w:sz w:val="20"/>
          <w:szCs w:val="20"/>
          <w:color w:val="auto"/>
        </w:rPr>
      </w:pPr>
    </w:p>
    <w:p>
      <w:pPr>
        <w:ind w:right="280" w:firstLine="509"/>
        <w:spacing w:after="0" w:line="25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9" w:lineRule="exact"/>
        <w:rPr>
          <w:sz w:val="20"/>
          <w:szCs w:val="20"/>
          <w:color w:val="auto"/>
        </w:rPr>
      </w:pPr>
    </w:p>
    <w:p>
      <w:pPr>
        <w:ind w:right="300" w:firstLine="509"/>
        <w:spacing w:after="0" w:line="274"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53" w:lineRule="exact"/>
        <w:rPr>
          <w:sz w:val="20"/>
          <w:szCs w:val="20"/>
          <w:color w:val="auto"/>
        </w:rPr>
      </w:pPr>
    </w:p>
    <w:p>
      <w:pPr>
        <w:ind w:right="360" w:firstLine="509"/>
        <w:spacing w:after="0" w:line="278"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52" w:lineRule="exact"/>
        <w:rPr>
          <w:sz w:val="20"/>
          <w:szCs w:val="20"/>
          <w:color w:val="auto"/>
        </w:rPr>
      </w:pPr>
    </w:p>
    <w:p>
      <w:pPr>
        <w:ind w:right="80" w:firstLine="509"/>
        <w:spacing w:after="0" w:line="307"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3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49" w:lineRule="exact"/>
        <w:rPr>
          <w:sz w:val="20"/>
          <w:szCs w:val="20"/>
          <w:color w:val="auto"/>
        </w:rPr>
      </w:pPr>
    </w:p>
    <w:p>
      <w:pPr>
        <w:ind w:firstLine="509"/>
        <w:spacing w:after="0" w:line="249"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75" w:lineRule="exact"/>
        <w:rPr>
          <w:sz w:val="20"/>
          <w:szCs w:val="20"/>
          <w:color w:val="auto"/>
        </w:rPr>
      </w:pPr>
    </w:p>
    <w:p>
      <w:pPr>
        <w:ind w:right="40" w:firstLine="509"/>
        <w:spacing w:after="0" w:line="249"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45" w:name="page46"/>
    <w:bookmarkEnd w:id="45"/>
    <w:p>
      <w:pPr>
        <w:ind w:right="16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04"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28" w:lineRule="exact"/>
        <w:rPr>
          <w:rFonts w:ascii="Arial" w:cs="Arial" w:eastAsia="Arial" w:hAnsi="Arial"/>
          <w:sz w:val="17"/>
          <w:szCs w:val="17"/>
          <w:color w:val="auto"/>
        </w:rPr>
      </w:pPr>
    </w:p>
    <w:p>
      <w:pPr>
        <w:ind w:left="760" w:right="40" w:hanging="378"/>
        <w:spacing w:after="0" w:line="24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87"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760" w:right="68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3" w:lineRule="exact"/>
        <w:rPr>
          <w:rFonts w:ascii="Arial" w:cs="Arial" w:eastAsia="Arial" w:hAnsi="Arial"/>
          <w:sz w:val="18"/>
          <w:szCs w:val="18"/>
          <w:color w:val="auto"/>
        </w:rPr>
      </w:pPr>
    </w:p>
    <w:p>
      <w:pPr>
        <w:ind w:left="760" w:right="100" w:hanging="378"/>
        <w:spacing w:after="0" w:line="307"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28"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1"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49" w:lineRule="exact"/>
        <w:rPr>
          <w:rFonts w:ascii="Arial" w:cs="Arial" w:eastAsia="Arial" w:hAnsi="Arial"/>
          <w:sz w:val="18"/>
          <w:szCs w:val="18"/>
          <w:color w:val="auto"/>
        </w:rPr>
      </w:pPr>
    </w:p>
    <w:p>
      <w:pPr>
        <w:jc w:val="both"/>
        <w:ind w:left="760" w:right="40" w:hanging="378"/>
        <w:spacing w:after="0" w:line="24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0"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15" w:lineRule="exact"/>
        <w:rPr>
          <w:rFonts w:ascii="Arial" w:cs="Arial" w:eastAsia="Arial" w:hAnsi="Arial"/>
          <w:sz w:val="17"/>
          <w:szCs w:val="17"/>
          <w:color w:val="auto"/>
        </w:rPr>
      </w:pPr>
    </w:p>
    <w:p>
      <w:pPr>
        <w:ind w:left="760" w:right="26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75" w:lineRule="exact"/>
        <w:rPr>
          <w:rFonts w:ascii="Arial" w:cs="Arial" w:eastAsia="Arial" w:hAnsi="Arial"/>
          <w:sz w:val="18"/>
          <w:szCs w:val="18"/>
          <w:color w:val="auto"/>
        </w:rPr>
      </w:pPr>
    </w:p>
    <w:p>
      <w:pPr>
        <w:ind w:left="760" w:right="860" w:hanging="378"/>
        <w:spacing w:after="0" w:line="324"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2" w:lineRule="exact"/>
        <w:rPr>
          <w:rFonts w:ascii="Arial" w:cs="Arial" w:eastAsia="Arial" w:hAnsi="Arial"/>
          <w:sz w:val="16"/>
          <w:szCs w:val="16"/>
          <w:color w:val="auto"/>
        </w:rPr>
      </w:pPr>
    </w:p>
    <w:p>
      <w:pPr>
        <w:ind w:left="760" w:right="360" w:hanging="378"/>
        <w:spacing w:after="0" w:line="291"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03"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49" w:lineRule="exact"/>
        <w:rPr>
          <w:rFonts w:ascii="Arial" w:cs="Arial" w:eastAsia="Arial" w:hAnsi="Arial"/>
          <w:sz w:val="18"/>
          <w:szCs w:val="18"/>
          <w:color w:val="auto"/>
        </w:rPr>
      </w:pPr>
    </w:p>
    <w:p>
      <w:pPr>
        <w:ind w:left="760" w:right="122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02"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2" w:lineRule="exact"/>
        <w:rPr>
          <w:sz w:val="20"/>
          <w:szCs w:val="20"/>
          <w:color w:val="auto"/>
        </w:rPr>
      </w:pPr>
    </w:p>
    <w:p>
      <w:pPr>
        <w:ind w:right="80" w:firstLine="509"/>
        <w:spacing w:after="0" w:line="247"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81" w:lineRule="exact"/>
        <w:rPr>
          <w:sz w:val="20"/>
          <w:szCs w:val="20"/>
          <w:color w:val="auto"/>
        </w:rPr>
      </w:pPr>
    </w:p>
    <w:p>
      <w:pPr>
        <w:ind w:right="20" w:firstLine="509"/>
        <w:spacing w:after="0" w:line="262"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04" w:lineRule="exact"/>
        <w:rPr>
          <w:sz w:val="20"/>
          <w:szCs w:val="20"/>
          <w:color w:val="auto"/>
        </w:rPr>
      </w:pPr>
    </w:p>
    <w:p>
      <w:pPr>
        <w:ind w:right="80" w:firstLine="509"/>
        <w:spacing w:after="0" w:line="278"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52" w:lineRule="exact"/>
        <w:rPr>
          <w:sz w:val="20"/>
          <w:szCs w:val="20"/>
          <w:color w:val="auto"/>
        </w:rPr>
      </w:pPr>
    </w:p>
    <w:p>
      <w:pPr>
        <w:ind w:right="60" w:firstLine="509"/>
        <w:spacing w:after="0" w:line="264"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6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9"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39"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44" w:lineRule="exact"/>
        <w:rPr>
          <w:sz w:val="20"/>
          <w:szCs w:val="20"/>
          <w:color w:val="auto"/>
        </w:rPr>
      </w:pPr>
    </w:p>
    <w:p>
      <w:pPr>
        <w:ind w:right="80" w:firstLine="509"/>
        <w:spacing w:after="0" w:line="24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4"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04"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0"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61"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2" w:lineRule="exact"/>
        <w:rPr>
          <w:sz w:val="20"/>
          <w:szCs w:val="20"/>
          <w:color w:val="auto"/>
        </w:rPr>
      </w:pPr>
    </w:p>
    <w:p>
      <w:pPr>
        <w:jc w:val="both"/>
        <w:ind w:right="560"/>
        <w:spacing w:after="0"/>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81" w:lineRule="exact"/>
        <w:rPr>
          <w:sz w:val="20"/>
          <w:szCs w:val="20"/>
          <w:color w:val="auto"/>
        </w:rPr>
      </w:pPr>
    </w:p>
    <w:p>
      <w:pPr>
        <w:ind w:right="80" w:firstLine="509"/>
        <w:spacing w:after="0" w:line="247"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if we rely on a different product, its development could involve the use of government funds, which can require additional compliance aspects to make certain all rights are transferred to or remain with us.</w:t>
      </w:r>
    </w:p>
    <w:p>
      <w:pPr>
        <w:spacing w:after="0" w:line="189" w:lineRule="exact"/>
        <w:rPr>
          <w:sz w:val="20"/>
          <w:szCs w:val="20"/>
          <w:color w:val="auto"/>
        </w:rPr>
      </w:pPr>
    </w:p>
    <w:p>
      <w:pPr>
        <w:ind w:right="80"/>
        <w:spacing w:after="0" w:line="347"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60" w:firstLine="509"/>
        <w:spacing w:after="0" w:line="249"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8"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62"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9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93"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7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79"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49"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3"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51" w:lineRule="exact"/>
        <w:rPr>
          <w:sz w:val="20"/>
          <w:szCs w:val="20"/>
          <w:color w:val="auto"/>
        </w:rPr>
      </w:pPr>
    </w:p>
    <w:p>
      <w:pPr>
        <w:ind w:right="20" w:firstLine="509"/>
        <w:spacing w:after="0" w:line="243"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68" w:lineRule="exact"/>
        <w:rPr>
          <w:sz w:val="20"/>
          <w:szCs w:val="20"/>
          <w:color w:val="auto"/>
        </w:rPr>
      </w:pPr>
    </w:p>
    <w:p>
      <w:pPr>
        <w:ind w:firstLine="509"/>
        <w:spacing w:after="0" w:line="261"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51" w:lineRule="exact"/>
        <w:rPr>
          <w:sz w:val="20"/>
          <w:szCs w:val="20"/>
          <w:color w:val="auto"/>
        </w:rPr>
      </w:pPr>
    </w:p>
    <w:p>
      <w:pPr>
        <w:ind w:right="40" w:firstLine="509"/>
        <w:spacing w:after="0" w:line="232" w:lineRule="auto"/>
        <w:rPr>
          <w:sz w:val="20"/>
          <w:szCs w:val="20"/>
          <w:color w:val="auto"/>
        </w:rPr>
      </w:pPr>
      <w:r>
        <w:rPr>
          <w:rFonts w:ascii="Arial" w:cs="Arial" w:eastAsia="Arial" w:hAnsi="Arial"/>
          <w:sz w:val="18"/>
          <w:szCs w:val="18"/>
          <w:color w:val="auto"/>
        </w:rPr>
        <w:t>We are aware of a number of patents and applications that are directed to one or more aspects of tarcocimab. Our intent is to maintain our development efforts under 35 U.S.C. Section 271(e)(1) (which provides a safe harbor from patent infringement claims related to certain drug development activities) through to at least the launch of any tarcocimab product. As such, we do not intend to launch tarcocimab when any valid patent is still in force. We are aware of at least one pending application with claims that are directed to some aspect of tarcocimab, and that could, if issued, result in a patent term beyond our intended launch date of tarcocimab. If this were to occur, we may challenge the validity of the claims, obtain a license, modify tarcocimab, or delay launch.</w:t>
      </w:r>
    </w:p>
    <w:p>
      <w:pPr>
        <w:spacing w:after="0" w:line="82"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non-tarcocimab products would include the following: challenge the validity of the claims, obtain a license, or modify the non-tarcocimab product.</w:t>
      </w:r>
    </w:p>
    <w:p>
      <w:pPr>
        <w:spacing w:after="0" w:line="68" w:lineRule="exact"/>
        <w:rPr>
          <w:sz w:val="20"/>
          <w:szCs w:val="20"/>
          <w:color w:val="auto"/>
        </w:rPr>
      </w:pPr>
    </w:p>
    <w:p>
      <w:pPr>
        <w:ind w:right="20" w:firstLine="509"/>
        <w:spacing w:after="0" w:line="245" w:lineRule="auto"/>
        <w:rPr>
          <w:sz w:val="20"/>
          <w:szCs w:val="20"/>
          <w:color w:val="auto"/>
        </w:rPr>
      </w:pPr>
      <w:r>
        <w:rPr>
          <w:rFonts w:ascii="Arial" w:cs="Arial" w:eastAsia="Arial" w:hAnsi="Arial"/>
          <w:sz w:val="17"/>
          <w:szCs w:val="17"/>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right="480"/>
        <w:spacing w:after="0" w:line="261" w:lineRule="auto"/>
        <w:rPr>
          <w:sz w:val="20"/>
          <w:szCs w:val="20"/>
          <w:color w:val="auto"/>
        </w:rPr>
      </w:pPr>
      <w:r>
        <w:rPr>
          <w:rFonts w:ascii="Arial" w:cs="Arial" w:eastAsia="Arial" w:hAnsi="Arial"/>
          <w:sz w:val="18"/>
          <w:szCs w:val="18"/>
          <w:color w:val="auto"/>
        </w:rPr>
        <w:t>expenditure. If we were unable to further develop and commercialize our ABC Platform, product candidates or other technologies, it would harm our business significantly.</w:t>
      </w:r>
    </w:p>
    <w:p>
      <w:pPr>
        <w:spacing w:after="0" w:line="49" w:lineRule="exact"/>
        <w:rPr>
          <w:sz w:val="20"/>
          <w:szCs w:val="20"/>
          <w:color w:val="auto"/>
        </w:rPr>
      </w:pPr>
    </w:p>
    <w:p>
      <w:pPr>
        <w:ind w:right="100" w:firstLine="509"/>
        <w:spacing w:after="0" w:line="232"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20" w:firstLine="509"/>
        <w:spacing w:after="0" w:line="243"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95"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76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48" w:lineRule="exact"/>
        <w:rPr>
          <w:rFonts w:ascii="Arial" w:cs="Arial" w:eastAsia="Arial" w:hAnsi="Arial"/>
          <w:sz w:val="18"/>
          <w:szCs w:val="18"/>
          <w:color w:val="auto"/>
        </w:rPr>
      </w:pPr>
    </w:p>
    <w:p>
      <w:pPr>
        <w:ind w:left="760" w:right="54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76" w:lineRule="exact"/>
        <w:rPr>
          <w:rFonts w:ascii="Arial" w:cs="Arial" w:eastAsia="Arial" w:hAnsi="Arial"/>
          <w:sz w:val="18"/>
          <w:szCs w:val="18"/>
          <w:color w:val="auto"/>
        </w:rPr>
      </w:pPr>
    </w:p>
    <w:p>
      <w:pPr>
        <w:ind w:left="760" w:right="36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760" w:right="50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03"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76"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90" w:lineRule="exact"/>
        <w:rPr>
          <w:rFonts w:ascii="Arial" w:cs="Arial" w:eastAsia="Arial" w:hAnsi="Arial"/>
          <w:sz w:val="18"/>
          <w:szCs w:val="18"/>
          <w:color w:val="auto"/>
        </w:rPr>
      </w:pPr>
    </w:p>
    <w:p>
      <w:pPr>
        <w:ind w:left="760" w:right="560" w:hanging="378"/>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49"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1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6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83"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04" w:lineRule="exact"/>
        <w:rPr>
          <w:sz w:val="20"/>
          <w:szCs w:val="20"/>
          <w:color w:val="auto"/>
        </w:rPr>
      </w:pPr>
    </w:p>
    <w:p>
      <w:pPr>
        <w:ind w:right="420" w:firstLine="509"/>
        <w:spacing w:after="0"/>
        <w:rPr>
          <w:sz w:val="20"/>
          <w:szCs w:val="20"/>
          <w:color w:val="auto"/>
        </w:rPr>
      </w:pPr>
      <w:r>
        <w:rPr>
          <w:rFonts w:ascii="Arial" w:cs="Arial" w:eastAsia="Arial" w:hAnsi="Arial"/>
          <w:sz w:val="18"/>
          <w:szCs w:val="18"/>
          <w:color w:val="auto"/>
        </w:rPr>
        <w:t>As of September 30, 2022, we had 105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81"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03" w:lineRule="exact"/>
        <w:rPr>
          <w:rFonts w:ascii="Arial" w:cs="Arial" w:eastAsia="Arial" w:hAnsi="Arial"/>
          <w:sz w:val="18"/>
          <w:szCs w:val="18"/>
          <w:color w:val="auto"/>
        </w:rPr>
      </w:pPr>
    </w:p>
    <w:p>
      <w:pPr>
        <w:ind w:left="760" w:right="700" w:hanging="378"/>
        <w:spacing w:after="0" w:line="246"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88"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8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79"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7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3"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25"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0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76" w:lineRule="exact"/>
        <w:rPr>
          <w:rFonts w:ascii="Arial" w:cs="Arial" w:eastAsia="Arial" w:hAnsi="Arial"/>
          <w:sz w:val="18"/>
          <w:szCs w:val="18"/>
          <w:color w:val="auto"/>
        </w:rPr>
      </w:pPr>
    </w:p>
    <w:p>
      <w:pPr>
        <w:ind w:left="760" w:right="42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760" w:right="28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4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5" w:name="page56"/>
    <w:bookmarkEnd w:id="55"/>
    <w:p>
      <w:pPr>
        <w:ind w:right="180"/>
        <w:spacing w:after="0" w:line="249"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8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the ordinary course of our business, we process personal data and other sensitive information, including proprietary and confidential business data, trade secrets, intellectual property, data collected about trial participants in connection with clinical trials, and sensitive third-party data.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spacing w:after="0" w:line="79" w:lineRule="exact"/>
        <w:rPr>
          <w:sz w:val="20"/>
          <w:szCs w:val="20"/>
          <w:color w:val="auto"/>
        </w:rPr>
      </w:pPr>
    </w:p>
    <w:p>
      <w:pPr>
        <w:ind w:right="40" w:firstLine="509"/>
        <w:spacing w:after="0" w:line="273" w:lineRule="auto"/>
        <w:rPr>
          <w:sz w:val="20"/>
          <w:szCs w:val="20"/>
          <w:color w:val="auto"/>
        </w:rPr>
      </w:pPr>
      <w:r>
        <w:rPr>
          <w:rFonts w:ascii="Arial" w:cs="Arial" w:eastAsia="Arial" w:hAnsi="Arial"/>
          <w:sz w:val="16"/>
          <w:szCs w:val="16"/>
          <w:color w:val="auto"/>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including as a result of the ongoing military conflict between Russia and Ukraine and the related sanctions imposed against Russia, we and the third parties upon which we rely may be vulnerable to a heightened risk of these attacks, including cyber-attacks that could materially disrupt our systems and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spacing w:after="0" w:line="74" w:lineRule="exact"/>
        <w:rPr>
          <w:sz w:val="20"/>
          <w:szCs w:val="20"/>
          <w:color w:val="auto"/>
        </w:rPr>
      </w:pPr>
    </w:p>
    <w:p>
      <w:pPr>
        <w:jc w:val="both"/>
        <w:ind w:right="40" w:firstLine="509"/>
        <w:spacing w:after="0" w:line="249" w:lineRule="auto"/>
        <w:rPr>
          <w:sz w:val="20"/>
          <w:szCs w:val="20"/>
          <w:color w:val="auto"/>
        </w:rPr>
      </w:pPr>
      <w:r>
        <w:rPr>
          <w:rFonts w:ascii="Arial" w:cs="Arial" w:eastAsia="Arial" w:hAnsi="Arial"/>
          <w:sz w:val="18"/>
          <w:szCs w:val="18"/>
          <w:color w:val="auto"/>
        </w:rPr>
        <w:t>Additionally, as a result of the ongoing COVID-19 pandemic, certain employees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73"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6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6" w:name="page57"/>
    <w:bookmarkEnd w:id="56"/>
    <w:p>
      <w:pPr>
        <w:ind w:right="40" w:firstLine="509"/>
        <w:spacing w:after="0" w:line="267" w:lineRule="auto"/>
        <w:rPr>
          <w:sz w:val="20"/>
          <w:szCs w:val="20"/>
          <w:color w:val="auto"/>
        </w:rPr>
      </w:pPr>
      <w:r>
        <w:rPr>
          <w:rFonts w:ascii="Arial" w:cs="Arial" w:eastAsia="Arial" w:hAnsi="Arial"/>
          <w:sz w:val="17"/>
          <w:szCs w:val="17"/>
          <w:color w:val="auto"/>
        </w:rPr>
        <w:t>Additionally, applicable data protection requirements, including, without limitation, laws, regulations, guidance as well as our internal and external policies and our contractual obligations, may require us to notify relevant stakeholders of security incidents,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spacing w:after="0" w:line="60"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80"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78" w:lineRule="exact"/>
        <w:rPr>
          <w:sz w:val="20"/>
          <w:szCs w:val="20"/>
          <w:color w:val="auto"/>
        </w:rPr>
      </w:pPr>
    </w:p>
    <w:p>
      <w:pPr>
        <w:ind w:right="180" w:firstLine="509"/>
        <w:spacing w:after="0" w:line="303" w:lineRule="auto"/>
        <w:rPr>
          <w:sz w:val="20"/>
          <w:szCs w:val="20"/>
          <w:color w:val="auto"/>
        </w:rPr>
      </w:pPr>
      <w:r>
        <w:rPr>
          <w:rFonts w:ascii="Arial" w:cs="Arial" w:eastAsia="Arial" w:hAnsi="Arial"/>
          <w:sz w:val="16"/>
          <w:szCs w:val="16"/>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0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49"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17" w:lineRule="exact"/>
        <w:rPr>
          <w:rFonts w:ascii="Arial" w:cs="Arial" w:eastAsia="Arial" w:hAnsi="Arial"/>
          <w:sz w:val="18"/>
          <w:szCs w:val="18"/>
          <w:color w:val="auto"/>
        </w:rPr>
      </w:pPr>
    </w:p>
    <w:p>
      <w:pPr>
        <w:ind w:left="760" w:right="68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03"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(including the current Russia-Ukraine conflict) and terrorism or natural disasters.</w:t>
      </w:r>
    </w:p>
    <w:p>
      <w:pPr>
        <w:spacing w:after="0" w:line="49"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78" w:lineRule="exact"/>
        <w:rPr>
          <w:sz w:val="20"/>
          <w:szCs w:val="20"/>
          <w:color w:val="auto"/>
        </w:rPr>
      </w:pPr>
    </w:p>
    <w:p>
      <w:pPr>
        <w:ind w:right="160" w:firstLine="509"/>
        <w:spacing w:after="0" w:line="288"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spacing w:after="0" w:line="44"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Other international, geo-political, and macroeconomic events could also have an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p>
    <w:p>
      <w:pPr>
        <w:spacing w:after="0" w:line="67"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business, financial condition, and ability to attain profitable operations.</w:t>
      </w:r>
    </w:p>
    <w:p>
      <w:pPr>
        <w:spacing w:after="0" w:line="184"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73"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 For example, in March 2020, the World Health Organization declared the COVID-19 outbreak a pandemic. In response, we delayed initiation of the next set of tarcocimab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ind w:firstLine="509"/>
        <w:spacing w:after="0" w:line="261"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increasing competition with COVID-19 vaccine and therapeutic programs for manufacturing related (i) materials such as resins, filters, sterile tubesets, pipette tips; (ii) personnel such as facility engineering and construction as well as plant engineers and workers; and (iii) production slots in cGMP facilities.</w:t>
      </w:r>
    </w:p>
    <w:p>
      <w:pPr>
        <w:spacing w:after="0" w:line="7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 outbreak.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73"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w:t>
      </w:r>
    </w:p>
    <w:p>
      <w:pPr>
        <w:spacing w:after="0" w:line="7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The COVID-19 pandemic may also have the effect of heightening many of the other risks described in this “Risk Factors” section.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auto"/>
        </w:rPr>
        <w:t>As of December 31, 2021, we had $57.5 million of federal and $395.4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have experienced such ownership changes in the past, and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9" w:name="page60"/>
    <w:bookmarkEnd w:id="59"/>
    <w:p>
      <w:pPr>
        <w:ind w:right="20" w:firstLine="509"/>
        <w:spacing w:after="0" w:line="261" w:lineRule="auto"/>
        <w:rPr>
          <w:sz w:val="20"/>
          <w:szCs w:val="20"/>
          <w:color w:val="auto"/>
        </w:rPr>
      </w:pPr>
      <w:r>
        <w:rPr>
          <w:rFonts w:ascii="Arial" w:cs="Arial" w:eastAsia="Arial" w:hAnsi="Arial"/>
          <w:sz w:val="17"/>
          <w:szCs w:val="17"/>
          <w:color w:val="auto"/>
        </w:rPr>
        <w:t>U.S. federal tax legislation enacted in 2017, informally titled The Tax Cuts and Jobs Act (the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spacing w:after="0" w:line="16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279" w:lineRule="exact"/>
        <w:rPr>
          <w:sz w:val="20"/>
          <w:szCs w:val="20"/>
          <w:color w:val="auto"/>
        </w:rPr>
      </w:pPr>
    </w:p>
    <w:p>
      <w:pPr>
        <w:ind w:right="80" w:firstLine="509"/>
        <w:spacing w:after="0" w:line="275"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Inflation Reduction Act of 2022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U.S. and global economic conditions could adversely affect our business, financial condition or results of operations.*</w:t>
      </w:r>
    </w:p>
    <w:p>
      <w:pPr>
        <w:spacing w:after="0" w:line="115"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component shortages and related supply chain challenges, geopolitical developments such as the ongoing COVID-19 pandemic and the conflict between Ukraine and Russia and related sanctions,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63"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56"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Russia-Ukraine conflict and related sanctions has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spacing w:after="0" w:line="249" w:lineRule="auto"/>
        <w:rPr>
          <w:sz w:val="20"/>
          <w:szCs w:val="20"/>
          <w:color w:val="auto"/>
        </w:rPr>
      </w:pPr>
      <w:r>
        <w:rPr>
          <w:rFonts w:ascii="Arial" w:cs="Arial" w:eastAsia="Arial" w:hAnsi="Arial"/>
          <w:sz w:val="18"/>
          <w:szCs w:val="18"/>
          <w:color w:val="auto"/>
        </w:rPr>
        <w:t>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86"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We have operations, as well as current and potential new suppliers and manufacturers, throughout Europe. If economic conditions in Europe and other key markets for our business remain uncertain or deteriorate further, including as a result of the COVID-19 pandemic or otherwise, we could experience adverse effects on our business, financial condition or results of operations.</w:t>
      </w:r>
    </w:p>
    <w:p>
      <w:pPr>
        <w:spacing w:after="0" w:line="19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3"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tarcocimab,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7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76"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We have incurred net losses in each reporting period since our inception, including net losses of $263.4 million for the nine months ended September 30, 2022. As of September 30, 2022, we had an accumulated deficit of $821.6 million.</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58"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49"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03"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 including tarcocimab;</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1" w:name="page62"/>
    <w:bookmarkEnd w:id="61"/>
    <w:p>
      <w:pPr>
        <w:ind w:right="80" w:firstLine="509"/>
        <w:spacing w:after="0" w:line="256"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49"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04"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0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48" w:lineRule="exact"/>
        <w:rPr>
          <w:rFonts w:ascii="Arial" w:cs="Arial" w:eastAsia="Arial" w:hAnsi="Arial"/>
          <w:sz w:val="18"/>
          <w:szCs w:val="18"/>
          <w:color w:val="auto"/>
        </w:rPr>
      </w:pPr>
    </w:p>
    <w:p>
      <w:pPr>
        <w:jc w:val="both"/>
        <w:ind w:left="760" w:right="240" w:hanging="378"/>
        <w:spacing w:after="0" w:line="256"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6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48"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jc w:val="both"/>
        <w:ind w:right="80" w:firstLine="509"/>
        <w:spacing w:after="0" w:line="246"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64"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900"/>
        <w:spacing w:after="0" w:line="261" w:lineRule="auto"/>
        <w:rPr>
          <w:sz w:val="20"/>
          <w:szCs w:val="20"/>
          <w:color w:val="auto"/>
        </w:rPr>
      </w:pPr>
      <w:r>
        <w:rPr>
          <w:rFonts w:ascii="Arial" w:cs="Arial" w:eastAsia="Arial" w:hAnsi="Arial"/>
          <w:sz w:val="18"/>
          <w:szCs w:val="18"/>
          <w:b w:val="1"/>
          <w:bCs w:val="1"/>
          <w:i w:val="1"/>
          <w:iCs w:val="1"/>
          <w:color w:val="auto"/>
        </w:rPr>
        <w:t>If we fail to obtain additional financing, we may be unable to complete the development and, if approved, commercialization of our product candidates.*</w:t>
      </w:r>
    </w:p>
    <w:p>
      <w:pPr>
        <w:spacing w:after="0" w:line="63"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tarcocimab product candidate. Even if we are successful in developing our product candidates, obtaining regulatory approvals and launching and commercializing any product candidate will require substantial additional funding.</w:t>
      </w:r>
    </w:p>
    <w:p>
      <w:pPr>
        <w:spacing w:after="0" w:line="7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81" w:lineRule="exact"/>
        <w:rPr>
          <w:sz w:val="20"/>
          <w:szCs w:val="20"/>
          <w:color w:val="auto"/>
        </w:rPr>
      </w:pPr>
    </w:p>
    <w:p>
      <w:pPr>
        <w:ind w:firstLine="509"/>
        <w:spacing w:after="0" w:line="247" w:lineRule="auto"/>
        <w:rPr>
          <w:sz w:val="20"/>
          <w:szCs w:val="20"/>
          <w:color w:val="auto"/>
        </w:rPr>
      </w:pPr>
      <w:r>
        <w:rPr>
          <w:rFonts w:ascii="Arial" w:cs="Arial" w:eastAsia="Arial" w:hAnsi="Arial"/>
          <w:sz w:val="17"/>
          <w:szCs w:val="17"/>
          <w:color w:val="auto"/>
        </w:rPr>
        <w:t>We will require additional capital for the further development and, if approved, commercialization of our product candidates. Additional capital may not be available when we need it, on terms acceptable to us or at all. For example, the ongoing COVID-19 pandemic has significantly disrupted world financial markets, negatively impacted US market conditions, increased the volatility of trading prices for biopharmaceutical companies, and may reduce opportunities for us to seek out additional funding when needed. Similarly, the current Russia-Ukraine conflict has created extreme volatility in the global capital markets and is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77"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80"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The market price of our common stock may be volatile. For example, the closing price of our common stock from December 31, 2020 to December 31, 2021 ranged from a low of $77.20 to a high of $164.47 and from January 1, 2022 to October 31, 2022 ranged from a low of $5.04 to a high of $89.45. As a result, you may not be able to sell your common stock at or above the price that you paid for such shares. Some of the factors that may cause the market price of our common stock to fluctuate include:</w:t>
      </w:r>
    </w:p>
    <w:p>
      <w:pPr>
        <w:spacing w:after="0" w:line="73"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3" w:name="page64"/>
    <w:bookmarkEnd w:id="63"/>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17" w:lineRule="exact"/>
        <w:rPr>
          <w:rFonts w:ascii="Arial" w:cs="Arial" w:eastAsia="Arial" w:hAnsi="Arial"/>
          <w:sz w:val="18"/>
          <w:szCs w:val="18"/>
          <w:color w:val="auto"/>
        </w:rPr>
      </w:pPr>
    </w:p>
    <w:p>
      <w:pPr>
        <w:ind w:left="378" w:hanging="378"/>
        <w:spacing w:after="0" w:line="261" w:lineRule="auto"/>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378" w:hanging="378"/>
        <w:spacing w:after="0"/>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98"/>
          </w:cols>
          <w:pgMar w:left="702" w:top="436" w:right="899" w:bottom="1440" w:gutter="0" w:footer="0" w:header="0"/>
        </w:sectPr>
      </w:pPr>
    </w:p>
    <w:bookmarkStart w:id="64" w:name="page65"/>
    <w:bookmarkEnd w:id="64"/>
    <w:p>
      <w:pPr>
        <w:ind w:left="760" w:right="380" w:hanging="378"/>
        <w:spacing w:after="0" w:line="249"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fluctuations attributable to the ongoing COVID-19 pandemic, the current inflationary environment, lowered consumer confidence, the recent Russian invasion of Ukraine as well as continued and any new sanctions against Russia by, among others, the United States and the European Union, which restrict a wide range of trade and financial dealings with Russia and Russia parties, and other unforeseeable circumstances; and</w:t>
      </w:r>
    </w:p>
    <w:p>
      <w:pPr>
        <w:spacing w:after="0" w:line="86"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ind w:right="100" w:firstLine="509"/>
        <w:spacing w:after="0" w:line="275"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the ongoing COVID-19 pandemic, broader macroeconomic conditional and/or geopolitical instability such as that resulting from the conflict between Russia and Ukraine,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interest rate increases and/or other tapering policies from the government, and other adverse effects or developments relating to the ongoing COVID-19 pandemic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5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75" w:lineRule="exact"/>
        <w:rPr>
          <w:sz w:val="20"/>
          <w:szCs w:val="20"/>
          <w:color w:val="auto"/>
        </w:rPr>
      </w:pPr>
    </w:p>
    <w:p>
      <w:pPr>
        <w:ind w:firstLine="509"/>
        <w:spacing w:after="0" w:line="255"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80" w:firstLine="509"/>
        <w:spacing w:after="0" w:line="246"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49"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3"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5" w:name="page66"/>
    <w:bookmarkEnd w:id="65"/>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3"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3" w:lineRule="exact"/>
        <w:rPr>
          <w:sz w:val="20"/>
          <w:szCs w:val="20"/>
          <w:color w:val="auto"/>
        </w:rPr>
      </w:pPr>
    </w:p>
    <w:p>
      <w:pPr>
        <w:jc w:val="both"/>
        <w:ind w:right="160" w:firstLine="509"/>
        <w:spacing w:after="0" w:line="256"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5"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7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76"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8"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69"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As a public company, we are subject to reporting and other obligations under the Exchange Act, including the requirements of the Sarbanes-Oxley Act of 2002 ("SOX") Section 404, which require annual management assessments of the effectiveness of our internal control over financial reporting.</w:t>
      </w:r>
    </w:p>
    <w:p>
      <w:pPr>
        <w:spacing w:after="0" w:line="16" w:lineRule="exact"/>
        <w:rPr>
          <w:sz w:val="20"/>
          <w:szCs w:val="20"/>
          <w:color w:val="auto"/>
        </w:rPr>
      </w:pPr>
    </w:p>
    <w:p>
      <w:pPr>
        <w:jc w:val="both"/>
        <w:ind w:right="260" w:firstLine="509"/>
        <w:spacing w:after="0" w:line="276"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65"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ind w:left="520"/>
              <w:spacing w:after="0"/>
              <w:rPr>
                <w:sz w:val="20"/>
                <w:szCs w:val="20"/>
                <w:color w:val="auto"/>
              </w:rPr>
            </w:pPr>
            <w:r>
              <w:rPr>
                <w:rFonts w:ascii="Arial" w:cs="Arial" w:eastAsia="Arial" w:hAnsi="Arial"/>
                <w:sz w:val="18"/>
                <w:szCs w:val="18"/>
                <w:i w:val="1"/>
                <w:iCs w:val="1"/>
                <w:color w:val="auto"/>
              </w:rPr>
              <w:t>(a)</w:t>
            </w:r>
          </w:p>
        </w:tc>
        <w:tc>
          <w:tcPr>
            <w:tcW w:w="6640" w:type="dxa"/>
            <w:vAlign w:val="bottom"/>
            <w:gridSpan w:val="23"/>
          </w:tcPr>
          <w:p>
            <w:pPr>
              <w:ind w:left="100"/>
              <w:spacing w:after="0"/>
              <w:rPr>
                <w:sz w:val="20"/>
                <w:szCs w:val="20"/>
                <w:color w:val="auto"/>
              </w:rPr>
            </w:pPr>
            <w:r>
              <w:rPr>
                <w:rFonts w:ascii="Arial" w:cs="Arial" w:eastAsia="Arial" w:hAnsi="Arial"/>
                <w:sz w:val="18"/>
                <w:szCs w:val="18"/>
                <w:i w:val="1"/>
                <w:iCs w:val="1"/>
                <w:color w:val="auto"/>
              </w:rPr>
              <w:t>Exhibits.</w:t>
            </w:r>
          </w:p>
        </w:tc>
        <w:tc>
          <w:tcPr>
            <w:tcW w:w="0" w:type="dxa"/>
            <w:vAlign w:val="bottom"/>
          </w:tcPr>
          <w:p>
            <w:pPr>
              <w:spacing w:after="0"/>
              <w:rPr>
                <w:sz w:val="1"/>
                <w:szCs w:val="1"/>
                <w:color w:val="auto"/>
              </w:rPr>
            </w:pPr>
          </w:p>
        </w:tc>
      </w:tr>
      <w:tr>
        <w:trPr>
          <w:trHeight w:val="517"/>
        </w:trPr>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14"/>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Arial" w:cs="Arial" w:eastAsia="Arial" w:hAnsi="Arial"/>
                <w:sz w:val="18"/>
                <w:szCs w:val="18"/>
                <w:color w:val="0000FF"/>
              </w:rPr>
            </w:pPr>
            <w:hyperlink r:id="rId197">
              <w:r>
                <w:rPr>
                  <w:rFonts w:ascii="Arial" w:cs="Arial" w:eastAsia="Arial" w:hAnsi="Arial"/>
                  <w:sz w:val="18"/>
                  <w:szCs w:val="18"/>
                  <w:color w:val="0000FF"/>
                </w:rPr>
                <w:t>Amended and Restated Certificate of Incorporation of Kodiak Sciences Inc.</w:t>
              </w:r>
            </w:hyperlink>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Amended and Restated Bylaws of Kodiak Sciences Inc.</w:t>
              </w:r>
            </w:hyperlink>
          </w:p>
        </w:tc>
        <w:tc>
          <w:tcPr>
            <w:tcW w:w="1420" w:type="dxa"/>
            <w:vAlign w:val="bottom"/>
            <w:tcBorders>
              <w:top w:val="single" w:sz="8" w:color="0000FF"/>
            </w:tcBorders>
            <w:gridSpan w:val="3"/>
          </w:tcPr>
          <w:p>
            <w:pPr>
              <w:spacing w:after="0"/>
              <w:rPr>
                <w:sz w:val="24"/>
                <w:szCs w:val="24"/>
                <w:color w:val="auto"/>
              </w:rPr>
            </w:pPr>
          </w:p>
        </w:tc>
        <w:tc>
          <w:tcPr>
            <w:tcW w:w="9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Arial" w:cs="Arial" w:eastAsia="Arial" w:hAnsi="Arial"/>
                <w:sz w:val="18"/>
                <w:szCs w:val="18"/>
                <w:color w:val="0000FF"/>
                <w:w w:val="91"/>
              </w:rPr>
            </w:pPr>
            <w:hyperlink r:id="rId199">
              <w:r>
                <w:rPr>
                  <w:rFonts w:ascii="Arial" w:cs="Arial" w:eastAsia="Arial" w:hAnsi="Arial"/>
                  <w:sz w:val="18"/>
                  <w:szCs w:val="18"/>
                  <w:color w:val="0000FF"/>
                  <w:w w:val="91"/>
                </w:rPr>
                <w:t>Form of Common Stock Certificate</w:t>
              </w:r>
            </w:hyperlink>
          </w:p>
        </w:tc>
        <w:tc>
          <w:tcPr>
            <w:tcW w:w="38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0000FF"/>
            </w:tcBorders>
            <w:gridSpan w:val="4"/>
          </w:tcPr>
          <w:p>
            <w:pPr>
              <w:spacing w:after="0"/>
              <w:rPr>
                <w:rFonts w:ascii="Arial" w:cs="Arial" w:eastAsia="Arial" w:hAnsi="Arial"/>
                <w:sz w:val="18"/>
                <w:szCs w:val="18"/>
                <w:color w:val="0000FF"/>
                <w:w w:val="89"/>
              </w:rPr>
            </w:pPr>
            <w:hyperlink r:id="rId200">
              <w:r>
                <w:rPr>
                  <w:rFonts w:ascii="Arial" w:cs="Arial" w:eastAsia="Arial" w:hAnsi="Arial"/>
                  <w:sz w:val="18"/>
                  <w:szCs w:val="18"/>
                  <w:color w:val="0000FF"/>
                  <w:w w:val="89"/>
                </w:rPr>
                <w:t>Form of Class B Share Warrant</w:t>
              </w:r>
            </w:hyperlink>
          </w:p>
        </w:tc>
        <w:tc>
          <w:tcPr>
            <w:tcW w:w="20" w:type="dxa"/>
            <w:vAlign w:val="bottom"/>
            <w:tcBorders>
              <w:bottom w:val="single" w:sz="8" w:color="0000EE"/>
            </w:tcBorders>
          </w:tcPr>
          <w:p>
            <w:pPr>
              <w:spacing w:after="0"/>
              <w:rPr>
                <w:sz w:val="24"/>
                <w:szCs w:val="24"/>
                <w:color w:val="auto"/>
              </w:rPr>
            </w:pPr>
          </w:p>
        </w:tc>
        <w:tc>
          <w:tcPr>
            <w:tcW w:w="41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Arial" w:cs="Arial" w:eastAsia="Arial" w:hAnsi="Arial"/>
                <w:sz w:val="18"/>
                <w:szCs w:val="18"/>
                <w:color w:val="0000FF"/>
                <w:w w:val="92"/>
              </w:rPr>
            </w:pPr>
            <w:hyperlink r:id="rId201">
              <w:r>
                <w:rPr>
                  <w:rFonts w:ascii="Arial" w:cs="Arial" w:eastAsia="Arial" w:hAnsi="Arial"/>
                  <w:sz w:val="18"/>
                  <w:szCs w:val="18"/>
                  <w:color w:val="0000FF"/>
                  <w:w w:val="92"/>
                </w:rPr>
                <w:t>Registration Rights Agreement, dated March 1, 2021, by and among the registrant and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r:id="rId201">
              <w:r>
                <w:rPr>
                  <w:rFonts w:ascii="Arial" w:cs="Arial" w:eastAsia="Arial" w:hAnsi="Arial"/>
                  <w:sz w:val="18"/>
                  <w:szCs w:val="18"/>
                  <w:color w:val="0000FF"/>
                  <w:w w:val="88"/>
                </w:rPr>
                <w:t>the investors named therein</w:t>
              </w:r>
            </w:hyperlink>
          </w:p>
        </w:tc>
        <w:tc>
          <w:tcPr>
            <w:tcW w:w="20" w:type="dxa"/>
            <w:vAlign w:val="bottom"/>
            <w:tcBorders>
              <w:top w:val="single" w:sz="8" w:color="0000FF"/>
              <w:bottom w:val="single" w:sz="8" w:color="0000EE"/>
            </w:tcBorders>
          </w:tcPr>
          <w:p>
            <w:pPr>
              <w:spacing w:after="0"/>
              <w:rPr>
                <w:sz w:val="14"/>
                <w:szCs w:val="14"/>
                <w:color w:val="auto"/>
              </w:rPr>
            </w:pPr>
          </w:p>
        </w:tc>
        <w:tc>
          <w:tcPr>
            <w:tcW w:w="42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0000FF"/>
                <w:w w:val="93"/>
              </w:rPr>
              <w:t>Certification of Principal Executive Officer Pursuant to Rules 13a-14(a) and 15d-14(a)</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90"/>
              </w:rPr>
              <w:t>under the Securities Exchange Act of 1934, as Adopted Pursuant to Section 302 of the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rPr>
              <w:t>Sarbanes-Oxley Act of 2002</w:t>
            </w: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0000FF"/>
                <w:w w:val="93"/>
              </w:rPr>
              <w:t>Certification of Principal Accounting and Financial Officer Pursuant to Rules 13a-14(a)</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w w:val="96"/>
              </w:rPr>
              <w:t>and 15d-14(a) under the Securities Exchange Act of 1934, as Adopted Pursuant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Borders>
              <w:right w:val="single" w:sz="8" w:color="0000EE"/>
            </w:tcBorders>
            <w:gridSpan w:val="7"/>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0000FF"/>
                <w:w w:val="98"/>
              </w:rPr>
              <w:t>Certification of Principal Executive Officer Pursuant to 18 U.S.C. Section 1350, as</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0"/>
              </w:rPr>
              <w:t>Adopted Pursuant to Section 906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040" w:type="dxa"/>
            <w:vAlign w:val="bottom"/>
            <w:tcBorders>
              <w:top w:val="single" w:sz="8" w:color="0000FF"/>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3"/>
              </w:rPr>
              <w:t>Certification of Principal Accounting and Financial Officer Pursuant to 18 U.S.C.</w:t>
            </w:r>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gridSpan w:val="20"/>
          </w:tcPr>
          <w:p>
            <w:pPr>
              <w:spacing w:after="0" w:line="169" w:lineRule="exact"/>
              <w:rPr>
                <w:sz w:val="20"/>
                <w:szCs w:val="20"/>
                <w:color w:val="auto"/>
              </w:rPr>
            </w:pPr>
            <w:r>
              <w:rPr>
                <w:rFonts w:ascii="Arial" w:cs="Arial" w:eastAsia="Arial" w:hAnsi="Arial"/>
                <w:sz w:val="18"/>
                <w:szCs w:val="18"/>
                <w:color w:val="0000FF"/>
                <w:w w:val="93"/>
              </w:rPr>
              <w:t>Section 1350, as Adopted Pursuant to Section 906 of the Sarbanes-Oxley Act of 2002</w:t>
            </w:r>
          </w:p>
        </w:tc>
        <w:tc>
          <w:tcPr>
            <w:tcW w:w="0" w:type="dxa"/>
            <w:vAlign w:val="bottom"/>
          </w:tcPr>
          <w:p>
            <w:pPr>
              <w:spacing w:after="0"/>
              <w:rPr>
                <w:sz w:val="1"/>
                <w:szCs w:val="1"/>
                <w:color w:val="auto"/>
              </w:rPr>
            </w:pPr>
          </w:p>
        </w:tc>
      </w:tr>
      <w:tr>
        <w:trPr>
          <w:trHeight w:val="317"/>
        </w:trPr>
        <w:tc>
          <w:tcPr>
            <w:tcW w:w="80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w:t>
            </w:r>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gridSpan w:val="20"/>
          </w:tcPr>
          <w:p>
            <w:pPr>
              <w:spacing w:after="0" w:line="189" w:lineRule="exact"/>
              <w:rPr>
                <w:sz w:val="20"/>
                <w:szCs w:val="20"/>
                <w:color w:val="auto"/>
              </w:rPr>
            </w:pPr>
            <w:r>
              <w:rPr>
                <w:rFonts w:ascii="Arial" w:cs="Arial" w:eastAsia="Arial" w:hAnsi="Arial"/>
                <w:sz w:val="18"/>
                <w:szCs w:val="18"/>
                <w:color w:val="auto"/>
                <w:w w:val="98"/>
              </w:rPr>
              <w:t>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80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40" w:right="140" w:hanging="1019"/>
        <w:spacing w:after="0" w:line="246"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9512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23399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File No.</w:t>
            </w: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r>
      <w:tr>
        <w:trPr>
          <w:trHeight w:val="345"/>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001-38682</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11/16/2018</w:t>
            </w:r>
          </w:p>
        </w:tc>
      </w:tr>
      <w:tr>
        <w:trPr>
          <w:trHeight w:val="351"/>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001-38682</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11/16/2018</w:t>
            </w:r>
          </w:p>
        </w:tc>
      </w:tr>
      <w:tr>
        <w:trPr>
          <w:trHeight w:val="351"/>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333-227237</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9/24/2018</w:t>
            </w:r>
          </w:p>
        </w:tc>
      </w:tr>
      <w:tr>
        <w:trPr>
          <w:trHeight w:val="351"/>
        </w:trPr>
        <w:tc>
          <w:tcPr>
            <w:tcW w:w="660" w:type="dxa"/>
            <w:vAlign w:val="bottom"/>
          </w:tcPr>
          <w:p>
            <w:pPr>
              <w:spacing w:after="0"/>
              <w:rPr>
                <w:sz w:val="20"/>
                <w:szCs w:val="20"/>
                <w:color w:val="auto"/>
              </w:rPr>
            </w:pPr>
            <w:r>
              <w:rPr>
                <w:rFonts w:ascii="Arial" w:cs="Arial" w:eastAsia="Arial" w:hAnsi="Arial"/>
                <w:sz w:val="18"/>
                <w:szCs w:val="18"/>
                <w:color w:val="auto"/>
              </w:rPr>
              <w:t>S-1</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333-227237</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9/7/2018</w:t>
            </w:r>
          </w:p>
        </w:tc>
      </w:tr>
      <w:tr>
        <w:trPr>
          <w:trHeight w:val="351"/>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001-38682</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3/1/2021</w:t>
            </w:r>
          </w:p>
        </w:tc>
      </w:tr>
    </w:tbl>
    <w:p>
      <w:pPr>
        <w:spacing w:after="0" w:line="5861" w:lineRule="exact"/>
        <w:rPr>
          <w:sz w:val="20"/>
          <w:szCs w:val="20"/>
          <w:color w:val="auto"/>
        </w:rPr>
      </w:pPr>
    </w:p>
    <w:p>
      <w:pPr>
        <w:sectPr>
          <w:pgSz w:w="11900" w:h="16838" w:orient="portrait"/>
          <w:cols w:equalWidth="0" w:num="2">
            <w:col w:w="7440" w:space="120"/>
            <w:col w:w="3680"/>
          </w:cols>
          <w:pgMar w:left="320" w:top="324" w:right="339" w:bottom="1440" w:gutter="0" w:footer="0" w:header="0"/>
        </w:sectPr>
      </w:pPr>
    </w:p>
    <w:p>
      <w:pPr>
        <w:spacing w:after="0" w:line="280" w:lineRule="exact"/>
        <w:rPr>
          <w:sz w:val="20"/>
          <w:szCs w:val="20"/>
          <w:color w:val="auto"/>
        </w:rPr>
      </w:pPr>
    </w:p>
    <w:p>
      <w:pPr>
        <w:ind w:right="60" w:firstLine="8"/>
        <w:spacing w:after="0" w:line="262" w:lineRule="auto"/>
        <w:tabs>
          <w:tab w:leader="none" w:pos="1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69" w:name="page70"/>
    <w:bookmarkEnd w:id="6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198"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ind w:left="7140"/>
        <w:spacing w:after="0" w:line="219" w:lineRule="auto"/>
        <w:rPr>
          <w:sz w:val="20"/>
          <w:szCs w:val="20"/>
          <w:color w:val="auto"/>
        </w:rPr>
      </w:pPr>
      <w:r>
        <w:rPr>
          <w:rFonts w:ascii="Arial" w:cs="Arial" w:eastAsia="Arial" w:hAnsi="Arial"/>
          <w:sz w:val="18"/>
          <w:szCs w:val="18"/>
          <w:b w:val="1"/>
          <w:bCs w:val="1"/>
          <w:color w:val="auto"/>
        </w:rPr>
        <w:t>Chairman and Chief Executive Officer</w:t>
      </w: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182"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ind w:left="7720"/>
        <w:spacing w:after="0" w:line="219" w:lineRule="auto"/>
        <w:rPr>
          <w:sz w:val="20"/>
          <w:szCs w:val="20"/>
          <w:color w:val="auto"/>
        </w:rPr>
      </w:pPr>
      <w:r>
        <w:rPr>
          <w:rFonts w:ascii="Arial" w:cs="Arial" w:eastAsia="Arial" w:hAnsi="Arial"/>
          <w:sz w:val="18"/>
          <w:szCs w:val="18"/>
          <w:b w:val="1"/>
          <w:bCs w:val="1"/>
          <w:color w:val="auto"/>
        </w:rPr>
        <w:t>Chief Financial Officer</w:t>
      </w:r>
    </w:p>
    <w:p>
      <w:pPr>
        <w:ind w:left="69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12"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Victor Perlroth, M.D.</w:t>
      </w:r>
    </w:p>
    <w:p>
      <w:pPr>
        <w:ind w:left="7120"/>
        <w:spacing w:after="0" w:line="219" w:lineRule="auto"/>
        <w:rPr>
          <w:sz w:val="20"/>
          <w:szCs w:val="20"/>
          <w:color w:val="auto"/>
        </w:rPr>
      </w:pPr>
      <w:r>
        <w:rPr>
          <w:rFonts w:ascii="Arial" w:cs="Arial" w:eastAsia="Arial" w:hAnsi="Arial"/>
          <w:sz w:val="18"/>
          <w:szCs w:val="18"/>
          <w:b w:val="1"/>
          <w:bCs w:val="1"/>
          <w:color w:val="auto"/>
        </w:rPr>
        <w:t>Chairman and Chief Executive Officer</w:t>
      </w:r>
    </w:p>
    <w:p>
      <w:pPr>
        <w:ind w:left="75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1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John Borgeson</w:t>
      </w:r>
    </w:p>
    <w:p>
      <w:pPr>
        <w:ind w:left="7720"/>
        <w:spacing w:after="0" w:line="219" w:lineRule="auto"/>
        <w:rPr>
          <w:sz w:val="20"/>
          <w:szCs w:val="20"/>
          <w:color w:val="auto"/>
        </w:rPr>
      </w:pPr>
      <w:r>
        <w:rPr>
          <w:rFonts w:ascii="Arial" w:cs="Arial" w:eastAsia="Arial" w:hAnsi="Arial"/>
          <w:sz w:val="18"/>
          <w:szCs w:val="18"/>
          <w:b w:val="1"/>
          <w:bCs w:val="1"/>
          <w:color w:val="auto"/>
        </w:rPr>
        <w:t>Chief Financial Officer</w:t>
      </w:r>
    </w:p>
    <w:p>
      <w:pPr>
        <w:ind w:left="688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2022 as filed with the Securities and Exchange Commission on the date hereof (the “Report”), I certify, pursuant to 18 U.S.C. § 1350, as adopted pursuant to § 906 of the Sarbanes-Oxley Act of 2002, to the best of my knowledge, that:</w:t>
      </w:r>
    </w:p>
    <w:p>
      <w:pPr>
        <w:spacing w:after="0" w:line="195"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w:t>
      </w:r>
    </w:p>
    <w:p>
      <w:pPr>
        <w:ind w:left="20"/>
        <w:spacing w:after="0"/>
        <w:tabs>
          <w:tab w:leader="none" w:pos="77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4445</wp:posOffset>
            </wp:positionV>
            <wp:extent cx="3540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58"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Victor Perlroth, M.D.</w:t>
      </w:r>
    </w:p>
    <w:p>
      <w:pPr>
        <w:ind w:left="6960"/>
        <w:spacing w:after="0" w:line="237" w:lineRule="auto"/>
        <w:rPr>
          <w:sz w:val="20"/>
          <w:szCs w:val="20"/>
          <w:color w:val="auto"/>
        </w:rPr>
      </w:pPr>
      <w:r>
        <w:rPr>
          <w:rFonts w:ascii="Arial" w:cs="Arial" w:eastAsia="Arial" w:hAnsi="Arial"/>
          <w:sz w:val="18"/>
          <w:szCs w:val="18"/>
          <w:b w:val="1"/>
          <w:bCs w:val="1"/>
          <w:color w:val="auto"/>
        </w:rPr>
        <w:t>Chairman and Chief Executive Officer</w:t>
      </w:r>
    </w:p>
    <w:p>
      <w:pPr>
        <w:ind w:left="7340"/>
        <w:spacing w:after="0"/>
        <w:rPr>
          <w:sz w:val="20"/>
          <w:szCs w:val="20"/>
          <w:color w:val="auto"/>
        </w:rPr>
      </w:pPr>
      <w:r>
        <w:rPr>
          <w:rFonts w:ascii="Arial" w:cs="Arial" w:eastAsia="Arial" w:hAnsi="Arial"/>
          <w:sz w:val="18"/>
          <w:szCs w:val="18"/>
          <w:b w:val="1"/>
          <w:bCs w:val="1"/>
          <w:color w:val="auto"/>
        </w:rPr>
        <w:t>(Principal Executive Officer)</w:t>
      </w:r>
    </w:p>
    <w:p>
      <w:pPr>
        <w:spacing w:after="0" w:line="22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1" w:lineRule="exact"/>
        <w:rPr>
          <w:sz w:val="20"/>
          <w:szCs w:val="20"/>
          <w:color w:val="auto"/>
        </w:rPr>
      </w:pPr>
    </w:p>
    <w:p>
      <w:pPr>
        <w:ind w:right="80" w:firstLine="509"/>
        <w:spacing w:after="0" w:line="278"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2022 as filed with the Securities and Exchange Commission on the date hereof (the “Report”), I certify, pursuant to 18 U.S.C. § 1350, as adopted pursuant to § 906 of the Sarbanes-Oxley Act of 2002, to the best of my knowledge, that:</w:t>
      </w:r>
    </w:p>
    <w:p>
      <w:pPr>
        <w:spacing w:after="0" w:line="195"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w:t>
      </w:r>
    </w:p>
    <w:p>
      <w:pPr>
        <w:ind w:left="20"/>
        <w:spacing w:after="0"/>
        <w:tabs>
          <w:tab w:leader="none" w:pos="77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4445</wp:posOffset>
            </wp:positionV>
            <wp:extent cx="3540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58"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John Borgeson</w:t>
      </w:r>
    </w:p>
    <w:p>
      <w:pPr>
        <w:ind w:left="7560"/>
        <w:spacing w:after="0" w:line="237" w:lineRule="auto"/>
        <w:rPr>
          <w:sz w:val="20"/>
          <w:szCs w:val="20"/>
          <w:color w:val="auto"/>
        </w:rPr>
      </w:pPr>
      <w:r>
        <w:rPr>
          <w:rFonts w:ascii="Arial" w:cs="Arial" w:eastAsia="Arial" w:hAnsi="Arial"/>
          <w:sz w:val="18"/>
          <w:szCs w:val="18"/>
          <w:b w:val="1"/>
          <w:bCs w:val="1"/>
          <w:color w:val="auto"/>
        </w:rPr>
        <w:t>Chief Financial Officer</w:t>
      </w:r>
    </w:p>
    <w:p>
      <w:pPr>
        <w:ind w:left="67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2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1" w:lineRule="exact"/>
        <w:rPr>
          <w:sz w:val="20"/>
          <w:szCs w:val="20"/>
          <w:color w:val="auto"/>
        </w:rPr>
      </w:pPr>
    </w:p>
    <w:p>
      <w:pPr>
        <w:ind w:right="80" w:firstLine="509"/>
        <w:spacing w:after="0" w:line="278"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04"/>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197" Type="http://schemas.openxmlformats.org/officeDocument/2006/relationships/hyperlink" Target="https://www.sec.gov/Archives/edgar/data/1468748/000156459018029743/kod-ex31_303.htm" TargetMode="External"/><Relationship Id="rId198" Type="http://schemas.openxmlformats.org/officeDocument/2006/relationships/hyperlink" Target="https://www.sec.gov/Archives/edgar/data/1468748/000156459018029743/kod-ex32_302.htm" TargetMode="External"/><Relationship Id="rId199" Type="http://schemas.openxmlformats.org/officeDocument/2006/relationships/hyperlink" Target="https://www.sec.gov/Archives/edgar/data/1468748/000119312518280419/d516071dex41.htm" TargetMode="External"/><Relationship Id="rId200" Type="http://schemas.openxmlformats.org/officeDocument/2006/relationships/hyperlink" Target="https://www.sec.gov/Archives/edgar/data/1468748/000119312518269221/d516071dex45.htm" TargetMode="External"/><Relationship Id="rId201" Type="http://schemas.openxmlformats.org/officeDocument/2006/relationships/hyperlink" Target="https://www.sec.gov/Archives/edgar/data/1468748/000156459021009946/kod-ex47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2022-11-09T16:03:21Z</dcterms:created>
  <dcterms:modified xsi:type="dcterms:W3CDTF">2022-11-09T16:03:21Z</dcterms:modified>
</cp:coreProperties>
</file>